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E88A09" w14:textId="6DE8AD41" w:rsidR="00017C04" w:rsidRPr="00192C26" w:rsidRDefault="00F50AF9" w:rsidP="00192C26">
      <w:pPr>
        <w:pStyle w:val="Title"/>
        <w:numPr>
          <w:ilvl w:val="0"/>
          <w:numId w:val="0"/>
        </w:numPr>
        <w:rPr>
          <w:sz w:val="28"/>
          <w:szCs w:val="28"/>
        </w:rPr>
      </w:pPr>
      <w:r>
        <w:rPr>
          <w:sz w:val="36"/>
          <w:szCs w:val="36"/>
        </w:rPr>
        <w:t xml:space="preserve">Chapter 6. Governance and policy options for the </w:t>
      </w:r>
      <w:r w:rsidR="00844A82">
        <w:rPr>
          <w:sz w:val="36"/>
          <w:szCs w:val="36"/>
        </w:rPr>
        <w:t>management</w:t>
      </w:r>
      <w:r>
        <w:rPr>
          <w:sz w:val="36"/>
          <w:szCs w:val="36"/>
        </w:rPr>
        <w:t xml:space="preserve"> of biological invasions</w:t>
      </w:r>
      <w:r w:rsidRPr="00BD7AA6">
        <w:rPr>
          <w:sz w:val="36"/>
          <w:szCs w:val="36"/>
          <w:vertAlign w:val="superscript"/>
        </w:rPr>
        <w:footnoteReference w:id="2"/>
      </w:r>
    </w:p>
    <w:p w14:paraId="29044274" w14:textId="77777777" w:rsidR="00017C04" w:rsidRDefault="00017C04"/>
    <w:p w14:paraId="2376250C" w14:textId="77777777" w:rsidR="00017C04" w:rsidRDefault="00F50AF9">
      <w:r>
        <w:rPr>
          <w:b/>
        </w:rPr>
        <w:t>Coordinating Lead Authors</w:t>
      </w:r>
      <w:r>
        <w:t>: Melodie A. McGeoch (Australia, South Africa/Australia), Alejandro Ordonez (Colombia, Netherlands [Kingdom of the]/Denmark)</w:t>
      </w:r>
    </w:p>
    <w:p w14:paraId="06780D16" w14:textId="67B45278" w:rsidR="00017C04" w:rsidRDefault="00F50AF9">
      <w:r>
        <w:rPr>
          <w:b/>
        </w:rPr>
        <w:t>Lead Authors</w:t>
      </w:r>
      <w:r>
        <w:t xml:space="preserve">: </w:t>
      </w:r>
      <w:r w:rsidR="00F27F4C">
        <w:t>Ernesto Brugnoli (Uruguay, Italy/Uruguay), Bridget Bwalya (Zambia), Chaeho Byun (Republic of Korea), Miguel Fernandez (Bolivia/United States of America, Germany), Quentin J. Groom (United Kingdom of Great Britain and Northern Ireland/Belgium), Patricia L. Howard (Netherlands [Kingdom of the], United States of America/Netherlands [Kingdom of the], United Kingdom of Great Britain and Northern Ireland), Stani</w:t>
      </w:r>
      <w:bookmarkStart w:id="0" w:name="_GoBack"/>
      <w:bookmarkEnd w:id="0"/>
      <w:r w:rsidR="00F27F4C">
        <w:t>slav Ksenofontov (Russian Federation/United States of America), Henn Ojaveer (Estonia/Denmark, Estonia), Bharat B. Shrestha (Nepal), Daniel Simberloff (United States of America)</w:t>
      </w:r>
      <w:r>
        <w:t xml:space="preserve"> </w:t>
      </w:r>
    </w:p>
    <w:p w14:paraId="469AC2A8" w14:textId="0BCCAC53" w:rsidR="00017C04" w:rsidRDefault="00F50AF9">
      <w:r>
        <w:rPr>
          <w:b/>
        </w:rPr>
        <w:t>Fellows</w:t>
      </w:r>
      <w:r>
        <w:t xml:space="preserve">: Ninad A. Mungi (India/Denmark, India), </w:t>
      </w:r>
      <w:r w:rsidR="00F27F4C">
        <w:t>Betty Rono (Kenya/Germany, Kenya)</w:t>
      </w:r>
    </w:p>
    <w:p w14:paraId="3A2A93AE" w14:textId="7476BFDA" w:rsidR="00017C04" w:rsidRDefault="00F50AF9">
      <w:r>
        <w:rPr>
          <w:b/>
        </w:rPr>
        <w:t>Contributing Authors</w:t>
      </w:r>
      <w:r>
        <w:t xml:space="preserve">: Steven M. Alexander (United States of America/Canada, United States of America), </w:t>
      </w:r>
      <w:r w:rsidR="001D3AFC" w:rsidRPr="001D3AFC">
        <w:t>Örjan Bodin (Sweden)</w:t>
      </w:r>
      <w:r w:rsidR="001D3AFC">
        <w:t xml:space="preserve">, </w:t>
      </w:r>
      <w:r>
        <w:t xml:space="preserve">Olaf Booy (United Kingdom of Great Britain and Northern Ireland), Giuseppe Brundu (Italy), Stanley W. Burgiel (United States of America), Steven L. Chown (Australia), Norman Dandy (United Kingdom of Great Britain and Northern Ireland), Edgardo Díaz-Férguson (Panama, United States of America/Panama), Llewellyn C. Foxcroft (South Africa), Sonia Graham (Australia, Spain/Australia), Sankaran Kavileveettil (India), Rachel I. Leihy (Australia), </w:t>
      </w:r>
      <w:r w:rsidR="001D3AFC" w:rsidRPr="001D3AFC">
        <w:t>Bernd Lenzner (Germany/Austria)</w:t>
      </w:r>
      <w:r w:rsidR="001D3AFC">
        <w:t xml:space="preserve">, </w:t>
      </w:r>
      <w:r>
        <w:t>Shana M. McDermott (United States of America), Shyama N. Pagad (New Zealand), Mark S. Reed (United Kingdom of Great Britain and Northern Ireland), John Rusbarsky (United States of America), Evangelina Schwindt (Argentina), Andy W. Sheppard (Australia, United Kingdom of Great Britain and Northern Ireland, Canada, France/Australia), Laura Verbrugge (Netherlands [Kingdom of the]/Finland)</w:t>
      </w:r>
      <w:r w:rsidR="001D3AFC">
        <w:t xml:space="preserve">, </w:t>
      </w:r>
      <w:r w:rsidR="001D3AFC" w:rsidRPr="001D3AFC">
        <w:t>Joana R. Vicente (Portugal)</w:t>
      </w:r>
    </w:p>
    <w:p w14:paraId="0E703C3A" w14:textId="77777777" w:rsidR="00017C04" w:rsidRDefault="00F50AF9">
      <w:r>
        <w:rPr>
          <w:b/>
        </w:rPr>
        <w:t>Review Editors</w:t>
      </w:r>
      <w:r>
        <w:t>: Julie L. Lockwood (United States of America), Sophie Riley (Australia)</w:t>
      </w:r>
    </w:p>
    <w:p w14:paraId="02C33186" w14:textId="77777777" w:rsidR="00017C04" w:rsidRDefault="00F50AF9">
      <w:r>
        <w:rPr>
          <w:b/>
        </w:rPr>
        <w:t>Technical support unit:</w:t>
      </w:r>
      <w:r>
        <w:t xml:space="preserve"> Naoki Amako, Ryoko Kawakami, Tanara Renard Truong</w:t>
      </w:r>
    </w:p>
    <w:p w14:paraId="154F9ADA" w14:textId="77777777" w:rsidR="00017C04" w:rsidRDefault="00F50AF9">
      <w:pPr>
        <w:rPr>
          <w:b/>
        </w:rPr>
      </w:pPr>
      <w:r>
        <w:rPr>
          <w:b/>
        </w:rPr>
        <w:t>This chapter should be cited as:</w:t>
      </w:r>
    </w:p>
    <w:p w14:paraId="29F46761" w14:textId="517C471B" w:rsidR="00017C04" w:rsidRDefault="00F50AF9">
      <w:r>
        <w:t xml:space="preserve">McGeoch, M. A., Ordonez, A., Howard, P. L., Groom, Q. J., Shrestha, B. B., Fernandez, M., Brugnoli, E., Bwalya, B., Byun, C., Ksenofontov, S., Ojaveer, H., Simberloff, D., Mungi, N. A., and Rono, B. (2023). Chapter 6: Governance and policy options for the </w:t>
      </w:r>
      <w:r w:rsidR="157D8197">
        <w:t xml:space="preserve">management </w:t>
      </w:r>
      <w:r>
        <w:t xml:space="preserve">of biological invasions. In: Thematic Assessment Report on Invasive Alien Species and their Control of the Intergovernmental Science-Policy Platform on Biodiversity and Ecosystem Services. Roy, H. E., Pauchard, A., Stoett, P., and Renard Truong, T. (eds.). IPBES secretariat, Bonn, Germany. </w:t>
      </w:r>
      <w:hyperlink r:id="rId15" w:history="1">
        <w:r w:rsidR="00C32AE1" w:rsidRPr="00FD65B1">
          <w:rPr>
            <w:rStyle w:val="Hyperlink"/>
          </w:rPr>
          <w:t>https://doi.org/10.5281/zenodo.7430747</w:t>
        </w:r>
      </w:hyperlink>
      <w:r w:rsidRPr="56C59A3A">
        <w:rPr>
          <w:color w:val="333333"/>
        </w:rPr>
        <w:t xml:space="preserve"> </w:t>
      </w:r>
    </w:p>
    <w:p w14:paraId="05A2762E" w14:textId="77777777" w:rsidR="00017C04" w:rsidRDefault="00017C04">
      <w:pPr>
        <w:rPr>
          <w:b/>
        </w:rPr>
      </w:pPr>
    </w:p>
    <w:p w14:paraId="449C6B2C" w14:textId="77777777" w:rsidR="00017C04" w:rsidRDefault="00017C04">
      <w:pPr>
        <w:rPr>
          <w:b/>
        </w:rPr>
      </w:pPr>
    </w:p>
    <w:p w14:paraId="3FC8541F" w14:textId="77777777" w:rsidR="00017C04" w:rsidRDefault="00017C04">
      <w:pPr>
        <w:rPr>
          <w:b/>
        </w:rPr>
      </w:pPr>
    </w:p>
    <w:p w14:paraId="034FFAA3" w14:textId="77777777" w:rsidR="00017C04" w:rsidRDefault="00017C04">
      <w:pPr>
        <w:rPr>
          <w:b/>
        </w:rPr>
      </w:pPr>
    </w:p>
    <w:p w14:paraId="2E4EFCBB" w14:textId="77777777" w:rsidR="00017C04" w:rsidRDefault="00017C04">
      <w:pPr>
        <w:rPr>
          <w:b/>
        </w:rPr>
      </w:pPr>
    </w:p>
    <w:p w14:paraId="274270A6" w14:textId="77777777" w:rsidR="00017C04" w:rsidRDefault="00017C04">
      <w:pPr>
        <w:rPr>
          <w:b/>
        </w:rPr>
      </w:pPr>
    </w:p>
    <w:p w14:paraId="3AE84B33" w14:textId="77777777" w:rsidR="00017C04" w:rsidRDefault="00017C04">
      <w:pPr>
        <w:rPr>
          <w:b/>
        </w:rPr>
      </w:pPr>
    </w:p>
    <w:p w14:paraId="7C99B485" w14:textId="77777777" w:rsidR="00017C04" w:rsidRDefault="00017C04">
      <w:pPr>
        <w:rPr>
          <w:b/>
        </w:rPr>
      </w:pPr>
    </w:p>
    <w:p w14:paraId="2FAF6015" w14:textId="77777777" w:rsidR="00017C04" w:rsidRDefault="00017C04">
      <w:pPr>
        <w:rPr>
          <w:b/>
        </w:rPr>
      </w:pPr>
    </w:p>
    <w:p w14:paraId="7605D294" w14:textId="77777777" w:rsidR="00017C04" w:rsidRDefault="00017C04">
      <w:pPr>
        <w:rPr>
          <w:b/>
        </w:rPr>
      </w:pPr>
    </w:p>
    <w:p w14:paraId="586C6682" w14:textId="77777777" w:rsidR="00017C04" w:rsidRDefault="00017C04">
      <w:pPr>
        <w:rPr>
          <w:b/>
        </w:rPr>
      </w:pPr>
    </w:p>
    <w:p w14:paraId="51A5750C" w14:textId="77777777" w:rsidR="00017C04" w:rsidRDefault="00017C04">
      <w:pPr>
        <w:rPr>
          <w:b/>
        </w:rPr>
      </w:pPr>
    </w:p>
    <w:p w14:paraId="538835CF" w14:textId="77777777" w:rsidR="00017C04" w:rsidRDefault="00017C04">
      <w:pPr>
        <w:rPr>
          <w:b/>
        </w:rPr>
      </w:pPr>
    </w:p>
    <w:p w14:paraId="2B8527FB" w14:textId="77777777" w:rsidR="00017C04" w:rsidRDefault="00017C04">
      <w:pPr>
        <w:rPr>
          <w:b/>
        </w:rPr>
      </w:pPr>
    </w:p>
    <w:p w14:paraId="2E5BA399" w14:textId="77777777" w:rsidR="00017C04" w:rsidRDefault="00017C04">
      <w:pPr>
        <w:rPr>
          <w:b/>
        </w:rPr>
      </w:pPr>
    </w:p>
    <w:p w14:paraId="0C9FEF24" w14:textId="77777777" w:rsidR="00017C04" w:rsidRDefault="00017C04">
      <w:pPr>
        <w:rPr>
          <w:b/>
        </w:rPr>
      </w:pPr>
    </w:p>
    <w:p w14:paraId="6EA5E149" w14:textId="77777777" w:rsidR="00017C04" w:rsidRDefault="00017C04">
      <w:pPr>
        <w:rPr>
          <w:b/>
        </w:rPr>
      </w:pPr>
    </w:p>
    <w:p w14:paraId="6CC0A9F9" w14:textId="77777777" w:rsidR="00017C04" w:rsidRDefault="00017C04">
      <w:pPr>
        <w:rPr>
          <w:b/>
        </w:rPr>
      </w:pPr>
    </w:p>
    <w:p w14:paraId="3645AA6C" w14:textId="77777777" w:rsidR="00017C04" w:rsidRDefault="00017C04">
      <w:pPr>
        <w:rPr>
          <w:b/>
        </w:rPr>
      </w:pPr>
    </w:p>
    <w:p w14:paraId="29A7B98B" w14:textId="77777777" w:rsidR="00017C04" w:rsidRDefault="00017C04">
      <w:pPr>
        <w:rPr>
          <w:b/>
        </w:rPr>
      </w:pPr>
    </w:p>
    <w:p w14:paraId="2285C7D7" w14:textId="77777777" w:rsidR="00017C04" w:rsidRDefault="00017C04">
      <w:pPr>
        <w:rPr>
          <w:b/>
        </w:rPr>
      </w:pPr>
    </w:p>
    <w:p w14:paraId="01503B61" w14:textId="77777777" w:rsidR="00017C04" w:rsidRDefault="00017C04">
      <w:pPr>
        <w:rPr>
          <w:b/>
        </w:rPr>
      </w:pPr>
    </w:p>
    <w:p w14:paraId="7E02BB85" w14:textId="77777777" w:rsidR="00017C04" w:rsidRDefault="00017C04">
      <w:pPr>
        <w:rPr>
          <w:b/>
        </w:rPr>
      </w:pPr>
    </w:p>
    <w:p w14:paraId="49E0E1DE" w14:textId="77777777" w:rsidR="00017C04" w:rsidRDefault="00017C04">
      <w:pPr>
        <w:rPr>
          <w:b/>
        </w:rPr>
      </w:pPr>
    </w:p>
    <w:p w14:paraId="5345CD1A" w14:textId="77777777" w:rsidR="00017C04" w:rsidRDefault="00F50AF9">
      <w:pPr>
        <w:rPr>
          <w:b/>
          <w:sz w:val="20"/>
          <w:szCs w:val="20"/>
        </w:rPr>
      </w:pPr>
      <w:r>
        <w:rPr>
          <w:b/>
          <w:sz w:val="20"/>
          <w:szCs w:val="20"/>
        </w:rPr>
        <w:t xml:space="preserve">Disclaimer on maps </w:t>
      </w:r>
    </w:p>
    <w:p w14:paraId="6BEF84C3" w14:textId="6152D338" w:rsidR="000F4A7F" w:rsidRPr="00A9434B" w:rsidRDefault="00F50AF9" w:rsidP="000F4A7F">
      <w:pPr>
        <w:spacing w:before="0" w:after="0"/>
        <w:rPr>
          <w:i/>
          <w:iCs/>
          <w:sz w:val="20"/>
          <w:szCs w:val="20"/>
        </w:rPr>
      </w:pPr>
      <w:r>
        <w:rPr>
          <w:i/>
          <w:sz w:val="20"/>
          <w:szCs w:val="20"/>
        </w:rPr>
        <w:t xml:space="preserve">The designations employed and the presentation of material on the maps used in the present report do not imply the expression of any opinion whatsoever on the part of the Intergovernmental Science-Policy Platform on Biodiversity and Ecosystem </w:t>
      </w:r>
      <w:r w:rsidR="00C33ED1">
        <w:rPr>
          <w:i/>
          <w:sz w:val="20"/>
          <w:szCs w:val="20"/>
        </w:rPr>
        <w:t>S</w:t>
      </w:r>
      <w:r>
        <w:rPr>
          <w:i/>
          <w:sz w:val="20"/>
          <w:szCs w:val="20"/>
        </w:rPr>
        <w:t xml:space="preserve">ervices concerning the legal status of any country, territory, city or area or of its authorities, or concerning the delimitation of its frontiers or boundaries. These maps have been prepared or used for the sole purpose of facilitating the assessment of the broad biogeographical areas represented therein. </w:t>
      </w:r>
    </w:p>
    <w:p w14:paraId="37DA34EA" w14:textId="5EC527B8" w:rsidR="00017C04" w:rsidRPr="00CE1C22" w:rsidRDefault="00017C04" w:rsidP="00192C26">
      <w:pPr>
        <w:spacing w:before="0" w:after="0"/>
        <w:sectPr w:rsidR="00017C04" w:rsidRPr="00CE1C22" w:rsidSect="00192C26">
          <w:headerReference w:type="even" r:id="rId16"/>
          <w:headerReference w:type="default" r:id="rId17"/>
          <w:footerReference w:type="even" r:id="rId18"/>
          <w:headerReference w:type="first" r:id="rId19"/>
          <w:type w:val="continuous"/>
          <w:pgSz w:w="11900" w:h="16840" w:code="9"/>
          <w:pgMar w:top="1138" w:right="1138" w:bottom="1138" w:left="1138" w:header="216" w:footer="720" w:gutter="0"/>
          <w:cols w:space="708"/>
          <w:docGrid w:linePitch="381"/>
        </w:sectPr>
      </w:pPr>
    </w:p>
    <w:p w14:paraId="492CC003" w14:textId="27C0A9AE" w:rsidR="00017C04" w:rsidRDefault="00F50AF9" w:rsidP="56C59A3A">
      <w:pPr>
        <w:rPr>
          <w:b/>
          <w:bCs/>
          <w:sz w:val="36"/>
          <w:szCs w:val="36"/>
        </w:rPr>
      </w:pPr>
      <w:r w:rsidRPr="56C59A3A">
        <w:rPr>
          <w:b/>
          <w:bCs/>
          <w:sz w:val="36"/>
          <w:szCs w:val="36"/>
        </w:rPr>
        <w:lastRenderedPageBreak/>
        <w:t xml:space="preserve">Chapter 6. Governance and policy options for the </w:t>
      </w:r>
      <w:r w:rsidR="3B9104CB" w:rsidRPr="56C59A3A">
        <w:rPr>
          <w:b/>
          <w:bCs/>
          <w:sz w:val="36"/>
          <w:szCs w:val="36"/>
        </w:rPr>
        <w:t xml:space="preserve">management </w:t>
      </w:r>
      <w:r w:rsidRPr="56C59A3A">
        <w:rPr>
          <w:b/>
          <w:bCs/>
          <w:sz w:val="36"/>
          <w:szCs w:val="36"/>
        </w:rPr>
        <w:t>of biological invasions</w:t>
      </w:r>
    </w:p>
    <w:p w14:paraId="54CF061C" w14:textId="77777777" w:rsidR="00017C04" w:rsidRDefault="00F50AF9">
      <w:pPr>
        <w:rPr>
          <w:b/>
          <w:sz w:val="36"/>
          <w:szCs w:val="36"/>
        </w:rPr>
      </w:pPr>
      <w:r>
        <w:rPr>
          <w:b/>
          <w:sz w:val="36"/>
          <w:szCs w:val="36"/>
        </w:rPr>
        <w:t>Contents</w:t>
      </w:r>
    </w:p>
    <w:p w14:paraId="0B962EE2" w14:textId="402FDBBC" w:rsidR="00CE1C22" w:rsidRPr="00351A46" w:rsidRDefault="00424818" w:rsidP="00CE1C22">
      <w:pPr>
        <w:pStyle w:val="TOC1"/>
        <w:rPr>
          <w:lang w:val="en-US" w:eastAsia="ja-JP"/>
        </w:rPr>
      </w:pPr>
      <w:r w:rsidRPr="00C12647">
        <w:rPr>
          <w:sz w:val="36"/>
        </w:rPr>
        <w:fldChar w:fldCharType="begin"/>
      </w:r>
      <w:r w:rsidRPr="003A6953">
        <w:rPr>
          <w:sz w:val="36"/>
          <w:szCs w:val="36"/>
        </w:rPr>
        <w:instrText xml:space="preserve"> TOC \o "1-2" \h \z \u </w:instrText>
      </w:r>
      <w:r w:rsidRPr="00C12647">
        <w:rPr>
          <w:sz w:val="36"/>
        </w:rPr>
        <w:fldChar w:fldCharType="separate"/>
      </w:r>
      <w:hyperlink w:anchor="_Toc147417571" w:history="1">
        <w:r w:rsidR="00CE1C22" w:rsidRPr="00351A46">
          <w:rPr>
            <w:rStyle w:val="Hyperlink"/>
          </w:rPr>
          <w:t>Executive summary</w:t>
        </w:r>
        <w:r w:rsidR="00CE1C22" w:rsidRPr="00351A46">
          <w:rPr>
            <w:webHidden/>
          </w:rPr>
          <w:tab/>
        </w:r>
        <w:r w:rsidR="00CE1C22" w:rsidRPr="00351A46">
          <w:rPr>
            <w:webHidden/>
          </w:rPr>
          <w:fldChar w:fldCharType="begin"/>
        </w:r>
        <w:r w:rsidR="00CE1C22" w:rsidRPr="00351A46">
          <w:rPr>
            <w:webHidden/>
          </w:rPr>
          <w:instrText xml:space="preserve"> PAGEREF _Toc147417571 \h </w:instrText>
        </w:r>
        <w:r w:rsidR="00CE1C22" w:rsidRPr="00351A46">
          <w:rPr>
            <w:webHidden/>
          </w:rPr>
        </w:r>
        <w:r w:rsidR="00CE1C22" w:rsidRPr="00351A46">
          <w:rPr>
            <w:webHidden/>
          </w:rPr>
          <w:fldChar w:fldCharType="separate"/>
        </w:r>
        <w:r w:rsidR="00040684">
          <w:rPr>
            <w:webHidden/>
          </w:rPr>
          <w:t>1</w:t>
        </w:r>
        <w:r w:rsidR="00CE1C22" w:rsidRPr="00351A46">
          <w:rPr>
            <w:webHidden/>
          </w:rPr>
          <w:fldChar w:fldCharType="end"/>
        </w:r>
      </w:hyperlink>
    </w:p>
    <w:p w14:paraId="1B914E66" w14:textId="31CCDE29" w:rsidR="00CE1C22" w:rsidRPr="00351A46" w:rsidRDefault="007C7AC3" w:rsidP="00CE1C22">
      <w:pPr>
        <w:pStyle w:val="TOC1"/>
        <w:rPr>
          <w:lang w:val="en-US" w:eastAsia="ja-JP"/>
        </w:rPr>
      </w:pPr>
      <w:hyperlink w:anchor="_Toc147417572" w:history="1">
        <w:r w:rsidR="00CE1C22" w:rsidRPr="00351A46">
          <w:rPr>
            <w:rStyle w:val="Hyperlink"/>
          </w:rPr>
          <w:t>6.1. Introduction and outline</w:t>
        </w:r>
        <w:r w:rsidR="00CE1C22" w:rsidRPr="00351A46">
          <w:rPr>
            <w:webHidden/>
          </w:rPr>
          <w:tab/>
        </w:r>
        <w:r w:rsidR="00CE1C22" w:rsidRPr="00351A46">
          <w:rPr>
            <w:webHidden/>
          </w:rPr>
          <w:fldChar w:fldCharType="begin"/>
        </w:r>
        <w:r w:rsidR="00CE1C22" w:rsidRPr="00351A46">
          <w:rPr>
            <w:webHidden/>
          </w:rPr>
          <w:instrText xml:space="preserve"> PAGEREF _Toc147417572 \h </w:instrText>
        </w:r>
        <w:r w:rsidR="00CE1C22" w:rsidRPr="00351A46">
          <w:rPr>
            <w:webHidden/>
          </w:rPr>
        </w:r>
        <w:r w:rsidR="00CE1C22" w:rsidRPr="00351A46">
          <w:rPr>
            <w:webHidden/>
          </w:rPr>
          <w:fldChar w:fldCharType="separate"/>
        </w:r>
        <w:r w:rsidR="00040684">
          <w:rPr>
            <w:webHidden/>
          </w:rPr>
          <w:t>5</w:t>
        </w:r>
        <w:r w:rsidR="00CE1C22" w:rsidRPr="00351A46">
          <w:rPr>
            <w:webHidden/>
          </w:rPr>
          <w:fldChar w:fldCharType="end"/>
        </w:r>
      </w:hyperlink>
    </w:p>
    <w:p w14:paraId="30795EAC" w14:textId="60F90C7C"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73" w:history="1">
        <w:r w:rsidR="00CE1C22" w:rsidRPr="00351A46">
          <w:rPr>
            <w:rStyle w:val="Hyperlink"/>
            <w:rFonts w:ascii="Times New Roman" w:hAnsi="Times New Roman" w:cs="Times New Roman"/>
            <w:b w:val="0"/>
            <w:noProof/>
            <w:sz w:val="24"/>
            <w:szCs w:val="24"/>
          </w:rPr>
          <w:t>6.1.1. Risks and opportunities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_Toc147417573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7</w:t>
        </w:r>
        <w:r w:rsidR="00CE1C22" w:rsidRPr="00351A46">
          <w:rPr>
            <w:rFonts w:ascii="Times New Roman" w:hAnsi="Times New Roman" w:cs="Times New Roman"/>
            <w:b w:val="0"/>
            <w:noProof/>
            <w:webHidden/>
            <w:sz w:val="24"/>
            <w:szCs w:val="24"/>
          </w:rPr>
          <w:fldChar w:fldCharType="end"/>
        </w:r>
      </w:hyperlink>
    </w:p>
    <w:p w14:paraId="3B31A821" w14:textId="73F23F25"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74" w:history="1">
        <w:r w:rsidR="00CE1C22" w:rsidRPr="00351A46">
          <w:rPr>
            <w:rStyle w:val="Hyperlink"/>
            <w:rFonts w:ascii="Times New Roman" w:hAnsi="Times New Roman" w:cs="Times New Roman"/>
            <w:b w:val="0"/>
            <w:noProof/>
            <w:sz w:val="24"/>
            <w:szCs w:val="24"/>
          </w:rPr>
          <w:t>6.1.2. Progress towards international and national goals and targets for invasive alien species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_Toc147417574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9</w:t>
        </w:r>
        <w:r w:rsidR="00CE1C22" w:rsidRPr="00351A46">
          <w:rPr>
            <w:rFonts w:ascii="Times New Roman" w:hAnsi="Times New Roman" w:cs="Times New Roman"/>
            <w:b w:val="0"/>
            <w:noProof/>
            <w:webHidden/>
            <w:sz w:val="24"/>
            <w:szCs w:val="24"/>
          </w:rPr>
          <w:fldChar w:fldCharType="end"/>
        </w:r>
      </w:hyperlink>
    </w:p>
    <w:p w14:paraId="7B0BC3F0" w14:textId="354A9347"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75" w:history="1">
        <w:r w:rsidR="00CE1C22" w:rsidRPr="00351A46">
          <w:rPr>
            <w:rStyle w:val="Hyperlink"/>
            <w:rFonts w:ascii="Times New Roman" w:hAnsi="Times New Roman" w:cs="Times New Roman"/>
            <w:b w:val="0"/>
            <w:noProof/>
            <w:sz w:val="24"/>
            <w:szCs w:val="24"/>
          </w:rPr>
          <w:t>6.1.3. Specific progress towards governance-related invasive alien species goals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_Toc147417575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14</w:t>
        </w:r>
        <w:r w:rsidR="00CE1C22" w:rsidRPr="00351A46">
          <w:rPr>
            <w:rFonts w:ascii="Times New Roman" w:hAnsi="Times New Roman" w:cs="Times New Roman"/>
            <w:b w:val="0"/>
            <w:noProof/>
            <w:webHidden/>
            <w:sz w:val="24"/>
            <w:szCs w:val="24"/>
          </w:rPr>
          <w:fldChar w:fldCharType="end"/>
        </w:r>
      </w:hyperlink>
    </w:p>
    <w:p w14:paraId="0D68D91C" w14:textId="00EDFB98" w:rsidR="00CE1C22" w:rsidRPr="00351A46" w:rsidRDefault="007C7AC3" w:rsidP="00CE1C22">
      <w:pPr>
        <w:pStyle w:val="TOC1"/>
        <w:rPr>
          <w:lang w:val="en-US" w:eastAsia="ja-JP"/>
        </w:rPr>
      </w:pPr>
      <w:hyperlink w:anchor="_Toc147417576" w:history="1">
        <w:r w:rsidR="00CE1C22" w:rsidRPr="00351A46">
          <w:rPr>
            <w:rStyle w:val="Hyperlink"/>
          </w:rPr>
          <w:t>6.2. Governance response options</w:t>
        </w:r>
        <w:r w:rsidR="00CE1C22" w:rsidRPr="00351A46">
          <w:rPr>
            <w:webHidden/>
          </w:rPr>
          <w:tab/>
        </w:r>
        <w:r w:rsidR="00CE1C22" w:rsidRPr="00351A46">
          <w:rPr>
            <w:webHidden/>
          </w:rPr>
          <w:fldChar w:fldCharType="begin"/>
        </w:r>
        <w:r w:rsidR="00CE1C22" w:rsidRPr="00351A46">
          <w:rPr>
            <w:webHidden/>
          </w:rPr>
          <w:instrText xml:space="preserve"> PAGEREF _Toc147417576 \h </w:instrText>
        </w:r>
        <w:r w:rsidR="00CE1C22" w:rsidRPr="00351A46">
          <w:rPr>
            <w:webHidden/>
          </w:rPr>
        </w:r>
        <w:r w:rsidR="00CE1C22" w:rsidRPr="00351A46">
          <w:rPr>
            <w:webHidden/>
          </w:rPr>
          <w:fldChar w:fldCharType="separate"/>
        </w:r>
        <w:r w:rsidR="00040684">
          <w:rPr>
            <w:webHidden/>
          </w:rPr>
          <w:t>19</w:t>
        </w:r>
        <w:r w:rsidR="00CE1C22" w:rsidRPr="00351A46">
          <w:rPr>
            <w:webHidden/>
          </w:rPr>
          <w:fldChar w:fldCharType="end"/>
        </w:r>
      </w:hyperlink>
    </w:p>
    <w:p w14:paraId="0A5DB1A9" w14:textId="759E7B98"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77" w:history="1">
        <w:r w:rsidR="00CE1C22" w:rsidRPr="00351A46">
          <w:rPr>
            <w:rStyle w:val="Hyperlink"/>
            <w:rFonts w:ascii="Times New Roman" w:hAnsi="Times New Roman" w:cs="Times New Roman"/>
            <w:b w:val="0"/>
            <w:noProof/>
            <w:sz w:val="24"/>
            <w:szCs w:val="24"/>
          </w:rPr>
          <w:t>6.2.1. The theory of change and indicator frameworks for improving implementation</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_Toc147417577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19</w:t>
        </w:r>
        <w:r w:rsidR="00CE1C22" w:rsidRPr="00351A46">
          <w:rPr>
            <w:rFonts w:ascii="Times New Roman" w:hAnsi="Times New Roman" w:cs="Times New Roman"/>
            <w:b w:val="0"/>
            <w:noProof/>
            <w:webHidden/>
            <w:sz w:val="24"/>
            <w:szCs w:val="24"/>
          </w:rPr>
          <w:fldChar w:fldCharType="end"/>
        </w:r>
      </w:hyperlink>
    </w:p>
    <w:p w14:paraId="4775537F" w14:textId="5E6CC679"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78" w:history="1">
        <w:r w:rsidR="00CE1C22" w:rsidRPr="00351A46">
          <w:rPr>
            <w:rStyle w:val="Hyperlink"/>
            <w:rFonts w:ascii="Times New Roman" w:hAnsi="Times New Roman" w:cs="Times New Roman"/>
            <w:b w:val="0"/>
            <w:noProof/>
            <w:sz w:val="24"/>
            <w:szCs w:val="24"/>
          </w:rPr>
          <w:t>6.2.2. Identifying the challenges of governing biological invasions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_Toc147417578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22</w:t>
        </w:r>
        <w:r w:rsidR="00CE1C22" w:rsidRPr="00351A46">
          <w:rPr>
            <w:rFonts w:ascii="Times New Roman" w:hAnsi="Times New Roman" w:cs="Times New Roman"/>
            <w:b w:val="0"/>
            <w:noProof/>
            <w:webHidden/>
            <w:sz w:val="24"/>
            <w:szCs w:val="24"/>
          </w:rPr>
          <w:fldChar w:fldCharType="end"/>
        </w:r>
      </w:hyperlink>
    </w:p>
    <w:p w14:paraId="7B110454" w14:textId="216F9BB7"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79" w:history="1">
        <w:r w:rsidR="00CE1C22" w:rsidRPr="00351A46">
          <w:rPr>
            <w:rStyle w:val="Hyperlink"/>
            <w:rFonts w:ascii="Times New Roman" w:hAnsi="Times New Roman" w:cs="Times New Roman"/>
            <w:b w:val="0"/>
            <w:noProof/>
            <w:sz w:val="24"/>
            <w:szCs w:val="24"/>
          </w:rPr>
          <w:t>6.2.3. Options for strengthening the governance for biological invasions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_Toc147417579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26</w:t>
        </w:r>
        <w:r w:rsidR="00CE1C22" w:rsidRPr="00351A46">
          <w:rPr>
            <w:rFonts w:ascii="Times New Roman" w:hAnsi="Times New Roman" w:cs="Times New Roman"/>
            <w:b w:val="0"/>
            <w:noProof/>
            <w:webHidden/>
            <w:sz w:val="24"/>
            <w:szCs w:val="24"/>
          </w:rPr>
          <w:fldChar w:fldCharType="end"/>
        </w:r>
      </w:hyperlink>
    </w:p>
    <w:p w14:paraId="56DFF882" w14:textId="6F8A477C"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80" w:history="1">
        <w:r w:rsidR="00CE1C22" w:rsidRPr="00351A46">
          <w:rPr>
            <w:rStyle w:val="Hyperlink"/>
            <w:rFonts w:ascii="Times New Roman" w:hAnsi="Times New Roman" w:cs="Times New Roman"/>
            <w:b w:val="0"/>
            <w:noProof/>
            <w:sz w:val="24"/>
            <w:szCs w:val="24"/>
          </w:rPr>
          <w:t>6.2.4. Integrated governance for biological invasions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_Toc147417580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37</w:t>
        </w:r>
        <w:r w:rsidR="00CE1C22" w:rsidRPr="00351A46">
          <w:rPr>
            <w:rFonts w:ascii="Times New Roman" w:hAnsi="Times New Roman" w:cs="Times New Roman"/>
            <w:b w:val="0"/>
            <w:noProof/>
            <w:webHidden/>
            <w:sz w:val="24"/>
            <w:szCs w:val="24"/>
          </w:rPr>
          <w:fldChar w:fldCharType="end"/>
        </w:r>
      </w:hyperlink>
    </w:p>
    <w:p w14:paraId="694D85F1" w14:textId="7388AA1B" w:rsidR="00CE1C22" w:rsidRPr="00351A46" w:rsidRDefault="007C7AC3" w:rsidP="00CE1C22">
      <w:pPr>
        <w:pStyle w:val="TOC1"/>
        <w:rPr>
          <w:lang w:val="en-US" w:eastAsia="ja-JP"/>
        </w:rPr>
      </w:pPr>
      <w:hyperlink w:anchor="_Toc147417581" w:history="1">
        <w:r w:rsidR="00CE1C22" w:rsidRPr="00351A46">
          <w:rPr>
            <w:rStyle w:val="Hyperlink"/>
          </w:rPr>
          <w:t>6.3. Legal and regulatory options</w:t>
        </w:r>
        <w:r w:rsidR="00CE1C22" w:rsidRPr="00351A46">
          <w:rPr>
            <w:webHidden/>
          </w:rPr>
          <w:tab/>
        </w:r>
        <w:r w:rsidR="00CE1C22" w:rsidRPr="00351A46">
          <w:rPr>
            <w:webHidden/>
          </w:rPr>
          <w:fldChar w:fldCharType="begin"/>
        </w:r>
        <w:r w:rsidR="00CE1C22" w:rsidRPr="00351A46">
          <w:rPr>
            <w:webHidden/>
          </w:rPr>
          <w:instrText xml:space="preserve"> PAGEREF _Toc147417581 \h </w:instrText>
        </w:r>
        <w:r w:rsidR="00CE1C22" w:rsidRPr="00351A46">
          <w:rPr>
            <w:webHidden/>
          </w:rPr>
        </w:r>
        <w:r w:rsidR="00CE1C22" w:rsidRPr="00351A46">
          <w:rPr>
            <w:webHidden/>
          </w:rPr>
          <w:fldChar w:fldCharType="separate"/>
        </w:r>
        <w:r w:rsidR="00040684">
          <w:rPr>
            <w:webHidden/>
          </w:rPr>
          <w:t>41</w:t>
        </w:r>
        <w:r w:rsidR="00CE1C22" w:rsidRPr="00351A46">
          <w:rPr>
            <w:webHidden/>
          </w:rPr>
          <w:fldChar w:fldCharType="end"/>
        </w:r>
      </w:hyperlink>
    </w:p>
    <w:p w14:paraId="5E184BE9" w14:textId="6177F6B2"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82" w:history="1">
        <w:r w:rsidR="00CE1C22" w:rsidRPr="00351A46">
          <w:rPr>
            <w:rStyle w:val="Hyperlink"/>
            <w:rFonts w:ascii="Times New Roman" w:hAnsi="Times New Roman" w:cs="Times New Roman"/>
            <w:b w:val="0"/>
            <w:noProof/>
            <w:sz w:val="24"/>
            <w:szCs w:val="24"/>
          </w:rPr>
          <w:t>6.3.1. Legal and regulatory options at and across sectors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_Toc147417582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41</w:t>
        </w:r>
        <w:r w:rsidR="00CE1C22" w:rsidRPr="00351A46">
          <w:rPr>
            <w:rFonts w:ascii="Times New Roman" w:hAnsi="Times New Roman" w:cs="Times New Roman"/>
            <w:b w:val="0"/>
            <w:noProof/>
            <w:webHidden/>
            <w:sz w:val="24"/>
            <w:szCs w:val="24"/>
          </w:rPr>
          <w:fldChar w:fldCharType="end"/>
        </w:r>
      </w:hyperlink>
    </w:p>
    <w:p w14:paraId="65250FEB" w14:textId="5B74331B"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83" w:history="1">
        <w:r w:rsidR="00CE1C22" w:rsidRPr="00351A46">
          <w:rPr>
            <w:rStyle w:val="Hyperlink"/>
            <w:rFonts w:ascii="Times New Roman" w:hAnsi="Times New Roman" w:cs="Times New Roman"/>
            <w:b w:val="0"/>
            <w:noProof/>
            <w:sz w:val="24"/>
            <w:szCs w:val="24"/>
          </w:rPr>
          <w:t>6.3.2. Legal and regulatory options across geopolitical scales.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_Toc147417583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57</w:t>
        </w:r>
        <w:r w:rsidR="00CE1C22" w:rsidRPr="00351A46">
          <w:rPr>
            <w:rFonts w:ascii="Times New Roman" w:hAnsi="Times New Roman" w:cs="Times New Roman"/>
            <w:b w:val="0"/>
            <w:noProof/>
            <w:webHidden/>
            <w:sz w:val="24"/>
            <w:szCs w:val="24"/>
          </w:rPr>
          <w:fldChar w:fldCharType="end"/>
        </w:r>
      </w:hyperlink>
    </w:p>
    <w:p w14:paraId="59E0A840" w14:textId="252725BD"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84" w:history="1">
        <w:r w:rsidR="00CE1C22" w:rsidRPr="00351A46">
          <w:rPr>
            <w:rStyle w:val="Hyperlink"/>
            <w:rFonts w:ascii="Times New Roman" w:hAnsi="Times New Roman" w:cs="Times New Roman"/>
            <w:b w:val="0"/>
            <w:noProof/>
            <w:sz w:val="24"/>
            <w:szCs w:val="24"/>
          </w:rPr>
          <w:t>6.3.3. Legal and regulatory options at national scales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_Toc147417584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62</w:t>
        </w:r>
        <w:r w:rsidR="00CE1C22" w:rsidRPr="00351A46">
          <w:rPr>
            <w:rFonts w:ascii="Times New Roman" w:hAnsi="Times New Roman" w:cs="Times New Roman"/>
            <w:b w:val="0"/>
            <w:noProof/>
            <w:webHidden/>
            <w:sz w:val="24"/>
            <w:szCs w:val="24"/>
          </w:rPr>
          <w:fldChar w:fldCharType="end"/>
        </w:r>
      </w:hyperlink>
    </w:p>
    <w:p w14:paraId="1AA37F16" w14:textId="591B0FFB" w:rsidR="00CE1C22" w:rsidRPr="00351A46" w:rsidRDefault="007C7AC3" w:rsidP="00CE1C22">
      <w:pPr>
        <w:pStyle w:val="TOC1"/>
        <w:rPr>
          <w:lang w:val="en-US" w:eastAsia="ja-JP"/>
        </w:rPr>
      </w:pPr>
      <w:hyperlink w:anchor="_Toc147417585" w:history="1">
        <w:r w:rsidR="00CE1C22" w:rsidRPr="00351A46">
          <w:rPr>
            <w:rStyle w:val="Hyperlink"/>
          </w:rPr>
          <w:t>6.4. Engagement and collaboration with stakeholders and Indigenous Peoples and local communities</w:t>
        </w:r>
        <w:r w:rsidR="00CE1C22" w:rsidRPr="00351A46">
          <w:rPr>
            <w:webHidden/>
          </w:rPr>
          <w:tab/>
        </w:r>
        <w:r w:rsidR="00CE1C22" w:rsidRPr="00351A46">
          <w:rPr>
            <w:webHidden/>
          </w:rPr>
          <w:fldChar w:fldCharType="begin"/>
        </w:r>
        <w:r w:rsidR="00CE1C22" w:rsidRPr="00351A46">
          <w:rPr>
            <w:webHidden/>
          </w:rPr>
          <w:instrText xml:space="preserve"> PAGEREF _Toc147417585 \h </w:instrText>
        </w:r>
        <w:r w:rsidR="00CE1C22" w:rsidRPr="00351A46">
          <w:rPr>
            <w:webHidden/>
          </w:rPr>
        </w:r>
        <w:r w:rsidR="00CE1C22" w:rsidRPr="00351A46">
          <w:rPr>
            <w:webHidden/>
          </w:rPr>
          <w:fldChar w:fldCharType="separate"/>
        </w:r>
        <w:r w:rsidR="00040684">
          <w:rPr>
            <w:webHidden/>
          </w:rPr>
          <w:t>67</w:t>
        </w:r>
        <w:r w:rsidR="00CE1C22" w:rsidRPr="00351A46">
          <w:rPr>
            <w:webHidden/>
          </w:rPr>
          <w:fldChar w:fldCharType="end"/>
        </w:r>
      </w:hyperlink>
    </w:p>
    <w:p w14:paraId="0D4F2EAF" w14:textId="50DC24BE"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86" w:history="1">
        <w:r w:rsidR="00CE1C22" w:rsidRPr="00351A46">
          <w:rPr>
            <w:rStyle w:val="Hyperlink"/>
            <w:rFonts w:ascii="Times New Roman" w:hAnsi="Times New Roman" w:cs="Times New Roman"/>
            <w:b w:val="0"/>
            <w:noProof/>
            <w:sz w:val="24"/>
            <w:szCs w:val="24"/>
          </w:rPr>
          <w:t>6.4.1. Reasons for inclusive engagement</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_Toc147417586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67</w:t>
        </w:r>
        <w:r w:rsidR="00CE1C22" w:rsidRPr="00351A46">
          <w:rPr>
            <w:rFonts w:ascii="Times New Roman" w:hAnsi="Times New Roman" w:cs="Times New Roman"/>
            <w:b w:val="0"/>
            <w:noProof/>
            <w:webHidden/>
            <w:sz w:val="24"/>
            <w:szCs w:val="24"/>
          </w:rPr>
          <w:fldChar w:fldCharType="end"/>
        </w:r>
      </w:hyperlink>
    </w:p>
    <w:p w14:paraId="31BEB230" w14:textId="54AFD300"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87" w:history="1">
        <w:r w:rsidR="00CE1C22" w:rsidRPr="00351A46">
          <w:rPr>
            <w:rStyle w:val="Hyperlink"/>
            <w:rFonts w:ascii="Times New Roman" w:hAnsi="Times New Roman" w:cs="Times New Roman"/>
            <w:b w:val="0"/>
            <w:noProof/>
            <w:sz w:val="24"/>
            <w:szCs w:val="24"/>
          </w:rPr>
          <w:t>6.4.2. Options for improving engagement with invasive alien species-related activities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_Toc147417587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71</w:t>
        </w:r>
        <w:r w:rsidR="00CE1C22" w:rsidRPr="00351A46">
          <w:rPr>
            <w:rFonts w:ascii="Times New Roman" w:hAnsi="Times New Roman" w:cs="Times New Roman"/>
            <w:b w:val="0"/>
            <w:noProof/>
            <w:webHidden/>
            <w:sz w:val="24"/>
            <w:szCs w:val="24"/>
          </w:rPr>
          <w:fldChar w:fldCharType="end"/>
        </w:r>
      </w:hyperlink>
    </w:p>
    <w:p w14:paraId="7BC6A144" w14:textId="6C3EDBD6"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88" w:history="1">
        <w:r w:rsidR="00CE1C22" w:rsidRPr="00351A46">
          <w:rPr>
            <w:rStyle w:val="Hyperlink"/>
            <w:rFonts w:ascii="Times New Roman" w:hAnsi="Times New Roman" w:cs="Times New Roman"/>
            <w:b w:val="0"/>
            <w:noProof/>
            <w:sz w:val="24"/>
            <w:szCs w:val="24"/>
          </w:rPr>
          <w:t>6.4.3. Coordination, collaboration and Indigenous Peoples and local communities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_Toc147417588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73</w:t>
        </w:r>
        <w:r w:rsidR="00CE1C22" w:rsidRPr="00351A46">
          <w:rPr>
            <w:rFonts w:ascii="Times New Roman" w:hAnsi="Times New Roman" w:cs="Times New Roman"/>
            <w:b w:val="0"/>
            <w:noProof/>
            <w:webHidden/>
            <w:sz w:val="24"/>
            <w:szCs w:val="24"/>
          </w:rPr>
          <w:fldChar w:fldCharType="end"/>
        </w:r>
      </w:hyperlink>
    </w:p>
    <w:p w14:paraId="0E25B900" w14:textId="1249AE3C"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89" w:history="1">
        <w:r w:rsidR="00CE1C22" w:rsidRPr="00351A46">
          <w:rPr>
            <w:rStyle w:val="Hyperlink"/>
            <w:rFonts w:ascii="Times New Roman" w:hAnsi="Times New Roman" w:cs="Times New Roman"/>
            <w:b w:val="0"/>
            <w:noProof/>
            <w:sz w:val="24"/>
            <w:szCs w:val="24"/>
          </w:rPr>
          <w:t>6.4.4. Governance networks for collective action</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_Toc147417589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75</w:t>
        </w:r>
        <w:r w:rsidR="00CE1C22" w:rsidRPr="00351A46">
          <w:rPr>
            <w:rFonts w:ascii="Times New Roman" w:hAnsi="Times New Roman" w:cs="Times New Roman"/>
            <w:b w:val="0"/>
            <w:noProof/>
            <w:webHidden/>
            <w:sz w:val="24"/>
            <w:szCs w:val="24"/>
          </w:rPr>
          <w:fldChar w:fldCharType="end"/>
        </w:r>
      </w:hyperlink>
    </w:p>
    <w:p w14:paraId="5836DBE3" w14:textId="43728FA7" w:rsidR="00CE1C22" w:rsidRPr="00351A46" w:rsidRDefault="007C7AC3" w:rsidP="00CE1C22">
      <w:pPr>
        <w:pStyle w:val="TOC1"/>
        <w:rPr>
          <w:lang w:val="en-US" w:eastAsia="ja-JP"/>
        </w:rPr>
      </w:pPr>
      <w:hyperlink w:anchor="_Toc147417590" w:history="1">
        <w:r w:rsidR="00CE1C22" w:rsidRPr="00351A46">
          <w:rPr>
            <w:rStyle w:val="Hyperlink"/>
          </w:rPr>
          <w:t>6.5. Economic and financial options</w:t>
        </w:r>
        <w:r w:rsidR="00CE1C22" w:rsidRPr="00351A46">
          <w:rPr>
            <w:webHidden/>
          </w:rPr>
          <w:tab/>
        </w:r>
        <w:r w:rsidR="00CE1C22" w:rsidRPr="00351A46">
          <w:rPr>
            <w:webHidden/>
          </w:rPr>
          <w:fldChar w:fldCharType="begin"/>
        </w:r>
        <w:r w:rsidR="00CE1C22" w:rsidRPr="00351A46">
          <w:rPr>
            <w:webHidden/>
          </w:rPr>
          <w:instrText xml:space="preserve"> PAGEREF _Toc147417590 \h </w:instrText>
        </w:r>
        <w:r w:rsidR="00CE1C22" w:rsidRPr="00351A46">
          <w:rPr>
            <w:webHidden/>
          </w:rPr>
        </w:r>
        <w:r w:rsidR="00CE1C22" w:rsidRPr="00351A46">
          <w:rPr>
            <w:webHidden/>
          </w:rPr>
          <w:fldChar w:fldCharType="separate"/>
        </w:r>
        <w:r w:rsidR="00040684">
          <w:rPr>
            <w:webHidden/>
          </w:rPr>
          <w:t>85</w:t>
        </w:r>
        <w:r w:rsidR="00CE1C22" w:rsidRPr="00351A46">
          <w:rPr>
            <w:webHidden/>
          </w:rPr>
          <w:fldChar w:fldCharType="end"/>
        </w:r>
      </w:hyperlink>
    </w:p>
    <w:p w14:paraId="4B9E77B8" w14:textId="70546CF3"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91" w:history="1">
        <w:r w:rsidR="00CE1C22" w:rsidRPr="00351A46">
          <w:rPr>
            <w:rStyle w:val="Hyperlink"/>
            <w:rFonts w:ascii="Times New Roman" w:hAnsi="Times New Roman" w:cs="Times New Roman"/>
            <w:b w:val="0"/>
            <w:noProof/>
            <w:sz w:val="24"/>
            <w:szCs w:val="24"/>
          </w:rPr>
          <w:t>6.5.1. Government financing</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_Toc147417591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86</w:t>
        </w:r>
        <w:r w:rsidR="00CE1C22" w:rsidRPr="00351A46">
          <w:rPr>
            <w:rFonts w:ascii="Times New Roman" w:hAnsi="Times New Roman" w:cs="Times New Roman"/>
            <w:b w:val="0"/>
            <w:noProof/>
            <w:webHidden/>
            <w:sz w:val="24"/>
            <w:szCs w:val="24"/>
          </w:rPr>
          <w:fldChar w:fldCharType="end"/>
        </w:r>
      </w:hyperlink>
    </w:p>
    <w:p w14:paraId="1963A909" w14:textId="05608E6A"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92" w:history="1">
        <w:r w:rsidR="00CE1C22" w:rsidRPr="00351A46">
          <w:rPr>
            <w:rStyle w:val="Hyperlink"/>
            <w:rFonts w:ascii="Times New Roman" w:hAnsi="Times New Roman" w:cs="Times New Roman"/>
            <w:b w:val="0"/>
            <w:noProof/>
            <w:sz w:val="24"/>
            <w:szCs w:val="24"/>
          </w:rPr>
          <w:t>6.5.2. Laws, regulations and incentives for the private sector</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_Toc147417592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88</w:t>
        </w:r>
        <w:r w:rsidR="00CE1C22" w:rsidRPr="00351A46">
          <w:rPr>
            <w:rFonts w:ascii="Times New Roman" w:hAnsi="Times New Roman" w:cs="Times New Roman"/>
            <w:b w:val="0"/>
            <w:noProof/>
            <w:webHidden/>
            <w:sz w:val="24"/>
            <w:szCs w:val="24"/>
          </w:rPr>
          <w:fldChar w:fldCharType="end"/>
        </w:r>
      </w:hyperlink>
    </w:p>
    <w:p w14:paraId="1F5873EC" w14:textId="229FE8B1"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93" w:history="1">
        <w:r w:rsidR="00CE1C22" w:rsidRPr="00351A46">
          <w:rPr>
            <w:rStyle w:val="Hyperlink"/>
            <w:rFonts w:ascii="Times New Roman" w:hAnsi="Times New Roman" w:cs="Times New Roman"/>
            <w:b w:val="0"/>
            <w:noProof/>
            <w:sz w:val="24"/>
            <w:szCs w:val="24"/>
          </w:rPr>
          <w:t>6.5.3. Multilateral and bilateral financing organizations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_Toc147417593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89</w:t>
        </w:r>
        <w:r w:rsidR="00CE1C22" w:rsidRPr="00351A46">
          <w:rPr>
            <w:rFonts w:ascii="Times New Roman" w:hAnsi="Times New Roman" w:cs="Times New Roman"/>
            <w:b w:val="0"/>
            <w:noProof/>
            <w:webHidden/>
            <w:sz w:val="24"/>
            <w:szCs w:val="24"/>
          </w:rPr>
          <w:fldChar w:fldCharType="end"/>
        </w:r>
      </w:hyperlink>
    </w:p>
    <w:p w14:paraId="1F63DA4F" w14:textId="326622DA"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94" w:history="1">
        <w:r w:rsidR="00CE1C22" w:rsidRPr="00351A46">
          <w:rPr>
            <w:rStyle w:val="Hyperlink"/>
            <w:rFonts w:ascii="Times New Roman" w:hAnsi="Times New Roman" w:cs="Times New Roman"/>
            <w:b w:val="0"/>
            <w:noProof/>
            <w:sz w:val="24"/>
            <w:szCs w:val="24"/>
          </w:rPr>
          <w:t>6.5.4. Private sector</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_Toc147417594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90</w:t>
        </w:r>
        <w:r w:rsidR="00CE1C22" w:rsidRPr="00351A46">
          <w:rPr>
            <w:rFonts w:ascii="Times New Roman" w:hAnsi="Times New Roman" w:cs="Times New Roman"/>
            <w:b w:val="0"/>
            <w:noProof/>
            <w:webHidden/>
            <w:sz w:val="24"/>
            <w:szCs w:val="24"/>
          </w:rPr>
          <w:fldChar w:fldCharType="end"/>
        </w:r>
      </w:hyperlink>
    </w:p>
    <w:p w14:paraId="54BADDAB" w14:textId="6D49B77D"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95" w:history="1">
        <w:r w:rsidR="00CE1C22" w:rsidRPr="00351A46">
          <w:rPr>
            <w:rStyle w:val="Hyperlink"/>
            <w:rFonts w:ascii="Times New Roman" w:hAnsi="Times New Roman" w:cs="Times New Roman"/>
            <w:b w:val="0"/>
            <w:noProof/>
            <w:sz w:val="24"/>
            <w:szCs w:val="24"/>
          </w:rPr>
          <w:t>6.5.5. Role of global supply chains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_Toc147417595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92</w:t>
        </w:r>
        <w:r w:rsidR="00CE1C22" w:rsidRPr="00351A46">
          <w:rPr>
            <w:rFonts w:ascii="Times New Roman" w:hAnsi="Times New Roman" w:cs="Times New Roman"/>
            <w:b w:val="0"/>
            <w:noProof/>
            <w:webHidden/>
            <w:sz w:val="24"/>
            <w:szCs w:val="24"/>
          </w:rPr>
          <w:fldChar w:fldCharType="end"/>
        </w:r>
      </w:hyperlink>
    </w:p>
    <w:p w14:paraId="1FD6C237" w14:textId="6A7E57AF"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96" w:history="1">
        <w:r w:rsidR="00CE1C22" w:rsidRPr="00351A46">
          <w:rPr>
            <w:rStyle w:val="Hyperlink"/>
            <w:rFonts w:ascii="Times New Roman" w:hAnsi="Times New Roman" w:cs="Times New Roman"/>
            <w:b w:val="0"/>
            <w:noProof/>
            <w:sz w:val="24"/>
            <w:szCs w:val="24"/>
          </w:rPr>
          <w:t>6.5.6. Role of philanthropy, non-governmental organizations and academia</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_Toc147417596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92</w:t>
        </w:r>
        <w:r w:rsidR="00CE1C22" w:rsidRPr="00351A46">
          <w:rPr>
            <w:rFonts w:ascii="Times New Roman" w:hAnsi="Times New Roman" w:cs="Times New Roman"/>
            <w:b w:val="0"/>
            <w:noProof/>
            <w:webHidden/>
            <w:sz w:val="24"/>
            <w:szCs w:val="24"/>
          </w:rPr>
          <w:fldChar w:fldCharType="end"/>
        </w:r>
      </w:hyperlink>
    </w:p>
    <w:p w14:paraId="0CE56A56" w14:textId="7BB1424E"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97" w:history="1">
        <w:r w:rsidR="00CE1C22" w:rsidRPr="00351A46">
          <w:rPr>
            <w:rStyle w:val="Hyperlink"/>
            <w:rFonts w:ascii="Times New Roman" w:hAnsi="Times New Roman" w:cs="Times New Roman"/>
            <w:b w:val="0"/>
            <w:noProof/>
            <w:sz w:val="24"/>
            <w:szCs w:val="24"/>
          </w:rPr>
          <w:t>6.5.7. International funding</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_Toc147417597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93</w:t>
        </w:r>
        <w:r w:rsidR="00CE1C22" w:rsidRPr="00351A46">
          <w:rPr>
            <w:rFonts w:ascii="Times New Roman" w:hAnsi="Times New Roman" w:cs="Times New Roman"/>
            <w:b w:val="0"/>
            <w:noProof/>
            <w:webHidden/>
            <w:sz w:val="24"/>
            <w:szCs w:val="24"/>
          </w:rPr>
          <w:fldChar w:fldCharType="end"/>
        </w:r>
      </w:hyperlink>
    </w:p>
    <w:p w14:paraId="582D1B1D" w14:textId="3365DB1B" w:rsidR="00CE1C22" w:rsidRPr="00351A46" w:rsidRDefault="007C7AC3" w:rsidP="00CE1C22">
      <w:pPr>
        <w:pStyle w:val="TOC1"/>
        <w:rPr>
          <w:lang w:val="en-US" w:eastAsia="ja-JP"/>
        </w:rPr>
      </w:pPr>
      <w:hyperlink w:anchor="_Toc147417598" w:history="1">
        <w:r w:rsidR="00CE1C22" w:rsidRPr="00351A46">
          <w:rPr>
            <w:rStyle w:val="Hyperlink"/>
          </w:rPr>
          <w:t>6.6. Information options</w:t>
        </w:r>
        <w:r w:rsidR="00CE1C22" w:rsidRPr="00351A46">
          <w:rPr>
            <w:webHidden/>
          </w:rPr>
          <w:tab/>
        </w:r>
        <w:r w:rsidR="00CE1C22" w:rsidRPr="00351A46">
          <w:rPr>
            <w:webHidden/>
          </w:rPr>
          <w:fldChar w:fldCharType="begin"/>
        </w:r>
        <w:r w:rsidR="00CE1C22" w:rsidRPr="00351A46">
          <w:rPr>
            <w:webHidden/>
          </w:rPr>
          <w:instrText xml:space="preserve"> PAGEREF _Toc147417598 \h </w:instrText>
        </w:r>
        <w:r w:rsidR="00CE1C22" w:rsidRPr="00351A46">
          <w:rPr>
            <w:webHidden/>
          </w:rPr>
        </w:r>
        <w:r w:rsidR="00CE1C22" w:rsidRPr="00351A46">
          <w:rPr>
            <w:webHidden/>
          </w:rPr>
          <w:fldChar w:fldCharType="separate"/>
        </w:r>
        <w:r w:rsidR="00040684">
          <w:rPr>
            <w:webHidden/>
          </w:rPr>
          <w:t>95</w:t>
        </w:r>
        <w:r w:rsidR="00CE1C22" w:rsidRPr="00351A46">
          <w:rPr>
            <w:webHidden/>
          </w:rPr>
          <w:fldChar w:fldCharType="end"/>
        </w:r>
      </w:hyperlink>
    </w:p>
    <w:p w14:paraId="55761860" w14:textId="62BB899E"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599" w:history="1">
        <w:r w:rsidR="00CE1C22" w:rsidRPr="00351A46">
          <w:rPr>
            <w:rStyle w:val="Hyperlink"/>
            <w:rFonts w:ascii="Times New Roman" w:hAnsi="Times New Roman" w:cs="Times New Roman"/>
            <w:b w:val="0"/>
            <w:noProof/>
            <w:sz w:val="24"/>
            <w:szCs w:val="24"/>
          </w:rPr>
          <w:t>6.6.1. Invasive alien species information needs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_Toc147417599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98</w:t>
        </w:r>
        <w:r w:rsidR="00CE1C22" w:rsidRPr="00351A46">
          <w:rPr>
            <w:rFonts w:ascii="Times New Roman" w:hAnsi="Times New Roman" w:cs="Times New Roman"/>
            <w:b w:val="0"/>
            <w:noProof/>
            <w:webHidden/>
            <w:sz w:val="24"/>
            <w:szCs w:val="24"/>
          </w:rPr>
          <w:fldChar w:fldCharType="end"/>
        </w:r>
      </w:hyperlink>
    </w:p>
    <w:p w14:paraId="2E9209D8" w14:textId="19B48EC5"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600" w:history="1">
        <w:r w:rsidR="00CE1C22" w:rsidRPr="00351A46">
          <w:rPr>
            <w:rStyle w:val="Hyperlink"/>
            <w:rFonts w:ascii="Times New Roman" w:hAnsi="Times New Roman" w:cs="Times New Roman"/>
            <w:b w:val="0"/>
            <w:noProof/>
            <w:sz w:val="24"/>
            <w:szCs w:val="24"/>
          </w:rPr>
          <w:t>6.6.2. Options for strengthening the generation and flow of information relevant for policy and management</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_Toc147417600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107</w:t>
        </w:r>
        <w:r w:rsidR="00CE1C22" w:rsidRPr="00351A46">
          <w:rPr>
            <w:rFonts w:ascii="Times New Roman" w:hAnsi="Times New Roman" w:cs="Times New Roman"/>
            <w:b w:val="0"/>
            <w:noProof/>
            <w:webHidden/>
            <w:sz w:val="24"/>
            <w:szCs w:val="24"/>
          </w:rPr>
          <w:fldChar w:fldCharType="end"/>
        </w:r>
      </w:hyperlink>
    </w:p>
    <w:p w14:paraId="33907DAF" w14:textId="78605764"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601" w:history="1">
        <w:r w:rsidR="00CE1C22" w:rsidRPr="00351A46">
          <w:rPr>
            <w:rStyle w:val="Hyperlink"/>
            <w:rFonts w:ascii="Times New Roman" w:hAnsi="Times New Roman" w:cs="Times New Roman"/>
            <w:b w:val="0"/>
            <w:noProof/>
            <w:sz w:val="24"/>
            <w:szCs w:val="24"/>
          </w:rPr>
          <w:t>6.6.3. Tracking and reporting on policy and management effectiveness: indicators, metrics and datasets to support policy.</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_Toc147417601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117</w:t>
        </w:r>
        <w:r w:rsidR="00CE1C22" w:rsidRPr="00351A46">
          <w:rPr>
            <w:rFonts w:ascii="Times New Roman" w:hAnsi="Times New Roman" w:cs="Times New Roman"/>
            <w:b w:val="0"/>
            <w:noProof/>
            <w:webHidden/>
            <w:sz w:val="24"/>
            <w:szCs w:val="24"/>
          </w:rPr>
          <w:fldChar w:fldCharType="end"/>
        </w:r>
      </w:hyperlink>
    </w:p>
    <w:p w14:paraId="493270B9" w14:textId="1B52CCFA" w:rsidR="00CE1C22" w:rsidRPr="00351A46" w:rsidRDefault="007C7AC3" w:rsidP="00CE1C22">
      <w:pPr>
        <w:pStyle w:val="TOC1"/>
        <w:rPr>
          <w:lang w:val="en-US" w:eastAsia="ja-JP"/>
        </w:rPr>
      </w:pPr>
      <w:hyperlink w:anchor="_Toc147417602" w:history="1">
        <w:r w:rsidR="00CE1C22" w:rsidRPr="00351A46">
          <w:rPr>
            <w:rStyle w:val="Hyperlink"/>
          </w:rPr>
          <w:t>6.7. Transformative options for addressing the problem of biological invasions</w:t>
        </w:r>
        <w:r w:rsidR="00CE1C22" w:rsidRPr="00351A46">
          <w:rPr>
            <w:webHidden/>
          </w:rPr>
          <w:tab/>
        </w:r>
        <w:r w:rsidR="00CE1C22" w:rsidRPr="00351A46">
          <w:rPr>
            <w:webHidden/>
          </w:rPr>
          <w:fldChar w:fldCharType="begin"/>
        </w:r>
        <w:r w:rsidR="00CE1C22" w:rsidRPr="00351A46">
          <w:rPr>
            <w:webHidden/>
          </w:rPr>
          <w:instrText xml:space="preserve"> PAGEREF _Toc147417602 \h </w:instrText>
        </w:r>
        <w:r w:rsidR="00CE1C22" w:rsidRPr="00351A46">
          <w:rPr>
            <w:webHidden/>
          </w:rPr>
        </w:r>
        <w:r w:rsidR="00CE1C22" w:rsidRPr="00351A46">
          <w:rPr>
            <w:webHidden/>
          </w:rPr>
          <w:fldChar w:fldCharType="separate"/>
        </w:r>
        <w:r w:rsidR="00040684">
          <w:rPr>
            <w:webHidden/>
          </w:rPr>
          <w:t>123</w:t>
        </w:r>
        <w:r w:rsidR="00CE1C22" w:rsidRPr="00351A46">
          <w:rPr>
            <w:webHidden/>
          </w:rPr>
          <w:fldChar w:fldCharType="end"/>
        </w:r>
      </w:hyperlink>
    </w:p>
    <w:p w14:paraId="2F1B545B" w14:textId="2BCB6D25"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603" w:history="1">
        <w:r w:rsidR="00CE1C22" w:rsidRPr="00351A46">
          <w:rPr>
            <w:rStyle w:val="Hyperlink"/>
            <w:rFonts w:ascii="Times New Roman" w:hAnsi="Times New Roman" w:cs="Times New Roman"/>
            <w:b w:val="0"/>
            <w:noProof/>
            <w:sz w:val="24"/>
            <w:szCs w:val="24"/>
          </w:rPr>
          <w:t>6.7.1. Integrated governance can bring about transformative change that improves the management of biological invasions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_Toc147417603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123</w:t>
        </w:r>
        <w:r w:rsidR="00CE1C22" w:rsidRPr="00351A46">
          <w:rPr>
            <w:rFonts w:ascii="Times New Roman" w:hAnsi="Times New Roman" w:cs="Times New Roman"/>
            <w:b w:val="0"/>
            <w:noProof/>
            <w:webHidden/>
            <w:sz w:val="24"/>
            <w:szCs w:val="24"/>
          </w:rPr>
          <w:fldChar w:fldCharType="end"/>
        </w:r>
      </w:hyperlink>
    </w:p>
    <w:p w14:paraId="467FF728" w14:textId="2CB55352"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604" w:history="1">
        <w:r w:rsidR="00CE1C22" w:rsidRPr="00351A46">
          <w:rPr>
            <w:rStyle w:val="Hyperlink"/>
            <w:rFonts w:ascii="Times New Roman" w:hAnsi="Times New Roman" w:cs="Times New Roman"/>
            <w:b w:val="0"/>
            <w:noProof/>
            <w:sz w:val="24"/>
            <w:szCs w:val="24"/>
          </w:rPr>
          <w:t>6.7.2. Strategic actions</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_Toc147417604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126</w:t>
        </w:r>
        <w:r w:rsidR="00CE1C22" w:rsidRPr="00351A46">
          <w:rPr>
            <w:rFonts w:ascii="Times New Roman" w:hAnsi="Times New Roman" w:cs="Times New Roman"/>
            <w:b w:val="0"/>
            <w:noProof/>
            <w:webHidden/>
            <w:sz w:val="24"/>
            <w:szCs w:val="24"/>
          </w:rPr>
          <w:fldChar w:fldCharType="end"/>
        </w:r>
      </w:hyperlink>
    </w:p>
    <w:p w14:paraId="36399A0A" w14:textId="38764CD6"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605" w:history="1">
        <w:r w:rsidR="00CE1C22" w:rsidRPr="00351A46">
          <w:rPr>
            <w:rStyle w:val="Hyperlink"/>
            <w:rFonts w:ascii="Times New Roman" w:hAnsi="Times New Roman" w:cs="Times New Roman"/>
            <w:b w:val="0"/>
            <w:noProof/>
            <w:sz w:val="24"/>
            <w:szCs w:val="24"/>
          </w:rPr>
          <w:t>6.7.3. Promoting a conducive environment and enabling conditions for integrated governance and transformative change</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_Toc147417605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133</w:t>
        </w:r>
        <w:r w:rsidR="00CE1C22" w:rsidRPr="00351A46">
          <w:rPr>
            <w:rFonts w:ascii="Times New Roman" w:hAnsi="Times New Roman" w:cs="Times New Roman"/>
            <w:b w:val="0"/>
            <w:noProof/>
            <w:webHidden/>
            <w:sz w:val="24"/>
            <w:szCs w:val="24"/>
          </w:rPr>
          <w:fldChar w:fldCharType="end"/>
        </w:r>
      </w:hyperlink>
    </w:p>
    <w:p w14:paraId="5AD749AC" w14:textId="7424B19E" w:rsidR="00CE1C22" w:rsidRPr="00351A46" w:rsidRDefault="007C7AC3" w:rsidP="00CE1C22">
      <w:pPr>
        <w:pStyle w:val="TOC2"/>
        <w:tabs>
          <w:tab w:val="right" w:leader="dot" w:pos="9614"/>
        </w:tabs>
        <w:spacing w:before="0"/>
        <w:contextualSpacing/>
        <w:rPr>
          <w:rFonts w:ascii="Times New Roman" w:hAnsi="Times New Roman" w:cs="Times New Roman"/>
          <w:b w:val="0"/>
          <w:noProof/>
          <w:sz w:val="24"/>
          <w:szCs w:val="24"/>
          <w:lang w:val="en-US" w:eastAsia="ja-JP"/>
        </w:rPr>
      </w:pPr>
      <w:hyperlink w:anchor="_Toc147417606" w:history="1">
        <w:r w:rsidR="00CE1C22" w:rsidRPr="00351A46">
          <w:rPr>
            <w:rStyle w:val="Hyperlink"/>
            <w:rFonts w:ascii="Times New Roman" w:hAnsi="Times New Roman" w:cs="Times New Roman"/>
            <w:b w:val="0"/>
            <w:noProof/>
            <w:sz w:val="24"/>
            <w:szCs w:val="24"/>
          </w:rPr>
          <w:t>6.7.4. Conclusion</w:t>
        </w:r>
        <w:r w:rsidR="00CE1C22" w:rsidRPr="00351A46">
          <w:rPr>
            <w:rFonts w:ascii="Times New Roman" w:hAnsi="Times New Roman" w:cs="Times New Roman"/>
            <w:b w:val="0"/>
            <w:noProof/>
            <w:webHidden/>
            <w:sz w:val="24"/>
            <w:szCs w:val="24"/>
          </w:rPr>
          <w:tab/>
        </w:r>
        <w:r w:rsidR="00CE1C22" w:rsidRPr="00351A46">
          <w:rPr>
            <w:rFonts w:ascii="Times New Roman" w:hAnsi="Times New Roman" w:cs="Times New Roman"/>
            <w:b w:val="0"/>
            <w:noProof/>
            <w:webHidden/>
            <w:sz w:val="24"/>
            <w:szCs w:val="24"/>
          </w:rPr>
          <w:fldChar w:fldCharType="begin"/>
        </w:r>
        <w:r w:rsidR="00CE1C22" w:rsidRPr="00351A46">
          <w:rPr>
            <w:rFonts w:ascii="Times New Roman" w:hAnsi="Times New Roman" w:cs="Times New Roman"/>
            <w:b w:val="0"/>
            <w:noProof/>
            <w:webHidden/>
            <w:sz w:val="24"/>
            <w:szCs w:val="24"/>
          </w:rPr>
          <w:instrText xml:space="preserve"> PAGEREF _Toc147417606 \h </w:instrText>
        </w:r>
        <w:r w:rsidR="00CE1C22" w:rsidRPr="00351A46">
          <w:rPr>
            <w:rFonts w:ascii="Times New Roman" w:hAnsi="Times New Roman" w:cs="Times New Roman"/>
            <w:b w:val="0"/>
            <w:noProof/>
            <w:webHidden/>
            <w:sz w:val="24"/>
            <w:szCs w:val="24"/>
          </w:rPr>
        </w:r>
        <w:r w:rsidR="00CE1C22" w:rsidRPr="00351A46">
          <w:rPr>
            <w:rFonts w:ascii="Times New Roman" w:hAnsi="Times New Roman" w:cs="Times New Roman"/>
            <w:b w:val="0"/>
            <w:noProof/>
            <w:webHidden/>
            <w:sz w:val="24"/>
            <w:szCs w:val="24"/>
          </w:rPr>
          <w:fldChar w:fldCharType="separate"/>
        </w:r>
        <w:r w:rsidR="00040684">
          <w:rPr>
            <w:rFonts w:ascii="Times New Roman" w:hAnsi="Times New Roman" w:cs="Times New Roman"/>
            <w:b w:val="0"/>
            <w:noProof/>
            <w:webHidden/>
            <w:sz w:val="24"/>
            <w:szCs w:val="24"/>
          </w:rPr>
          <w:t>135</w:t>
        </w:r>
        <w:r w:rsidR="00CE1C22" w:rsidRPr="00351A46">
          <w:rPr>
            <w:rFonts w:ascii="Times New Roman" w:hAnsi="Times New Roman" w:cs="Times New Roman"/>
            <w:b w:val="0"/>
            <w:noProof/>
            <w:webHidden/>
            <w:sz w:val="24"/>
            <w:szCs w:val="24"/>
          </w:rPr>
          <w:fldChar w:fldCharType="end"/>
        </w:r>
      </w:hyperlink>
    </w:p>
    <w:p w14:paraId="103235BC" w14:textId="507B5BDC" w:rsidR="00CE1C22" w:rsidRPr="00351A46" w:rsidRDefault="007C7AC3" w:rsidP="00CE1C22">
      <w:pPr>
        <w:pStyle w:val="TOC1"/>
        <w:rPr>
          <w:lang w:val="en-US" w:eastAsia="ja-JP"/>
        </w:rPr>
      </w:pPr>
      <w:hyperlink w:anchor="_Toc147417607" w:history="1">
        <w:r w:rsidR="00CE1C22" w:rsidRPr="00351A46">
          <w:rPr>
            <w:rStyle w:val="Hyperlink"/>
          </w:rPr>
          <w:t>References</w:t>
        </w:r>
        <w:r w:rsidR="00CE1C22" w:rsidRPr="00351A46">
          <w:rPr>
            <w:webHidden/>
          </w:rPr>
          <w:tab/>
        </w:r>
        <w:r w:rsidR="00CE1C22" w:rsidRPr="00351A46">
          <w:rPr>
            <w:webHidden/>
          </w:rPr>
          <w:fldChar w:fldCharType="begin"/>
        </w:r>
        <w:r w:rsidR="00CE1C22" w:rsidRPr="00351A46">
          <w:rPr>
            <w:webHidden/>
          </w:rPr>
          <w:instrText xml:space="preserve"> PAGEREF _Toc147417607 \h </w:instrText>
        </w:r>
        <w:r w:rsidR="00CE1C22" w:rsidRPr="00351A46">
          <w:rPr>
            <w:webHidden/>
          </w:rPr>
        </w:r>
        <w:r w:rsidR="00CE1C22" w:rsidRPr="00351A46">
          <w:rPr>
            <w:webHidden/>
          </w:rPr>
          <w:fldChar w:fldCharType="separate"/>
        </w:r>
        <w:r w:rsidR="00040684">
          <w:rPr>
            <w:webHidden/>
          </w:rPr>
          <w:t>136</w:t>
        </w:r>
        <w:r w:rsidR="00CE1C22" w:rsidRPr="00351A46">
          <w:rPr>
            <w:webHidden/>
          </w:rPr>
          <w:fldChar w:fldCharType="end"/>
        </w:r>
      </w:hyperlink>
    </w:p>
    <w:p w14:paraId="0E8F58B9" w14:textId="77777777" w:rsidR="00C53EDD" w:rsidRDefault="00424818" w:rsidP="003A6953">
      <w:pPr>
        <w:contextualSpacing/>
        <w:rPr>
          <w:sz w:val="36"/>
        </w:rPr>
      </w:pPr>
      <w:r w:rsidRPr="00C12647">
        <w:rPr>
          <w:sz w:val="36"/>
        </w:rPr>
        <w:fldChar w:fldCharType="end"/>
      </w:r>
    </w:p>
    <w:p w14:paraId="1D26AFEB" w14:textId="77777777" w:rsidR="00C53EDD" w:rsidRDefault="00C53EDD" w:rsidP="003A6953">
      <w:pPr>
        <w:contextualSpacing/>
        <w:rPr>
          <w:sz w:val="36"/>
        </w:rPr>
      </w:pPr>
    </w:p>
    <w:p w14:paraId="087F7856" w14:textId="26EAEA2E" w:rsidR="00017C04" w:rsidRDefault="00F50AF9" w:rsidP="003A6953">
      <w:pPr>
        <w:contextualSpacing/>
        <w:rPr>
          <w:b/>
          <w:sz w:val="36"/>
          <w:szCs w:val="36"/>
        </w:rPr>
      </w:pPr>
      <w:r>
        <w:rPr>
          <w:b/>
          <w:sz w:val="36"/>
          <w:szCs w:val="36"/>
        </w:rPr>
        <w:lastRenderedPageBreak/>
        <w:t>List of figures</w:t>
      </w:r>
    </w:p>
    <w:p w14:paraId="5AF00523" w14:textId="736C65A4" w:rsidR="00943D3C" w:rsidRPr="00943D3C" w:rsidRDefault="008F3E12" w:rsidP="00943D3C">
      <w:pPr>
        <w:pStyle w:val="TableofFigures"/>
        <w:tabs>
          <w:tab w:val="right" w:leader="dot" w:pos="9614"/>
        </w:tabs>
        <w:spacing w:before="0" w:after="0"/>
        <w:contextualSpacing/>
        <w:rPr>
          <w:rFonts w:asciiTheme="minorHAnsi" w:hAnsiTheme="minorHAnsi" w:cstheme="minorBidi"/>
          <w:b/>
          <w:bCs w:val="0"/>
          <w:noProof/>
          <w:lang w:val="en-US" w:eastAsia="ja-JP"/>
        </w:rPr>
      </w:pPr>
      <w:r w:rsidRPr="00A9434B">
        <w:rPr>
          <w:b/>
        </w:rPr>
        <w:fldChar w:fldCharType="begin"/>
      </w:r>
      <w:r w:rsidRPr="00A9434B">
        <w:rPr>
          <w:b/>
        </w:rPr>
        <w:instrText xml:space="preserve"> TOC \h \z \c "Figure 6." </w:instrText>
      </w:r>
      <w:r w:rsidRPr="00A9434B">
        <w:rPr>
          <w:b/>
        </w:rPr>
        <w:fldChar w:fldCharType="separate"/>
      </w:r>
      <w:hyperlink w:anchor="_Toc147418296" w:history="1">
        <w:r w:rsidR="00943D3C" w:rsidRPr="00943D3C">
          <w:rPr>
            <w:rStyle w:val="Hyperlink"/>
            <w:b/>
            <w:bCs w:val="0"/>
            <w:noProof/>
          </w:rPr>
          <w:t>Figure 6.1.</w:t>
        </w:r>
        <w:r w:rsidR="00943D3C" w:rsidRPr="00943D3C">
          <w:rPr>
            <w:rStyle w:val="Hyperlink"/>
            <w:noProof/>
          </w:rPr>
          <w:t xml:space="preserve"> Framework for governance and policy response options and how they relate to nature, nature’s contributions to people</w:t>
        </w:r>
        <w:r w:rsidR="00FE09D6">
          <w:rPr>
            <w:rStyle w:val="Hyperlink"/>
            <w:noProof/>
          </w:rPr>
          <w:t xml:space="preserve"> and</w:t>
        </w:r>
        <w:r w:rsidR="00943D3C" w:rsidRPr="00943D3C">
          <w:rPr>
            <w:rStyle w:val="Hyperlink"/>
            <w:noProof/>
          </w:rPr>
          <w:t xml:space="preserve"> good quality of life</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_Toc147418296 \h </w:instrText>
        </w:r>
        <w:r w:rsidR="00943D3C" w:rsidRPr="00943D3C">
          <w:rPr>
            <w:noProof/>
            <w:webHidden/>
          </w:rPr>
        </w:r>
        <w:r w:rsidR="00943D3C" w:rsidRPr="00943D3C">
          <w:rPr>
            <w:noProof/>
            <w:webHidden/>
          </w:rPr>
          <w:fldChar w:fldCharType="separate"/>
        </w:r>
        <w:r w:rsidR="00040684">
          <w:rPr>
            <w:noProof/>
            <w:webHidden/>
          </w:rPr>
          <w:t>7</w:t>
        </w:r>
        <w:r w:rsidR="00943D3C" w:rsidRPr="00943D3C">
          <w:rPr>
            <w:noProof/>
            <w:webHidden/>
          </w:rPr>
          <w:fldChar w:fldCharType="end"/>
        </w:r>
      </w:hyperlink>
    </w:p>
    <w:p w14:paraId="4501F924" w14:textId="417EDDE7"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297" w:history="1">
        <w:r w:rsidR="00943D3C" w:rsidRPr="00943D3C">
          <w:rPr>
            <w:rStyle w:val="Hyperlink"/>
            <w:b/>
            <w:bCs w:val="0"/>
            <w:noProof/>
          </w:rPr>
          <w:t>Figure 6.2.</w:t>
        </w:r>
        <w:r w:rsidR="00943D3C" w:rsidRPr="00943D3C">
          <w:rPr>
            <w:rStyle w:val="Hyperlink"/>
            <w:noProof/>
          </w:rPr>
          <w:t xml:space="preserve"> Percentage of countries (y axis) signatory to eight multilateral agreements relevant to the prevention and control of invasive alien species (x axis)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_Toc147418297 \h </w:instrText>
        </w:r>
        <w:r w:rsidR="00943D3C" w:rsidRPr="00943D3C">
          <w:rPr>
            <w:noProof/>
            <w:webHidden/>
          </w:rPr>
        </w:r>
        <w:r w:rsidR="00943D3C" w:rsidRPr="00943D3C">
          <w:rPr>
            <w:noProof/>
            <w:webHidden/>
          </w:rPr>
          <w:fldChar w:fldCharType="separate"/>
        </w:r>
        <w:r w:rsidR="00040684">
          <w:rPr>
            <w:noProof/>
            <w:webHidden/>
          </w:rPr>
          <w:t>15</w:t>
        </w:r>
        <w:r w:rsidR="00943D3C" w:rsidRPr="00943D3C">
          <w:rPr>
            <w:noProof/>
            <w:webHidden/>
          </w:rPr>
          <w:fldChar w:fldCharType="end"/>
        </w:r>
      </w:hyperlink>
    </w:p>
    <w:p w14:paraId="77BFA35B" w14:textId="05A62ACC"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298" w:history="1">
        <w:r w:rsidR="00943D3C" w:rsidRPr="00943D3C">
          <w:rPr>
            <w:rStyle w:val="Hyperlink"/>
            <w:b/>
            <w:bCs w:val="0"/>
            <w:noProof/>
          </w:rPr>
          <w:t xml:space="preserve">Figure 6.3. </w:t>
        </w:r>
        <w:r w:rsidR="00943D3C" w:rsidRPr="00943D3C">
          <w:rPr>
            <w:rStyle w:val="Hyperlink"/>
            <w:noProof/>
          </w:rPr>
          <w:t>Adoption of national legislation relevant to the prevention and/or control of invasive alien species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_Toc147418298 \h </w:instrText>
        </w:r>
        <w:r w:rsidR="00943D3C" w:rsidRPr="00943D3C">
          <w:rPr>
            <w:noProof/>
            <w:webHidden/>
          </w:rPr>
        </w:r>
        <w:r w:rsidR="00943D3C" w:rsidRPr="00943D3C">
          <w:rPr>
            <w:noProof/>
            <w:webHidden/>
          </w:rPr>
          <w:fldChar w:fldCharType="separate"/>
        </w:r>
        <w:r w:rsidR="00040684">
          <w:rPr>
            <w:noProof/>
            <w:webHidden/>
          </w:rPr>
          <w:t>16</w:t>
        </w:r>
        <w:r w:rsidR="00943D3C" w:rsidRPr="00943D3C">
          <w:rPr>
            <w:noProof/>
            <w:webHidden/>
          </w:rPr>
          <w:fldChar w:fldCharType="end"/>
        </w:r>
      </w:hyperlink>
    </w:p>
    <w:p w14:paraId="0DEACCA1" w14:textId="43B422C1"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299" w:history="1">
        <w:r w:rsidR="00943D3C" w:rsidRPr="00943D3C">
          <w:rPr>
            <w:rStyle w:val="Hyperlink"/>
            <w:b/>
            <w:bCs w:val="0"/>
            <w:noProof/>
          </w:rPr>
          <w:t xml:space="preserve">Figure 6.4. </w:t>
        </w:r>
        <w:r w:rsidR="00943D3C" w:rsidRPr="00943D3C">
          <w:rPr>
            <w:rStyle w:val="Hyperlink"/>
            <w:noProof/>
          </w:rPr>
          <w:t>Allocation of financial resources to the prevention and control of invasive alien species, including both national and global financial mechanisms.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_Toc147418299 \h </w:instrText>
        </w:r>
        <w:r w:rsidR="00943D3C" w:rsidRPr="00943D3C">
          <w:rPr>
            <w:noProof/>
            <w:webHidden/>
          </w:rPr>
        </w:r>
        <w:r w:rsidR="00943D3C" w:rsidRPr="00943D3C">
          <w:rPr>
            <w:noProof/>
            <w:webHidden/>
          </w:rPr>
          <w:fldChar w:fldCharType="separate"/>
        </w:r>
        <w:r w:rsidR="00040684">
          <w:rPr>
            <w:noProof/>
            <w:webHidden/>
          </w:rPr>
          <w:t>17</w:t>
        </w:r>
        <w:r w:rsidR="00943D3C" w:rsidRPr="00943D3C">
          <w:rPr>
            <w:noProof/>
            <w:webHidden/>
          </w:rPr>
          <w:fldChar w:fldCharType="end"/>
        </w:r>
      </w:hyperlink>
    </w:p>
    <w:p w14:paraId="03B8E5A1" w14:textId="5A0A42D9"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300" w:history="1">
        <w:r w:rsidR="00943D3C" w:rsidRPr="00497985">
          <w:rPr>
            <w:rStyle w:val="Hyperlink"/>
            <w:b/>
            <w:noProof/>
          </w:rPr>
          <w:t>Figure 6.5.</w:t>
        </w:r>
        <w:r w:rsidR="00943D3C" w:rsidRPr="00497985">
          <w:rPr>
            <w:rStyle w:val="Hyperlink"/>
            <w:noProof/>
          </w:rPr>
          <w:t xml:space="preserve"> Percentage of countries (y axis) per IPBES region that have accessed different funding sources (x axis) for invasive alien species prevention and control</w:t>
        </w:r>
        <w:r w:rsidR="00943D3C" w:rsidRPr="00497985">
          <w:rPr>
            <w:rStyle w:val="Hyperlink"/>
            <w:noProof/>
            <w:lang w:val="da-DK"/>
          </w:rPr>
          <w:t>.</w:t>
        </w:r>
        <w:r w:rsidR="00943D3C">
          <w:rPr>
            <w:noProof/>
            <w:webHidden/>
          </w:rPr>
          <w:tab/>
        </w:r>
        <w:r w:rsidR="00943D3C">
          <w:rPr>
            <w:noProof/>
            <w:webHidden/>
          </w:rPr>
          <w:fldChar w:fldCharType="begin"/>
        </w:r>
        <w:r w:rsidR="00943D3C">
          <w:rPr>
            <w:noProof/>
            <w:webHidden/>
          </w:rPr>
          <w:instrText xml:space="preserve"> PAGEREF _Toc147418300 \h </w:instrText>
        </w:r>
        <w:r w:rsidR="00943D3C">
          <w:rPr>
            <w:noProof/>
            <w:webHidden/>
          </w:rPr>
        </w:r>
        <w:r w:rsidR="00943D3C">
          <w:rPr>
            <w:noProof/>
            <w:webHidden/>
          </w:rPr>
          <w:fldChar w:fldCharType="separate"/>
        </w:r>
        <w:r w:rsidR="00040684">
          <w:rPr>
            <w:noProof/>
            <w:webHidden/>
          </w:rPr>
          <w:t>18</w:t>
        </w:r>
        <w:r w:rsidR="00943D3C">
          <w:rPr>
            <w:noProof/>
            <w:webHidden/>
          </w:rPr>
          <w:fldChar w:fldCharType="end"/>
        </w:r>
      </w:hyperlink>
    </w:p>
    <w:p w14:paraId="674DFA3F" w14:textId="4CFACBEB"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301" w:history="1">
        <w:r w:rsidR="00943D3C" w:rsidRPr="00497985">
          <w:rPr>
            <w:rStyle w:val="Hyperlink"/>
            <w:b/>
            <w:noProof/>
          </w:rPr>
          <w:t>Figure 6.6.</w:t>
        </w:r>
        <w:r w:rsidR="00943D3C" w:rsidRPr="00497985">
          <w:rPr>
            <w:rStyle w:val="Hyperlink"/>
            <w:noProof/>
          </w:rPr>
          <w:t xml:space="preserve"> Driver-Pressure-State-Response (DPSR) framework for invasive alien species in the Antarctic context</w:t>
        </w:r>
        <w:r w:rsidR="00943D3C" w:rsidRPr="00497985">
          <w:rPr>
            <w:rStyle w:val="Hyperlink"/>
            <w:i/>
            <w:noProof/>
          </w:rPr>
          <w:t>.</w:t>
        </w:r>
        <w:r w:rsidR="00943D3C">
          <w:rPr>
            <w:noProof/>
            <w:webHidden/>
          </w:rPr>
          <w:tab/>
        </w:r>
        <w:r w:rsidR="00943D3C">
          <w:rPr>
            <w:noProof/>
            <w:webHidden/>
          </w:rPr>
          <w:fldChar w:fldCharType="begin"/>
        </w:r>
        <w:r w:rsidR="00943D3C">
          <w:rPr>
            <w:noProof/>
            <w:webHidden/>
          </w:rPr>
          <w:instrText xml:space="preserve"> PAGEREF _Toc147418301 \h </w:instrText>
        </w:r>
        <w:r w:rsidR="00943D3C">
          <w:rPr>
            <w:noProof/>
            <w:webHidden/>
          </w:rPr>
        </w:r>
        <w:r w:rsidR="00943D3C">
          <w:rPr>
            <w:noProof/>
            <w:webHidden/>
          </w:rPr>
          <w:fldChar w:fldCharType="separate"/>
        </w:r>
        <w:r w:rsidR="00040684">
          <w:rPr>
            <w:noProof/>
            <w:webHidden/>
          </w:rPr>
          <w:t>21</w:t>
        </w:r>
        <w:r w:rsidR="00943D3C">
          <w:rPr>
            <w:noProof/>
            <w:webHidden/>
          </w:rPr>
          <w:fldChar w:fldCharType="end"/>
        </w:r>
      </w:hyperlink>
    </w:p>
    <w:p w14:paraId="35863BE6" w14:textId="3BA6A425"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302" w:history="1">
        <w:r w:rsidR="00943D3C" w:rsidRPr="00497985">
          <w:rPr>
            <w:rStyle w:val="Hyperlink"/>
            <w:b/>
            <w:noProof/>
          </w:rPr>
          <w:t xml:space="preserve">Figure 6.7. </w:t>
        </w:r>
        <w:r w:rsidR="00943D3C" w:rsidRPr="00497985">
          <w:rPr>
            <w:rStyle w:val="Hyperlink"/>
            <w:noProof/>
          </w:rPr>
          <w:t>The complex socioecological system characterizing biological invasions.</w:t>
        </w:r>
        <w:r w:rsidR="00943D3C">
          <w:rPr>
            <w:noProof/>
            <w:webHidden/>
          </w:rPr>
          <w:tab/>
        </w:r>
        <w:r w:rsidR="00943D3C">
          <w:rPr>
            <w:noProof/>
            <w:webHidden/>
          </w:rPr>
          <w:fldChar w:fldCharType="begin"/>
        </w:r>
        <w:r w:rsidR="00943D3C">
          <w:rPr>
            <w:noProof/>
            <w:webHidden/>
          </w:rPr>
          <w:instrText xml:space="preserve"> PAGEREF _Toc147418302 \h </w:instrText>
        </w:r>
        <w:r w:rsidR="00943D3C">
          <w:rPr>
            <w:noProof/>
            <w:webHidden/>
          </w:rPr>
        </w:r>
        <w:r w:rsidR="00943D3C">
          <w:rPr>
            <w:noProof/>
            <w:webHidden/>
          </w:rPr>
          <w:fldChar w:fldCharType="separate"/>
        </w:r>
        <w:r w:rsidR="00040684">
          <w:rPr>
            <w:noProof/>
            <w:webHidden/>
          </w:rPr>
          <w:t>23</w:t>
        </w:r>
        <w:r w:rsidR="00943D3C">
          <w:rPr>
            <w:noProof/>
            <w:webHidden/>
          </w:rPr>
          <w:fldChar w:fldCharType="end"/>
        </w:r>
      </w:hyperlink>
    </w:p>
    <w:p w14:paraId="79B4A770" w14:textId="084DD3BA"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303" w:history="1">
        <w:r w:rsidR="00943D3C" w:rsidRPr="00943D3C">
          <w:rPr>
            <w:rStyle w:val="Hyperlink"/>
            <w:b/>
            <w:bCs w:val="0"/>
            <w:noProof/>
          </w:rPr>
          <w:t>Figure 6.8.</w:t>
        </w:r>
        <w:r w:rsidR="00943D3C" w:rsidRPr="00943D3C">
          <w:rPr>
            <w:rStyle w:val="Hyperlink"/>
            <w:b/>
            <w:bCs w:val="0"/>
            <w:iCs/>
            <w:noProof/>
          </w:rPr>
          <w:t xml:space="preserve"> </w:t>
        </w:r>
        <w:r w:rsidR="00943D3C" w:rsidRPr="00943D3C">
          <w:rPr>
            <w:rStyle w:val="Hyperlink"/>
            <w:iCs/>
            <w:noProof/>
          </w:rPr>
          <w:t>An example of the many relevant stakeholders for managing biological invasions from the Ebro River, Spain</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_Toc147418303 \h </w:instrText>
        </w:r>
        <w:r w:rsidR="00943D3C" w:rsidRPr="00943D3C">
          <w:rPr>
            <w:noProof/>
            <w:webHidden/>
          </w:rPr>
        </w:r>
        <w:r w:rsidR="00943D3C" w:rsidRPr="00943D3C">
          <w:rPr>
            <w:noProof/>
            <w:webHidden/>
          </w:rPr>
          <w:fldChar w:fldCharType="separate"/>
        </w:r>
        <w:r w:rsidR="00040684">
          <w:rPr>
            <w:noProof/>
            <w:webHidden/>
          </w:rPr>
          <w:t>25</w:t>
        </w:r>
        <w:r w:rsidR="00943D3C" w:rsidRPr="00943D3C">
          <w:rPr>
            <w:noProof/>
            <w:webHidden/>
          </w:rPr>
          <w:fldChar w:fldCharType="end"/>
        </w:r>
      </w:hyperlink>
    </w:p>
    <w:p w14:paraId="22887F6E" w14:textId="60A52E50"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304" w:history="1">
        <w:r w:rsidR="00943D3C" w:rsidRPr="00943D3C">
          <w:rPr>
            <w:rStyle w:val="Hyperlink"/>
            <w:b/>
            <w:bCs w:val="0"/>
            <w:noProof/>
          </w:rPr>
          <w:t>Figure 6.9.</w:t>
        </w:r>
        <w:r w:rsidR="00943D3C" w:rsidRPr="00943D3C">
          <w:rPr>
            <w:rStyle w:val="Hyperlink"/>
            <w:noProof/>
          </w:rPr>
          <w:t xml:space="preserve"> </w:t>
        </w:r>
        <w:r w:rsidR="00943D3C" w:rsidRPr="00943D3C">
          <w:rPr>
            <w:rStyle w:val="Hyperlink"/>
            <w:i/>
            <w:noProof/>
          </w:rPr>
          <w:t xml:space="preserve">Mimosa pigra </w:t>
        </w:r>
        <w:r w:rsidR="00943D3C" w:rsidRPr="00943D3C">
          <w:rPr>
            <w:rStyle w:val="Hyperlink"/>
            <w:noProof/>
          </w:rPr>
          <w:t>(giant sensitive plant) in Zambia.</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_Toc147418304 \h </w:instrText>
        </w:r>
        <w:r w:rsidR="00943D3C" w:rsidRPr="00943D3C">
          <w:rPr>
            <w:noProof/>
            <w:webHidden/>
          </w:rPr>
        </w:r>
        <w:r w:rsidR="00943D3C" w:rsidRPr="00943D3C">
          <w:rPr>
            <w:noProof/>
            <w:webHidden/>
          </w:rPr>
          <w:fldChar w:fldCharType="separate"/>
        </w:r>
        <w:r w:rsidR="00040684">
          <w:rPr>
            <w:noProof/>
            <w:webHidden/>
          </w:rPr>
          <w:t>28</w:t>
        </w:r>
        <w:r w:rsidR="00943D3C" w:rsidRPr="00943D3C">
          <w:rPr>
            <w:noProof/>
            <w:webHidden/>
          </w:rPr>
          <w:fldChar w:fldCharType="end"/>
        </w:r>
      </w:hyperlink>
    </w:p>
    <w:p w14:paraId="698D6FA8" w14:textId="0BB8B3A5" w:rsidR="00943D3C" w:rsidRPr="001523EB" w:rsidRDefault="000334B6" w:rsidP="001D3AFC">
      <w:pPr>
        <w:pStyle w:val="TableofFigures"/>
        <w:tabs>
          <w:tab w:val="right" w:leader="dot" w:pos="9614"/>
        </w:tabs>
        <w:spacing w:before="0" w:after="0"/>
        <w:contextualSpacing/>
        <w:rPr>
          <w:noProof/>
          <w:color w:val="0563C1" w:themeColor="hyperlink"/>
          <w:u w:val="single"/>
        </w:rPr>
      </w:pPr>
      <w:hyperlink w:anchor="_Toc147418305" w:history="1">
        <w:r w:rsidR="00943D3C" w:rsidRPr="00943D3C">
          <w:rPr>
            <w:rStyle w:val="Hyperlink"/>
            <w:b/>
            <w:bCs w:val="0"/>
            <w:noProof/>
          </w:rPr>
          <w:t xml:space="preserve">Figure 6.10. </w:t>
        </w:r>
        <w:r w:rsidR="00943D3C" w:rsidRPr="00943D3C">
          <w:rPr>
            <w:rStyle w:val="Hyperlink"/>
            <w:noProof/>
          </w:rPr>
          <w:t>A conceptual diagram of the links between different types of invasive alien species, human, animal, plant</w:t>
        </w:r>
        <w:r w:rsidR="00FE09D6">
          <w:rPr>
            <w:rStyle w:val="Hyperlink"/>
            <w:noProof/>
          </w:rPr>
          <w:t xml:space="preserve"> and</w:t>
        </w:r>
        <w:r w:rsidR="00943D3C" w:rsidRPr="00943D3C">
          <w:rPr>
            <w:rStyle w:val="Hyperlink"/>
            <w:noProof/>
          </w:rPr>
          <w:t xml:space="preserve"> environmental health that arise from the impacts of invasive alien plants, animals</w:t>
        </w:r>
        <w:r w:rsidR="00896CEC">
          <w:rPr>
            <w:rStyle w:val="Hyperlink"/>
            <w:noProof/>
          </w:rPr>
          <w:t xml:space="preserve"> and</w:t>
        </w:r>
        <w:r w:rsidR="00943D3C" w:rsidRPr="00943D3C">
          <w:rPr>
            <w:rStyle w:val="Hyperlink"/>
            <w:noProof/>
          </w:rPr>
          <w:t xml:space="preserve"> pathogens</w:t>
        </w:r>
        <w:r w:rsidR="001D3AFC" w:rsidRPr="001D3AFC">
          <w:rPr>
            <w:rStyle w:val="Hyperlink"/>
            <w:noProof/>
          </w:rPr>
          <w:t>, as described by the</w:t>
        </w:r>
        <w:r w:rsidR="001D3AFC">
          <w:rPr>
            <w:rStyle w:val="Hyperlink"/>
            <w:noProof/>
          </w:rPr>
          <w:t xml:space="preserve"> </w:t>
        </w:r>
        <w:r w:rsidR="001D3AFC" w:rsidRPr="001D3AFC">
          <w:rPr>
            <w:rStyle w:val="Hyperlink"/>
            <w:noProof/>
          </w:rPr>
          <w:t>One Biosecurity approach (Hulme, 2020).</w:t>
        </w:r>
        <w:r w:rsidR="00943D3C" w:rsidRPr="00943D3C">
          <w:rPr>
            <w:rStyle w:val="Hyperlink"/>
            <w:noProof/>
          </w:rPr>
          <w:t>.</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_Toc147418305 \h </w:instrText>
        </w:r>
        <w:r w:rsidR="00943D3C" w:rsidRPr="00943D3C">
          <w:rPr>
            <w:noProof/>
            <w:webHidden/>
          </w:rPr>
        </w:r>
        <w:r w:rsidR="00943D3C" w:rsidRPr="00943D3C">
          <w:rPr>
            <w:noProof/>
            <w:webHidden/>
          </w:rPr>
          <w:fldChar w:fldCharType="separate"/>
        </w:r>
        <w:r w:rsidR="00040684">
          <w:rPr>
            <w:noProof/>
            <w:webHidden/>
          </w:rPr>
          <w:t>44</w:t>
        </w:r>
        <w:r w:rsidR="00943D3C" w:rsidRPr="00943D3C">
          <w:rPr>
            <w:noProof/>
            <w:webHidden/>
          </w:rPr>
          <w:fldChar w:fldCharType="end"/>
        </w:r>
      </w:hyperlink>
    </w:p>
    <w:p w14:paraId="720171EB" w14:textId="5892ED36"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306" w:history="1">
        <w:r w:rsidR="00943D3C" w:rsidRPr="00943D3C">
          <w:rPr>
            <w:rStyle w:val="Hyperlink"/>
            <w:b/>
            <w:bCs w:val="0"/>
            <w:noProof/>
          </w:rPr>
          <w:t>Figure 6.11.</w:t>
        </w:r>
        <w:r w:rsidR="00943D3C" w:rsidRPr="00943D3C">
          <w:rPr>
            <w:rStyle w:val="Hyperlink"/>
            <w:noProof/>
          </w:rPr>
          <w:t xml:space="preserve"> Examples of perverse incentives where actions aimed at promoting an activity fail to take into account the existence of environmental externalities.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_Toc147418306 \h </w:instrText>
        </w:r>
        <w:r w:rsidR="00943D3C" w:rsidRPr="00943D3C">
          <w:rPr>
            <w:noProof/>
            <w:webHidden/>
          </w:rPr>
        </w:r>
        <w:r w:rsidR="00943D3C" w:rsidRPr="00943D3C">
          <w:rPr>
            <w:noProof/>
            <w:webHidden/>
          </w:rPr>
          <w:fldChar w:fldCharType="separate"/>
        </w:r>
        <w:r w:rsidR="00040684">
          <w:rPr>
            <w:noProof/>
            <w:webHidden/>
          </w:rPr>
          <w:t>49</w:t>
        </w:r>
        <w:r w:rsidR="00943D3C" w:rsidRPr="00943D3C">
          <w:rPr>
            <w:noProof/>
            <w:webHidden/>
          </w:rPr>
          <w:fldChar w:fldCharType="end"/>
        </w:r>
      </w:hyperlink>
    </w:p>
    <w:p w14:paraId="3C7C482C" w14:textId="5777CB3F"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307" w:history="1">
        <w:r w:rsidR="00943D3C" w:rsidRPr="00943D3C">
          <w:rPr>
            <w:rStyle w:val="Hyperlink"/>
            <w:b/>
            <w:bCs w:val="0"/>
            <w:noProof/>
          </w:rPr>
          <w:t xml:space="preserve">Figure 6.12. </w:t>
        </w:r>
        <w:r w:rsidR="00943D3C" w:rsidRPr="00943D3C">
          <w:rPr>
            <w:rStyle w:val="Hyperlink"/>
            <w:noProof/>
          </w:rPr>
          <w:t xml:space="preserve">Left: </w:t>
        </w:r>
        <w:r w:rsidR="00943D3C" w:rsidRPr="00943D3C">
          <w:rPr>
            <w:rStyle w:val="Hyperlink"/>
            <w:i/>
            <w:noProof/>
          </w:rPr>
          <w:t>Pyrus calleryana</w:t>
        </w:r>
        <w:r w:rsidR="00943D3C" w:rsidRPr="00943D3C">
          <w:rPr>
            <w:rStyle w:val="Hyperlink"/>
            <w:noProof/>
          </w:rPr>
          <w:t xml:space="preserve"> (callery pear).</w:t>
        </w:r>
        <w:r w:rsidR="00943D3C" w:rsidRPr="00943D3C">
          <w:rPr>
            <w:noProof/>
          </w:rPr>
          <w:t xml:space="preserve"> Right: </w:t>
        </w:r>
        <w:r w:rsidR="00943D3C" w:rsidRPr="00943D3C">
          <w:rPr>
            <w:i/>
            <w:noProof/>
          </w:rPr>
          <w:t xml:space="preserve">Lythrum salicaria </w:t>
        </w:r>
        <w:r w:rsidR="00943D3C" w:rsidRPr="00943D3C">
          <w:rPr>
            <w:noProof/>
            <w:color w:val="000000"/>
          </w:rPr>
          <w:t>(purple loosestrife).</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_Toc147418307 \h </w:instrText>
        </w:r>
        <w:r w:rsidR="00943D3C" w:rsidRPr="00943D3C">
          <w:rPr>
            <w:noProof/>
            <w:webHidden/>
          </w:rPr>
        </w:r>
        <w:r w:rsidR="00943D3C" w:rsidRPr="00943D3C">
          <w:rPr>
            <w:noProof/>
            <w:webHidden/>
          </w:rPr>
          <w:fldChar w:fldCharType="separate"/>
        </w:r>
        <w:r w:rsidR="00040684">
          <w:rPr>
            <w:noProof/>
            <w:webHidden/>
          </w:rPr>
          <w:t>55</w:t>
        </w:r>
        <w:r w:rsidR="00943D3C" w:rsidRPr="00943D3C">
          <w:rPr>
            <w:noProof/>
            <w:webHidden/>
          </w:rPr>
          <w:fldChar w:fldCharType="end"/>
        </w:r>
      </w:hyperlink>
    </w:p>
    <w:p w14:paraId="06E986F2" w14:textId="24FB1A5E"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308" w:history="1">
        <w:r w:rsidR="00943D3C" w:rsidRPr="00943D3C">
          <w:rPr>
            <w:rStyle w:val="Hyperlink"/>
            <w:b/>
            <w:bCs w:val="0"/>
            <w:noProof/>
          </w:rPr>
          <w:t>Figure 6.13.</w:t>
        </w:r>
        <w:r w:rsidR="00943D3C" w:rsidRPr="00943D3C">
          <w:rPr>
            <w:rStyle w:val="Hyperlink"/>
            <w:noProof/>
          </w:rPr>
          <w:t xml:space="preserve"> Lionfish are now invading the western Atlantic Ocean, from North Carolina to Brazil.</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_Toc147418308 \h </w:instrText>
        </w:r>
        <w:r w:rsidR="00943D3C" w:rsidRPr="00943D3C">
          <w:rPr>
            <w:noProof/>
            <w:webHidden/>
          </w:rPr>
        </w:r>
        <w:r w:rsidR="00943D3C" w:rsidRPr="00943D3C">
          <w:rPr>
            <w:noProof/>
            <w:webHidden/>
          </w:rPr>
          <w:fldChar w:fldCharType="separate"/>
        </w:r>
        <w:r w:rsidR="00040684">
          <w:rPr>
            <w:noProof/>
            <w:webHidden/>
          </w:rPr>
          <w:t>57</w:t>
        </w:r>
        <w:r w:rsidR="00943D3C" w:rsidRPr="00943D3C">
          <w:rPr>
            <w:noProof/>
            <w:webHidden/>
          </w:rPr>
          <w:fldChar w:fldCharType="end"/>
        </w:r>
      </w:hyperlink>
    </w:p>
    <w:p w14:paraId="47EAA5EA" w14:textId="7B5D22B7"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309" w:history="1">
        <w:r w:rsidR="00943D3C" w:rsidRPr="00943D3C">
          <w:rPr>
            <w:rStyle w:val="Hyperlink"/>
            <w:b/>
            <w:bCs w:val="0"/>
            <w:noProof/>
          </w:rPr>
          <w:t>Figure 6.14.</w:t>
        </w:r>
        <w:r w:rsidR="00943D3C" w:rsidRPr="00943D3C">
          <w:rPr>
            <w:rStyle w:val="Hyperlink"/>
            <w:noProof/>
          </w:rPr>
          <w:t xml:space="preserve"> Fiordland National Park</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_Toc147418309 \h </w:instrText>
        </w:r>
        <w:r w:rsidR="00943D3C" w:rsidRPr="00943D3C">
          <w:rPr>
            <w:noProof/>
            <w:webHidden/>
          </w:rPr>
        </w:r>
        <w:r w:rsidR="00943D3C" w:rsidRPr="00943D3C">
          <w:rPr>
            <w:noProof/>
            <w:webHidden/>
          </w:rPr>
          <w:fldChar w:fldCharType="separate"/>
        </w:r>
        <w:r w:rsidR="00040684">
          <w:rPr>
            <w:noProof/>
            <w:webHidden/>
          </w:rPr>
          <w:t>68</w:t>
        </w:r>
        <w:r w:rsidR="00943D3C" w:rsidRPr="00943D3C">
          <w:rPr>
            <w:noProof/>
            <w:webHidden/>
          </w:rPr>
          <w:fldChar w:fldCharType="end"/>
        </w:r>
      </w:hyperlink>
    </w:p>
    <w:p w14:paraId="0FEBDE19" w14:textId="78699C11"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310" w:history="1">
        <w:r w:rsidR="00943D3C" w:rsidRPr="00943D3C">
          <w:rPr>
            <w:rStyle w:val="Hyperlink"/>
            <w:b/>
            <w:bCs w:val="0"/>
            <w:noProof/>
          </w:rPr>
          <w:t xml:space="preserve">Figure 6.15. </w:t>
        </w:r>
        <w:r w:rsidR="00943D3C" w:rsidRPr="00943D3C">
          <w:rPr>
            <w:rStyle w:val="Hyperlink"/>
            <w:noProof/>
          </w:rPr>
          <w:t>Public display to support animal rights.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_Toc147418310 \h </w:instrText>
        </w:r>
        <w:r w:rsidR="00943D3C" w:rsidRPr="00943D3C">
          <w:rPr>
            <w:noProof/>
            <w:webHidden/>
          </w:rPr>
        </w:r>
        <w:r w:rsidR="00943D3C" w:rsidRPr="00943D3C">
          <w:rPr>
            <w:noProof/>
            <w:webHidden/>
          </w:rPr>
          <w:fldChar w:fldCharType="separate"/>
        </w:r>
        <w:r w:rsidR="00040684">
          <w:rPr>
            <w:noProof/>
            <w:webHidden/>
          </w:rPr>
          <w:t>71</w:t>
        </w:r>
        <w:r w:rsidR="00943D3C" w:rsidRPr="00943D3C">
          <w:rPr>
            <w:noProof/>
            <w:webHidden/>
          </w:rPr>
          <w:fldChar w:fldCharType="end"/>
        </w:r>
      </w:hyperlink>
    </w:p>
    <w:p w14:paraId="66B4219F" w14:textId="20FF4DE8"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311" w:history="1">
        <w:r w:rsidR="00943D3C" w:rsidRPr="00943D3C">
          <w:rPr>
            <w:rStyle w:val="Hyperlink"/>
            <w:b/>
            <w:bCs w:val="0"/>
            <w:noProof/>
          </w:rPr>
          <w:t xml:space="preserve">Figure 6.16. </w:t>
        </w:r>
        <w:r w:rsidR="00943D3C" w:rsidRPr="00943D3C">
          <w:rPr>
            <w:rStyle w:val="Hyperlink"/>
            <w:noProof/>
          </w:rPr>
          <w:t>Options for successful engagement of stakeholders and Indigenous Peoples and local communities</w:t>
        </w:r>
        <w:r w:rsidR="00943D3C" w:rsidRPr="00943D3C">
          <w:rPr>
            <w:rStyle w:val="Hyperlink"/>
            <w:rFonts w:eastAsiaTheme="minorHAnsi"/>
            <w:iCs/>
            <w:noProof/>
          </w:rPr>
          <w:t>.</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_Toc147418311 \h </w:instrText>
        </w:r>
        <w:r w:rsidR="00943D3C" w:rsidRPr="00943D3C">
          <w:rPr>
            <w:noProof/>
            <w:webHidden/>
          </w:rPr>
        </w:r>
        <w:r w:rsidR="00943D3C" w:rsidRPr="00943D3C">
          <w:rPr>
            <w:noProof/>
            <w:webHidden/>
          </w:rPr>
          <w:fldChar w:fldCharType="separate"/>
        </w:r>
        <w:r w:rsidR="00040684">
          <w:rPr>
            <w:noProof/>
            <w:webHidden/>
          </w:rPr>
          <w:t>73</w:t>
        </w:r>
        <w:r w:rsidR="00943D3C" w:rsidRPr="00943D3C">
          <w:rPr>
            <w:noProof/>
            <w:webHidden/>
          </w:rPr>
          <w:fldChar w:fldCharType="end"/>
        </w:r>
      </w:hyperlink>
    </w:p>
    <w:p w14:paraId="277AC7F9" w14:textId="04773A2E"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312" w:history="1">
        <w:r w:rsidR="00943D3C" w:rsidRPr="00497985">
          <w:rPr>
            <w:rStyle w:val="Hyperlink"/>
            <w:b/>
            <w:noProof/>
          </w:rPr>
          <w:t xml:space="preserve">Figure 6.17. </w:t>
        </w:r>
        <w:r w:rsidR="00943D3C" w:rsidRPr="00497985">
          <w:rPr>
            <w:rStyle w:val="Hyperlink"/>
            <w:noProof/>
          </w:rPr>
          <w:t>Cumulative mink captures over the entire project area showing an increasing number of captures by volunteers, with the total number of active volunteers.</w:t>
        </w:r>
        <w:r w:rsidR="00943D3C">
          <w:rPr>
            <w:noProof/>
            <w:webHidden/>
          </w:rPr>
          <w:tab/>
        </w:r>
        <w:r w:rsidR="00943D3C">
          <w:rPr>
            <w:noProof/>
            <w:webHidden/>
          </w:rPr>
          <w:fldChar w:fldCharType="begin"/>
        </w:r>
        <w:r w:rsidR="00943D3C">
          <w:rPr>
            <w:noProof/>
            <w:webHidden/>
          </w:rPr>
          <w:instrText xml:space="preserve"> PAGEREF _Toc147418312 \h </w:instrText>
        </w:r>
        <w:r w:rsidR="00943D3C">
          <w:rPr>
            <w:noProof/>
            <w:webHidden/>
          </w:rPr>
        </w:r>
        <w:r w:rsidR="00943D3C">
          <w:rPr>
            <w:noProof/>
            <w:webHidden/>
          </w:rPr>
          <w:fldChar w:fldCharType="separate"/>
        </w:r>
        <w:r w:rsidR="00040684">
          <w:rPr>
            <w:noProof/>
            <w:webHidden/>
          </w:rPr>
          <w:t>76</w:t>
        </w:r>
        <w:r w:rsidR="00943D3C">
          <w:rPr>
            <w:noProof/>
            <w:webHidden/>
          </w:rPr>
          <w:fldChar w:fldCharType="end"/>
        </w:r>
      </w:hyperlink>
    </w:p>
    <w:p w14:paraId="2C5674EC" w14:textId="1D3DBE6E"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313" w:history="1">
        <w:r w:rsidR="00943D3C" w:rsidRPr="00497985">
          <w:rPr>
            <w:rStyle w:val="Hyperlink"/>
            <w:b/>
            <w:noProof/>
          </w:rPr>
          <w:t>Figure 6</w:t>
        </w:r>
        <w:r w:rsidR="00943D3C" w:rsidRPr="00497985">
          <w:rPr>
            <w:rStyle w:val="Hyperlink"/>
            <w:noProof/>
          </w:rPr>
          <w:t>.</w:t>
        </w:r>
        <w:r w:rsidR="00943D3C" w:rsidRPr="00497985">
          <w:rPr>
            <w:rStyle w:val="Hyperlink"/>
            <w:b/>
            <w:noProof/>
          </w:rPr>
          <w:t>18.</w:t>
        </w:r>
        <w:r w:rsidR="00943D3C" w:rsidRPr="00497985">
          <w:rPr>
            <w:rStyle w:val="Hyperlink"/>
            <w:noProof/>
          </w:rPr>
          <w:t xml:space="preserve"> Governing invasive alien species knowledge</w:t>
        </w:r>
        <w:r w:rsidR="00943D3C">
          <w:rPr>
            <w:noProof/>
            <w:webHidden/>
          </w:rPr>
          <w:tab/>
        </w:r>
        <w:r w:rsidR="00943D3C">
          <w:rPr>
            <w:noProof/>
            <w:webHidden/>
          </w:rPr>
          <w:fldChar w:fldCharType="begin"/>
        </w:r>
        <w:r w:rsidR="00943D3C">
          <w:rPr>
            <w:noProof/>
            <w:webHidden/>
          </w:rPr>
          <w:instrText xml:space="preserve"> PAGEREF _Toc147418313 \h </w:instrText>
        </w:r>
        <w:r w:rsidR="00943D3C">
          <w:rPr>
            <w:noProof/>
            <w:webHidden/>
          </w:rPr>
        </w:r>
        <w:r w:rsidR="00943D3C">
          <w:rPr>
            <w:noProof/>
            <w:webHidden/>
          </w:rPr>
          <w:fldChar w:fldCharType="separate"/>
        </w:r>
        <w:r w:rsidR="00040684">
          <w:rPr>
            <w:noProof/>
            <w:webHidden/>
          </w:rPr>
          <w:t>108</w:t>
        </w:r>
        <w:r w:rsidR="00943D3C">
          <w:rPr>
            <w:noProof/>
            <w:webHidden/>
          </w:rPr>
          <w:fldChar w:fldCharType="end"/>
        </w:r>
      </w:hyperlink>
    </w:p>
    <w:p w14:paraId="0BD056EE" w14:textId="36A6C594" w:rsidR="00943D3C" w:rsidRPr="00E560BA"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314" w:history="1">
        <w:r w:rsidR="00943D3C" w:rsidRPr="00E560BA">
          <w:rPr>
            <w:rStyle w:val="Hyperlink"/>
            <w:b/>
            <w:bCs w:val="0"/>
            <w:noProof/>
          </w:rPr>
          <w:t xml:space="preserve">Figure 6.19. </w:t>
        </w:r>
        <w:r w:rsidR="00943D3C" w:rsidRPr="00E560BA">
          <w:rPr>
            <w:rStyle w:val="Hyperlink"/>
            <w:noProof/>
          </w:rPr>
          <w:t>Systematic monitoring scheme for invasive plants in Indian forests.</w:t>
        </w:r>
        <w:r w:rsidR="00943D3C" w:rsidRPr="00E560BA">
          <w:rPr>
            <w:noProof/>
            <w:webHidden/>
          </w:rPr>
          <w:tab/>
        </w:r>
        <w:r w:rsidR="00943D3C" w:rsidRPr="00E560BA">
          <w:rPr>
            <w:noProof/>
            <w:webHidden/>
          </w:rPr>
          <w:fldChar w:fldCharType="begin"/>
        </w:r>
        <w:r w:rsidR="00943D3C" w:rsidRPr="00E560BA">
          <w:rPr>
            <w:noProof/>
            <w:webHidden/>
          </w:rPr>
          <w:instrText xml:space="preserve"> PAGEREF _Toc147418314 \h </w:instrText>
        </w:r>
        <w:r w:rsidR="00943D3C" w:rsidRPr="00E560BA">
          <w:rPr>
            <w:noProof/>
            <w:webHidden/>
          </w:rPr>
        </w:r>
        <w:r w:rsidR="00943D3C" w:rsidRPr="00E560BA">
          <w:rPr>
            <w:noProof/>
            <w:webHidden/>
          </w:rPr>
          <w:fldChar w:fldCharType="separate"/>
        </w:r>
        <w:r w:rsidR="00040684">
          <w:rPr>
            <w:noProof/>
            <w:webHidden/>
          </w:rPr>
          <w:t>114</w:t>
        </w:r>
        <w:r w:rsidR="00943D3C" w:rsidRPr="00E560BA">
          <w:rPr>
            <w:noProof/>
            <w:webHidden/>
          </w:rPr>
          <w:fldChar w:fldCharType="end"/>
        </w:r>
      </w:hyperlink>
    </w:p>
    <w:p w14:paraId="52A3B017" w14:textId="6E83935B"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315" w:history="1">
        <w:r w:rsidR="00943D3C" w:rsidRPr="00497985">
          <w:rPr>
            <w:rStyle w:val="Hyperlink"/>
            <w:b/>
            <w:noProof/>
          </w:rPr>
          <w:t>Figure 6</w:t>
        </w:r>
        <w:r w:rsidR="00943D3C" w:rsidRPr="00497985">
          <w:rPr>
            <w:rStyle w:val="Hyperlink"/>
            <w:noProof/>
          </w:rPr>
          <w:t>.</w:t>
        </w:r>
        <w:r w:rsidR="00943D3C" w:rsidRPr="00497985">
          <w:rPr>
            <w:rStyle w:val="Hyperlink"/>
            <w:b/>
            <w:noProof/>
          </w:rPr>
          <w:t>20.</w:t>
        </w:r>
        <w:r w:rsidR="00943D3C" w:rsidRPr="00497985">
          <w:rPr>
            <w:rStyle w:val="Hyperlink"/>
            <w:noProof/>
          </w:rPr>
          <w:t xml:space="preserve"> Proposed framework for closely linking invasions targets with the data and tools needed to measure and respond to them..</w:t>
        </w:r>
        <w:r w:rsidR="00943D3C">
          <w:rPr>
            <w:noProof/>
            <w:webHidden/>
          </w:rPr>
          <w:tab/>
        </w:r>
        <w:r w:rsidR="00943D3C">
          <w:rPr>
            <w:noProof/>
            <w:webHidden/>
          </w:rPr>
          <w:fldChar w:fldCharType="begin"/>
        </w:r>
        <w:r w:rsidR="00943D3C">
          <w:rPr>
            <w:noProof/>
            <w:webHidden/>
          </w:rPr>
          <w:instrText xml:space="preserve"> PAGEREF _Toc147418315 \h </w:instrText>
        </w:r>
        <w:r w:rsidR="00943D3C">
          <w:rPr>
            <w:noProof/>
            <w:webHidden/>
          </w:rPr>
        </w:r>
        <w:r w:rsidR="00943D3C">
          <w:rPr>
            <w:noProof/>
            <w:webHidden/>
          </w:rPr>
          <w:fldChar w:fldCharType="separate"/>
        </w:r>
        <w:r w:rsidR="00040684">
          <w:rPr>
            <w:noProof/>
            <w:webHidden/>
          </w:rPr>
          <w:t>118</w:t>
        </w:r>
        <w:r w:rsidR="00943D3C">
          <w:rPr>
            <w:noProof/>
            <w:webHidden/>
          </w:rPr>
          <w:fldChar w:fldCharType="end"/>
        </w:r>
      </w:hyperlink>
    </w:p>
    <w:p w14:paraId="6CA75511" w14:textId="3006CA15"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316" w:history="1">
        <w:r w:rsidR="00943D3C" w:rsidRPr="00497985">
          <w:rPr>
            <w:rStyle w:val="Hyperlink"/>
            <w:b/>
            <w:noProof/>
          </w:rPr>
          <w:t>Figure 6.21</w:t>
        </w:r>
        <w:r w:rsidR="00943D3C" w:rsidRPr="00497985">
          <w:rPr>
            <w:rStyle w:val="Hyperlink"/>
            <w:noProof/>
          </w:rPr>
          <w:t>. Integrated governance for biological invasions</w:t>
        </w:r>
        <w:r w:rsidR="00943D3C">
          <w:rPr>
            <w:noProof/>
            <w:webHidden/>
          </w:rPr>
          <w:tab/>
        </w:r>
        <w:r w:rsidR="00943D3C">
          <w:rPr>
            <w:noProof/>
            <w:webHidden/>
          </w:rPr>
          <w:fldChar w:fldCharType="begin"/>
        </w:r>
        <w:r w:rsidR="00943D3C">
          <w:rPr>
            <w:noProof/>
            <w:webHidden/>
          </w:rPr>
          <w:instrText xml:space="preserve"> PAGEREF _Toc147418316 \h </w:instrText>
        </w:r>
        <w:r w:rsidR="00943D3C">
          <w:rPr>
            <w:noProof/>
            <w:webHidden/>
          </w:rPr>
        </w:r>
        <w:r w:rsidR="00943D3C">
          <w:rPr>
            <w:noProof/>
            <w:webHidden/>
          </w:rPr>
          <w:fldChar w:fldCharType="separate"/>
        </w:r>
        <w:r w:rsidR="00040684">
          <w:rPr>
            <w:noProof/>
            <w:webHidden/>
          </w:rPr>
          <w:t>125</w:t>
        </w:r>
        <w:r w:rsidR="00943D3C">
          <w:rPr>
            <w:noProof/>
            <w:webHidden/>
          </w:rPr>
          <w:fldChar w:fldCharType="end"/>
        </w:r>
      </w:hyperlink>
    </w:p>
    <w:p w14:paraId="6A7770E6" w14:textId="2BC1BA25"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317" w:history="1">
        <w:r w:rsidR="00943D3C" w:rsidRPr="00497985">
          <w:rPr>
            <w:rStyle w:val="Hyperlink"/>
            <w:b/>
            <w:noProof/>
          </w:rPr>
          <w:t>Figure 6</w:t>
        </w:r>
        <w:r w:rsidR="00943D3C" w:rsidRPr="00497985">
          <w:rPr>
            <w:rStyle w:val="Hyperlink"/>
            <w:rFonts w:eastAsia="Batang"/>
            <w:b/>
            <w:noProof/>
            <w:lang w:eastAsia="en-NZ"/>
          </w:rPr>
          <w:t>.22.</w:t>
        </w:r>
        <w:r w:rsidR="00943D3C" w:rsidRPr="00497985">
          <w:rPr>
            <w:rStyle w:val="Hyperlink"/>
            <w:b/>
            <w:noProof/>
          </w:rPr>
          <w:t xml:space="preserve"> </w:t>
        </w:r>
        <w:r w:rsidR="00943D3C" w:rsidRPr="00497985">
          <w:rPr>
            <w:rStyle w:val="Hyperlink"/>
            <w:noProof/>
          </w:rPr>
          <w:t>Monitoring progress in four types of responses to invasive alien species to leverage activity to overcome the implementation challenge.</w:t>
        </w:r>
        <w:r w:rsidR="00943D3C">
          <w:rPr>
            <w:noProof/>
            <w:webHidden/>
          </w:rPr>
          <w:tab/>
        </w:r>
        <w:r w:rsidR="00943D3C">
          <w:rPr>
            <w:noProof/>
            <w:webHidden/>
          </w:rPr>
          <w:fldChar w:fldCharType="begin"/>
        </w:r>
        <w:r w:rsidR="00943D3C">
          <w:rPr>
            <w:noProof/>
            <w:webHidden/>
          </w:rPr>
          <w:instrText xml:space="preserve"> PAGEREF _Toc147418317 \h </w:instrText>
        </w:r>
        <w:r w:rsidR="00943D3C">
          <w:rPr>
            <w:noProof/>
            <w:webHidden/>
          </w:rPr>
        </w:r>
        <w:r w:rsidR="00943D3C">
          <w:rPr>
            <w:noProof/>
            <w:webHidden/>
          </w:rPr>
          <w:fldChar w:fldCharType="separate"/>
        </w:r>
        <w:r w:rsidR="00040684">
          <w:rPr>
            <w:noProof/>
            <w:webHidden/>
          </w:rPr>
          <w:t>128</w:t>
        </w:r>
        <w:r w:rsidR="00943D3C">
          <w:rPr>
            <w:noProof/>
            <w:webHidden/>
          </w:rPr>
          <w:fldChar w:fldCharType="end"/>
        </w:r>
      </w:hyperlink>
    </w:p>
    <w:p w14:paraId="03330DFC" w14:textId="021E5DA9"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318" w:history="1">
        <w:r w:rsidR="00943D3C" w:rsidRPr="00497985">
          <w:rPr>
            <w:rStyle w:val="Hyperlink"/>
            <w:b/>
            <w:noProof/>
          </w:rPr>
          <w:t>Figure 6.23.</w:t>
        </w:r>
        <w:r w:rsidR="00943D3C" w:rsidRPr="00497985">
          <w:rPr>
            <w:rStyle w:val="Hyperlink"/>
            <w:noProof/>
          </w:rPr>
          <w:t xml:space="preserve"> Sharing</w:t>
        </w:r>
        <w:r w:rsidR="00351A46">
          <w:rPr>
            <w:rStyle w:val="Hyperlink"/>
            <w:noProof/>
          </w:rPr>
          <w:t xml:space="preserve"> efforts </w:t>
        </w:r>
        <w:r w:rsidR="00943D3C" w:rsidRPr="00497985">
          <w:rPr>
            <w:rStyle w:val="Hyperlink"/>
            <w:noProof/>
          </w:rPr>
          <w:t>and commitment</w:t>
        </w:r>
        <w:r w:rsidR="00351A46">
          <w:rPr>
            <w:rStyle w:val="Hyperlink"/>
            <w:noProof/>
          </w:rPr>
          <w:t>s</w:t>
        </w:r>
        <w:r w:rsidR="00943D3C" w:rsidRPr="00497985">
          <w:rPr>
            <w:rStyle w:val="Hyperlink"/>
            <w:noProof/>
          </w:rPr>
          <w:t>, and understanding the specific role of all actors for the prevention and control of invasive alien species..</w:t>
        </w:r>
        <w:r w:rsidR="00943D3C">
          <w:rPr>
            <w:noProof/>
            <w:webHidden/>
          </w:rPr>
          <w:tab/>
        </w:r>
        <w:r w:rsidR="00943D3C">
          <w:rPr>
            <w:noProof/>
            <w:webHidden/>
          </w:rPr>
          <w:fldChar w:fldCharType="begin"/>
        </w:r>
        <w:r w:rsidR="00943D3C">
          <w:rPr>
            <w:noProof/>
            <w:webHidden/>
          </w:rPr>
          <w:instrText xml:space="preserve"> PAGEREF _Toc147418318 \h </w:instrText>
        </w:r>
        <w:r w:rsidR="00943D3C">
          <w:rPr>
            <w:noProof/>
            <w:webHidden/>
          </w:rPr>
        </w:r>
        <w:r w:rsidR="00943D3C">
          <w:rPr>
            <w:noProof/>
            <w:webHidden/>
          </w:rPr>
          <w:fldChar w:fldCharType="separate"/>
        </w:r>
        <w:r w:rsidR="00040684">
          <w:rPr>
            <w:noProof/>
            <w:webHidden/>
          </w:rPr>
          <w:t>129</w:t>
        </w:r>
        <w:r w:rsidR="00943D3C">
          <w:rPr>
            <w:noProof/>
            <w:webHidden/>
          </w:rPr>
          <w:fldChar w:fldCharType="end"/>
        </w:r>
      </w:hyperlink>
    </w:p>
    <w:p w14:paraId="58AC3BA3" w14:textId="56580640"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319" w:history="1">
        <w:r w:rsidR="00943D3C" w:rsidRPr="00943D3C">
          <w:rPr>
            <w:rStyle w:val="Hyperlink"/>
            <w:b/>
            <w:bCs w:val="0"/>
            <w:noProof/>
          </w:rPr>
          <w:t xml:space="preserve">Figure 6.24. </w:t>
        </w:r>
        <w:r w:rsidR="00943D3C" w:rsidRPr="00943D3C">
          <w:rPr>
            <w:rStyle w:val="Hyperlink"/>
            <w:noProof/>
          </w:rPr>
          <w:t>The conditions that support integrated governance for biological invasions</w:t>
        </w:r>
        <w:r w:rsidR="00F27F4C">
          <w:rPr>
            <w:rStyle w:val="Hyperlink"/>
            <w:noProof/>
          </w:rPr>
          <w:t xml:space="preserve"> </w:t>
        </w:r>
        <w:r w:rsidR="00943D3C" w:rsidRPr="00943D3C">
          <w:rPr>
            <w:rStyle w:val="Hyperlink"/>
            <w:noProof/>
          </w:rPr>
          <w:t>reflecting the desirable, inter-dependent qualities of governance systems</w:t>
        </w:r>
        <w:r w:rsidR="00943D3C" w:rsidRPr="00943D3C">
          <w:rPr>
            <w:rStyle w:val="Hyperlink"/>
            <w:iCs/>
            <w:noProof/>
          </w:rPr>
          <w:t>.</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_Toc147418319 \h </w:instrText>
        </w:r>
        <w:r w:rsidR="00943D3C" w:rsidRPr="00943D3C">
          <w:rPr>
            <w:noProof/>
            <w:webHidden/>
          </w:rPr>
        </w:r>
        <w:r w:rsidR="00943D3C" w:rsidRPr="00943D3C">
          <w:rPr>
            <w:noProof/>
            <w:webHidden/>
          </w:rPr>
          <w:fldChar w:fldCharType="separate"/>
        </w:r>
        <w:r w:rsidR="00040684">
          <w:rPr>
            <w:noProof/>
            <w:webHidden/>
          </w:rPr>
          <w:t>134</w:t>
        </w:r>
        <w:r w:rsidR="00943D3C" w:rsidRPr="00943D3C">
          <w:rPr>
            <w:noProof/>
            <w:webHidden/>
          </w:rPr>
          <w:fldChar w:fldCharType="end"/>
        </w:r>
      </w:hyperlink>
    </w:p>
    <w:p w14:paraId="3FA50ADA" w14:textId="0CEDEFB1" w:rsidR="00017C04" w:rsidRDefault="008F3E12" w:rsidP="00943D3C">
      <w:pPr>
        <w:pBdr>
          <w:top w:val="nil"/>
          <w:left w:val="nil"/>
          <w:bottom w:val="nil"/>
          <w:right w:val="nil"/>
          <w:between w:val="nil"/>
        </w:pBdr>
        <w:tabs>
          <w:tab w:val="right" w:pos="9614"/>
        </w:tabs>
        <w:spacing w:after="0"/>
        <w:rPr>
          <w:b/>
          <w:sz w:val="36"/>
          <w:szCs w:val="36"/>
        </w:rPr>
      </w:pPr>
      <w:r w:rsidRPr="00A9434B">
        <w:rPr>
          <w:b/>
          <w:bCs/>
        </w:rPr>
        <w:fldChar w:fldCharType="end"/>
      </w:r>
      <w:r w:rsidR="00F50AF9">
        <w:rPr>
          <w:b/>
          <w:sz w:val="36"/>
          <w:szCs w:val="36"/>
        </w:rPr>
        <w:t>List of tables</w:t>
      </w:r>
    </w:p>
    <w:p w14:paraId="18FFAE7A" w14:textId="36E89092" w:rsidR="00943D3C" w:rsidRDefault="009C698A" w:rsidP="00943D3C">
      <w:pPr>
        <w:pStyle w:val="TableofFigures"/>
        <w:tabs>
          <w:tab w:val="right" w:leader="dot" w:pos="9614"/>
        </w:tabs>
        <w:spacing w:before="0" w:after="0"/>
        <w:contextualSpacing/>
        <w:rPr>
          <w:rFonts w:asciiTheme="minorHAnsi" w:hAnsiTheme="minorHAnsi" w:cstheme="minorBidi"/>
          <w:bCs w:val="0"/>
          <w:noProof/>
          <w:lang w:val="en-US" w:eastAsia="ja-JP"/>
        </w:rPr>
      </w:pPr>
      <w:r w:rsidRPr="00A9434B">
        <w:fldChar w:fldCharType="begin"/>
      </w:r>
      <w:r w:rsidRPr="00A9434B">
        <w:instrText xml:space="preserve"> TOC \h \z \c "Table 6." </w:instrText>
      </w:r>
      <w:r w:rsidRPr="00A9434B">
        <w:fldChar w:fldCharType="separate"/>
      </w:r>
      <w:hyperlink w:anchor="_Toc147418534" w:history="1">
        <w:r w:rsidR="00943D3C" w:rsidRPr="00943D3C">
          <w:rPr>
            <w:rStyle w:val="Hyperlink"/>
            <w:b/>
            <w:bCs w:val="0"/>
            <w:noProof/>
          </w:rPr>
          <w:t>Table 6.1.</w:t>
        </w:r>
        <w:r w:rsidR="00943D3C" w:rsidRPr="00C05980">
          <w:rPr>
            <w:rStyle w:val="Hyperlink"/>
            <w:noProof/>
          </w:rPr>
          <w:t xml:space="preserve"> Array of possible governance and policy response options for managing biological invasions</w:t>
        </w:r>
        <w:r w:rsidR="00943D3C">
          <w:rPr>
            <w:noProof/>
            <w:webHidden/>
          </w:rPr>
          <w:tab/>
        </w:r>
        <w:r w:rsidR="00943D3C">
          <w:rPr>
            <w:noProof/>
            <w:webHidden/>
          </w:rPr>
          <w:fldChar w:fldCharType="begin"/>
        </w:r>
        <w:r w:rsidR="00943D3C">
          <w:rPr>
            <w:noProof/>
            <w:webHidden/>
          </w:rPr>
          <w:instrText xml:space="preserve"> PAGEREF _Toc147418534 \h </w:instrText>
        </w:r>
        <w:r w:rsidR="00943D3C">
          <w:rPr>
            <w:noProof/>
            <w:webHidden/>
          </w:rPr>
        </w:r>
        <w:r w:rsidR="00943D3C">
          <w:rPr>
            <w:noProof/>
            <w:webHidden/>
          </w:rPr>
          <w:fldChar w:fldCharType="separate"/>
        </w:r>
        <w:r w:rsidR="00040684">
          <w:rPr>
            <w:noProof/>
            <w:webHidden/>
          </w:rPr>
          <w:t>6</w:t>
        </w:r>
        <w:r w:rsidR="00943D3C">
          <w:rPr>
            <w:noProof/>
            <w:webHidden/>
          </w:rPr>
          <w:fldChar w:fldCharType="end"/>
        </w:r>
      </w:hyperlink>
    </w:p>
    <w:p w14:paraId="23D54787" w14:textId="6A880850"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535" w:history="1">
        <w:r w:rsidR="00943D3C" w:rsidRPr="00943D3C">
          <w:rPr>
            <w:rStyle w:val="Hyperlink"/>
            <w:b/>
            <w:bCs w:val="0"/>
            <w:noProof/>
          </w:rPr>
          <w:t xml:space="preserve">Table 6.2. </w:t>
        </w:r>
        <w:r w:rsidR="00943D3C" w:rsidRPr="00943D3C">
          <w:rPr>
            <w:rStyle w:val="Hyperlink"/>
            <w:noProof/>
          </w:rPr>
          <w:t>Risks (hazard or impact taking place) and opportunities (circumstances that make it possible to act) for managing biological invasions as defined in the IPBES invasive alien species assessment and other IPBES assessments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_Toc147418535 \h </w:instrText>
        </w:r>
        <w:r w:rsidR="00943D3C" w:rsidRPr="00943D3C">
          <w:rPr>
            <w:noProof/>
            <w:webHidden/>
          </w:rPr>
        </w:r>
        <w:r w:rsidR="00943D3C" w:rsidRPr="00943D3C">
          <w:rPr>
            <w:noProof/>
            <w:webHidden/>
          </w:rPr>
          <w:fldChar w:fldCharType="separate"/>
        </w:r>
        <w:r w:rsidR="00040684">
          <w:rPr>
            <w:noProof/>
            <w:webHidden/>
          </w:rPr>
          <w:t>7</w:t>
        </w:r>
        <w:r w:rsidR="00943D3C" w:rsidRPr="00943D3C">
          <w:rPr>
            <w:noProof/>
            <w:webHidden/>
          </w:rPr>
          <w:fldChar w:fldCharType="end"/>
        </w:r>
      </w:hyperlink>
    </w:p>
    <w:p w14:paraId="4825CB47" w14:textId="5630C931"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536" w:history="1">
        <w:r w:rsidR="00943D3C" w:rsidRPr="00943D3C">
          <w:rPr>
            <w:rStyle w:val="Hyperlink"/>
            <w:b/>
            <w:bCs w:val="0"/>
            <w:noProof/>
          </w:rPr>
          <w:t xml:space="preserve">Table 6.3. </w:t>
        </w:r>
        <w:r w:rsidR="00943D3C" w:rsidRPr="00943D3C">
          <w:rPr>
            <w:rStyle w:val="Hyperlink"/>
            <w:noProof/>
          </w:rPr>
          <w:t>The 15 Guiding Principles for the prevention, introduction and mitigation of impacts of alien species that threaten ecosystems, habitats or species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_Toc147418536 \h </w:instrText>
        </w:r>
        <w:r w:rsidR="00943D3C" w:rsidRPr="00943D3C">
          <w:rPr>
            <w:noProof/>
            <w:webHidden/>
          </w:rPr>
        </w:r>
        <w:r w:rsidR="00943D3C" w:rsidRPr="00943D3C">
          <w:rPr>
            <w:noProof/>
            <w:webHidden/>
          </w:rPr>
          <w:fldChar w:fldCharType="separate"/>
        </w:r>
        <w:r w:rsidR="00040684">
          <w:rPr>
            <w:noProof/>
            <w:webHidden/>
          </w:rPr>
          <w:t>9</w:t>
        </w:r>
        <w:r w:rsidR="00943D3C" w:rsidRPr="00943D3C">
          <w:rPr>
            <w:noProof/>
            <w:webHidden/>
          </w:rPr>
          <w:fldChar w:fldCharType="end"/>
        </w:r>
      </w:hyperlink>
    </w:p>
    <w:p w14:paraId="6CF43656" w14:textId="4CDD8FBA"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537" w:history="1">
        <w:r w:rsidR="00943D3C" w:rsidRPr="00943D3C">
          <w:rPr>
            <w:rStyle w:val="Hyperlink"/>
            <w:b/>
            <w:bCs w:val="0"/>
            <w:noProof/>
          </w:rPr>
          <w:t xml:space="preserve">Table 6.4. </w:t>
        </w:r>
        <w:r w:rsidR="00943D3C" w:rsidRPr="00943D3C">
          <w:rPr>
            <w:rStyle w:val="Hyperlink"/>
            <w:noProof/>
          </w:rPr>
          <w:t>Progress against invasive alien species policy goals and targets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_Toc147418537 \h </w:instrText>
        </w:r>
        <w:r w:rsidR="00943D3C" w:rsidRPr="00943D3C">
          <w:rPr>
            <w:noProof/>
            <w:webHidden/>
          </w:rPr>
        </w:r>
        <w:r w:rsidR="00943D3C" w:rsidRPr="00943D3C">
          <w:rPr>
            <w:noProof/>
            <w:webHidden/>
          </w:rPr>
          <w:fldChar w:fldCharType="separate"/>
        </w:r>
        <w:r w:rsidR="00040684">
          <w:rPr>
            <w:noProof/>
            <w:webHidden/>
          </w:rPr>
          <w:t>11</w:t>
        </w:r>
        <w:r w:rsidR="00943D3C" w:rsidRPr="00943D3C">
          <w:rPr>
            <w:noProof/>
            <w:webHidden/>
          </w:rPr>
          <w:fldChar w:fldCharType="end"/>
        </w:r>
      </w:hyperlink>
    </w:p>
    <w:p w14:paraId="6FD56F62" w14:textId="26B9EBA9"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538" w:history="1">
        <w:r w:rsidR="00943D3C" w:rsidRPr="00C05980">
          <w:rPr>
            <w:rStyle w:val="Hyperlink"/>
            <w:b/>
            <w:noProof/>
          </w:rPr>
          <w:t xml:space="preserve">Table 6.5. </w:t>
        </w:r>
        <w:r w:rsidR="00943D3C" w:rsidRPr="00C05980">
          <w:rPr>
            <w:rStyle w:val="Hyperlink"/>
            <w:noProof/>
          </w:rPr>
          <w:t>Four types of societal responses that can be measured and monitored for the purpose of limiting the spread and reducing the impacts of invasive alien species</w:t>
        </w:r>
        <w:r w:rsidR="00943D3C">
          <w:rPr>
            <w:noProof/>
            <w:webHidden/>
          </w:rPr>
          <w:tab/>
        </w:r>
        <w:r w:rsidR="00943D3C">
          <w:rPr>
            <w:noProof/>
            <w:webHidden/>
          </w:rPr>
          <w:fldChar w:fldCharType="begin"/>
        </w:r>
        <w:r w:rsidR="00943D3C">
          <w:rPr>
            <w:noProof/>
            <w:webHidden/>
          </w:rPr>
          <w:instrText xml:space="preserve"> PAGEREF _Toc147418538 \h </w:instrText>
        </w:r>
        <w:r w:rsidR="00943D3C">
          <w:rPr>
            <w:noProof/>
            <w:webHidden/>
          </w:rPr>
        </w:r>
        <w:r w:rsidR="00943D3C">
          <w:rPr>
            <w:noProof/>
            <w:webHidden/>
          </w:rPr>
          <w:fldChar w:fldCharType="separate"/>
        </w:r>
        <w:r w:rsidR="00040684">
          <w:rPr>
            <w:noProof/>
            <w:webHidden/>
          </w:rPr>
          <w:t>20</w:t>
        </w:r>
        <w:r w:rsidR="00943D3C">
          <w:rPr>
            <w:noProof/>
            <w:webHidden/>
          </w:rPr>
          <w:fldChar w:fldCharType="end"/>
        </w:r>
      </w:hyperlink>
    </w:p>
    <w:p w14:paraId="6A1F0367" w14:textId="1BCF3FA7"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539" w:history="1">
        <w:r w:rsidR="00943D3C" w:rsidRPr="00943D3C">
          <w:rPr>
            <w:rStyle w:val="Hyperlink"/>
            <w:b/>
            <w:bCs w:val="0"/>
            <w:noProof/>
          </w:rPr>
          <w:t>Table 6.6.</w:t>
        </w:r>
        <w:r w:rsidR="00943D3C" w:rsidRPr="00943D3C">
          <w:rPr>
            <w:rStyle w:val="Hyperlink"/>
            <w:noProof/>
          </w:rPr>
          <w:t xml:space="preserve"> Overview of governance response considerations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_Toc147418539 \h </w:instrText>
        </w:r>
        <w:r w:rsidR="00943D3C" w:rsidRPr="00943D3C">
          <w:rPr>
            <w:noProof/>
            <w:webHidden/>
          </w:rPr>
        </w:r>
        <w:r w:rsidR="00943D3C" w:rsidRPr="00943D3C">
          <w:rPr>
            <w:noProof/>
            <w:webHidden/>
          </w:rPr>
          <w:fldChar w:fldCharType="separate"/>
        </w:r>
        <w:r w:rsidR="00040684">
          <w:rPr>
            <w:noProof/>
            <w:webHidden/>
          </w:rPr>
          <w:t>28</w:t>
        </w:r>
        <w:r w:rsidR="00943D3C" w:rsidRPr="00943D3C">
          <w:rPr>
            <w:noProof/>
            <w:webHidden/>
          </w:rPr>
          <w:fldChar w:fldCharType="end"/>
        </w:r>
      </w:hyperlink>
    </w:p>
    <w:p w14:paraId="42D2698C" w14:textId="17DD2D66"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540" w:history="1">
        <w:r w:rsidR="00943D3C" w:rsidRPr="00943D3C">
          <w:rPr>
            <w:rStyle w:val="Hyperlink"/>
            <w:b/>
            <w:bCs w:val="0"/>
            <w:noProof/>
          </w:rPr>
          <w:t xml:space="preserve">Table 6.7. </w:t>
        </w:r>
        <w:r w:rsidR="00943D3C" w:rsidRPr="00943D3C">
          <w:rPr>
            <w:rStyle w:val="Hyperlink"/>
            <w:noProof/>
          </w:rPr>
          <w:t>Tactics to enable policy reform for invasive alien species policy</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_Toc147418540 \h </w:instrText>
        </w:r>
        <w:r w:rsidR="00943D3C" w:rsidRPr="00943D3C">
          <w:rPr>
            <w:noProof/>
            <w:webHidden/>
          </w:rPr>
        </w:r>
        <w:r w:rsidR="00943D3C" w:rsidRPr="00943D3C">
          <w:rPr>
            <w:noProof/>
            <w:webHidden/>
          </w:rPr>
          <w:fldChar w:fldCharType="separate"/>
        </w:r>
        <w:r w:rsidR="00040684">
          <w:rPr>
            <w:noProof/>
            <w:webHidden/>
          </w:rPr>
          <w:t>38</w:t>
        </w:r>
        <w:r w:rsidR="00943D3C" w:rsidRPr="00943D3C">
          <w:rPr>
            <w:noProof/>
            <w:webHidden/>
          </w:rPr>
          <w:fldChar w:fldCharType="end"/>
        </w:r>
      </w:hyperlink>
    </w:p>
    <w:p w14:paraId="1D28059D" w14:textId="69E66BB9"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541" w:history="1">
        <w:r w:rsidR="00943D3C" w:rsidRPr="00C05980">
          <w:rPr>
            <w:rStyle w:val="Hyperlink"/>
            <w:b/>
            <w:noProof/>
          </w:rPr>
          <w:t>Table 6</w:t>
        </w:r>
        <w:r w:rsidR="00943D3C" w:rsidRPr="00C05980">
          <w:rPr>
            <w:rStyle w:val="Hyperlink"/>
            <w:noProof/>
          </w:rPr>
          <w:t>.</w:t>
        </w:r>
        <w:r w:rsidR="00943D3C" w:rsidRPr="00C05980">
          <w:rPr>
            <w:rStyle w:val="Hyperlink"/>
            <w:b/>
            <w:noProof/>
          </w:rPr>
          <w:t xml:space="preserve">8. </w:t>
        </w:r>
        <w:r w:rsidR="00943D3C" w:rsidRPr="00C05980">
          <w:rPr>
            <w:rStyle w:val="Hyperlink"/>
            <w:noProof/>
          </w:rPr>
          <w:t>Some of the international legal, regulatory and organization-based instruments relevant to invasive alien species by sector</w:t>
        </w:r>
        <w:r w:rsidR="00943D3C">
          <w:rPr>
            <w:noProof/>
            <w:webHidden/>
          </w:rPr>
          <w:tab/>
        </w:r>
        <w:r w:rsidR="00943D3C">
          <w:rPr>
            <w:noProof/>
            <w:webHidden/>
          </w:rPr>
          <w:fldChar w:fldCharType="begin"/>
        </w:r>
        <w:r w:rsidR="00943D3C">
          <w:rPr>
            <w:noProof/>
            <w:webHidden/>
          </w:rPr>
          <w:instrText xml:space="preserve"> PAGEREF _Toc147418541 \h </w:instrText>
        </w:r>
        <w:r w:rsidR="00943D3C">
          <w:rPr>
            <w:noProof/>
            <w:webHidden/>
          </w:rPr>
        </w:r>
        <w:r w:rsidR="00943D3C">
          <w:rPr>
            <w:noProof/>
            <w:webHidden/>
          </w:rPr>
          <w:fldChar w:fldCharType="separate"/>
        </w:r>
        <w:r w:rsidR="00040684">
          <w:rPr>
            <w:noProof/>
            <w:webHidden/>
          </w:rPr>
          <w:t>41</w:t>
        </w:r>
        <w:r w:rsidR="00943D3C">
          <w:rPr>
            <w:noProof/>
            <w:webHidden/>
          </w:rPr>
          <w:fldChar w:fldCharType="end"/>
        </w:r>
      </w:hyperlink>
    </w:p>
    <w:p w14:paraId="236C2523" w14:textId="15659A95"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542" w:history="1">
        <w:r w:rsidR="00943D3C" w:rsidRPr="00943D3C">
          <w:rPr>
            <w:rStyle w:val="Hyperlink"/>
            <w:b/>
            <w:bCs w:val="0"/>
            <w:noProof/>
          </w:rPr>
          <w:t xml:space="preserve">Table 6.9. </w:t>
        </w:r>
        <w:r w:rsidR="00943D3C" w:rsidRPr="00943D3C">
          <w:rPr>
            <w:rStyle w:val="Hyperlink"/>
            <w:noProof/>
          </w:rPr>
          <w:t>Collective action questions towards improved governance for biological invasions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_Toc147418542 \h </w:instrText>
        </w:r>
        <w:r w:rsidR="00943D3C" w:rsidRPr="00943D3C">
          <w:rPr>
            <w:noProof/>
            <w:webHidden/>
          </w:rPr>
        </w:r>
        <w:r w:rsidR="00943D3C" w:rsidRPr="00943D3C">
          <w:rPr>
            <w:noProof/>
            <w:webHidden/>
          </w:rPr>
          <w:fldChar w:fldCharType="separate"/>
        </w:r>
        <w:r w:rsidR="00040684">
          <w:rPr>
            <w:noProof/>
            <w:webHidden/>
          </w:rPr>
          <w:t>80</w:t>
        </w:r>
        <w:r w:rsidR="00943D3C" w:rsidRPr="00943D3C">
          <w:rPr>
            <w:noProof/>
            <w:webHidden/>
          </w:rPr>
          <w:fldChar w:fldCharType="end"/>
        </w:r>
      </w:hyperlink>
    </w:p>
    <w:p w14:paraId="06D98609" w14:textId="3672F8DD"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543" w:history="1">
        <w:r w:rsidR="00943D3C" w:rsidRPr="00943D3C">
          <w:rPr>
            <w:rStyle w:val="Hyperlink"/>
            <w:b/>
            <w:bCs w:val="0"/>
            <w:noProof/>
          </w:rPr>
          <w:t xml:space="preserve">Table 6.10. </w:t>
        </w:r>
        <w:r w:rsidR="00943D3C" w:rsidRPr="00943D3C">
          <w:rPr>
            <w:rStyle w:val="Hyperlink"/>
            <w:noProof/>
          </w:rPr>
          <w:t>Cross-chapter synthesis of gaps in data, information, knowledge and understanding</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_Toc147418543 \h </w:instrText>
        </w:r>
        <w:r w:rsidR="00943D3C" w:rsidRPr="00943D3C">
          <w:rPr>
            <w:noProof/>
            <w:webHidden/>
          </w:rPr>
        </w:r>
        <w:r w:rsidR="00943D3C" w:rsidRPr="00943D3C">
          <w:rPr>
            <w:noProof/>
            <w:webHidden/>
          </w:rPr>
          <w:fldChar w:fldCharType="separate"/>
        </w:r>
        <w:r w:rsidR="00040684">
          <w:rPr>
            <w:noProof/>
            <w:webHidden/>
          </w:rPr>
          <w:t>95</w:t>
        </w:r>
        <w:r w:rsidR="00943D3C" w:rsidRPr="00943D3C">
          <w:rPr>
            <w:noProof/>
            <w:webHidden/>
          </w:rPr>
          <w:fldChar w:fldCharType="end"/>
        </w:r>
      </w:hyperlink>
    </w:p>
    <w:p w14:paraId="61F7C456" w14:textId="337C346C" w:rsidR="00943D3C" w:rsidRDefault="007C7AC3" w:rsidP="00943D3C">
      <w:pPr>
        <w:pStyle w:val="TableofFigures"/>
        <w:tabs>
          <w:tab w:val="right" w:leader="dot" w:pos="9614"/>
        </w:tabs>
        <w:spacing w:before="0" w:after="0"/>
        <w:contextualSpacing/>
        <w:rPr>
          <w:rFonts w:asciiTheme="minorHAnsi" w:hAnsiTheme="minorHAnsi" w:cstheme="minorBidi"/>
          <w:bCs w:val="0"/>
          <w:noProof/>
          <w:lang w:val="en-US" w:eastAsia="ja-JP"/>
        </w:rPr>
      </w:pPr>
      <w:hyperlink w:anchor="_Toc147418544" w:history="1">
        <w:r w:rsidR="00943D3C" w:rsidRPr="00C05980">
          <w:rPr>
            <w:rStyle w:val="Hyperlink"/>
            <w:b/>
            <w:noProof/>
          </w:rPr>
          <w:t>Table 6.11.</w:t>
        </w:r>
        <w:r w:rsidR="00943D3C" w:rsidRPr="00C05980">
          <w:rPr>
            <w:rStyle w:val="Hyperlink"/>
            <w:noProof/>
          </w:rPr>
          <w:t xml:space="preserve"> Categories of currently used invasive alien species indicators at a global scale, their information content and development needs</w:t>
        </w:r>
        <w:r w:rsidR="00943D3C">
          <w:rPr>
            <w:noProof/>
            <w:webHidden/>
          </w:rPr>
          <w:tab/>
        </w:r>
        <w:r w:rsidR="00943D3C">
          <w:rPr>
            <w:noProof/>
            <w:webHidden/>
          </w:rPr>
          <w:fldChar w:fldCharType="begin"/>
        </w:r>
        <w:r w:rsidR="00943D3C">
          <w:rPr>
            <w:noProof/>
            <w:webHidden/>
          </w:rPr>
          <w:instrText xml:space="preserve"> PAGEREF _Toc147418544 \h </w:instrText>
        </w:r>
        <w:r w:rsidR="00943D3C">
          <w:rPr>
            <w:noProof/>
            <w:webHidden/>
          </w:rPr>
        </w:r>
        <w:r w:rsidR="00943D3C">
          <w:rPr>
            <w:noProof/>
            <w:webHidden/>
          </w:rPr>
          <w:fldChar w:fldCharType="separate"/>
        </w:r>
        <w:r w:rsidR="00040684">
          <w:rPr>
            <w:noProof/>
            <w:webHidden/>
          </w:rPr>
          <w:t>120</w:t>
        </w:r>
        <w:r w:rsidR="00943D3C">
          <w:rPr>
            <w:noProof/>
            <w:webHidden/>
          </w:rPr>
          <w:fldChar w:fldCharType="end"/>
        </w:r>
      </w:hyperlink>
    </w:p>
    <w:p w14:paraId="7933F280" w14:textId="37C8AC3F" w:rsidR="00943D3C" w:rsidRPr="00943D3C" w:rsidRDefault="007C7AC3" w:rsidP="00943D3C">
      <w:pPr>
        <w:pStyle w:val="TableofFigures"/>
        <w:tabs>
          <w:tab w:val="right" w:leader="dot" w:pos="9614"/>
        </w:tabs>
        <w:spacing w:before="0" w:after="0"/>
        <w:contextualSpacing/>
        <w:rPr>
          <w:rFonts w:asciiTheme="minorHAnsi" w:hAnsiTheme="minorHAnsi" w:cstheme="minorBidi"/>
          <w:b/>
          <w:bCs w:val="0"/>
          <w:noProof/>
          <w:lang w:val="en-US" w:eastAsia="ja-JP"/>
        </w:rPr>
      </w:pPr>
      <w:hyperlink w:anchor="_Toc147418545" w:history="1">
        <w:r w:rsidR="00943D3C" w:rsidRPr="00943D3C">
          <w:rPr>
            <w:rStyle w:val="Hyperlink"/>
            <w:b/>
            <w:bCs w:val="0"/>
            <w:noProof/>
          </w:rPr>
          <w:t xml:space="preserve">Table 6.12. </w:t>
        </w:r>
        <w:r w:rsidR="00943D3C" w:rsidRPr="00943D3C">
          <w:rPr>
            <w:rStyle w:val="Hyperlink"/>
            <w:noProof/>
          </w:rPr>
          <w:t>Engagement of stakeholders on biological invasions has a number of purposes and associated approaches and tools (options) that support the process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_Toc147418545 \h </w:instrText>
        </w:r>
        <w:r w:rsidR="00943D3C" w:rsidRPr="00943D3C">
          <w:rPr>
            <w:noProof/>
            <w:webHidden/>
          </w:rPr>
        </w:r>
        <w:r w:rsidR="00943D3C" w:rsidRPr="00943D3C">
          <w:rPr>
            <w:noProof/>
            <w:webHidden/>
          </w:rPr>
          <w:fldChar w:fldCharType="separate"/>
        </w:r>
        <w:r w:rsidR="00040684">
          <w:rPr>
            <w:noProof/>
            <w:webHidden/>
          </w:rPr>
          <w:t>131</w:t>
        </w:r>
        <w:r w:rsidR="00943D3C" w:rsidRPr="00943D3C">
          <w:rPr>
            <w:noProof/>
            <w:webHidden/>
          </w:rPr>
          <w:fldChar w:fldCharType="end"/>
        </w:r>
      </w:hyperlink>
    </w:p>
    <w:p w14:paraId="3C5096AD" w14:textId="58EB21D8" w:rsidR="00FE0BFD" w:rsidRPr="00A9434B" w:rsidRDefault="009C698A" w:rsidP="00B80DF8">
      <w:pPr>
        <w:spacing w:before="0" w:after="0"/>
        <w:contextualSpacing/>
      </w:pPr>
      <w:r w:rsidRPr="00A9434B">
        <w:fldChar w:fldCharType="end"/>
      </w:r>
    </w:p>
    <w:p w14:paraId="353AEDDD" w14:textId="77777777" w:rsidR="00017C04" w:rsidRDefault="00F50AF9">
      <w:pPr>
        <w:rPr>
          <w:b/>
          <w:sz w:val="36"/>
          <w:szCs w:val="36"/>
        </w:rPr>
      </w:pPr>
      <w:r>
        <w:rPr>
          <w:b/>
          <w:sz w:val="36"/>
          <w:szCs w:val="36"/>
        </w:rPr>
        <w:t>List of textboxes</w:t>
      </w:r>
    </w:p>
    <w:p w14:paraId="310D0021" w14:textId="17F8D4CA" w:rsidR="00943D3C" w:rsidRPr="00943D3C" w:rsidRDefault="00FE0BFD" w:rsidP="00943D3C">
      <w:pPr>
        <w:pStyle w:val="TableofFigures"/>
        <w:tabs>
          <w:tab w:val="right" w:leader="dot" w:pos="9614"/>
        </w:tabs>
        <w:spacing w:before="0" w:after="0"/>
        <w:rPr>
          <w:rFonts w:asciiTheme="minorHAnsi" w:hAnsiTheme="minorHAnsi" w:cstheme="minorBidi"/>
          <w:b/>
          <w:bCs w:val="0"/>
          <w:noProof/>
          <w:lang w:val="en-US" w:eastAsia="ja-JP"/>
        </w:rPr>
      </w:pPr>
      <w:r w:rsidRPr="00943D3C">
        <w:rPr>
          <w:b/>
          <w:bCs w:val="0"/>
        </w:rPr>
        <w:fldChar w:fldCharType="begin"/>
      </w:r>
      <w:r w:rsidRPr="00943D3C">
        <w:rPr>
          <w:b/>
          <w:bCs w:val="0"/>
        </w:rPr>
        <w:instrText xml:space="preserve"> TOC \h \z \c "Box 6." </w:instrText>
      </w:r>
      <w:r w:rsidRPr="00943D3C">
        <w:rPr>
          <w:b/>
          <w:bCs w:val="0"/>
        </w:rPr>
        <w:fldChar w:fldCharType="separate"/>
      </w:r>
      <w:hyperlink w:anchor="_Toc147418610" w:history="1">
        <w:r w:rsidR="00943D3C" w:rsidRPr="00943D3C">
          <w:rPr>
            <w:rStyle w:val="Hyperlink"/>
            <w:b/>
            <w:bCs w:val="0"/>
            <w:noProof/>
          </w:rPr>
          <w:t xml:space="preserve">Box 6.1. </w:t>
        </w:r>
        <w:r w:rsidR="00943D3C" w:rsidRPr="00943D3C">
          <w:rPr>
            <w:rStyle w:val="Hyperlink"/>
            <w:noProof/>
          </w:rPr>
          <w:t xml:space="preserve">Rationale of the </w:t>
        </w:r>
        <w:r w:rsidR="001D3AFC">
          <w:rPr>
            <w:rStyle w:val="Hyperlink"/>
            <w:noProof/>
          </w:rPr>
          <w:t>c</w:t>
        </w:r>
        <w:r w:rsidR="001D3AFC" w:rsidRPr="00943D3C">
          <w:rPr>
            <w:rStyle w:val="Hyperlink"/>
            <w:noProof/>
          </w:rPr>
          <w:t>hapter</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_Toc147418610 \h </w:instrText>
        </w:r>
        <w:r w:rsidR="00943D3C" w:rsidRPr="00943D3C">
          <w:rPr>
            <w:noProof/>
            <w:webHidden/>
          </w:rPr>
        </w:r>
        <w:r w:rsidR="00943D3C" w:rsidRPr="00943D3C">
          <w:rPr>
            <w:noProof/>
            <w:webHidden/>
          </w:rPr>
          <w:fldChar w:fldCharType="separate"/>
        </w:r>
        <w:r w:rsidR="00040684">
          <w:rPr>
            <w:noProof/>
            <w:webHidden/>
          </w:rPr>
          <w:t>5</w:t>
        </w:r>
        <w:r w:rsidR="00943D3C" w:rsidRPr="00943D3C">
          <w:rPr>
            <w:noProof/>
            <w:webHidden/>
          </w:rPr>
          <w:fldChar w:fldCharType="end"/>
        </w:r>
      </w:hyperlink>
    </w:p>
    <w:p w14:paraId="5ACAB6FF" w14:textId="57D1C453"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11" w:history="1">
        <w:r w:rsidR="00943D3C" w:rsidRPr="00943D3C">
          <w:rPr>
            <w:rStyle w:val="Hyperlink"/>
            <w:b/>
            <w:bCs w:val="0"/>
            <w:noProof/>
          </w:rPr>
          <w:t>Box 6.2</w:t>
        </w:r>
        <w:r w:rsidR="00943D3C" w:rsidRPr="00943D3C">
          <w:rPr>
            <w:rStyle w:val="Hyperlink"/>
            <w:b/>
            <w:bCs w:val="0"/>
            <w:noProof/>
            <w:lang w:eastAsia="ja-JP"/>
          </w:rPr>
          <w:t>.</w:t>
        </w:r>
        <w:r w:rsidR="00943D3C" w:rsidRPr="00943D3C">
          <w:rPr>
            <w:rStyle w:val="Hyperlink"/>
            <w:b/>
            <w:bCs w:val="0"/>
            <w:noProof/>
          </w:rPr>
          <w:t xml:space="preserve"> </w:t>
        </w:r>
        <w:r w:rsidR="00943D3C" w:rsidRPr="00943D3C">
          <w:rPr>
            <w:rStyle w:val="Hyperlink"/>
            <w:noProof/>
          </w:rPr>
          <w:t>Governance for biological invasions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_Toc147418611 \h </w:instrText>
        </w:r>
        <w:r w:rsidR="00943D3C" w:rsidRPr="00943D3C">
          <w:rPr>
            <w:noProof/>
            <w:webHidden/>
          </w:rPr>
        </w:r>
        <w:r w:rsidR="00943D3C" w:rsidRPr="00943D3C">
          <w:rPr>
            <w:noProof/>
            <w:webHidden/>
          </w:rPr>
          <w:fldChar w:fldCharType="separate"/>
        </w:r>
        <w:r w:rsidR="00040684">
          <w:rPr>
            <w:noProof/>
            <w:webHidden/>
          </w:rPr>
          <w:t>19</w:t>
        </w:r>
        <w:r w:rsidR="00943D3C" w:rsidRPr="00943D3C">
          <w:rPr>
            <w:noProof/>
            <w:webHidden/>
          </w:rPr>
          <w:fldChar w:fldCharType="end"/>
        </w:r>
      </w:hyperlink>
    </w:p>
    <w:p w14:paraId="2DDB39A4" w14:textId="2C15E91D"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12" w:history="1">
        <w:r w:rsidR="00943D3C" w:rsidRPr="00943D3C">
          <w:rPr>
            <w:rStyle w:val="Hyperlink"/>
            <w:b/>
            <w:bCs w:val="0"/>
            <w:noProof/>
          </w:rPr>
          <w:t xml:space="preserve">Box 6.3. </w:t>
        </w:r>
        <w:r w:rsidR="00943D3C" w:rsidRPr="00943D3C">
          <w:rPr>
            <w:rStyle w:val="Hyperlink"/>
            <w:noProof/>
          </w:rPr>
          <w:t>The Driver-Pressure-State-Response framework for invasive alien species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_Toc147418612 \h </w:instrText>
        </w:r>
        <w:r w:rsidR="00943D3C" w:rsidRPr="00943D3C">
          <w:rPr>
            <w:noProof/>
            <w:webHidden/>
          </w:rPr>
        </w:r>
        <w:r w:rsidR="00943D3C" w:rsidRPr="00943D3C">
          <w:rPr>
            <w:noProof/>
            <w:webHidden/>
          </w:rPr>
          <w:fldChar w:fldCharType="separate"/>
        </w:r>
        <w:r w:rsidR="00040684">
          <w:rPr>
            <w:noProof/>
            <w:webHidden/>
          </w:rPr>
          <w:t>21</w:t>
        </w:r>
        <w:r w:rsidR="00943D3C" w:rsidRPr="00943D3C">
          <w:rPr>
            <w:noProof/>
            <w:webHidden/>
          </w:rPr>
          <w:fldChar w:fldCharType="end"/>
        </w:r>
      </w:hyperlink>
    </w:p>
    <w:p w14:paraId="4E3F1CB9" w14:textId="41B4A32F"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13" w:history="1">
        <w:r w:rsidR="00943D3C" w:rsidRPr="00943D3C">
          <w:rPr>
            <w:rStyle w:val="Hyperlink"/>
            <w:b/>
            <w:bCs w:val="0"/>
            <w:noProof/>
          </w:rPr>
          <w:t xml:space="preserve">Box 6.4. </w:t>
        </w:r>
        <w:r w:rsidR="00943D3C" w:rsidRPr="00943D3C">
          <w:rPr>
            <w:rStyle w:val="Hyperlink"/>
            <w:noProof/>
          </w:rPr>
          <w:t xml:space="preserve">Restoring the Kafue flats: a case study of integrated management and effective governance of the invasive shrub, </w:t>
        </w:r>
        <w:r w:rsidR="00943D3C" w:rsidRPr="00943D3C">
          <w:rPr>
            <w:rStyle w:val="Hyperlink"/>
            <w:i/>
            <w:noProof/>
          </w:rPr>
          <w:t>Mimosa pigra</w:t>
        </w:r>
        <w:r w:rsidR="00943D3C" w:rsidRPr="00943D3C">
          <w:rPr>
            <w:rStyle w:val="Hyperlink"/>
            <w:noProof/>
          </w:rPr>
          <w:t xml:space="preserve"> in Zambia</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_Toc147418613 \h </w:instrText>
        </w:r>
        <w:r w:rsidR="00943D3C" w:rsidRPr="00943D3C">
          <w:rPr>
            <w:noProof/>
            <w:webHidden/>
          </w:rPr>
        </w:r>
        <w:r w:rsidR="00943D3C" w:rsidRPr="00943D3C">
          <w:rPr>
            <w:noProof/>
            <w:webHidden/>
          </w:rPr>
          <w:fldChar w:fldCharType="separate"/>
        </w:r>
        <w:r w:rsidR="00040684">
          <w:rPr>
            <w:noProof/>
            <w:webHidden/>
          </w:rPr>
          <w:t>27</w:t>
        </w:r>
        <w:r w:rsidR="00943D3C" w:rsidRPr="00943D3C">
          <w:rPr>
            <w:noProof/>
            <w:webHidden/>
          </w:rPr>
          <w:fldChar w:fldCharType="end"/>
        </w:r>
      </w:hyperlink>
    </w:p>
    <w:p w14:paraId="663DBE5F" w14:textId="24987040"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14" w:history="1">
        <w:r w:rsidR="00943D3C" w:rsidRPr="00943D3C">
          <w:rPr>
            <w:rStyle w:val="Hyperlink"/>
            <w:b/>
            <w:bCs w:val="0"/>
            <w:noProof/>
          </w:rPr>
          <w:t xml:space="preserve">Box 6.5. </w:t>
        </w:r>
        <w:r w:rsidR="00943D3C" w:rsidRPr="00943D3C">
          <w:rPr>
            <w:rStyle w:val="Hyperlink"/>
            <w:noProof/>
          </w:rPr>
          <w:t>Integrated governance for biological invasions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_Toc147418614 \h </w:instrText>
        </w:r>
        <w:r w:rsidR="00943D3C" w:rsidRPr="00943D3C">
          <w:rPr>
            <w:noProof/>
            <w:webHidden/>
          </w:rPr>
        </w:r>
        <w:r w:rsidR="00943D3C" w:rsidRPr="00943D3C">
          <w:rPr>
            <w:noProof/>
            <w:webHidden/>
          </w:rPr>
          <w:fldChar w:fldCharType="separate"/>
        </w:r>
        <w:r w:rsidR="00040684">
          <w:rPr>
            <w:noProof/>
            <w:webHidden/>
          </w:rPr>
          <w:t>37</w:t>
        </w:r>
        <w:r w:rsidR="00943D3C" w:rsidRPr="00943D3C">
          <w:rPr>
            <w:noProof/>
            <w:webHidden/>
          </w:rPr>
          <w:fldChar w:fldCharType="end"/>
        </w:r>
      </w:hyperlink>
    </w:p>
    <w:p w14:paraId="69BD2231" w14:textId="5543BADC"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15" w:history="1">
        <w:r w:rsidR="00943D3C" w:rsidRPr="00943D3C">
          <w:rPr>
            <w:rStyle w:val="Hyperlink"/>
            <w:b/>
            <w:bCs w:val="0"/>
            <w:noProof/>
          </w:rPr>
          <w:t xml:space="preserve">Box 6.6. </w:t>
        </w:r>
        <w:r w:rsidR="00943D3C" w:rsidRPr="00943D3C">
          <w:rPr>
            <w:rStyle w:val="Hyperlink"/>
            <w:noProof/>
          </w:rPr>
          <w:t>Governance and management questions to guide decisions on import proposals for aquaculture, horticulture, or silviculture species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_Toc147418615 \h </w:instrText>
        </w:r>
        <w:r w:rsidR="00943D3C" w:rsidRPr="00943D3C">
          <w:rPr>
            <w:noProof/>
            <w:webHidden/>
          </w:rPr>
        </w:r>
        <w:r w:rsidR="00943D3C" w:rsidRPr="00943D3C">
          <w:rPr>
            <w:noProof/>
            <w:webHidden/>
          </w:rPr>
          <w:fldChar w:fldCharType="separate"/>
        </w:r>
        <w:r w:rsidR="00040684">
          <w:rPr>
            <w:noProof/>
            <w:webHidden/>
          </w:rPr>
          <w:t>45</w:t>
        </w:r>
        <w:r w:rsidR="00943D3C" w:rsidRPr="00943D3C">
          <w:rPr>
            <w:noProof/>
            <w:webHidden/>
          </w:rPr>
          <w:fldChar w:fldCharType="end"/>
        </w:r>
      </w:hyperlink>
    </w:p>
    <w:p w14:paraId="17D5B048" w14:textId="2A102A9E"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16" w:history="1">
        <w:r w:rsidR="00943D3C" w:rsidRPr="00943D3C">
          <w:rPr>
            <w:rStyle w:val="Hyperlink"/>
            <w:b/>
            <w:bCs w:val="0"/>
            <w:noProof/>
          </w:rPr>
          <w:t xml:space="preserve">Box 6.7. </w:t>
        </w:r>
        <w:r w:rsidR="00943D3C" w:rsidRPr="00943D3C">
          <w:rPr>
            <w:rStyle w:val="Hyperlink"/>
            <w:noProof/>
          </w:rPr>
          <w:t>The way forward for ornamental horticulture and invasive alien plants: How to reduce risks and achieve sustainability?</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_Toc147418616 \h </w:instrText>
        </w:r>
        <w:r w:rsidR="00943D3C" w:rsidRPr="00943D3C">
          <w:rPr>
            <w:noProof/>
            <w:webHidden/>
          </w:rPr>
        </w:r>
        <w:r w:rsidR="00943D3C" w:rsidRPr="00943D3C">
          <w:rPr>
            <w:noProof/>
            <w:webHidden/>
          </w:rPr>
          <w:fldChar w:fldCharType="separate"/>
        </w:r>
        <w:r w:rsidR="00040684">
          <w:rPr>
            <w:noProof/>
            <w:webHidden/>
          </w:rPr>
          <w:t>54</w:t>
        </w:r>
        <w:r w:rsidR="00943D3C" w:rsidRPr="00943D3C">
          <w:rPr>
            <w:noProof/>
            <w:webHidden/>
          </w:rPr>
          <w:fldChar w:fldCharType="end"/>
        </w:r>
      </w:hyperlink>
    </w:p>
    <w:p w14:paraId="7BD88502" w14:textId="4417B2B4"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17" w:history="1">
        <w:r w:rsidR="00943D3C" w:rsidRPr="00943D3C">
          <w:rPr>
            <w:rStyle w:val="Hyperlink"/>
            <w:b/>
            <w:bCs w:val="0"/>
            <w:noProof/>
          </w:rPr>
          <w:t xml:space="preserve">Box 6.8. </w:t>
        </w:r>
        <w:r w:rsidR="00943D3C" w:rsidRPr="00943D3C">
          <w:rPr>
            <w:rStyle w:val="Hyperlink"/>
            <w:noProof/>
          </w:rPr>
          <w:t>Marine protected areas as hotspots of invasive alien species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_Toc147418617 \h </w:instrText>
        </w:r>
        <w:r w:rsidR="00943D3C" w:rsidRPr="00943D3C">
          <w:rPr>
            <w:noProof/>
            <w:webHidden/>
          </w:rPr>
        </w:r>
        <w:r w:rsidR="00943D3C" w:rsidRPr="00943D3C">
          <w:rPr>
            <w:noProof/>
            <w:webHidden/>
          </w:rPr>
          <w:fldChar w:fldCharType="separate"/>
        </w:r>
        <w:r w:rsidR="00040684">
          <w:rPr>
            <w:noProof/>
            <w:webHidden/>
          </w:rPr>
          <w:t>56</w:t>
        </w:r>
        <w:r w:rsidR="00943D3C" w:rsidRPr="00943D3C">
          <w:rPr>
            <w:noProof/>
            <w:webHidden/>
          </w:rPr>
          <w:fldChar w:fldCharType="end"/>
        </w:r>
      </w:hyperlink>
    </w:p>
    <w:p w14:paraId="3C73892D" w14:textId="1B46A5D9"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18" w:history="1">
        <w:r w:rsidR="00943D3C" w:rsidRPr="00943D3C">
          <w:rPr>
            <w:rStyle w:val="Hyperlink"/>
            <w:b/>
            <w:bCs w:val="0"/>
            <w:noProof/>
          </w:rPr>
          <w:t xml:space="preserve">Box 6.9. </w:t>
        </w:r>
        <w:r w:rsidR="00943D3C" w:rsidRPr="00943D3C">
          <w:rPr>
            <w:rStyle w:val="Hyperlink"/>
            <w:noProof/>
          </w:rPr>
          <w:t>From Regional policy to national priorities: MERCOSUR and European Union cases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_Toc147418618 \h </w:instrText>
        </w:r>
        <w:r w:rsidR="00943D3C" w:rsidRPr="00943D3C">
          <w:rPr>
            <w:noProof/>
            <w:webHidden/>
          </w:rPr>
        </w:r>
        <w:r w:rsidR="00943D3C" w:rsidRPr="00943D3C">
          <w:rPr>
            <w:noProof/>
            <w:webHidden/>
          </w:rPr>
          <w:fldChar w:fldCharType="separate"/>
        </w:r>
        <w:r w:rsidR="00040684">
          <w:rPr>
            <w:noProof/>
            <w:webHidden/>
          </w:rPr>
          <w:t>58</w:t>
        </w:r>
        <w:r w:rsidR="00943D3C" w:rsidRPr="00943D3C">
          <w:rPr>
            <w:noProof/>
            <w:webHidden/>
          </w:rPr>
          <w:fldChar w:fldCharType="end"/>
        </w:r>
      </w:hyperlink>
    </w:p>
    <w:p w14:paraId="3762491B" w14:textId="3D187B11"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19" w:history="1">
        <w:r w:rsidR="00943D3C" w:rsidRPr="00943D3C">
          <w:rPr>
            <w:rStyle w:val="Hyperlink"/>
            <w:b/>
            <w:bCs w:val="0"/>
            <w:noProof/>
          </w:rPr>
          <w:t xml:space="preserve">Box 6.10. </w:t>
        </w:r>
        <w:r w:rsidR="00943D3C" w:rsidRPr="00943D3C">
          <w:rPr>
            <w:rStyle w:val="Hyperlink"/>
            <w:noProof/>
          </w:rPr>
          <w:t>The Committee for Environmental Protection as a coordinating body for Antarctic alien species problems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_Toc147418619 \h </w:instrText>
        </w:r>
        <w:r w:rsidR="00943D3C" w:rsidRPr="00943D3C">
          <w:rPr>
            <w:noProof/>
            <w:webHidden/>
          </w:rPr>
        </w:r>
        <w:r w:rsidR="00943D3C" w:rsidRPr="00943D3C">
          <w:rPr>
            <w:noProof/>
            <w:webHidden/>
          </w:rPr>
          <w:fldChar w:fldCharType="separate"/>
        </w:r>
        <w:r w:rsidR="00040684">
          <w:rPr>
            <w:noProof/>
            <w:webHidden/>
          </w:rPr>
          <w:t>60</w:t>
        </w:r>
        <w:r w:rsidR="00943D3C" w:rsidRPr="00943D3C">
          <w:rPr>
            <w:noProof/>
            <w:webHidden/>
          </w:rPr>
          <w:fldChar w:fldCharType="end"/>
        </w:r>
      </w:hyperlink>
    </w:p>
    <w:p w14:paraId="509B6EC5" w14:textId="351F9BD4"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20" w:history="1">
        <w:r w:rsidR="00943D3C" w:rsidRPr="00943D3C">
          <w:rPr>
            <w:rStyle w:val="Hyperlink"/>
            <w:b/>
            <w:bCs w:val="0"/>
            <w:noProof/>
          </w:rPr>
          <w:t xml:space="preserve">Box 6.11. </w:t>
        </w:r>
        <w:r w:rsidR="00943D3C" w:rsidRPr="00943D3C">
          <w:rPr>
            <w:rStyle w:val="Hyperlink"/>
            <w:noProof/>
          </w:rPr>
          <w:t>Coordinating action against invasive alien species in Great Britain: Great Britain Invasive Species Strategy and integration with plant and animal health</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_Toc147418620 \h </w:instrText>
        </w:r>
        <w:r w:rsidR="00943D3C" w:rsidRPr="00943D3C">
          <w:rPr>
            <w:noProof/>
            <w:webHidden/>
          </w:rPr>
        </w:r>
        <w:r w:rsidR="00943D3C" w:rsidRPr="00943D3C">
          <w:rPr>
            <w:noProof/>
            <w:webHidden/>
          </w:rPr>
          <w:fldChar w:fldCharType="separate"/>
        </w:r>
        <w:r w:rsidR="00040684">
          <w:rPr>
            <w:noProof/>
            <w:webHidden/>
          </w:rPr>
          <w:t>63</w:t>
        </w:r>
        <w:r w:rsidR="00943D3C" w:rsidRPr="00943D3C">
          <w:rPr>
            <w:noProof/>
            <w:webHidden/>
          </w:rPr>
          <w:fldChar w:fldCharType="end"/>
        </w:r>
      </w:hyperlink>
    </w:p>
    <w:p w14:paraId="75F54CDC" w14:textId="7B059545"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21" w:history="1">
        <w:r w:rsidR="00943D3C" w:rsidRPr="00943D3C">
          <w:rPr>
            <w:rStyle w:val="Hyperlink"/>
            <w:b/>
            <w:bCs w:val="0"/>
            <w:noProof/>
          </w:rPr>
          <w:t xml:space="preserve">Box 6.12. </w:t>
        </w:r>
        <w:r w:rsidR="00943D3C" w:rsidRPr="00943D3C">
          <w:rPr>
            <w:rStyle w:val="Hyperlink"/>
            <w:noProof/>
          </w:rPr>
          <w:t>New Zealand’s shift towards adaptive collaborative governance for biological invasions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_Toc147418621 \h </w:instrText>
        </w:r>
        <w:r w:rsidR="00943D3C" w:rsidRPr="00943D3C">
          <w:rPr>
            <w:noProof/>
            <w:webHidden/>
          </w:rPr>
        </w:r>
        <w:r w:rsidR="00943D3C" w:rsidRPr="00943D3C">
          <w:rPr>
            <w:noProof/>
            <w:webHidden/>
          </w:rPr>
          <w:fldChar w:fldCharType="separate"/>
        </w:r>
        <w:r w:rsidR="00040684">
          <w:rPr>
            <w:noProof/>
            <w:webHidden/>
          </w:rPr>
          <w:t>67</w:t>
        </w:r>
        <w:r w:rsidR="00943D3C" w:rsidRPr="00943D3C">
          <w:rPr>
            <w:noProof/>
            <w:webHidden/>
          </w:rPr>
          <w:fldChar w:fldCharType="end"/>
        </w:r>
      </w:hyperlink>
    </w:p>
    <w:p w14:paraId="5E929732" w14:textId="13A57125"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22" w:history="1">
        <w:r w:rsidR="00943D3C" w:rsidRPr="00943D3C">
          <w:rPr>
            <w:rStyle w:val="Hyperlink"/>
            <w:b/>
            <w:bCs w:val="0"/>
            <w:noProof/>
          </w:rPr>
          <w:t xml:space="preserve">Box 6.13. </w:t>
        </w:r>
        <w:r w:rsidR="00943D3C" w:rsidRPr="00943D3C">
          <w:rPr>
            <w:rStyle w:val="Hyperlink"/>
            <w:noProof/>
          </w:rPr>
          <w:t>Invasive alien species control and animal rights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_Toc147418622 \h </w:instrText>
        </w:r>
        <w:r w:rsidR="00943D3C" w:rsidRPr="00943D3C">
          <w:rPr>
            <w:noProof/>
            <w:webHidden/>
          </w:rPr>
        </w:r>
        <w:r w:rsidR="00943D3C" w:rsidRPr="00943D3C">
          <w:rPr>
            <w:noProof/>
            <w:webHidden/>
          </w:rPr>
          <w:fldChar w:fldCharType="separate"/>
        </w:r>
        <w:r w:rsidR="00040684">
          <w:rPr>
            <w:noProof/>
            <w:webHidden/>
          </w:rPr>
          <w:t>70</w:t>
        </w:r>
        <w:r w:rsidR="00943D3C" w:rsidRPr="00943D3C">
          <w:rPr>
            <w:noProof/>
            <w:webHidden/>
          </w:rPr>
          <w:fldChar w:fldCharType="end"/>
        </w:r>
      </w:hyperlink>
    </w:p>
    <w:p w14:paraId="38BF3BFF" w14:textId="70F50473"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23" w:history="1">
        <w:r w:rsidR="00943D3C" w:rsidRPr="00943D3C">
          <w:rPr>
            <w:rStyle w:val="Hyperlink"/>
            <w:b/>
            <w:bCs w:val="0"/>
            <w:noProof/>
          </w:rPr>
          <w:t xml:space="preserve">Box 6.14. </w:t>
        </w:r>
        <w:r w:rsidR="00943D3C" w:rsidRPr="00943D3C">
          <w:rPr>
            <w:rStyle w:val="Hyperlink"/>
            <w:noProof/>
          </w:rPr>
          <w:t>Coordinating American mink eradication in North East Scotland through community partnerships and adaptive management</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_Toc147418623 \h </w:instrText>
        </w:r>
        <w:r w:rsidR="00943D3C" w:rsidRPr="00943D3C">
          <w:rPr>
            <w:noProof/>
            <w:webHidden/>
          </w:rPr>
        </w:r>
        <w:r w:rsidR="00943D3C" w:rsidRPr="00943D3C">
          <w:rPr>
            <w:noProof/>
            <w:webHidden/>
          </w:rPr>
          <w:fldChar w:fldCharType="separate"/>
        </w:r>
        <w:r w:rsidR="00040684">
          <w:rPr>
            <w:noProof/>
            <w:webHidden/>
          </w:rPr>
          <w:t>75</w:t>
        </w:r>
        <w:r w:rsidR="00943D3C" w:rsidRPr="00943D3C">
          <w:rPr>
            <w:noProof/>
            <w:webHidden/>
          </w:rPr>
          <w:fldChar w:fldCharType="end"/>
        </w:r>
      </w:hyperlink>
    </w:p>
    <w:p w14:paraId="1B6D6F85" w14:textId="1618F436"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24" w:history="1">
        <w:r w:rsidR="00943D3C" w:rsidRPr="00943D3C">
          <w:rPr>
            <w:rStyle w:val="Hyperlink"/>
            <w:b/>
            <w:bCs w:val="0"/>
            <w:noProof/>
          </w:rPr>
          <w:t xml:space="preserve">Box 6.15. </w:t>
        </w:r>
        <w:r w:rsidR="00943D3C" w:rsidRPr="00943D3C">
          <w:rPr>
            <w:rStyle w:val="Hyperlink"/>
            <w:noProof/>
          </w:rPr>
          <w:t>Case study illustrating a successful expansion and temporal shift in governance from top-down regulation to community-led action</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_Toc147418624 \h </w:instrText>
        </w:r>
        <w:r w:rsidR="00943D3C" w:rsidRPr="00943D3C">
          <w:rPr>
            <w:noProof/>
            <w:webHidden/>
          </w:rPr>
        </w:r>
        <w:r w:rsidR="00943D3C" w:rsidRPr="00943D3C">
          <w:rPr>
            <w:noProof/>
            <w:webHidden/>
          </w:rPr>
          <w:fldChar w:fldCharType="separate"/>
        </w:r>
        <w:r w:rsidR="00040684">
          <w:rPr>
            <w:noProof/>
            <w:webHidden/>
          </w:rPr>
          <w:t>78</w:t>
        </w:r>
        <w:r w:rsidR="00943D3C" w:rsidRPr="00943D3C">
          <w:rPr>
            <w:noProof/>
            <w:webHidden/>
          </w:rPr>
          <w:fldChar w:fldCharType="end"/>
        </w:r>
      </w:hyperlink>
    </w:p>
    <w:p w14:paraId="505BF88A" w14:textId="56B909B6"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25" w:history="1">
        <w:r w:rsidR="00943D3C" w:rsidRPr="00943D3C">
          <w:rPr>
            <w:rStyle w:val="Hyperlink"/>
            <w:b/>
            <w:bCs w:val="0"/>
            <w:noProof/>
          </w:rPr>
          <w:t xml:space="preserve">Box 6.16. </w:t>
        </w:r>
        <w:r w:rsidR="00943D3C" w:rsidRPr="00943D3C">
          <w:rPr>
            <w:rStyle w:val="Hyperlink"/>
            <w:noProof/>
          </w:rPr>
          <w:t>Two examples of network analysis and adaptive-collaborative governance to strengthen the prevention and control of invasive alien species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_Toc147418625 \h </w:instrText>
        </w:r>
        <w:r w:rsidR="00943D3C" w:rsidRPr="00943D3C">
          <w:rPr>
            <w:noProof/>
            <w:webHidden/>
          </w:rPr>
        </w:r>
        <w:r w:rsidR="00943D3C" w:rsidRPr="00943D3C">
          <w:rPr>
            <w:noProof/>
            <w:webHidden/>
          </w:rPr>
          <w:fldChar w:fldCharType="separate"/>
        </w:r>
        <w:r w:rsidR="00040684">
          <w:rPr>
            <w:noProof/>
            <w:webHidden/>
          </w:rPr>
          <w:t>81</w:t>
        </w:r>
        <w:r w:rsidR="00943D3C" w:rsidRPr="00943D3C">
          <w:rPr>
            <w:noProof/>
            <w:webHidden/>
          </w:rPr>
          <w:fldChar w:fldCharType="end"/>
        </w:r>
      </w:hyperlink>
    </w:p>
    <w:p w14:paraId="735A9AF3" w14:textId="19F34153"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26" w:history="1">
        <w:r w:rsidR="00943D3C" w:rsidRPr="00943D3C">
          <w:rPr>
            <w:rStyle w:val="Hyperlink"/>
            <w:b/>
            <w:bCs w:val="0"/>
            <w:noProof/>
          </w:rPr>
          <w:t xml:space="preserve">Box 6.17. </w:t>
        </w:r>
        <w:r w:rsidR="00943D3C" w:rsidRPr="00943D3C">
          <w:rPr>
            <w:rStyle w:val="Hyperlink"/>
            <w:noProof/>
          </w:rPr>
          <w:t>Synergies with control mechanisms for illicit wildlife trafficking</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_Toc147418626 \h </w:instrText>
        </w:r>
        <w:r w:rsidR="00943D3C" w:rsidRPr="00943D3C">
          <w:rPr>
            <w:noProof/>
            <w:webHidden/>
          </w:rPr>
        </w:r>
        <w:r w:rsidR="00943D3C" w:rsidRPr="00943D3C">
          <w:rPr>
            <w:noProof/>
            <w:webHidden/>
          </w:rPr>
          <w:fldChar w:fldCharType="separate"/>
        </w:r>
        <w:r w:rsidR="00040684">
          <w:rPr>
            <w:noProof/>
            <w:webHidden/>
          </w:rPr>
          <w:t>91</w:t>
        </w:r>
        <w:r w:rsidR="00943D3C" w:rsidRPr="00943D3C">
          <w:rPr>
            <w:noProof/>
            <w:webHidden/>
          </w:rPr>
          <w:fldChar w:fldCharType="end"/>
        </w:r>
      </w:hyperlink>
    </w:p>
    <w:p w14:paraId="75F74DCA" w14:textId="4FFC8EA2"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27" w:history="1">
        <w:r w:rsidR="00943D3C" w:rsidRPr="00943D3C">
          <w:rPr>
            <w:rStyle w:val="Hyperlink"/>
            <w:b/>
            <w:bCs w:val="0"/>
            <w:noProof/>
          </w:rPr>
          <w:t xml:space="preserve">Box 6.18. </w:t>
        </w:r>
        <w:r w:rsidR="00943D3C" w:rsidRPr="00943D3C">
          <w:rPr>
            <w:rStyle w:val="Hyperlink"/>
            <w:noProof/>
          </w:rPr>
          <w:t>A case that illustrates the problems of unknowns in knowledge dissemination is the spread of ash dieback disease in Europe</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_Toc147418627 \h </w:instrText>
        </w:r>
        <w:r w:rsidR="00943D3C" w:rsidRPr="00943D3C">
          <w:rPr>
            <w:noProof/>
            <w:webHidden/>
          </w:rPr>
        </w:r>
        <w:r w:rsidR="00943D3C" w:rsidRPr="00943D3C">
          <w:rPr>
            <w:noProof/>
            <w:webHidden/>
          </w:rPr>
          <w:fldChar w:fldCharType="separate"/>
        </w:r>
        <w:r w:rsidR="00040684">
          <w:rPr>
            <w:noProof/>
            <w:webHidden/>
          </w:rPr>
          <w:t>99</w:t>
        </w:r>
        <w:r w:rsidR="00943D3C" w:rsidRPr="00943D3C">
          <w:rPr>
            <w:noProof/>
            <w:webHidden/>
          </w:rPr>
          <w:fldChar w:fldCharType="end"/>
        </w:r>
      </w:hyperlink>
    </w:p>
    <w:p w14:paraId="2B7045C8" w14:textId="73E34587"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28" w:history="1">
        <w:r w:rsidR="00943D3C" w:rsidRPr="00943D3C">
          <w:rPr>
            <w:rStyle w:val="Hyperlink"/>
            <w:b/>
            <w:bCs w:val="0"/>
            <w:noProof/>
          </w:rPr>
          <w:t xml:space="preserve">Box 6.19. </w:t>
        </w:r>
        <w:r w:rsidR="00943D3C" w:rsidRPr="00943D3C">
          <w:rPr>
            <w:rStyle w:val="Hyperlink"/>
            <w:noProof/>
          </w:rPr>
          <w:t>Genetic tools for detection, characterization and traceability of marine and aquatic invasive alien species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_Toc147418628 \h </w:instrText>
        </w:r>
        <w:r w:rsidR="00943D3C" w:rsidRPr="00943D3C">
          <w:rPr>
            <w:noProof/>
            <w:webHidden/>
          </w:rPr>
        </w:r>
        <w:r w:rsidR="00943D3C" w:rsidRPr="00943D3C">
          <w:rPr>
            <w:noProof/>
            <w:webHidden/>
          </w:rPr>
          <w:fldChar w:fldCharType="separate"/>
        </w:r>
        <w:r w:rsidR="00040684">
          <w:rPr>
            <w:noProof/>
            <w:webHidden/>
          </w:rPr>
          <w:t>100</w:t>
        </w:r>
        <w:r w:rsidR="00943D3C" w:rsidRPr="00943D3C">
          <w:rPr>
            <w:noProof/>
            <w:webHidden/>
          </w:rPr>
          <w:fldChar w:fldCharType="end"/>
        </w:r>
      </w:hyperlink>
    </w:p>
    <w:p w14:paraId="0D31C5D4" w14:textId="0E1E5D99"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29" w:history="1">
        <w:r w:rsidR="00943D3C" w:rsidRPr="00943D3C">
          <w:rPr>
            <w:rStyle w:val="Hyperlink"/>
            <w:b/>
            <w:bCs w:val="0"/>
            <w:noProof/>
          </w:rPr>
          <w:t xml:space="preserve">Box 6.20. </w:t>
        </w:r>
        <w:r w:rsidR="00943D3C" w:rsidRPr="00943D3C">
          <w:rPr>
            <w:rStyle w:val="Hyperlink"/>
            <w:noProof/>
          </w:rPr>
          <w:t>Citizen science for early detection and rapid response</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_Toc147418629 \h </w:instrText>
        </w:r>
        <w:r w:rsidR="00943D3C" w:rsidRPr="00943D3C">
          <w:rPr>
            <w:noProof/>
            <w:webHidden/>
          </w:rPr>
        </w:r>
        <w:r w:rsidR="00943D3C" w:rsidRPr="00943D3C">
          <w:rPr>
            <w:noProof/>
            <w:webHidden/>
          </w:rPr>
          <w:fldChar w:fldCharType="separate"/>
        </w:r>
        <w:r w:rsidR="00040684">
          <w:rPr>
            <w:noProof/>
            <w:webHidden/>
          </w:rPr>
          <w:t>110</w:t>
        </w:r>
        <w:r w:rsidR="00943D3C" w:rsidRPr="00943D3C">
          <w:rPr>
            <w:noProof/>
            <w:webHidden/>
          </w:rPr>
          <w:fldChar w:fldCharType="end"/>
        </w:r>
      </w:hyperlink>
    </w:p>
    <w:p w14:paraId="497F0405" w14:textId="04471A04"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30" w:history="1">
        <w:r w:rsidR="00943D3C" w:rsidRPr="00943D3C">
          <w:rPr>
            <w:rStyle w:val="Hyperlink"/>
            <w:b/>
            <w:bCs w:val="0"/>
            <w:noProof/>
          </w:rPr>
          <w:t xml:space="preserve">Box 6.21. </w:t>
        </w:r>
        <w:r w:rsidR="00943D3C" w:rsidRPr="00943D3C">
          <w:rPr>
            <w:rStyle w:val="Hyperlink"/>
            <w:noProof/>
          </w:rPr>
          <w:t>Institutionalizing invasive alien species monitoring: a case study from India</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_Toc147418630 \h </w:instrText>
        </w:r>
        <w:r w:rsidR="00943D3C" w:rsidRPr="00943D3C">
          <w:rPr>
            <w:noProof/>
            <w:webHidden/>
          </w:rPr>
        </w:r>
        <w:r w:rsidR="00943D3C" w:rsidRPr="00943D3C">
          <w:rPr>
            <w:noProof/>
            <w:webHidden/>
          </w:rPr>
          <w:fldChar w:fldCharType="separate"/>
        </w:r>
        <w:r w:rsidR="00040684">
          <w:rPr>
            <w:noProof/>
            <w:webHidden/>
          </w:rPr>
          <w:t>113</w:t>
        </w:r>
        <w:r w:rsidR="00943D3C" w:rsidRPr="00943D3C">
          <w:rPr>
            <w:noProof/>
            <w:webHidden/>
          </w:rPr>
          <w:fldChar w:fldCharType="end"/>
        </w:r>
      </w:hyperlink>
    </w:p>
    <w:p w14:paraId="28CA21E3" w14:textId="0A56147E"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31" w:history="1">
        <w:r w:rsidR="00943D3C" w:rsidRPr="00943D3C">
          <w:rPr>
            <w:rStyle w:val="Hyperlink"/>
            <w:b/>
            <w:bCs w:val="0"/>
            <w:noProof/>
          </w:rPr>
          <w:t xml:space="preserve">Box 6.22. </w:t>
        </w:r>
        <w:r w:rsidR="00943D3C" w:rsidRPr="00943D3C">
          <w:rPr>
            <w:rStyle w:val="Hyperlink"/>
            <w:noProof/>
          </w:rPr>
          <w:t>Sustainable delivery of information on invasive alien species for reporting on policy and management effectiveness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_Toc147418631 \h </w:instrText>
        </w:r>
        <w:r w:rsidR="00943D3C" w:rsidRPr="00943D3C">
          <w:rPr>
            <w:noProof/>
            <w:webHidden/>
          </w:rPr>
        </w:r>
        <w:r w:rsidR="00943D3C" w:rsidRPr="00943D3C">
          <w:rPr>
            <w:noProof/>
            <w:webHidden/>
          </w:rPr>
          <w:fldChar w:fldCharType="separate"/>
        </w:r>
        <w:r w:rsidR="00040684">
          <w:rPr>
            <w:noProof/>
            <w:webHidden/>
          </w:rPr>
          <w:t>118</w:t>
        </w:r>
        <w:r w:rsidR="00943D3C" w:rsidRPr="00943D3C">
          <w:rPr>
            <w:noProof/>
            <w:webHidden/>
          </w:rPr>
          <w:fldChar w:fldCharType="end"/>
        </w:r>
      </w:hyperlink>
    </w:p>
    <w:p w14:paraId="6D82D4C8" w14:textId="770B96D3" w:rsidR="00943D3C" w:rsidRPr="00943D3C" w:rsidRDefault="007C7AC3" w:rsidP="00943D3C">
      <w:pPr>
        <w:pStyle w:val="TableofFigures"/>
        <w:tabs>
          <w:tab w:val="right" w:leader="dot" w:pos="9614"/>
        </w:tabs>
        <w:spacing w:before="0" w:after="0"/>
        <w:rPr>
          <w:rFonts w:asciiTheme="minorHAnsi" w:hAnsiTheme="minorHAnsi" w:cstheme="minorBidi"/>
          <w:b/>
          <w:bCs w:val="0"/>
          <w:noProof/>
          <w:lang w:val="en-US" w:eastAsia="ja-JP"/>
        </w:rPr>
      </w:pPr>
      <w:hyperlink w:anchor="_Toc147418632" w:history="1">
        <w:r w:rsidR="00943D3C" w:rsidRPr="00943D3C">
          <w:rPr>
            <w:rStyle w:val="Hyperlink"/>
            <w:b/>
            <w:bCs w:val="0"/>
            <w:noProof/>
          </w:rPr>
          <w:t>Box 6</w:t>
        </w:r>
        <w:r w:rsidR="00943D3C" w:rsidRPr="00943D3C">
          <w:rPr>
            <w:rStyle w:val="Hyperlink"/>
            <w:rFonts w:eastAsia="Batang"/>
            <w:b/>
            <w:bCs w:val="0"/>
            <w:noProof/>
            <w:lang w:eastAsia="en-NZ"/>
          </w:rPr>
          <w:t>.23.</w:t>
        </w:r>
        <w:r w:rsidR="00943D3C" w:rsidRPr="00943D3C">
          <w:rPr>
            <w:rStyle w:val="Hyperlink"/>
            <w:noProof/>
          </w:rPr>
          <w:t xml:space="preserve"> Overcoming the implementation gap for invasive alien species</w:t>
        </w:r>
        <w:r w:rsidR="00943D3C" w:rsidRPr="00943D3C">
          <w:rPr>
            <w:noProof/>
            <w:webHidden/>
          </w:rPr>
          <w:tab/>
        </w:r>
        <w:r w:rsidR="00943D3C" w:rsidRPr="00943D3C">
          <w:rPr>
            <w:noProof/>
            <w:webHidden/>
          </w:rPr>
          <w:fldChar w:fldCharType="begin"/>
        </w:r>
        <w:r w:rsidR="00943D3C" w:rsidRPr="00943D3C">
          <w:rPr>
            <w:noProof/>
            <w:webHidden/>
          </w:rPr>
          <w:instrText xml:space="preserve"> PAGEREF _Toc147418632 \h </w:instrText>
        </w:r>
        <w:r w:rsidR="00943D3C" w:rsidRPr="00943D3C">
          <w:rPr>
            <w:noProof/>
            <w:webHidden/>
          </w:rPr>
        </w:r>
        <w:r w:rsidR="00943D3C" w:rsidRPr="00943D3C">
          <w:rPr>
            <w:noProof/>
            <w:webHidden/>
          </w:rPr>
          <w:fldChar w:fldCharType="separate"/>
        </w:r>
        <w:r w:rsidR="00040684">
          <w:rPr>
            <w:noProof/>
            <w:webHidden/>
          </w:rPr>
          <w:t>127</w:t>
        </w:r>
        <w:r w:rsidR="00943D3C" w:rsidRPr="00943D3C">
          <w:rPr>
            <w:noProof/>
            <w:webHidden/>
          </w:rPr>
          <w:fldChar w:fldCharType="end"/>
        </w:r>
      </w:hyperlink>
    </w:p>
    <w:p w14:paraId="590886B9" w14:textId="4F29FC42" w:rsidR="00FE0BFD" w:rsidRPr="00A9434B" w:rsidRDefault="00FE0BFD" w:rsidP="00943D3C">
      <w:pPr>
        <w:spacing w:before="0" w:after="0"/>
        <w:contextualSpacing/>
      </w:pPr>
      <w:r w:rsidRPr="00943D3C">
        <w:rPr>
          <w:b/>
        </w:rPr>
        <w:lastRenderedPageBreak/>
        <w:fldChar w:fldCharType="end"/>
      </w:r>
    </w:p>
    <w:p w14:paraId="1E9AEF30" w14:textId="695D5F80" w:rsidR="00017C04" w:rsidRDefault="00F50AF9" w:rsidP="00192C26">
      <w:pPr>
        <w:rPr>
          <w:b/>
          <w:sz w:val="36"/>
          <w:szCs w:val="36"/>
        </w:rPr>
      </w:pPr>
      <w:r>
        <w:rPr>
          <w:b/>
          <w:sz w:val="36"/>
          <w:szCs w:val="36"/>
        </w:rPr>
        <w:t>List of supplementary materials</w:t>
      </w:r>
      <w:sdt>
        <w:sdtPr>
          <w:id w:val="544334260"/>
          <w:docPartObj>
            <w:docPartGallery w:val="Table of Contents"/>
            <w:docPartUnique/>
          </w:docPartObj>
        </w:sdtPr>
        <w:sdtEndPr/>
        <w:sdtContent>
          <w:r>
            <w:fldChar w:fldCharType="begin"/>
          </w:r>
          <w:r>
            <w:instrText xml:space="preserve"> TOC \h \u \z \t "Heading 1,1,Heading 2,2,Heading 3,3,Heading 4,4,Heading 5,5,Heading 6,6,"</w:instrText>
          </w:r>
          <w:r>
            <w:fldChar w:fldCharType="end"/>
          </w:r>
        </w:sdtContent>
      </w:sdt>
    </w:p>
    <w:p w14:paraId="38D6D73C" w14:textId="77777777" w:rsidR="00017C04" w:rsidRPr="00192C26" w:rsidRDefault="00F50AF9" w:rsidP="00192C26">
      <w:pPr>
        <w:pBdr>
          <w:top w:val="nil"/>
          <w:left w:val="nil"/>
          <w:bottom w:val="nil"/>
          <w:right w:val="nil"/>
          <w:between w:val="nil"/>
        </w:pBdr>
        <w:tabs>
          <w:tab w:val="right" w:pos="9614"/>
        </w:tabs>
        <w:spacing w:before="0" w:after="0"/>
        <w:rPr>
          <w:color w:val="000000"/>
        </w:rPr>
      </w:pPr>
      <w:r w:rsidRPr="00192C26">
        <w:rPr>
          <w:b/>
          <w:color w:val="000000"/>
        </w:rPr>
        <w:t>Supplementary material 6.1.</w:t>
      </w:r>
      <w:r w:rsidRPr="00192C26">
        <w:rPr>
          <w:color w:val="000000"/>
        </w:rPr>
        <w:t xml:space="preserve"> Invasive Alien Species in the Antarctic: Policy and Governance</w:t>
      </w:r>
    </w:p>
    <w:p w14:paraId="250BE7A0" w14:textId="77777777" w:rsidR="00017C04" w:rsidRDefault="00F50AF9" w:rsidP="00192C26">
      <w:pPr>
        <w:spacing w:before="0" w:after="0"/>
      </w:pPr>
      <w:r>
        <w:rPr>
          <w:b/>
        </w:rPr>
        <w:t>Supplementary material 6.2.</w:t>
      </w:r>
      <w:r>
        <w:t xml:space="preserve"> Table of knowledge and data gaps</w:t>
      </w:r>
    </w:p>
    <w:p w14:paraId="54C19BE6" w14:textId="32DA1E35" w:rsidR="00017C04" w:rsidRDefault="00F50AF9" w:rsidP="00943D3C">
      <w:pPr>
        <w:spacing w:before="0" w:after="0"/>
        <w:contextualSpacing/>
        <w:sectPr w:rsidR="00017C04" w:rsidSect="00192C26">
          <w:headerReference w:type="even" r:id="rId20"/>
          <w:headerReference w:type="default" r:id="rId21"/>
          <w:headerReference w:type="first" r:id="rId22"/>
          <w:pgSz w:w="11900" w:h="16840"/>
          <w:pgMar w:top="1138" w:right="1138" w:bottom="1138" w:left="1138" w:header="216" w:footer="720" w:gutter="0"/>
          <w:cols w:space="720"/>
        </w:sectPr>
      </w:pPr>
      <w:r>
        <w:rPr>
          <w:b/>
        </w:rPr>
        <w:t>Supplementary material 6.3.</w:t>
      </w:r>
      <w:r>
        <w:t xml:space="preserve"> Some examples of professional networks working towards the collection of empirical data related to biological invasions across geographic scales and habitats</w:t>
      </w:r>
    </w:p>
    <w:p w14:paraId="228697EE" w14:textId="77777777" w:rsidR="00017C04" w:rsidRDefault="00F50AF9" w:rsidP="00943D3C">
      <w:pPr>
        <w:pStyle w:val="Heading1"/>
        <w:ind w:left="648" w:hanging="648"/>
      </w:pPr>
      <w:bookmarkStart w:id="1" w:name="_Toc225597989"/>
      <w:bookmarkStart w:id="2" w:name="_Toc133428291"/>
      <w:bookmarkStart w:id="3" w:name="_Toc133428777"/>
      <w:bookmarkStart w:id="4" w:name="_Toc147417571"/>
      <w:r>
        <w:lastRenderedPageBreak/>
        <w:t>Executive summary</w:t>
      </w:r>
      <w:bookmarkEnd w:id="1"/>
      <w:bookmarkEnd w:id="2"/>
      <w:bookmarkEnd w:id="3"/>
      <w:bookmarkEnd w:id="4"/>
    </w:p>
    <w:p w14:paraId="207F42FB" w14:textId="13F7CDF8" w:rsidR="00017C04" w:rsidRDefault="00F50AF9">
      <w:r>
        <w:rPr>
          <w:b/>
        </w:rPr>
        <w:t xml:space="preserve">1. Despite some successes over the past decade, there has been limited progress towards meeting international goals and targets for biological invasions, such as Aichi Target 9 of the </w:t>
      </w:r>
      <w:r w:rsidRPr="00943D3C">
        <w:rPr>
          <w:b/>
          <w:color w:val="000000" w:themeColor="text1"/>
        </w:rPr>
        <w:t xml:space="preserve">Strategic Plan for Biodiversity 2011-2020 </w:t>
      </w:r>
      <w:r>
        <w:rPr>
          <w:b/>
        </w:rPr>
        <w:t xml:space="preserve">and Target 15.8 </w:t>
      </w:r>
      <w:r w:rsidRPr="00943D3C">
        <w:rPr>
          <w:b/>
          <w:color w:val="000000" w:themeColor="text1"/>
        </w:rPr>
        <w:t>of the 2030 Agenda for Sustainable Development</w:t>
      </w:r>
      <w:r>
        <w:rPr>
          <w:b/>
        </w:rPr>
        <w:t xml:space="preserve"> (</w:t>
      </w:r>
      <w:r>
        <w:rPr>
          <w:b/>
          <w:i/>
        </w:rPr>
        <w:t>well established</w:t>
      </w:r>
      <w:r>
        <w:rPr>
          <w:b/>
        </w:rPr>
        <w:t>) {6.1.2</w:t>
      </w:r>
      <w:r w:rsidR="001D3AFC">
        <w:rPr>
          <w:b/>
        </w:rPr>
        <w:t>}</w:t>
      </w:r>
      <w:r>
        <w:rPr>
          <w:b/>
        </w:rPr>
        <w:t xml:space="preserve"> </w:t>
      </w:r>
      <w:r w:rsidR="001D3AFC">
        <w:rPr>
          <w:b/>
        </w:rPr>
        <w:t>(</w:t>
      </w:r>
      <w:r w:rsidR="67089033" w:rsidRPr="00A9434B">
        <w:rPr>
          <w:b/>
          <w:bCs/>
        </w:rPr>
        <w:t>Table</w:t>
      </w:r>
      <w:r>
        <w:rPr>
          <w:b/>
        </w:rPr>
        <w:t xml:space="preserve"> 6.4</w:t>
      </w:r>
      <w:r w:rsidR="001D3AFC">
        <w:rPr>
          <w:b/>
        </w:rPr>
        <w:t>)</w:t>
      </w:r>
      <w:r>
        <w:rPr>
          <w:b/>
        </w:rPr>
        <w:t xml:space="preserve">. </w:t>
      </w:r>
      <w:r>
        <w:t>Many countries have little or no funding for activities to prevent or control biological invasions (</w:t>
      </w:r>
      <w:r>
        <w:rPr>
          <w:i/>
        </w:rPr>
        <w:t>well established</w:t>
      </w:r>
      <w:r>
        <w:t>) {6.1.3}, and most national invasive alien species targets lack sufficient ambition to substantively contribute to the achievement of Aichi Biodiversity Target 9 (</w:t>
      </w:r>
      <w:r>
        <w:rPr>
          <w:i/>
        </w:rPr>
        <w:t>well established</w:t>
      </w:r>
      <w:r>
        <w:t>) {6.1.2, 6.3.3}. Legislative and other policy instruments addressing biological invasions and their implementation vary greatly across countries (</w:t>
      </w:r>
      <w:r>
        <w:rPr>
          <w:i/>
        </w:rPr>
        <w:t>well established</w:t>
      </w:r>
      <w:r>
        <w:t>) {6.1.2} and sectors within countries (</w:t>
      </w:r>
      <w:r>
        <w:rPr>
          <w:i/>
        </w:rPr>
        <w:t>well established</w:t>
      </w:r>
      <w:r>
        <w:t>) {6.3.1.1, 6.3.3.1}. Data for assessing the effectiveness of pathway- and species-management are mostly unavailable (</w:t>
      </w:r>
      <w:r>
        <w:rPr>
          <w:i/>
        </w:rPr>
        <w:t>well established</w:t>
      </w:r>
      <w:r>
        <w:t>) {6.6.1.2}, highlighting the need for the generation of new and up-to-date information on the appropriate level of implementation and on the successes and failures of management interventions {6.6.1, 6.7.2.6}. Furthermore, there is limited dedicated interdisciplinary research on the governance for biological invasions in a broader environmental governance context (</w:t>
      </w:r>
      <w:r>
        <w:rPr>
          <w:i/>
        </w:rPr>
        <w:t>well established</w:t>
      </w:r>
      <w:r>
        <w:t>) {6.2.2, 6.3.3.3, 6.6.1.4}.</w:t>
      </w:r>
    </w:p>
    <w:p w14:paraId="4D394F87" w14:textId="1218C6CF" w:rsidR="00017C04" w:rsidRDefault="00F50AF9">
      <w:r>
        <w:rPr>
          <w:b/>
        </w:rPr>
        <w:t>2. Effective governance for biological invasions can address policy gaps and limits, and improve policy coherence and its implementation (</w:t>
      </w:r>
      <w:r>
        <w:rPr>
          <w:b/>
          <w:i/>
        </w:rPr>
        <w:t>well established</w:t>
      </w:r>
      <w:r>
        <w:rPr>
          <w:b/>
        </w:rPr>
        <w:t>) {6.2.3, 6.7.2.3}.</w:t>
      </w:r>
      <w:r>
        <w:t xml:space="preserve"> This could be achieved with </w:t>
      </w:r>
      <w:r w:rsidR="00273868">
        <w:t xml:space="preserve">a </w:t>
      </w:r>
      <w:r w:rsidR="001E32D8">
        <w:t xml:space="preserve">context-specific </w:t>
      </w:r>
      <w:r>
        <w:t>integrated governance approach for biological invasions, that focuses on coordinated and sequential implementation of strategic actions (</w:t>
      </w:r>
      <w:r>
        <w:rPr>
          <w:i/>
        </w:rPr>
        <w:t>established but incomplete</w:t>
      </w:r>
      <w:r>
        <w:t>) {6.2.4, 6.7.2}. Integrated governance can be achieved through robust institutions that are responsive to changing contexts, and strategies to ensure effective implementation of strategic actions (</w:t>
      </w:r>
      <w:r>
        <w:rPr>
          <w:i/>
        </w:rPr>
        <w:t>well established</w:t>
      </w:r>
      <w:r>
        <w:t>) {6.7.3</w:t>
      </w:r>
      <w:r w:rsidR="001D3AFC">
        <w:t>} (</w:t>
      </w:r>
      <w:r w:rsidR="67089033" w:rsidRPr="00A9434B">
        <w:rPr>
          <w:lang w:eastAsia="en-US"/>
        </w:rPr>
        <w:t>Figure</w:t>
      </w:r>
      <w:r>
        <w:t xml:space="preserve"> 6.21</w:t>
      </w:r>
      <w:r w:rsidR="001D3AFC">
        <w:t xml:space="preserve">). </w:t>
      </w:r>
      <w:r>
        <w:t>A conducive environment for integrated governance is equitable and respects different value systems and perspectives (</w:t>
      </w:r>
      <w:r>
        <w:rPr>
          <w:i/>
        </w:rPr>
        <w:t>well established</w:t>
      </w:r>
      <w:r>
        <w:t>) {6.7.3</w:t>
      </w:r>
      <w:r w:rsidR="001D3AFC">
        <w:t>} (</w:t>
      </w:r>
      <w:r w:rsidR="67089033" w:rsidRPr="00A9434B">
        <w:rPr>
          <w:lang w:eastAsia="en-US"/>
        </w:rPr>
        <w:t>Figure</w:t>
      </w:r>
      <w:r>
        <w:t xml:space="preserve"> 6.21</w:t>
      </w:r>
      <w:r w:rsidR="001D3AFC">
        <w:t xml:space="preserve">). </w:t>
      </w:r>
      <w:r>
        <w:t>This in turn promotes inclusive decision-making</w:t>
      </w:r>
      <w:r w:rsidR="001F2336">
        <w:t xml:space="preserve">, </w:t>
      </w:r>
      <w:r>
        <w:t xml:space="preserve">shared </w:t>
      </w:r>
      <w:r w:rsidR="00EA5F9D" w:rsidRPr="00AA5CD6">
        <w:t>efforts and commitments</w:t>
      </w:r>
      <w:r w:rsidR="00EA5F9D">
        <w:t>,</w:t>
      </w:r>
      <w:r w:rsidR="00EA5F9D" w:rsidRPr="00AA5CD6">
        <w:t xml:space="preserve"> </w:t>
      </w:r>
      <w:r w:rsidR="00EA5F9D">
        <w:t xml:space="preserve">the </w:t>
      </w:r>
      <w:r w:rsidR="00EA5F9D" w:rsidRPr="00AA5CD6">
        <w:t>understanding of specific roles of all actors</w:t>
      </w:r>
      <w:r>
        <w:t>, catalyses the sharing of knowledge, data and resources, and promotes the development and implementation of multidisciplinary solutions (</w:t>
      </w:r>
      <w:r>
        <w:rPr>
          <w:i/>
        </w:rPr>
        <w:t>well established</w:t>
      </w:r>
      <w:r>
        <w:t>) {6.7.2</w:t>
      </w:r>
      <w:r w:rsidR="001D3AFC">
        <w:t>} (</w:t>
      </w:r>
      <w:r w:rsidR="67089033" w:rsidRPr="00A9434B">
        <w:rPr>
          <w:lang w:eastAsia="en-US"/>
        </w:rPr>
        <w:t>Figure</w:t>
      </w:r>
      <w:r>
        <w:t xml:space="preserve"> 6.21</w:t>
      </w:r>
      <w:r w:rsidR="001D3AFC">
        <w:t xml:space="preserve">). </w:t>
      </w:r>
      <w:r>
        <w:t>Integrated governance includes explicitly considering negotiation and trade-offs as an integral part of the process (</w:t>
      </w:r>
      <w:r>
        <w:rPr>
          <w:i/>
        </w:rPr>
        <w:t>established but incomplete</w:t>
      </w:r>
      <w:r>
        <w:t>) {6.2.2</w:t>
      </w:r>
      <w:r w:rsidR="001D3AFC">
        <w:t>} (</w:t>
      </w:r>
      <w:r w:rsidR="67089033" w:rsidRPr="00A9434B">
        <w:rPr>
          <w:lang w:eastAsia="en-US"/>
        </w:rPr>
        <w:t>Figure</w:t>
      </w:r>
      <w:r>
        <w:t xml:space="preserve"> 6.21</w:t>
      </w:r>
      <w:r w:rsidR="001D3AFC">
        <w:t xml:space="preserve">). </w:t>
      </w:r>
      <w:r>
        <w:t>By focusing on the relationships between the scales, levels of governance, sectors</w:t>
      </w:r>
      <w:r w:rsidR="00896CEC">
        <w:t xml:space="preserve"> and</w:t>
      </w:r>
      <w:r>
        <w:t xml:space="preserve"> stakeholders involved, the integrated governance approach identifies and addresses feedbacks, efficiencies</w:t>
      </w:r>
      <w:r w:rsidR="00896CEC">
        <w:t xml:space="preserve"> and</w:t>
      </w:r>
      <w:r>
        <w:t xml:space="preserve"> trade-offs in the management of biological invasions (</w:t>
      </w:r>
      <w:r>
        <w:rPr>
          <w:i/>
        </w:rPr>
        <w:t>well established</w:t>
      </w:r>
      <w:r>
        <w:t>) {6.2.4, 6.2.3.3, 6.7.2, 6.7.3}</w:t>
      </w:r>
      <w:r w:rsidR="001D3AFC">
        <w:t xml:space="preserve"> (</w:t>
      </w:r>
      <w:r w:rsidR="001D3AFC" w:rsidRPr="00A9434B">
        <w:rPr>
          <w:lang w:eastAsia="en-US"/>
        </w:rPr>
        <w:t>Table</w:t>
      </w:r>
      <w:r w:rsidR="001D3AFC">
        <w:t xml:space="preserve"> 6.7)</w:t>
      </w:r>
      <w:r>
        <w:t>.</w:t>
      </w:r>
    </w:p>
    <w:p w14:paraId="2AACDEA9" w14:textId="7169FC0F" w:rsidR="00017C04" w:rsidRDefault="00F50AF9" w:rsidP="00C12647">
      <w:pPr>
        <w:spacing w:line="259" w:lineRule="auto"/>
      </w:pPr>
      <w:r w:rsidRPr="25C90E76">
        <w:rPr>
          <w:b/>
          <w:bCs/>
        </w:rPr>
        <w:t>3. Multilateral coordination and cooperation are key for bringing about progress towards achieving invasive alien species goals and targets, and coherent, mutually supportive actions (</w:t>
      </w:r>
      <w:r w:rsidRPr="25C90E76">
        <w:rPr>
          <w:b/>
          <w:bCs/>
          <w:i/>
          <w:iCs/>
        </w:rPr>
        <w:t>well established</w:t>
      </w:r>
      <w:r w:rsidRPr="25C90E76">
        <w:rPr>
          <w:b/>
          <w:bCs/>
        </w:rPr>
        <w:t>) {6.2.3.3, 6.3.2.3, 6.4.4, 6.7.2.2}.</w:t>
      </w:r>
      <w:r>
        <w:t xml:space="preserve"> Widespread and purposeful cooperation could improve the effectiveness of policy instruments to prevent and control </w:t>
      </w:r>
      <w:r w:rsidR="1DB5D594">
        <w:t>invasive alien species</w:t>
      </w:r>
      <w:r>
        <w:t xml:space="preserve"> (</w:t>
      </w:r>
      <w:r w:rsidRPr="25C90E76">
        <w:rPr>
          <w:i/>
          <w:iCs/>
        </w:rPr>
        <w:t>well established</w:t>
      </w:r>
      <w:r>
        <w:t xml:space="preserve">) {6.3.2.3, 6.7.2.2}. The need for cooperation emerges from the diversity of stakeholders and perspectives involved {6.4.1}; problems created by uncoordinated responses and little-considered trade-offs across sectors {6.3.1.1, 6.7.2.2}; the multiple geopolitical scales at which policy and management are needed {6.3.2}; widespread economic constraints in some regions {6.1.3}; and the interdependence between </w:t>
      </w:r>
      <w:r w:rsidR="299CB402" w:rsidRPr="00192C26">
        <w:t>invasive alien species</w:t>
      </w:r>
      <w:r>
        <w:t xml:space="preserve"> and other drivers of change </w:t>
      </w:r>
      <w:r w:rsidR="36A92977">
        <w:t xml:space="preserve">in nature </w:t>
      </w:r>
      <w:r>
        <w:t>{6.3.1.3, 6.7.2.2} (</w:t>
      </w:r>
      <w:r w:rsidRPr="25C90E76">
        <w:rPr>
          <w:i/>
          <w:iCs/>
        </w:rPr>
        <w:t>established but incomplete</w:t>
      </w:r>
      <w:r>
        <w:t xml:space="preserve">). Strategies for achieving such cooperation and for managing the collective action costs of widespread collaboration can include: </w:t>
      </w:r>
      <w:r w:rsidR="002A02B1">
        <w:t>enhancing coordination and collaboration across international and regional mechanisms</w:t>
      </w:r>
      <w:r>
        <w:t xml:space="preserve"> {6.2.3.4, 6.7.4}; long-term resourcing, including developing the capacity needed, and commitment from governments and </w:t>
      </w:r>
      <w:r>
        <w:lastRenderedPageBreak/>
        <w:t>institutions at the highest levels {6.2.3.2, 6.5.1, 6.7.2.3}</w:t>
      </w:r>
      <w:r w:rsidR="001D3AFC">
        <w:t xml:space="preserve"> (</w:t>
      </w:r>
      <w:r w:rsidR="001D3AFC" w:rsidRPr="00A9434B">
        <w:t>Table</w:t>
      </w:r>
      <w:r w:rsidR="001D3AFC">
        <w:t xml:space="preserve"> 6.1)</w:t>
      </w:r>
      <w:r>
        <w:t>. Other options to accelerate progress include research on the relationships between actors and institutions {6.6.1}; engagement of the general public including awareness campaigns {6.2.3.3, 6.4.2.2, 6.6.2.1}; inclusion of Indigenous Peoples and local communities and recognition of their rights {6.4.3.1, 6.4.3.2, 6.6.1.5}, and information platforms to support decision-making that are developed and sustained for the long-term (</w:t>
      </w:r>
      <w:r w:rsidRPr="25C90E76">
        <w:rPr>
          <w:i/>
          <w:iCs/>
        </w:rPr>
        <w:t>established but incomplete</w:t>
      </w:r>
      <w:r>
        <w:t>) {6.2.3.1(3), 6.6.2}.</w:t>
      </w:r>
    </w:p>
    <w:p w14:paraId="44E6D375" w14:textId="08954269" w:rsidR="00017C04" w:rsidRDefault="00F50AF9" w:rsidP="56C59A3A">
      <w:r w:rsidRPr="56C59A3A">
        <w:rPr>
          <w:b/>
          <w:bCs/>
        </w:rPr>
        <w:t>4. One of the most effective ways to manage biological invasions is to develop policy instruments that seek synergies between human health, agriculture, forestry, fisheries and environment sectors at national and international levels (</w:t>
      </w:r>
      <w:r w:rsidRPr="56C59A3A">
        <w:rPr>
          <w:b/>
          <w:bCs/>
          <w:i/>
          <w:iCs/>
        </w:rPr>
        <w:t>established but incomplete</w:t>
      </w:r>
      <w:r w:rsidRPr="56C59A3A">
        <w:rPr>
          <w:b/>
          <w:bCs/>
        </w:rPr>
        <w:t xml:space="preserve">) {6.1.2, 6.3.1.1}. </w:t>
      </w:r>
      <w:r>
        <w:t>Many national laws and regulations, as well as multilateral agreements, aimed at preventing the introduction of invasive alien species have been adopted (</w:t>
      </w:r>
      <w:r w:rsidRPr="56C59A3A">
        <w:rPr>
          <w:i/>
          <w:iCs/>
        </w:rPr>
        <w:t>well established</w:t>
      </w:r>
      <w:r>
        <w:t xml:space="preserve">) {6.1.2}. They have jointly contributed to reducing the risk of </w:t>
      </w:r>
      <w:r w:rsidR="5D0F5CF1">
        <w:t>invasive alien species</w:t>
      </w:r>
      <w:r w:rsidR="00F80082">
        <w:t>’</w:t>
      </w:r>
      <w:r>
        <w:t xml:space="preserve"> impacts on nature’s contributions to people and good quality of life (</w:t>
      </w:r>
      <w:r w:rsidRPr="56C59A3A">
        <w:rPr>
          <w:i/>
          <w:iCs/>
        </w:rPr>
        <w:t>well established</w:t>
      </w:r>
      <w:r>
        <w:t>) {6.1.2}. However, there are still gaps, limitations, and inconsistencies in the scope, taxonomic coverage, procedures</w:t>
      </w:r>
      <w:r w:rsidR="00896CEC">
        <w:t xml:space="preserve"> and</w:t>
      </w:r>
      <w:r>
        <w:t xml:space="preserve"> standards of current policy instruments both within countries and across regions (</w:t>
      </w:r>
      <w:r w:rsidRPr="56C59A3A">
        <w:rPr>
          <w:i/>
          <w:iCs/>
        </w:rPr>
        <w:t>well established</w:t>
      </w:r>
      <w:r>
        <w:t>) {6.2.2}. Close collaboration between the different national agencies overseeing trade policy, agriculture and forestry, the environment and health can deliver a coordinated approach to biological invasions (</w:t>
      </w:r>
      <w:r w:rsidRPr="56C59A3A">
        <w:rPr>
          <w:i/>
          <w:iCs/>
        </w:rPr>
        <w:t>well established</w:t>
      </w:r>
      <w:r>
        <w:t>) {6.3.1.1}. Existing approaches for achieving the necessary coordination (such as EcoHealth, One Health</w:t>
      </w:r>
      <w:r w:rsidR="00896CEC">
        <w:t xml:space="preserve"> and</w:t>
      </w:r>
      <w:r>
        <w:t xml:space="preserve"> One Biosecurity approaches) provide frameworks for cross-disciplinary thinking in support of the development and implementation of policies and policy instruments (</w:t>
      </w:r>
      <w:r w:rsidRPr="56C59A3A">
        <w:rPr>
          <w:i/>
          <w:iCs/>
        </w:rPr>
        <w:t>established but incomplete</w:t>
      </w:r>
      <w:r>
        <w:t>) {6.3.1.1, 6.7.2.2}. While economic incentives can potentially enhance compliance with biosecurity protocols (</w:t>
      </w:r>
      <w:r w:rsidRPr="56C59A3A">
        <w:rPr>
          <w:i/>
          <w:iCs/>
        </w:rPr>
        <w:t>established but incomplete</w:t>
      </w:r>
      <w:r>
        <w:t xml:space="preserve">) {6.5.2.1}; financial deterrents in the form of tariffs and penalty systems can also be used to prevent mismanagement of species introductions and </w:t>
      </w:r>
      <w:r w:rsidRPr="56C59A3A">
        <w:rPr>
          <w:color w:val="000000" w:themeColor="text1"/>
        </w:rPr>
        <w:t xml:space="preserve">the revenues they generate </w:t>
      </w:r>
      <w:r>
        <w:t>as means to fund incentives and/or government control programmes (</w:t>
      </w:r>
      <w:r w:rsidRPr="56C59A3A">
        <w:rPr>
          <w:i/>
          <w:iCs/>
        </w:rPr>
        <w:t>established but incomplete</w:t>
      </w:r>
      <w:r>
        <w:t xml:space="preserve">) {6.5.2.2, 6.5.2.3, 6.5.3, 6.5.4, 6.5.6}. </w:t>
      </w:r>
      <w:r w:rsidRPr="56C59A3A">
        <w:rPr>
          <w:color w:val="000000" w:themeColor="text1"/>
        </w:rPr>
        <w:t>Governance for biological invasions would also benefit from the expansion of dedicated inter- and transdisciplinary research</w:t>
      </w:r>
      <w:r>
        <w:t xml:space="preserve"> (</w:t>
      </w:r>
      <w:r w:rsidRPr="56C59A3A">
        <w:rPr>
          <w:i/>
          <w:iCs/>
        </w:rPr>
        <w:t>well established</w:t>
      </w:r>
      <w:r>
        <w:t>) {6.2.4, 6.6.1.4}.</w:t>
      </w:r>
      <w:r w:rsidRPr="56C59A3A">
        <w:rPr>
          <w:color w:val="000000" w:themeColor="text1"/>
        </w:rPr>
        <w:t xml:space="preserve"> Research on the impacts of </w:t>
      </w:r>
      <w:r w:rsidR="27D248D3">
        <w:t>invasive alien species</w:t>
      </w:r>
      <w:r w:rsidR="27D248D3" w:rsidRPr="56C59A3A">
        <w:rPr>
          <w:color w:val="000000" w:themeColor="text1"/>
        </w:rPr>
        <w:t xml:space="preserve"> </w:t>
      </w:r>
      <w:r w:rsidRPr="56C59A3A">
        <w:rPr>
          <w:color w:val="000000" w:themeColor="text1"/>
        </w:rPr>
        <w:t xml:space="preserve">across the health, agriculture, forestry, fisheries and environment sectors could support the development of coherent policy instruments </w:t>
      </w:r>
      <w:r>
        <w:t>(</w:t>
      </w:r>
      <w:r w:rsidRPr="56C59A3A">
        <w:rPr>
          <w:i/>
          <w:iCs/>
        </w:rPr>
        <w:t>established but incomplete</w:t>
      </w:r>
      <w:r>
        <w:t>) {6.2.4</w:t>
      </w:r>
      <w:r w:rsidR="001D3AFC">
        <w:t>} (</w:t>
      </w:r>
      <w:r w:rsidR="003914C5" w:rsidRPr="00A9434B">
        <w:t>Table</w:t>
      </w:r>
      <w:r>
        <w:t xml:space="preserve"> 6.2</w:t>
      </w:r>
      <w:r w:rsidR="001D3AFC">
        <w:rPr>
          <w:color w:val="000000" w:themeColor="text1"/>
        </w:rPr>
        <w:t>)</w:t>
      </w:r>
      <w:r w:rsidR="001D3AFC">
        <w:t>.</w:t>
      </w:r>
    </w:p>
    <w:p w14:paraId="664B1614" w14:textId="2DB636EC" w:rsidR="00017C04" w:rsidRDefault="00F50AF9" w:rsidP="56C59A3A">
      <w:r w:rsidRPr="56C59A3A">
        <w:rPr>
          <w:b/>
          <w:bCs/>
        </w:rPr>
        <w:t>5. Implementation-focused national strategies and action planning for biological invasions, aligned with international regulatory frameworks, could stimulate action</w:t>
      </w:r>
      <w:r w:rsidR="00896CEC">
        <w:rPr>
          <w:b/>
          <w:bCs/>
        </w:rPr>
        <w:t xml:space="preserve"> and</w:t>
      </w:r>
      <w:r w:rsidRPr="56C59A3A">
        <w:rPr>
          <w:b/>
          <w:bCs/>
        </w:rPr>
        <w:t xml:space="preserve"> help improve the effectiveness and efficiency of management efforts (</w:t>
      </w:r>
      <w:r w:rsidRPr="56C59A3A">
        <w:rPr>
          <w:b/>
          <w:bCs/>
          <w:i/>
          <w:iCs/>
        </w:rPr>
        <w:t>well established</w:t>
      </w:r>
      <w:r w:rsidRPr="56C59A3A">
        <w:rPr>
          <w:b/>
          <w:bCs/>
        </w:rPr>
        <w:t xml:space="preserve">) {6.2.3.2, 6.3.3.1, 6.7.2.3}. </w:t>
      </w:r>
      <w:r>
        <w:t xml:space="preserve">Implementation-focused strategies and action plans can provide enabling conditions for the successful governance of biological invasions, including </w:t>
      </w:r>
      <w:r w:rsidR="00426019">
        <w:t xml:space="preserve">coordination and collaboration across international and regional mechanisms </w:t>
      </w:r>
      <w:r>
        <w:t>(</w:t>
      </w:r>
      <w:r w:rsidRPr="56C59A3A">
        <w:rPr>
          <w:i/>
          <w:iCs/>
        </w:rPr>
        <w:t>established but incomplete</w:t>
      </w:r>
      <w:r>
        <w:t>) {6.2.4, 6.7.3}, legal, regulatory</w:t>
      </w:r>
      <w:r w:rsidR="00896CEC">
        <w:t xml:space="preserve"> and</w:t>
      </w:r>
      <w:r>
        <w:t xml:space="preserve"> institutional frameworks {6.3.3.1}, market-based instruments that provide economic incentives and deterrents {6.5.2}</w:t>
      </w:r>
      <w:r w:rsidR="00896CEC">
        <w:t xml:space="preserve"> and</w:t>
      </w:r>
      <w:r>
        <w:t xml:space="preserve"> multisector inclusion {6.2.3.3, 6.3.1.1}. These national strategies could prioritize the measurement and monitoring of the resource inputs, processes, outputs</w:t>
      </w:r>
      <w:r w:rsidR="00896CEC">
        <w:t xml:space="preserve"> and</w:t>
      </w:r>
      <w:r>
        <w:t xml:space="preserve"> outcomes needed to improve implementation and accelerate progress towards meeting invasive alien species goals and targets at multiple levels of governance (</w:t>
      </w:r>
      <w:r w:rsidRPr="56C59A3A">
        <w:rPr>
          <w:i/>
          <w:iCs/>
        </w:rPr>
        <w:t>established but incomplete</w:t>
      </w:r>
      <w:r>
        <w:t>) {6.2.3, 6.3.3.3, 6.6.2, 6.6.3, 6.7.2.6}. National strategies can define the governance models, policy instruments</w:t>
      </w:r>
      <w:r w:rsidR="00896CEC">
        <w:t xml:space="preserve"> and</w:t>
      </w:r>
      <w:r>
        <w:t xml:space="preserve"> support tools needed to ensure shared </w:t>
      </w:r>
      <w:r w:rsidR="00AA183F">
        <w:t>ef</w:t>
      </w:r>
      <w:r w:rsidR="00AA183F" w:rsidRPr="00AA183F">
        <w:t>forts and commitments, and understanding of the specific roles of all actors</w:t>
      </w:r>
      <w:r w:rsidR="00AA183F" w:rsidRPr="00AA183F" w:rsidDel="00AA183F">
        <w:t xml:space="preserve"> </w:t>
      </w:r>
      <w:r>
        <w:t>(</w:t>
      </w:r>
      <w:r w:rsidRPr="56C59A3A">
        <w:rPr>
          <w:i/>
          <w:iCs/>
        </w:rPr>
        <w:t>well established</w:t>
      </w:r>
      <w:r>
        <w:t>) {6.2.3.2, 6.7.2.5} and include plans for the effective engagement across private and government stakeholders and Indigenous Peoples and local communities (</w:t>
      </w:r>
      <w:r w:rsidRPr="56C59A3A">
        <w:rPr>
          <w:i/>
          <w:iCs/>
        </w:rPr>
        <w:t>established but incomplete</w:t>
      </w:r>
      <w:r>
        <w:t xml:space="preserve">) {6.4.3, 6.6.1.5, 6.7.2.4, 6.7.2.5}. They can also include market-based instruments to fund and promote activities to prevent and manage biological invasions in national budgets </w:t>
      </w:r>
      <w:r w:rsidRPr="56C59A3A">
        <w:rPr>
          <w:color w:val="0E101A"/>
        </w:rPr>
        <w:t>(</w:t>
      </w:r>
      <w:r w:rsidRPr="56C59A3A">
        <w:rPr>
          <w:i/>
          <w:iCs/>
          <w:color w:val="0E101A"/>
        </w:rPr>
        <w:t>established but incomplete</w:t>
      </w:r>
      <w:r w:rsidRPr="56C59A3A">
        <w:rPr>
          <w:color w:val="0E101A"/>
        </w:rPr>
        <w:t xml:space="preserve">) {6.5.2, 6.5.3, 6.5.4, 6.5.6} </w:t>
      </w:r>
      <w:r>
        <w:t>and ensure the efficient use of resources for biological invasions (</w:t>
      </w:r>
      <w:r w:rsidRPr="56C59A3A">
        <w:rPr>
          <w:i/>
          <w:iCs/>
        </w:rPr>
        <w:t>well established</w:t>
      </w:r>
      <w:r>
        <w:t>) {6.2.3.2, 6.2.3.4, 6.3.3.2, 6.7.2.2}.</w:t>
      </w:r>
      <w:r w:rsidRPr="56C59A3A">
        <w:rPr>
          <w:color w:val="0E101A"/>
        </w:rPr>
        <w:t xml:space="preserve"> </w:t>
      </w:r>
      <w:r>
        <w:t>National strategies provide a mechanism to operationalize the Convention on Biological Diversity’s fifteen guiding principles for the prevention, control</w:t>
      </w:r>
      <w:r w:rsidR="00896CEC">
        <w:t xml:space="preserve"> and</w:t>
      </w:r>
      <w:r>
        <w:t xml:space="preserve"> mitigation of impacts of </w:t>
      </w:r>
      <w:r w:rsidR="17E01DC4">
        <w:lastRenderedPageBreak/>
        <w:t>invasive alien species</w:t>
      </w:r>
      <w:r>
        <w:t>, which remain highly relevant but are not yet adequately implemented (</w:t>
      </w:r>
      <w:r w:rsidRPr="56C59A3A">
        <w:rPr>
          <w:i/>
          <w:iCs/>
        </w:rPr>
        <w:t>well established</w:t>
      </w:r>
      <w:r>
        <w:t xml:space="preserve">) {6.1.2, 6.2.3.2, 6.3.3.3, 6.7.2.3}. National strategies are central to guiding actions to implement </w:t>
      </w:r>
      <w:r w:rsidR="007E57EB">
        <w:t>contex</w:t>
      </w:r>
      <w:r w:rsidR="00A37761">
        <w:t>t-</w:t>
      </w:r>
      <w:r w:rsidR="007E57EB">
        <w:t xml:space="preserve">specific </w:t>
      </w:r>
      <w:r>
        <w:t>integrated governance for</w:t>
      </w:r>
      <w:r w:rsidR="00F80082">
        <w:t xml:space="preserve"> addressing</w:t>
      </w:r>
      <w:r>
        <w:t xml:space="preserve"> biological invasions (</w:t>
      </w:r>
      <w:r w:rsidRPr="56C59A3A">
        <w:rPr>
          <w:i/>
          <w:iCs/>
        </w:rPr>
        <w:t>established but incomplete</w:t>
      </w:r>
      <w:r>
        <w:t>) {6.2.4, 6.7.1}.</w:t>
      </w:r>
    </w:p>
    <w:p w14:paraId="699AF0A7" w14:textId="7520D33D" w:rsidR="00017C04" w:rsidRDefault="00F50AF9">
      <w:r>
        <w:rPr>
          <w:b/>
        </w:rPr>
        <w:t>6. An open, interoperable information platform can effectively support changing information needs on biological invasions and enable the rapid flow of information for decisions across international, national</w:t>
      </w:r>
      <w:r w:rsidR="00896CEC">
        <w:rPr>
          <w:b/>
        </w:rPr>
        <w:t xml:space="preserve"> and</w:t>
      </w:r>
      <w:r>
        <w:rPr>
          <w:b/>
        </w:rPr>
        <w:t xml:space="preserve"> local levels (</w:t>
      </w:r>
      <w:r>
        <w:rPr>
          <w:b/>
          <w:i/>
        </w:rPr>
        <w:t>well established</w:t>
      </w:r>
      <w:r>
        <w:rPr>
          <w:b/>
        </w:rPr>
        <w:t>) {6.6.2.3, 6.6.2.4, 6.6.3, 6.7.2.6</w:t>
      </w:r>
      <w:r w:rsidRPr="00C12647">
        <w:rPr>
          <w:b/>
          <w:color w:val="000000"/>
        </w:rPr>
        <w:t>}</w:t>
      </w:r>
      <w:r w:rsidRPr="00C12647">
        <w:rPr>
          <w:color w:val="000000"/>
        </w:rPr>
        <w:t xml:space="preserve">. </w:t>
      </w:r>
      <w:r>
        <w:t>Such a platform could ensure that knowledge is readily available to all stakeholders involved in addressing biological invasions, particularly for those whose actions are currently limited by a lack of resources (</w:t>
      </w:r>
      <w:r>
        <w:rPr>
          <w:i/>
        </w:rPr>
        <w:t>well established</w:t>
      </w:r>
      <w:r>
        <w:t xml:space="preserve">) {6.6.2.3, 6.6.3, 6.7.2.6}. Integrated data workflows and rapid data publication could considerably reduce the time lag between the establishment of evidence and making the evidence available for a wider community and for policy, including </w:t>
      </w:r>
      <w:r w:rsidR="00F80082">
        <w:t xml:space="preserve">regarding </w:t>
      </w:r>
      <w:r>
        <w:t>Target 6 of the Kunming-Montreal Global Biodiversity Framework (</w:t>
      </w:r>
      <w:r>
        <w:rPr>
          <w:i/>
        </w:rPr>
        <w:t>well established</w:t>
      </w:r>
      <w:r>
        <w:t>) {6.6.2.3}. Conforming to the data principles of findability, accessibility, interoperability</w:t>
      </w:r>
      <w:r w:rsidR="00896CEC">
        <w:t xml:space="preserve"> and</w:t>
      </w:r>
      <w:r>
        <w:t xml:space="preserve"> reusability (FAIR) makes data easier to access and use for monitoring, modelling</w:t>
      </w:r>
      <w:r w:rsidR="00896CEC">
        <w:t xml:space="preserve"> and</w:t>
      </w:r>
      <w:r>
        <w:t xml:space="preserve"> forecasting (</w:t>
      </w:r>
      <w:r>
        <w:rPr>
          <w:i/>
        </w:rPr>
        <w:t>established but incomplete</w:t>
      </w:r>
      <w:r>
        <w:t>) {6.6.2.4}. Continuously collecting and sharing up-to-date information on biological invasions can help evaluate the effectiveness of policy instruments and management actions (</w:t>
      </w:r>
      <w:r>
        <w:rPr>
          <w:i/>
        </w:rPr>
        <w:t>established but incomplete</w:t>
      </w:r>
      <w:r>
        <w:t>) {6.6.2.3, 6.3.3} and improve management outcomes (</w:t>
      </w:r>
      <w:r>
        <w:rPr>
          <w:i/>
        </w:rPr>
        <w:t>well established</w:t>
      </w:r>
      <w:r>
        <w:t xml:space="preserve">) {6.6.2, 6.6.3, 6.7.2.3}. Such an information platform could maintain and deliver indicators of the different dimensions </w:t>
      </w:r>
      <w:r w:rsidRPr="00C12647">
        <w:rPr>
          <w:color w:val="000000"/>
        </w:rPr>
        <w:t>of biological invasions to track progress at national and global scales, and in the medium to long term as part of a responsive and adaptive policy environment</w:t>
      </w:r>
      <w:r>
        <w:t xml:space="preserve"> {6.1.2, 6.1.3, 6.2.3, 6.6.3, 6.7.2.6} (</w:t>
      </w:r>
      <w:r>
        <w:rPr>
          <w:i/>
        </w:rPr>
        <w:t>well established</w:t>
      </w:r>
      <w:r>
        <w:t>). Targeted investment in specific research and monitoring programmes can rapidly and effectively deliver relevant data and information for policies and management of biological invasions (</w:t>
      </w:r>
      <w:r>
        <w:rPr>
          <w:i/>
        </w:rPr>
        <w:t>well established</w:t>
      </w:r>
      <w:r>
        <w:t>) {6.6.2, 6.7.2.6}.</w:t>
      </w:r>
    </w:p>
    <w:p w14:paraId="780F2C61" w14:textId="23773F30" w:rsidR="00017C04" w:rsidRDefault="00F50AF9">
      <w:pPr>
        <w:rPr>
          <w:rFonts w:eastAsia="Times New Roman"/>
        </w:rPr>
      </w:pPr>
      <w:r w:rsidRPr="00C12647">
        <w:rPr>
          <w:b/>
          <w:color w:val="000000"/>
        </w:rPr>
        <w:t xml:space="preserve">7. </w:t>
      </w:r>
      <w:r>
        <w:rPr>
          <w:b/>
        </w:rPr>
        <w:t xml:space="preserve">Committed engagement with stakeholders and </w:t>
      </w:r>
      <w:r w:rsidRPr="00C12647">
        <w:rPr>
          <w:b/>
          <w:color w:val="000000"/>
        </w:rPr>
        <w:t xml:space="preserve">Indigenous Peoples </w:t>
      </w:r>
      <w:r>
        <w:rPr>
          <w:b/>
        </w:rPr>
        <w:t>and local communities can benefit the management of biological invasions by improving understanding and awareness, social learning, collaboration, surveillance</w:t>
      </w:r>
      <w:r w:rsidR="00896CEC">
        <w:rPr>
          <w:b/>
        </w:rPr>
        <w:t xml:space="preserve"> and</w:t>
      </w:r>
      <w:r>
        <w:rPr>
          <w:b/>
        </w:rPr>
        <w:t xml:space="preserve"> data generation (</w:t>
      </w:r>
      <w:r>
        <w:rPr>
          <w:b/>
          <w:i/>
        </w:rPr>
        <w:t>well established)</w:t>
      </w:r>
      <w:r>
        <w:rPr>
          <w:b/>
        </w:rPr>
        <w:t xml:space="preserve"> {6.2.3.3, 6.4.2.1, 6.7.2.6}.</w:t>
      </w:r>
      <w:r>
        <w:t xml:space="preserve"> </w:t>
      </w:r>
      <w:r>
        <w:rPr>
          <w:color w:val="201F1E"/>
        </w:rPr>
        <w:t>Inclusive engagement can help build policy and management plans to address biological invasions that are coherent, legitimate and reflect local environmental and cultural realities</w:t>
      </w:r>
      <w:r>
        <w:t>. Adaptive-collaborative governance can foster collaboration and coordination grounded in disciplinary integration, experimentation, monitoring, the use of the best available technology</w:t>
      </w:r>
      <w:r w:rsidR="00896CEC">
        <w:t xml:space="preserve"> and</w:t>
      </w:r>
      <w:r>
        <w:t xml:space="preserve"> social learning (</w:t>
      </w:r>
      <w:r>
        <w:rPr>
          <w:i/>
        </w:rPr>
        <w:t>established but incomplete</w:t>
      </w:r>
      <w:r>
        <w:t xml:space="preserve">) {6.2.3.3, 6.4.3}. Engagement activities can be explicitly linked with the measurement and monitoring of management actions through national strategies aimed at enhancing respect for </w:t>
      </w:r>
      <w:r w:rsidRPr="00C12647">
        <w:rPr>
          <w:color w:val="000000"/>
        </w:rPr>
        <w:t xml:space="preserve">Indigenous Peoples </w:t>
      </w:r>
      <w:r>
        <w:t>and local communities’ knowledge, rights</w:t>
      </w:r>
      <w:r w:rsidR="00896CEC">
        <w:t xml:space="preserve"> and</w:t>
      </w:r>
      <w:r>
        <w:t xml:space="preserve"> priorities (</w:t>
      </w:r>
      <w:r>
        <w:rPr>
          <w:i/>
        </w:rPr>
        <w:t>established but incomplete</w:t>
      </w:r>
      <w:r>
        <w:t xml:space="preserve">) {6.4.1, 6.4.3.2}. Biocultural community protocols developed by </w:t>
      </w:r>
      <w:r w:rsidRPr="00C12647">
        <w:rPr>
          <w:color w:val="000000"/>
        </w:rPr>
        <w:t xml:space="preserve">Indigenous Peoples </w:t>
      </w:r>
      <w:r>
        <w:t>and local communities can frame how they wish to be engaged in the activities that impact them (</w:t>
      </w:r>
      <w:r>
        <w:rPr>
          <w:i/>
        </w:rPr>
        <w:t>established but incomplete</w:t>
      </w:r>
      <w:r>
        <w:t xml:space="preserve">) {6.4.3.2}. These protocols can facilitate a deeper engagement with the knowledge and customary governance systems of </w:t>
      </w:r>
      <w:r w:rsidRPr="00C12647">
        <w:rPr>
          <w:color w:val="000000"/>
        </w:rPr>
        <w:t xml:space="preserve">Indigenous Peoples </w:t>
      </w:r>
      <w:r>
        <w:t>and local communities within, rights-based frameworks</w:t>
      </w:r>
      <w:r w:rsidR="00254FAD">
        <w:t xml:space="preserve"> and in </w:t>
      </w:r>
      <w:r w:rsidR="00CD4854">
        <w:t>accordance</w:t>
      </w:r>
      <w:r w:rsidR="00254FAD">
        <w:t xml:space="preserve"> with national legislation</w:t>
      </w:r>
      <w:r>
        <w:t>, benefitting both good quality of life and effective management of biological invasions (</w:t>
      </w:r>
      <w:r>
        <w:rPr>
          <w:i/>
        </w:rPr>
        <w:t>established but incomplete</w:t>
      </w:r>
      <w:r>
        <w:t>) {6.4.3.2}. Social research can help to better inform management and policy and build trust between sectors of society (</w:t>
      </w:r>
      <w:r>
        <w:rPr>
          <w:i/>
        </w:rPr>
        <w:t>established but incomplete</w:t>
      </w:r>
      <w:r>
        <w:t xml:space="preserve">) {6.4.4, 6.6.1.4}. Social research can also provide valuable information on how best to share knowledge and on invasive alien species status and trends on land managed by stakeholders and </w:t>
      </w:r>
      <w:r w:rsidRPr="00C12647">
        <w:rPr>
          <w:color w:val="000000"/>
        </w:rPr>
        <w:t xml:space="preserve">Indigenous Peoples </w:t>
      </w:r>
      <w:r>
        <w:t>and local communities (</w:t>
      </w:r>
      <w:r>
        <w:rPr>
          <w:i/>
        </w:rPr>
        <w:t>well established</w:t>
      </w:r>
      <w:r>
        <w:t>) {6.4.1, 6.6.1.5, 6.2, 6.4}.</w:t>
      </w:r>
    </w:p>
    <w:p w14:paraId="79266CC9" w14:textId="59371D6F" w:rsidR="00017C04" w:rsidRDefault="2F958343" w:rsidP="56C59A3A">
      <w:r w:rsidRPr="0B8DB0CC">
        <w:rPr>
          <w:b/>
          <w:bCs/>
        </w:rPr>
        <w:t>8. The current understanding of the</w:t>
      </w:r>
      <w:r w:rsidR="129CB240" w:rsidRPr="0B8DB0CC">
        <w:rPr>
          <w:b/>
          <w:bCs/>
        </w:rPr>
        <w:t xml:space="preserve"> biological</w:t>
      </w:r>
      <w:r w:rsidRPr="0B8DB0CC">
        <w:rPr>
          <w:b/>
          <w:bCs/>
        </w:rPr>
        <w:t xml:space="preserve"> invasion process, which includes extensive information on many of the currently most impactful species and well-established principles for prevention and control, is adequate for guiding effective action on invasive alien species </w:t>
      </w:r>
      <w:r w:rsidRPr="0B8DB0CC">
        <w:rPr>
          <w:b/>
          <w:bCs/>
        </w:rPr>
        <w:lastRenderedPageBreak/>
        <w:t>(</w:t>
      </w:r>
      <w:r w:rsidRPr="0B8DB0CC">
        <w:rPr>
          <w:b/>
          <w:bCs/>
          <w:i/>
          <w:iCs/>
        </w:rPr>
        <w:t>well established</w:t>
      </w:r>
      <w:r w:rsidRPr="0B8DB0CC">
        <w:rPr>
          <w:b/>
          <w:bCs/>
        </w:rPr>
        <w:t>) {6.1.2, 6.1.3, 6.2.3, 6.2.4}.</w:t>
      </w:r>
      <w:r>
        <w:t xml:space="preserve"> The complexity and uncertainty of social, economic and environmental costs and benefits of </w:t>
      </w:r>
      <w:r w:rsidR="444A4415">
        <w:t xml:space="preserve">invasive alien species </w:t>
      </w:r>
      <w:r>
        <w:t>is broadly acknowledged (</w:t>
      </w:r>
      <w:r w:rsidRPr="0B8DB0CC">
        <w:rPr>
          <w:i/>
          <w:iCs/>
        </w:rPr>
        <w:t>well established</w:t>
      </w:r>
      <w:r>
        <w:t>) {6.2.2} and is a central obstacle to predicting biological invasions, including the outcomes of invasion, necessitating a precautionary approach (</w:t>
      </w:r>
      <w:r w:rsidRPr="0B8DB0CC">
        <w:rPr>
          <w:i/>
          <w:iCs/>
        </w:rPr>
        <w:t>well established</w:t>
      </w:r>
      <w:r>
        <w:t xml:space="preserve">) {6.1.2, 6.2.2, 6.3.1.2}. Nonetheless, the key aspects of this complexity are understood, including the multiple sectors and stakeholders that contribute to and are affected by </w:t>
      </w:r>
      <w:r w:rsidR="3250C175">
        <w:t xml:space="preserve">invasive alien species </w:t>
      </w:r>
      <w:r>
        <w:t>(</w:t>
      </w:r>
      <w:r w:rsidRPr="0B8DB0CC">
        <w:rPr>
          <w:i/>
          <w:iCs/>
        </w:rPr>
        <w:t>well established</w:t>
      </w:r>
      <w:r>
        <w:t>) {6.2.3}. Which sectors and stakeholders are involved is context dependant</w:t>
      </w:r>
      <w:r w:rsidR="00896CEC">
        <w:t xml:space="preserve"> and</w:t>
      </w:r>
      <w:r>
        <w:t xml:space="preserve"> their specific roles depend on the invasive alien species involved and the ecosystems affected (</w:t>
      </w:r>
      <w:r w:rsidRPr="0B8DB0CC">
        <w:rPr>
          <w:i/>
          <w:iCs/>
        </w:rPr>
        <w:t>well established</w:t>
      </w:r>
      <w:r>
        <w:t xml:space="preserve">) {6.2.3.3, 6.3.1.1, 6.4.1, 6.7.2.5}. A further dimension of complexity that can be considered in the governance and management of biological invasions is the interaction between </w:t>
      </w:r>
      <w:r w:rsidR="5D81CE6D">
        <w:t xml:space="preserve">invasive alien species </w:t>
      </w:r>
      <w:r>
        <w:t>and other key drivers of change</w:t>
      </w:r>
      <w:r w:rsidR="633069C1">
        <w:t xml:space="preserve"> in</w:t>
      </w:r>
      <w:r w:rsidR="00192C26">
        <w:t xml:space="preserve"> </w:t>
      </w:r>
      <w:r w:rsidR="633069C1">
        <w:t>nature</w:t>
      </w:r>
      <w:r>
        <w:t>, including climate change, pollution</w:t>
      </w:r>
      <w:r w:rsidR="00896CEC">
        <w:t xml:space="preserve"> and</w:t>
      </w:r>
      <w:r>
        <w:t xml:space="preserve"> land-use change (</w:t>
      </w:r>
      <w:r w:rsidRPr="0B8DB0CC">
        <w:rPr>
          <w:i/>
          <w:iCs/>
        </w:rPr>
        <w:t>well established</w:t>
      </w:r>
      <w:r>
        <w:t>) {6.3.1.3}. Given the strong interactions between these drivers, considering all forms of global environmental change can yield benefits for effective environmental governance (</w:t>
      </w:r>
      <w:r w:rsidRPr="0B8DB0CC">
        <w:rPr>
          <w:i/>
          <w:iCs/>
        </w:rPr>
        <w:t>well established</w:t>
      </w:r>
      <w:r>
        <w:t>) {6.2.3.3, 6.3.1.3, 6.7.2.2}. Despite these complexities and the uncertainty that can affect decision-making, scientific and technical solutions exist for designing efficient and effective options to deal with biological invasions {6.2.3}, and for supplying the information needed to support policy and management decisions (</w:t>
      </w:r>
      <w:r w:rsidRPr="0B8DB0CC">
        <w:rPr>
          <w:i/>
          <w:iCs/>
        </w:rPr>
        <w:t>well established</w:t>
      </w:r>
      <w:r>
        <w:t>) {6.6.2}. Strategic investment in research to keep data and information up to date and to fill key gaps will improve the efficiency and effectiveness of management of biological invasions (</w:t>
      </w:r>
      <w:r w:rsidRPr="0B8DB0CC">
        <w:rPr>
          <w:i/>
          <w:iCs/>
        </w:rPr>
        <w:t>well established</w:t>
      </w:r>
      <w:r>
        <w:t>) {6.6.1</w:t>
      </w:r>
      <w:r w:rsidR="001D3AFC">
        <w:t>} (</w:t>
      </w:r>
      <w:r w:rsidR="00A52D5B" w:rsidRPr="00A9434B">
        <w:t>Table</w:t>
      </w:r>
      <w:r>
        <w:t xml:space="preserve"> 6.10</w:t>
      </w:r>
      <w:r w:rsidR="001D3AFC">
        <w:t xml:space="preserve">). </w:t>
      </w:r>
    </w:p>
    <w:p w14:paraId="52285C6B" w14:textId="3852663A" w:rsidR="00017C04" w:rsidRDefault="00F50AF9" w:rsidP="56C59A3A">
      <w:r w:rsidRPr="56C59A3A">
        <w:rPr>
          <w:b/>
          <w:bCs/>
        </w:rPr>
        <w:t xml:space="preserve">9. An integrated governance approach that connects and combines key strategic interventions and creates robust governance system properties can bring about </w:t>
      </w:r>
      <w:r w:rsidR="006B1C0D" w:rsidRPr="56C59A3A">
        <w:rPr>
          <w:b/>
          <w:bCs/>
        </w:rPr>
        <w:t xml:space="preserve">context-relevant </w:t>
      </w:r>
      <w:r w:rsidRPr="56C59A3A">
        <w:rPr>
          <w:b/>
          <w:bCs/>
        </w:rPr>
        <w:t xml:space="preserve">transformative change for the effective prevention and control of </w:t>
      </w:r>
      <w:r w:rsidR="2D37AB51" w:rsidRPr="56C59A3A">
        <w:rPr>
          <w:b/>
          <w:bCs/>
        </w:rPr>
        <w:t xml:space="preserve">invasive alien species </w:t>
      </w:r>
      <w:r w:rsidRPr="56C59A3A">
        <w:rPr>
          <w:b/>
          <w:bCs/>
        </w:rPr>
        <w:t>(</w:t>
      </w:r>
      <w:r w:rsidRPr="56C59A3A">
        <w:rPr>
          <w:b/>
          <w:bCs/>
          <w:i/>
          <w:iCs/>
        </w:rPr>
        <w:t>established but incomplete</w:t>
      </w:r>
      <w:r w:rsidRPr="56C59A3A">
        <w:rPr>
          <w:b/>
          <w:bCs/>
        </w:rPr>
        <w:t>) {6.2.4, 6.7.1</w:t>
      </w:r>
      <w:r w:rsidR="001D3AFC">
        <w:rPr>
          <w:b/>
          <w:bCs/>
        </w:rPr>
        <w:t>}</w:t>
      </w:r>
      <w:r w:rsidR="001D3AFC" w:rsidRPr="56C59A3A">
        <w:rPr>
          <w:b/>
          <w:bCs/>
        </w:rPr>
        <w:t xml:space="preserve"> </w:t>
      </w:r>
      <w:r w:rsidR="001D3AFC">
        <w:rPr>
          <w:b/>
          <w:bCs/>
        </w:rPr>
        <w:t>(</w:t>
      </w:r>
      <w:r w:rsidR="313B9F30" w:rsidRPr="00A9434B">
        <w:rPr>
          <w:b/>
          <w:bCs/>
        </w:rPr>
        <w:t>Figure</w:t>
      </w:r>
      <w:r w:rsidRPr="56C59A3A">
        <w:rPr>
          <w:b/>
          <w:bCs/>
        </w:rPr>
        <w:t xml:space="preserve"> 6.21</w:t>
      </w:r>
      <w:r w:rsidR="001D3AFC">
        <w:rPr>
          <w:b/>
          <w:bCs/>
        </w:rPr>
        <w:t>)</w:t>
      </w:r>
      <w:r w:rsidRPr="56C59A3A">
        <w:rPr>
          <w:b/>
          <w:bCs/>
        </w:rPr>
        <w:t>.</w:t>
      </w:r>
      <w:r>
        <w:t xml:space="preserve"> Positive transformation can be achieved by (a) strengthening the connectivity within the invasion governance system, using information technology and international partnerships {6.6.2.7, 6.7.2.6}; (b) developing stronger and broader global regulatory instruments to address invasions threats {6.3.1, 6.7.2.3} as well as higher visibility of biological invasions in national legislations and environmental actions plans {6.2.4.2, 6.3.2, 6.7.2.1}; (c) engaging all relevant sectors including health, environment, agriculture, fisheries and forestry, and all relevant stakeholders including the private sector, the general public</w:t>
      </w:r>
      <w:r w:rsidR="00896CEC">
        <w:t xml:space="preserve"> and</w:t>
      </w:r>
      <w:r>
        <w:t xml:space="preserve"> Indigenous Peoples and local communities{6.2.3.3, 6.3.1.1, 6.4.2.2, 6.7.2.4, 6.7.2.5}; and (d) supporting innovative science and </w:t>
      </w:r>
      <w:r w:rsidR="001B0A4D">
        <w:t xml:space="preserve">environmentally sound technologies </w:t>
      </w:r>
      <w:r>
        <w:t xml:space="preserve">for solutions-focused approaches {6.3.3.4, 6.7.2.6}. Governance that is responsive to changes in biological invasion risk and management contexts, focuses on effective implementation, sustains investment and commitment to goals, and is equitable and inclusive across both those affected and responsible, can bring about a step change in the prevention and control of </w:t>
      </w:r>
      <w:r w:rsidR="03FFBD25">
        <w:t xml:space="preserve">invasive alien species </w:t>
      </w:r>
      <w:r>
        <w:t>(</w:t>
      </w:r>
      <w:r w:rsidRPr="56C59A3A">
        <w:rPr>
          <w:i/>
          <w:iCs/>
        </w:rPr>
        <w:t>well established</w:t>
      </w:r>
      <w:r>
        <w:t xml:space="preserve">) {6.2.4, 6.7.3}. </w:t>
      </w:r>
    </w:p>
    <w:p w14:paraId="716E6962" w14:textId="51657136" w:rsidR="00017C04" w:rsidRPr="00192C26" w:rsidRDefault="00F50AF9">
      <w:r>
        <w:br/>
      </w:r>
      <w:r w:rsidRPr="00192C26">
        <w:br w:type="page"/>
      </w:r>
    </w:p>
    <w:p w14:paraId="33CDBFC0" w14:textId="77777777" w:rsidR="00017C04" w:rsidRDefault="00F50AF9" w:rsidP="00192C26">
      <w:pPr>
        <w:pStyle w:val="Heading1"/>
        <w:numPr>
          <w:ilvl w:val="1"/>
          <w:numId w:val="10"/>
        </w:numPr>
      </w:pPr>
      <w:bookmarkStart w:id="5" w:name="_Toc18149130"/>
      <w:bookmarkStart w:id="6" w:name="_Toc39840352"/>
      <w:bookmarkStart w:id="7" w:name="_Toc48851690"/>
      <w:bookmarkStart w:id="8" w:name="_Toc758657334"/>
      <w:bookmarkStart w:id="9" w:name="_Toc133428292"/>
      <w:bookmarkStart w:id="10" w:name="_Toc133428778"/>
      <w:bookmarkStart w:id="11" w:name="_Toc147417572"/>
      <w:r>
        <w:lastRenderedPageBreak/>
        <w:t>Introduction</w:t>
      </w:r>
      <w:bookmarkEnd w:id="5"/>
      <w:bookmarkEnd w:id="6"/>
      <w:bookmarkEnd w:id="7"/>
      <w:r>
        <w:t xml:space="preserve"> and outline</w:t>
      </w:r>
      <w:bookmarkEnd w:id="8"/>
      <w:bookmarkEnd w:id="9"/>
      <w:bookmarkEnd w:id="10"/>
      <w:bookmarkEnd w:id="11"/>
    </w:p>
    <w:p w14:paraId="7741F8FF" w14:textId="4759CF8A" w:rsidR="00017C04" w:rsidRDefault="00F50AF9">
      <w:r>
        <w:t>This chapter evaluates past and possible future governance models and challenges, policy instruments</w:t>
      </w:r>
      <w:r w:rsidR="00896CEC">
        <w:t xml:space="preserve"> and</w:t>
      </w:r>
      <w:r>
        <w:t xml:space="preserve"> support tools, collectively called response options (</w:t>
      </w:r>
      <w:r w:rsidR="002807CA">
        <w:rPr>
          <w:b/>
          <w:iCs/>
        </w:rPr>
        <w:t>G</w:t>
      </w:r>
      <w:r w:rsidR="00BB5D23" w:rsidRPr="00673554">
        <w:rPr>
          <w:b/>
          <w:iCs/>
        </w:rPr>
        <w:t>lossary</w:t>
      </w:r>
      <w:r>
        <w:t>). These response options are aimed at managing biological invasions (</w:t>
      </w:r>
      <w:r>
        <w:rPr>
          <w:b/>
        </w:rPr>
        <w:t>Chapter 1</w:t>
      </w:r>
      <w:r>
        <w:t xml:space="preserve">, </w:t>
      </w:r>
      <w:r w:rsidR="7CBFD338" w:rsidRPr="00673554">
        <w:rPr>
          <w:b/>
          <w:iCs/>
        </w:rPr>
        <w:t>Figure</w:t>
      </w:r>
      <w:r>
        <w:rPr>
          <w:b/>
        </w:rPr>
        <w:t xml:space="preserve"> 1.1</w:t>
      </w:r>
      <w:r>
        <w:t xml:space="preserve">; </w:t>
      </w:r>
      <w:r w:rsidR="00C14291">
        <w:rPr>
          <w:b/>
          <w:iCs/>
        </w:rPr>
        <w:t>G</w:t>
      </w:r>
      <w:r w:rsidR="009D0A75" w:rsidRPr="00673554">
        <w:rPr>
          <w:b/>
          <w:iCs/>
        </w:rPr>
        <w:t>lossary</w:t>
      </w:r>
      <w:r>
        <w:t>) to reduce their impacts on nature, nature</w:t>
      </w:r>
      <w:r w:rsidR="00F80082">
        <w:t>’</w:t>
      </w:r>
      <w:r>
        <w:t>s contributions to people</w:t>
      </w:r>
      <w:r w:rsidR="00896CEC">
        <w:t xml:space="preserve"> and</w:t>
      </w:r>
      <w:r>
        <w:t xml:space="preserve"> good quality of life </w:t>
      </w:r>
      <w:r w:rsidR="049AFCD5" w:rsidRPr="00A9434B">
        <w:t>(</w:t>
      </w:r>
      <w:r w:rsidR="009E48C2" w:rsidRPr="00673554">
        <w:rPr>
          <w:b/>
          <w:iCs/>
        </w:rPr>
        <w:fldChar w:fldCharType="begin"/>
      </w:r>
      <w:r w:rsidR="009E48C2" w:rsidRPr="00673554">
        <w:rPr>
          <w:b/>
          <w:iCs/>
        </w:rPr>
        <w:instrText xml:space="preserve"> REF _Ref104898261 \h  \* MERGEFORMAT </w:instrText>
      </w:r>
      <w:r w:rsidR="009E48C2" w:rsidRPr="00673554">
        <w:rPr>
          <w:b/>
          <w:iCs/>
        </w:rPr>
      </w:r>
      <w:r w:rsidR="009E48C2" w:rsidRPr="00673554">
        <w:rPr>
          <w:b/>
          <w:iCs/>
        </w:rPr>
        <w:fldChar w:fldCharType="separate"/>
      </w:r>
      <w:r w:rsidR="0011368C" w:rsidRPr="00673554">
        <w:rPr>
          <w:b/>
          <w:iCs/>
        </w:rPr>
        <w:t>Box 6.1</w:t>
      </w:r>
      <w:r w:rsidR="009E48C2" w:rsidRPr="00673554">
        <w:rPr>
          <w:b/>
          <w:iCs/>
        </w:rPr>
        <w:fldChar w:fldCharType="end"/>
      </w:r>
      <w:r w:rsidR="00207260" w:rsidRPr="00C14291">
        <w:t>;</w:t>
      </w:r>
      <w:r w:rsidR="00207260" w:rsidRPr="00673554">
        <w:rPr>
          <w:b/>
        </w:rPr>
        <w:t xml:space="preserve"> </w:t>
      </w:r>
      <w:r w:rsidR="00C14291">
        <w:rPr>
          <w:b/>
          <w:iCs/>
        </w:rPr>
        <w:t>G</w:t>
      </w:r>
      <w:r w:rsidR="00A12D92" w:rsidRPr="00673554">
        <w:rPr>
          <w:b/>
          <w:iCs/>
        </w:rPr>
        <w:t>lossary</w:t>
      </w:r>
      <w:r w:rsidR="049AFCD5" w:rsidRPr="00A9434B">
        <w:t>).</w:t>
      </w:r>
      <w:r>
        <w:t xml:space="preserve"> Governance models (</w:t>
      </w:r>
      <w:r>
        <w:rPr>
          <w:b/>
        </w:rPr>
        <w:t>section 6.2</w:t>
      </w:r>
      <w:r>
        <w:t>) target specific components of the socioecological system, are complimentary</w:t>
      </w:r>
      <w:r w:rsidR="00896CEC">
        <w:t xml:space="preserve"> and</w:t>
      </w:r>
      <w:r>
        <w:t xml:space="preserve"> tend to draw on specific sets of policy instruments, tools</w:t>
      </w:r>
      <w:r w:rsidR="00896CEC">
        <w:t xml:space="preserve"> and</w:t>
      </w:r>
      <w:r>
        <w:t xml:space="preserve"> methods. Policy instruments (</w:t>
      </w:r>
      <w:r>
        <w:rPr>
          <w:b/>
        </w:rPr>
        <w:t xml:space="preserve">sections 6.3 </w:t>
      </w:r>
      <w:r>
        <w:t>and</w:t>
      </w:r>
      <w:r>
        <w:rPr>
          <w:b/>
        </w:rPr>
        <w:t xml:space="preserve"> 6.5</w:t>
      </w:r>
      <w:r>
        <w:t>) are the set of options (means or mechanisms) used at any scale by individuals or organizations for building or strengthening international, national</w:t>
      </w:r>
      <w:r w:rsidR="00896CEC">
        <w:t xml:space="preserve"> and</w:t>
      </w:r>
      <w:r>
        <w:t xml:space="preserve"> local efforts to manage biological invasions. Policy support tools and methods (</w:t>
      </w:r>
      <w:r>
        <w:rPr>
          <w:b/>
        </w:rPr>
        <w:t>section 6.6</w:t>
      </w:r>
      <w:r>
        <w:t>) are approaches that can inform, assist</w:t>
      </w:r>
      <w:r w:rsidR="00896CEC">
        <w:t xml:space="preserve"> and</w:t>
      </w:r>
      <w:r>
        <w:t xml:space="preserve"> enhance relevant decisions, policy</w:t>
      </w:r>
      <w:r w:rsidR="006F2BE1">
        <w:t>-</w:t>
      </w:r>
      <w:r>
        <w:t>making</w:t>
      </w:r>
      <w:r w:rsidR="00896CEC">
        <w:t xml:space="preserve"> and</w:t>
      </w:r>
      <w:r>
        <w:t xml:space="preserve"> implementation at the local, national, regional</w:t>
      </w:r>
      <w:r w:rsidR="00896CEC">
        <w:t xml:space="preserve"> and</w:t>
      </w:r>
      <w:r>
        <w:t xml:space="preserve"> international levels, to better prevent and control these species and their impacts (</w:t>
      </w:r>
      <w:r w:rsidR="00C14291">
        <w:rPr>
          <w:b/>
          <w:iCs/>
        </w:rPr>
        <w:t>G</w:t>
      </w:r>
      <w:r w:rsidR="00110ED4" w:rsidRPr="00673554">
        <w:rPr>
          <w:b/>
          <w:iCs/>
        </w:rPr>
        <w:t>lossary</w:t>
      </w:r>
      <w:r>
        <w:t>).</w:t>
      </w:r>
    </w:p>
    <w:p w14:paraId="38FA3D15" w14:textId="09693935" w:rsidR="00017C04" w:rsidRPr="00192C26" w:rsidRDefault="00F50AF9" w:rsidP="00192C26">
      <w:pPr>
        <w:pStyle w:val="Caption"/>
        <w:pBdr>
          <w:top w:val="single" w:sz="4" w:space="1" w:color="auto"/>
          <w:left w:val="single" w:sz="4" w:space="4" w:color="auto"/>
          <w:bottom w:val="single" w:sz="4" w:space="1" w:color="auto"/>
          <w:right w:val="single" w:sz="4" w:space="4" w:color="auto"/>
        </w:pBdr>
        <w:shd w:val="clear" w:color="auto" w:fill="E7E6E6" w:themeFill="background2"/>
        <w:rPr>
          <w:color w:val="000000"/>
        </w:rPr>
      </w:pPr>
      <w:bookmarkStart w:id="12" w:name="_heading=h.1fob9te" w:colFirst="0" w:colLast="0"/>
      <w:bookmarkStart w:id="13" w:name="_Ref104898261"/>
      <w:bookmarkStart w:id="14" w:name="_Toc147418610"/>
      <w:bookmarkEnd w:id="12"/>
      <w:r w:rsidRPr="00192C26">
        <w:rPr>
          <w:color w:val="000000"/>
        </w:rPr>
        <w:t xml:space="preserve">Box </w:t>
      </w:r>
      <w:r w:rsidRPr="00192C26">
        <w:t>6</w:t>
      </w:r>
      <w:r w:rsidR="005E3C57" w:rsidRPr="00A9434B">
        <w:t>.</w:t>
      </w:r>
      <w:r w:rsidR="007C7AC3">
        <w:fldChar w:fldCharType="begin"/>
      </w:r>
      <w:r w:rsidR="007C7AC3">
        <w:instrText xml:space="preserve"> SEQ Box_6. \* ARABIC </w:instrText>
      </w:r>
      <w:r w:rsidR="007C7AC3">
        <w:fldChar w:fldCharType="separate"/>
      </w:r>
      <w:r w:rsidR="0011368C">
        <w:rPr>
          <w:noProof/>
        </w:rPr>
        <w:t>1</w:t>
      </w:r>
      <w:r w:rsidR="007C7AC3">
        <w:rPr>
          <w:noProof/>
        </w:rPr>
        <w:fldChar w:fldCharType="end"/>
      </w:r>
      <w:bookmarkEnd w:id="13"/>
      <w:r w:rsidR="00013883" w:rsidRPr="00A9434B">
        <w:t>.</w:t>
      </w:r>
      <w:r w:rsidRPr="00192C26">
        <w:t xml:space="preserve"> </w:t>
      </w:r>
      <w:r w:rsidRPr="00192C26">
        <w:rPr>
          <w:color w:val="000000"/>
        </w:rPr>
        <w:t>Rationale of the Chapter</w:t>
      </w:r>
      <w:bookmarkEnd w:id="14"/>
    </w:p>
    <w:p w14:paraId="73061E93" w14:textId="0A74C607" w:rsidR="00017C04" w:rsidRDefault="00F50AF9" w:rsidP="00192C26">
      <w:pPr>
        <w:pBdr>
          <w:top w:val="single" w:sz="4" w:space="1" w:color="auto"/>
          <w:left w:val="single" w:sz="4" w:space="4" w:color="auto"/>
          <w:bottom w:val="single" w:sz="4" w:space="1" w:color="auto"/>
          <w:right w:val="single" w:sz="4" w:space="4" w:color="auto"/>
        </w:pBdr>
        <w:shd w:val="clear" w:color="auto" w:fill="E7E6E6" w:themeFill="background2"/>
      </w:pPr>
      <w:r>
        <w:t xml:space="preserve">This chapter builds on previous chapters of the IPBES invasive alien species assessment to present response options for improving and strengthening the governance for biological invasions. The chapter explores governance models and policy instruments (legal, regulatory and incentive-based) and support tools available for multilateral efforts and national strategies to prevent and control </w:t>
      </w:r>
      <w:r w:rsidR="41E58CE6">
        <w:t>invasive alien species</w:t>
      </w:r>
      <w:r>
        <w:t>. Together, the integration of these strategic actions could lead to positive transformative change (</w:t>
      </w:r>
      <w:r w:rsidR="00C14291">
        <w:rPr>
          <w:b/>
          <w:iCs/>
        </w:rPr>
        <w:t>G</w:t>
      </w:r>
      <w:r w:rsidR="00746616" w:rsidRPr="00673554">
        <w:rPr>
          <w:b/>
          <w:iCs/>
        </w:rPr>
        <w:t>lossary</w:t>
      </w:r>
      <w:r>
        <w:t>).</w:t>
      </w:r>
    </w:p>
    <w:p w14:paraId="4CCFE656" w14:textId="77777777" w:rsidR="00017C04" w:rsidRDefault="00F50AF9" w:rsidP="00192C26">
      <w:pPr>
        <w:pBdr>
          <w:top w:val="single" w:sz="4" w:space="1" w:color="auto"/>
          <w:left w:val="single" w:sz="4" w:space="4" w:color="auto"/>
          <w:bottom w:val="single" w:sz="4" w:space="1" w:color="auto"/>
          <w:right w:val="single" w:sz="4" w:space="4" w:color="auto"/>
        </w:pBdr>
        <w:shd w:val="clear" w:color="auto" w:fill="E7E6E6" w:themeFill="background2"/>
        <w:rPr>
          <w:b/>
        </w:rPr>
      </w:pPr>
      <w:r>
        <w:rPr>
          <w:b/>
        </w:rPr>
        <w:t>Guiding questions:</w:t>
      </w:r>
    </w:p>
    <w:p w14:paraId="5EC451AC" w14:textId="77777777" w:rsidR="00017C04" w:rsidRDefault="00F50AF9" w:rsidP="00192C26">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E7E6E6" w:themeFill="background2"/>
      </w:pPr>
      <w:r w:rsidRPr="00192C26">
        <w:rPr>
          <w:color w:val="000000"/>
        </w:rPr>
        <w:t>What are the challenges facing biological invasions governance?</w:t>
      </w:r>
    </w:p>
    <w:p w14:paraId="2C7E2AEC" w14:textId="53843D29" w:rsidR="00017C04" w:rsidRDefault="00F50AF9" w:rsidP="00192C26">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E7E6E6" w:themeFill="background2"/>
      </w:pPr>
      <w:r w:rsidRPr="00192C26">
        <w:rPr>
          <w:color w:val="000000"/>
        </w:rPr>
        <w:t xml:space="preserve">What are the current gaps, overlaps and inconsistencies in </w:t>
      </w:r>
      <w:r w:rsidRPr="00192C26">
        <w:t>existing legal and regulatory instruments focused on biological invasions management (</w:t>
      </w:r>
      <w:r w:rsidR="00C14291">
        <w:rPr>
          <w:b/>
          <w:iCs/>
        </w:rPr>
        <w:t>G</w:t>
      </w:r>
      <w:r w:rsidR="00F6424A" w:rsidRPr="00673554">
        <w:rPr>
          <w:b/>
          <w:iCs/>
        </w:rPr>
        <w:t>lossary</w:t>
      </w:r>
      <w:r w:rsidRPr="00192C26">
        <w:t>)?</w:t>
      </w:r>
    </w:p>
    <w:p w14:paraId="7F4167BD" w14:textId="77777777" w:rsidR="00017C04" w:rsidRDefault="00F50AF9" w:rsidP="00192C26">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E7E6E6" w:themeFill="background2"/>
      </w:pPr>
      <w:r w:rsidRPr="00192C26">
        <w:t>Which decision and engagement tools can be used to manage biological invasions?</w:t>
      </w:r>
    </w:p>
    <w:p w14:paraId="0B35ACDB" w14:textId="3CDDAE8B" w:rsidR="00017C04" w:rsidRDefault="00F50AF9" w:rsidP="00192C26">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E7E6E6" w:themeFill="background2"/>
      </w:pPr>
      <w:r w:rsidRPr="00192C26">
        <w:t>What economic instruments can be implemented to fund or promote the various prevention, eradication, containment, mitigation, restoration</w:t>
      </w:r>
      <w:r w:rsidR="00896CEC">
        <w:t xml:space="preserve"> and</w:t>
      </w:r>
      <w:r w:rsidRPr="00192C26">
        <w:t xml:space="preserve"> ecosystem-based management options (</w:t>
      </w:r>
      <w:r w:rsidR="00C14291">
        <w:rPr>
          <w:b/>
          <w:iCs/>
        </w:rPr>
        <w:t>G</w:t>
      </w:r>
      <w:r w:rsidR="00C66C39" w:rsidRPr="00673554">
        <w:rPr>
          <w:b/>
          <w:iCs/>
        </w:rPr>
        <w:t>lossary</w:t>
      </w:r>
      <w:r w:rsidRPr="00192C26">
        <w:t>)?</w:t>
      </w:r>
    </w:p>
    <w:p w14:paraId="25351651" w14:textId="1F7DE696" w:rsidR="00017C04" w:rsidRDefault="00F50AF9" w:rsidP="00192C26">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E7E6E6" w:themeFill="background2"/>
      </w:pPr>
      <w:r w:rsidRPr="00192C26">
        <w:t>How to develop information systems (</w:t>
      </w:r>
      <w:r w:rsidR="00C14291">
        <w:rPr>
          <w:b/>
          <w:iCs/>
        </w:rPr>
        <w:t>G</w:t>
      </w:r>
      <w:r w:rsidR="00E96FAE" w:rsidRPr="00673554">
        <w:rPr>
          <w:b/>
          <w:iCs/>
        </w:rPr>
        <w:t>lossary</w:t>
      </w:r>
      <w:r w:rsidRPr="00192C26">
        <w:t>) to help design, implement</w:t>
      </w:r>
      <w:r w:rsidR="00896CEC">
        <w:t xml:space="preserve"> and</w:t>
      </w:r>
      <w:r w:rsidRPr="00192C26">
        <w:t xml:space="preserve"> monitor response options to the biological invasions problem? </w:t>
      </w:r>
    </w:p>
    <w:p w14:paraId="00A5E338" w14:textId="77777777" w:rsidR="00017C04" w:rsidRDefault="00F50AF9" w:rsidP="00192C26">
      <w:pPr>
        <w:pBdr>
          <w:top w:val="single" w:sz="4" w:space="1" w:color="auto"/>
          <w:left w:val="single" w:sz="4" w:space="4" w:color="auto"/>
          <w:bottom w:val="single" w:sz="4" w:space="1" w:color="auto"/>
          <w:right w:val="single" w:sz="4" w:space="4" w:color="auto"/>
        </w:pBdr>
        <w:shd w:val="clear" w:color="auto" w:fill="E7E6E6" w:themeFill="background2"/>
        <w:rPr>
          <w:b/>
        </w:rPr>
      </w:pPr>
      <w:r>
        <w:rPr>
          <w:b/>
        </w:rPr>
        <w:t>Key words:</w:t>
      </w:r>
    </w:p>
    <w:p w14:paraId="770A7AE3" w14:textId="77777777" w:rsidR="00017C04" w:rsidRDefault="00F50AF9" w:rsidP="00192C26">
      <w:pPr>
        <w:pBdr>
          <w:top w:val="single" w:sz="4" w:space="1" w:color="auto"/>
          <w:left w:val="single" w:sz="4" w:space="4" w:color="auto"/>
          <w:bottom w:val="single" w:sz="4" w:space="1" w:color="auto"/>
          <w:right w:val="single" w:sz="4" w:space="4" w:color="auto"/>
        </w:pBdr>
        <w:shd w:val="clear" w:color="auto" w:fill="E7E6E6" w:themeFill="background2"/>
      </w:pPr>
      <w:r>
        <w:t>Governance, policy instruments, community engagement, integrated governance, goals and targets, multilateral coordination, implementation strategies, coherent policy regimes, open data, information systems</w:t>
      </w:r>
    </w:p>
    <w:p w14:paraId="6819425C" w14:textId="77AABB1D" w:rsidR="00017C04" w:rsidRDefault="2F958343" w:rsidP="00192C26">
      <w:r>
        <w:t>Multiple international organizations and programmes have highlighted the roles of governance models (</w:t>
      </w:r>
      <w:r w:rsidR="6D21C73C" w:rsidRPr="00673554">
        <w:rPr>
          <w:b/>
          <w:iCs/>
        </w:rPr>
        <w:t>Table</w:t>
      </w:r>
      <w:r w:rsidRPr="0B8DB0CC">
        <w:rPr>
          <w:b/>
          <w:bCs/>
        </w:rPr>
        <w:t xml:space="preserve"> 6.1</w:t>
      </w:r>
      <w:r>
        <w:t>), policy instruments</w:t>
      </w:r>
      <w:r w:rsidR="00896CEC">
        <w:t xml:space="preserve"> and</w:t>
      </w:r>
      <w:r>
        <w:t xml:space="preserve"> policy support tools and methods </w:t>
      </w:r>
      <w:r w:rsidR="00F806B6" w:rsidRPr="00A9434B">
        <w:t>(</w:t>
      </w:r>
      <w:r w:rsidR="00D86A20" w:rsidRPr="00673554">
        <w:rPr>
          <w:b/>
          <w:iCs/>
        </w:rPr>
        <w:fldChar w:fldCharType="begin"/>
      </w:r>
      <w:r w:rsidR="00D86A20" w:rsidRPr="00673554">
        <w:rPr>
          <w:b/>
          <w:iCs/>
        </w:rPr>
        <w:instrText xml:space="preserve"> REF _Ref104892309 \h  \* MERGEFORMAT </w:instrText>
      </w:r>
      <w:r w:rsidR="00D86A20" w:rsidRPr="00673554">
        <w:rPr>
          <w:b/>
          <w:iCs/>
        </w:rPr>
      </w:r>
      <w:r w:rsidR="00D86A20" w:rsidRPr="00673554">
        <w:rPr>
          <w:b/>
          <w:iCs/>
        </w:rPr>
        <w:fldChar w:fldCharType="separate"/>
      </w:r>
      <w:r w:rsidR="0011368C" w:rsidRPr="00673554">
        <w:rPr>
          <w:b/>
          <w:iCs/>
        </w:rPr>
        <w:t>Table 6.1</w:t>
      </w:r>
      <w:r w:rsidR="00D86A20" w:rsidRPr="00673554">
        <w:rPr>
          <w:b/>
          <w:iCs/>
        </w:rPr>
        <w:fldChar w:fldCharType="end"/>
      </w:r>
      <w:r w:rsidR="75A478E0" w:rsidRPr="00A9434B">
        <w:t>)</w:t>
      </w:r>
      <w:r w:rsidRPr="0B8DB0CC">
        <w:rPr>
          <w:b/>
          <w:bCs/>
        </w:rPr>
        <w:t xml:space="preserve"> </w:t>
      </w:r>
      <w:r>
        <w:t xml:space="preserve">as means to achieve international policy targets for preventing and </w:t>
      </w:r>
      <w:r w:rsidR="538C7C14">
        <w:t xml:space="preserve">controlling </w:t>
      </w:r>
      <w:r w:rsidR="79DEC3A6">
        <w:t xml:space="preserve">invasive alien species </w:t>
      </w:r>
      <w:r w:rsidR="37910EC0">
        <w:t xml:space="preserve">and managing biological invasions </w:t>
      </w:r>
      <w:r>
        <w:t>(</w:t>
      </w:r>
      <w:r w:rsidRPr="0B8DB0CC">
        <w:rPr>
          <w:b/>
          <w:bCs/>
        </w:rPr>
        <w:t>Chapter 1</w:t>
      </w:r>
      <w:r>
        <w:t>,</w:t>
      </w:r>
      <w:r w:rsidRPr="0B8DB0CC">
        <w:rPr>
          <w:b/>
          <w:bCs/>
        </w:rPr>
        <w:t xml:space="preserve"> </w:t>
      </w:r>
      <w:r w:rsidR="6FDE1443" w:rsidRPr="00673554">
        <w:rPr>
          <w:b/>
          <w:iCs/>
        </w:rPr>
        <w:t>Box</w:t>
      </w:r>
      <w:r w:rsidRPr="0B8DB0CC">
        <w:rPr>
          <w:b/>
          <w:bCs/>
        </w:rPr>
        <w:t xml:space="preserve"> 1.1</w:t>
      </w:r>
      <w:r>
        <w:t>). They include the Convention on Biological Diversity (CBD), the International Union for Conservation of Nature (IUCN) Invasive Species Specialist Group (ISSG), the Food and Agriculture Organization of the United Nations (FAO), the World Health Organization (WHO), the International Plant Protection Convention (IPPC), the World Organisation for Animal Health (WOAH, founded as OIE), the World Trade Organization (WTO), the International Maritime Organization (IMO), the World Bank</w:t>
      </w:r>
      <w:r w:rsidR="00896CEC">
        <w:t xml:space="preserve"> and</w:t>
      </w:r>
      <w:r>
        <w:t xml:space="preserve"> the Centre for </w:t>
      </w:r>
      <w:r>
        <w:lastRenderedPageBreak/>
        <w:t>Agriculture and Biosciences International (CABI). Many of these organizations participate in the Inter-agency Liaison Group on Invasive Species established by the Executive Secretary of the CBD.</w:t>
      </w:r>
    </w:p>
    <w:p w14:paraId="2C13BE61" w14:textId="2C745217" w:rsidR="00017C04" w:rsidRPr="00251783" w:rsidRDefault="00F50AF9" w:rsidP="00192C26">
      <w:pPr>
        <w:pStyle w:val="Caption"/>
        <w:rPr>
          <w:color w:val="000000"/>
        </w:rPr>
      </w:pPr>
      <w:bookmarkStart w:id="15" w:name="_heading=h.3znysh7"/>
      <w:bookmarkStart w:id="16" w:name="_Ref104892309"/>
      <w:bookmarkStart w:id="17" w:name="_Toc147418534"/>
      <w:bookmarkEnd w:id="15"/>
      <w:r w:rsidRPr="00192C26">
        <w:t>Table 6</w:t>
      </w:r>
      <w:r w:rsidR="005E3C57" w:rsidRPr="00A9434B">
        <w:t>.</w:t>
      </w:r>
      <w:r w:rsidR="007C7AC3">
        <w:fldChar w:fldCharType="begin"/>
      </w:r>
      <w:r w:rsidR="007C7AC3">
        <w:instrText xml:space="preserve"> SEQ Table_6. \* ARABIC </w:instrText>
      </w:r>
      <w:r w:rsidR="007C7AC3">
        <w:fldChar w:fldCharType="separate"/>
      </w:r>
      <w:r w:rsidR="0011368C">
        <w:rPr>
          <w:noProof/>
        </w:rPr>
        <w:t>1</w:t>
      </w:r>
      <w:r w:rsidR="007C7AC3">
        <w:rPr>
          <w:noProof/>
        </w:rPr>
        <w:fldChar w:fldCharType="end"/>
      </w:r>
      <w:bookmarkEnd w:id="16"/>
      <w:r w:rsidR="003F5091" w:rsidRPr="00A9434B">
        <w:t>.</w:t>
      </w:r>
      <w:r w:rsidRPr="00192C26">
        <w:t xml:space="preserve"> </w:t>
      </w:r>
      <w:r w:rsidRPr="00192C26">
        <w:rPr>
          <w:bCs w:val="0"/>
        </w:rPr>
        <w:t>Array</w:t>
      </w:r>
      <w:r w:rsidRPr="00192C26">
        <w:rPr>
          <w:b w:val="0"/>
        </w:rPr>
        <w:t xml:space="preserve"> </w:t>
      </w:r>
      <w:r w:rsidRPr="00251783">
        <w:rPr>
          <w:color w:val="000000" w:themeColor="text1"/>
        </w:rPr>
        <w:t>of possible governance and policy response options for</w:t>
      </w:r>
      <w:r w:rsidRPr="56C59A3A">
        <w:rPr>
          <w:color w:val="000000" w:themeColor="text1"/>
        </w:rPr>
        <w:t xml:space="preserve"> </w:t>
      </w:r>
      <w:r w:rsidR="6B8221E3" w:rsidRPr="56C59A3A">
        <w:rPr>
          <w:color w:val="000000" w:themeColor="text1"/>
        </w:rPr>
        <w:t>managing</w:t>
      </w:r>
      <w:r w:rsidR="6B8221E3" w:rsidRPr="00251783">
        <w:rPr>
          <w:color w:val="000000" w:themeColor="text1"/>
        </w:rPr>
        <w:t xml:space="preserve"> </w:t>
      </w:r>
      <w:r w:rsidRPr="00251783">
        <w:rPr>
          <w:color w:val="000000" w:themeColor="text1"/>
        </w:rPr>
        <w:t>biological invasions</w:t>
      </w:r>
      <w:bookmarkEnd w:id="17"/>
    </w:p>
    <w:p w14:paraId="0C7B6BDA" w14:textId="5AE4FFE9" w:rsidR="00017C04" w:rsidRDefault="00F50AF9" w:rsidP="56C59A3A">
      <w:pPr>
        <w:spacing w:before="0"/>
      </w:pPr>
      <w:r>
        <w:t xml:space="preserve">Possible response options that can be used to (i) prevent or mitigate the main drivers </w:t>
      </w:r>
      <w:r w:rsidR="0388B3CE">
        <w:t xml:space="preserve">responsible for biological </w:t>
      </w:r>
      <w:r>
        <w:t>invasions</w:t>
      </w:r>
      <w:r w:rsidR="00896CEC">
        <w:t xml:space="preserve"> and</w:t>
      </w:r>
      <w:r>
        <w:t xml:space="preserve"> (ii) prevent the impacts of </w:t>
      </w:r>
      <w:r w:rsidR="2341487C">
        <w:t xml:space="preserve">invasive alien species </w:t>
      </w:r>
      <w:r>
        <w:t>on nature and society. The response options include models of governance, categories of policy instruments</w:t>
      </w:r>
      <w:r w:rsidR="00896CEC">
        <w:t xml:space="preserve"> and</w:t>
      </w:r>
      <w:r>
        <w:t xml:space="preserve"> families of support tools and methods </w:t>
      </w:r>
      <w:r w:rsidR="00192C26" w:rsidRPr="00A9434B">
        <w:fldChar w:fldCharType="begin"/>
      </w:r>
      <w:r w:rsidR="0006613E">
        <w:instrText xml:space="preserve"> ADDIN ZOTERO_ITEM CSL_CITATION {"citationID":"a1edqd31ive","properties":{"formattedCitation":"(IPBES, 2019a)","plainCitation":"(IPBES, 2019a)","noteIndex":0},"citationItems":[{"id":53933,"uris":["http://zotero.org/groups/2352922/items/JYFISR8Z","http://zotero.org/groups/2352922/items/ZACZGHZL"],"itemData":{"id":53933,"type":"report","abstract":"IPBES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192C26" w:rsidRPr="00A9434B">
        <w:fldChar w:fldCharType="separate"/>
      </w:r>
      <w:r w:rsidR="00192C26" w:rsidRPr="00A9434B">
        <w:t>(IPBES, 2019a)</w:t>
      </w:r>
      <w:r w:rsidR="00192C26" w:rsidRPr="00A9434B">
        <w:fldChar w:fldCharType="end"/>
      </w:r>
      <w:r w:rsidR="00192C26" w:rsidRPr="00A9434B">
        <w:t>.</w:t>
      </w:r>
    </w:p>
    <w:tbl>
      <w:tblPr>
        <w:tblW w:w="9435" w:type="dxa"/>
        <w:tblBorders>
          <w:top w:val="nil"/>
          <w:left w:val="nil"/>
          <w:bottom w:val="nil"/>
          <w:right w:val="nil"/>
          <w:insideH w:val="nil"/>
          <w:insideV w:val="nil"/>
        </w:tblBorders>
        <w:tblLayout w:type="fixed"/>
        <w:tblLook w:val="0400" w:firstRow="0" w:lastRow="0" w:firstColumn="0" w:lastColumn="0" w:noHBand="0" w:noVBand="1"/>
      </w:tblPr>
      <w:tblGrid>
        <w:gridCol w:w="1977"/>
        <w:gridCol w:w="2123"/>
        <w:gridCol w:w="5335"/>
      </w:tblGrid>
      <w:tr w:rsidR="00192C26" w14:paraId="7A21047E" w14:textId="77777777">
        <w:tc>
          <w:tcPr>
            <w:tcW w:w="1977" w:type="dxa"/>
            <w:tcBorders>
              <w:top w:val="single" w:sz="4" w:space="0" w:color="000000"/>
              <w:left w:val="single" w:sz="4" w:space="0" w:color="000000"/>
              <w:bottom w:val="single" w:sz="4" w:space="0" w:color="000000"/>
              <w:right w:val="single" w:sz="4" w:space="0" w:color="000000"/>
            </w:tcBorders>
            <w:shd w:val="clear" w:color="auto" w:fill="DEEBF6"/>
          </w:tcPr>
          <w:p w14:paraId="75E55126" w14:textId="77777777" w:rsidR="00017C04" w:rsidRDefault="00F50AF9">
            <w:pPr>
              <w:jc w:val="center"/>
              <w:rPr>
                <w:b/>
                <w:i/>
              </w:rPr>
            </w:pPr>
            <w:r>
              <w:rPr>
                <w:b/>
              </w:rPr>
              <w:t>Governance Models</w:t>
            </w:r>
          </w:p>
        </w:tc>
        <w:tc>
          <w:tcPr>
            <w:tcW w:w="2123" w:type="dxa"/>
            <w:tcBorders>
              <w:top w:val="single" w:sz="4" w:space="0" w:color="000000"/>
              <w:left w:val="single" w:sz="4" w:space="0" w:color="000000"/>
              <w:bottom w:val="single" w:sz="4" w:space="0" w:color="000000"/>
              <w:right w:val="single" w:sz="4" w:space="0" w:color="000000"/>
            </w:tcBorders>
            <w:shd w:val="clear" w:color="auto" w:fill="F2F2F2"/>
          </w:tcPr>
          <w:p w14:paraId="79671F87" w14:textId="77777777" w:rsidR="00017C04" w:rsidRDefault="00F50AF9">
            <w:pPr>
              <w:jc w:val="center"/>
              <w:rPr>
                <w:b/>
                <w:i/>
              </w:rPr>
            </w:pPr>
            <w:r>
              <w:rPr>
                <w:b/>
              </w:rPr>
              <w:t>Categories of Policy instrument</w:t>
            </w:r>
          </w:p>
        </w:tc>
        <w:tc>
          <w:tcPr>
            <w:tcW w:w="5335" w:type="dxa"/>
            <w:tcBorders>
              <w:top w:val="single" w:sz="4" w:space="0" w:color="000000"/>
              <w:left w:val="single" w:sz="4" w:space="0" w:color="000000"/>
              <w:bottom w:val="single" w:sz="4" w:space="0" w:color="000000"/>
              <w:right w:val="single" w:sz="4" w:space="0" w:color="000000"/>
            </w:tcBorders>
            <w:shd w:val="clear" w:color="auto" w:fill="D5DCE4"/>
          </w:tcPr>
          <w:p w14:paraId="043180A6" w14:textId="77777777" w:rsidR="00017C04" w:rsidRDefault="00F50AF9">
            <w:pPr>
              <w:jc w:val="center"/>
              <w:rPr>
                <w:b/>
              </w:rPr>
            </w:pPr>
            <w:r>
              <w:rPr>
                <w:b/>
              </w:rPr>
              <w:t>Families of support tools and methods (main governance model/s in brackets)</w:t>
            </w:r>
          </w:p>
        </w:tc>
      </w:tr>
      <w:tr w:rsidR="00192C26" w14:paraId="26683011" w14:textId="77777777">
        <w:tc>
          <w:tcPr>
            <w:tcW w:w="1977" w:type="dxa"/>
            <w:tcBorders>
              <w:top w:val="single" w:sz="4" w:space="0" w:color="000000"/>
              <w:left w:val="single" w:sz="4" w:space="0" w:color="000000"/>
              <w:bottom w:val="single" w:sz="4" w:space="0" w:color="000000"/>
              <w:right w:val="single" w:sz="4" w:space="0" w:color="000000"/>
            </w:tcBorders>
            <w:shd w:val="clear" w:color="auto" w:fill="DEEBF6"/>
          </w:tcPr>
          <w:p w14:paraId="5FB64BB5" w14:textId="77777777" w:rsidR="00017C04" w:rsidRDefault="00F50AF9">
            <w:pPr>
              <w:spacing w:before="0" w:after="0"/>
            </w:pPr>
            <w:r>
              <w:t>A. Hierarchical</w:t>
            </w:r>
          </w:p>
          <w:p w14:paraId="6F835B5B" w14:textId="77777777" w:rsidR="00017C04" w:rsidRDefault="00F50AF9">
            <w:pPr>
              <w:spacing w:before="0" w:after="0"/>
            </w:pPr>
            <w:r>
              <w:t>B. Scientific-technical</w:t>
            </w:r>
          </w:p>
          <w:p w14:paraId="1D54B4E3" w14:textId="77777777" w:rsidR="00017C04" w:rsidRDefault="00F50AF9">
            <w:pPr>
              <w:spacing w:before="0" w:after="0"/>
            </w:pPr>
            <w:r>
              <w:t>C. Governing strategic behaviour</w:t>
            </w:r>
          </w:p>
          <w:p w14:paraId="55AC21A2" w14:textId="77777777" w:rsidR="00017C04" w:rsidRDefault="00F50AF9">
            <w:pPr>
              <w:spacing w:before="0" w:after="0"/>
            </w:pPr>
            <w:r>
              <w:t>D. Adaptive-collaborative</w:t>
            </w:r>
          </w:p>
        </w:tc>
        <w:tc>
          <w:tcPr>
            <w:tcW w:w="2123" w:type="dxa"/>
            <w:tcBorders>
              <w:top w:val="single" w:sz="4" w:space="0" w:color="000000"/>
              <w:left w:val="single" w:sz="4" w:space="0" w:color="000000"/>
              <w:bottom w:val="single" w:sz="4" w:space="0" w:color="000000"/>
              <w:right w:val="single" w:sz="4" w:space="0" w:color="000000"/>
            </w:tcBorders>
            <w:shd w:val="clear" w:color="auto" w:fill="F2F2F2"/>
          </w:tcPr>
          <w:p w14:paraId="47933465" w14:textId="77777777" w:rsidR="00017C04" w:rsidRDefault="00F50AF9">
            <w:pPr>
              <w:spacing w:before="0" w:after="0"/>
            </w:pPr>
            <w:r>
              <w:t>Legal and regulatory</w:t>
            </w:r>
          </w:p>
          <w:p w14:paraId="754DD9C9" w14:textId="77777777" w:rsidR="00017C04" w:rsidRDefault="00F50AF9">
            <w:pPr>
              <w:spacing w:before="0" w:after="0"/>
            </w:pPr>
            <w:r>
              <w:t>Economic and financial</w:t>
            </w:r>
          </w:p>
          <w:p w14:paraId="46A8DEB8" w14:textId="77777777" w:rsidR="00017C04" w:rsidRDefault="00F50AF9">
            <w:pPr>
              <w:spacing w:before="0" w:after="0"/>
            </w:pPr>
            <w:r>
              <w:t>Rights-based and customary norms</w:t>
            </w:r>
          </w:p>
          <w:p w14:paraId="5775057F" w14:textId="77777777" w:rsidR="00017C04" w:rsidRDefault="00F50AF9">
            <w:pPr>
              <w:spacing w:before="0" w:after="0"/>
            </w:pPr>
            <w:r>
              <w:t>Social and cultural instruments</w:t>
            </w:r>
          </w:p>
        </w:tc>
        <w:tc>
          <w:tcPr>
            <w:tcW w:w="5335" w:type="dxa"/>
            <w:tcBorders>
              <w:top w:val="single" w:sz="4" w:space="0" w:color="000000"/>
              <w:left w:val="single" w:sz="4" w:space="0" w:color="000000"/>
              <w:bottom w:val="single" w:sz="4" w:space="0" w:color="000000"/>
              <w:right w:val="single" w:sz="4" w:space="0" w:color="000000"/>
            </w:tcBorders>
            <w:shd w:val="clear" w:color="auto" w:fill="D5DCE4"/>
          </w:tcPr>
          <w:p w14:paraId="3F60AC02" w14:textId="77777777" w:rsidR="00017C04" w:rsidRDefault="00F50AF9">
            <w:pPr>
              <w:spacing w:before="0" w:after="0"/>
            </w:pPr>
            <w:r>
              <w:t>Assembling data and knowledge (B)</w:t>
            </w:r>
          </w:p>
          <w:p w14:paraId="7AB39E84" w14:textId="77777777" w:rsidR="00017C04" w:rsidRDefault="00F50AF9">
            <w:pPr>
              <w:spacing w:before="0" w:after="0"/>
            </w:pPr>
            <w:r>
              <w:t>Assessment and evaluation (B)</w:t>
            </w:r>
          </w:p>
          <w:p w14:paraId="57D52D55" w14:textId="155690F1" w:rsidR="00017C04" w:rsidRDefault="00F50AF9">
            <w:pPr>
              <w:spacing w:before="0" w:after="0"/>
            </w:pPr>
            <w:r>
              <w:t>Public discussion, involvement</w:t>
            </w:r>
            <w:r w:rsidR="00896CEC">
              <w:t xml:space="preserve"> and</w:t>
            </w:r>
            <w:r>
              <w:t xml:space="preserve"> participatory process (D)</w:t>
            </w:r>
          </w:p>
          <w:p w14:paraId="2838E7A1" w14:textId="77777777" w:rsidR="00017C04" w:rsidRDefault="00F50AF9">
            <w:pPr>
              <w:spacing w:before="0" w:after="0"/>
            </w:pPr>
            <w:r>
              <w:t>Selection and design of policy instruments (A, B)</w:t>
            </w:r>
          </w:p>
          <w:p w14:paraId="2A1AC57C" w14:textId="77777777" w:rsidR="00017C04" w:rsidRDefault="00F50AF9">
            <w:pPr>
              <w:spacing w:before="0" w:after="0"/>
            </w:pPr>
            <w:r>
              <w:t>Implementation, outreach and enforcement (A, C)</w:t>
            </w:r>
          </w:p>
          <w:p w14:paraId="6016F026" w14:textId="5574D84A" w:rsidR="00017C04" w:rsidRDefault="00F50AF9">
            <w:pPr>
              <w:spacing w:before="0" w:after="0"/>
            </w:pPr>
            <w:r>
              <w:t>Training and capacity</w:t>
            </w:r>
            <w:r w:rsidR="006F2BE1">
              <w:t>-</w:t>
            </w:r>
            <w:r>
              <w:t>building (B, D)</w:t>
            </w:r>
          </w:p>
          <w:p w14:paraId="6B07D44B" w14:textId="77777777" w:rsidR="00017C04" w:rsidRDefault="00F50AF9">
            <w:pPr>
              <w:spacing w:before="0" w:after="0"/>
            </w:pPr>
            <w:r>
              <w:t>Social learning and innovation (D)</w:t>
            </w:r>
          </w:p>
        </w:tc>
      </w:tr>
    </w:tbl>
    <w:p w14:paraId="0608C888" w14:textId="3B02B2A8" w:rsidR="00017C04" w:rsidRDefault="00F50AF9" w:rsidP="56C59A3A">
      <w:r>
        <w:t>Guided by the Intergovernmental Science-Policy Platform on Biodiversity and Ecosystem Services (IPBES) conceptual framework (</w:t>
      </w:r>
      <w:r w:rsidRPr="25C90E76">
        <w:rPr>
          <w:b/>
          <w:bCs/>
        </w:rPr>
        <w:t>Chapter 1</w:t>
      </w:r>
      <w:r>
        <w:t>,</w:t>
      </w:r>
      <w:r w:rsidRPr="25C90E76">
        <w:rPr>
          <w:b/>
          <w:bCs/>
        </w:rPr>
        <w:t xml:space="preserve"> section 1.6.1</w:t>
      </w:r>
      <w:r>
        <w:t>;</w:t>
      </w:r>
      <w:r w:rsidRPr="00192C26">
        <w:t xml:space="preserve"> </w:t>
      </w:r>
      <w:r w:rsidR="00D86A20" w:rsidRPr="00673554">
        <w:rPr>
          <w:b/>
          <w:iCs/>
        </w:rPr>
        <w:fldChar w:fldCharType="begin"/>
      </w:r>
      <w:r w:rsidR="00D86A20" w:rsidRPr="00673554">
        <w:rPr>
          <w:b/>
          <w:iCs/>
        </w:rPr>
        <w:instrText xml:space="preserve"> REF _Ref113363294 \h  \* MERGEFORMAT </w:instrText>
      </w:r>
      <w:r w:rsidR="00D86A20" w:rsidRPr="00673554">
        <w:rPr>
          <w:b/>
          <w:iCs/>
        </w:rPr>
      </w:r>
      <w:r w:rsidR="00D86A20" w:rsidRPr="00673554">
        <w:rPr>
          <w:b/>
          <w:iCs/>
        </w:rPr>
        <w:fldChar w:fldCharType="separate"/>
      </w:r>
      <w:r w:rsidR="0011368C" w:rsidRPr="00673554">
        <w:rPr>
          <w:b/>
          <w:iCs/>
        </w:rPr>
        <w:t>Figure 6.1</w:t>
      </w:r>
      <w:r w:rsidR="00D86A20" w:rsidRPr="00673554">
        <w:rPr>
          <w:b/>
          <w:iCs/>
        </w:rPr>
        <w:fldChar w:fldCharType="end"/>
      </w:r>
      <w:r w:rsidR="6FDE1443" w:rsidRPr="00A9434B">
        <w:t>),</w:t>
      </w:r>
      <w:r>
        <w:t xml:space="preserve"> possible options to prevent and manage biological invasions outlined in this chapter respond to direct and indirect drivers of change responsible for biological invasions, and to the possible impacts of </w:t>
      </w:r>
      <w:r w:rsidR="0B7906B0">
        <w:t xml:space="preserve">invasive alien species </w:t>
      </w:r>
      <w:r>
        <w:t>on nature, nature’s contributions to people</w:t>
      </w:r>
      <w:r w:rsidR="00896CEC">
        <w:t xml:space="preserve"> and</w:t>
      </w:r>
      <w:r>
        <w:t xml:space="preserve"> good quality of life. </w:t>
      </w:r>
      <w:r w:rsidRPr="25C90E76">
        <w:rPr>
          <w:b/>
          <w:bCs/>
        </w:rPr>
        <w:t>Section 6.2</w:t>
      </w:r>
      <w:r>
        <w:t xml:space="preserve"> presents options to strengthen the governance systems within which policy instruments and support tools for biological invasions are implemented. These include options for enhancing the coverage and strategic nature of biological invasions governance, dealing with multiple levels and sectors of society, as well as enhancing governance capabilities. </w:t>
      </w:r>
      <w:r w:rsidRPr="25C90E76">
        <w:rPr>
          <w:b/>
          <w:bCs/>
        </w:rPr>
        <w:t>Section 6.3</w:t>
      </w:r>
      <w:r>
        <w:t xml:space="preserve"> evaluates the limitations of and opportunities for the current array of legal and regulatory frameworks, highlighting the need for strategies that bridge and coordinate across sectors, geopolitical units</w:t>
      </w:r>
      <w:r w:rsidR="00896CEC">
        <w:t xml:space="preserve"> and</w:t>
      </w:r>
      <w:r>
        <w:t xml:space="preserve"> stages of the biological invasion process. </w:t>
      </w:r>
      <w:r w:rsidRPr="25C90E76">
        <w:rPr>
          <w:b/>
          <w:bCs/>
        </w:rPr>
        <w:t>Section 6.4</w:t>
      </w:r>
      <w:r>
        <w:t xml:space="preserve"> lays out the role of widespread engagement and the context and reasons for the broad and specific inclusion of stakeholders and Indigenous Peoples and local communities. This section examines the range of approaches for coordination and collaboration and shows how stakeholder and Indigenous Peoples and local communities’ engagement can improve biological invasions governance. </w:t>
      </w:r>
      <w:r w:rsidRPr="25C90E76">
        <w:rPr>
          <w:b/>
          <w:bCs/>
        </w:rPr>
        <w:t>Section 6.5</w:t>
      </w:r>
      <w:r>
        <w:t xml:space="preserve"> outlines financial and economic policy options that provide incentives for international organizations, governments, financial institutions</w:t>
      </w:r>
      <w:r w:rsidR="00896CEC">
        <w:t xml:space="preserve"> and</w:t>
      </w:r>
      <w:r>
        <w:t xml:space="preserve"> individuals to invest in </w:t>
      </w:r>
      <w:r w:rsidR="27D97931">
        <w:t xml:space="preserve">invasive alien species </w:t>
      </w:r>
      <w:r>
        <w:t>prevention, containment, mitigation, or eradication (</w:t>
      </w:r>
      <w:r w:rsidR="00C14291">
        <w:rPr>
          <w:b/>
          <w:iCs/>
        </w:rPr>
        <w:t>G</w:t>
      </w:r>
      <w:r w:rsidR="00C66C39" w:rsidRPr="00673554">
        <w:rPr>
          <w:b/>
          <w:iCs/>
        </w:rPr>
        <w:t>lossary</w:t>
      </w:r>
      <w:r>
        <w:t>). This section assesses the role of tariffs, cost-sharing</w:t>
      </w:r>
      <w:r w:rsidR="00896CEC">
        <w:t xml:space="preserve"> and</w:t>
      </w:r>
      <w:r>
        <w:t xml:space="preserve"> penalty systems as deterrents to invasive alien species (</w:t>
      </w:r>
      <w:r w:rsidR="00C14291">
        <w:rPr>
          <w:b/>
          <w:iCs/>
        </w:rPr>
        <w:t>G</w:t>
      </w:r>
      <w:r w:rsidR="00E67307" w:rsidRPr="00673554">
        <w:rPr>
          <w:b/>
          <w:iCs/>
        </w:rPr>
        <w:t>lossary</w:t>
      </w:r>
      <w:r>
        <w:t>) introduction and spread</w:t>
      </w:r>
      <w:r w:rsidR="00896CEC">
        <w:t xml:space="preserve"> and</w:t>
      </w:r>
      <w:r>
        <w:t xml:space="preserve"> as a financing alternative. This section also presents support tools for analysing the costs and benefits of invasive alien species. </w:t>
      </w:r>
      <w:r w:rsidRPr="25C90E76">
        <w:rPr>
          <w:b/>
          <w:bCs/>
        </w:rPr>
        <w:t xml:space="preserve">Section 6.6 </w:t>
      </w:r>
      <w:r>
        <w:t xml:space="preserve">specifies options for generating and maintaining the information and knowledge needed to govern and manage biological invasions. This section identifies knowledge gaps and options for access to the information needed for the creation of early warning systems, for forecasting the spread and impact of </w:t>
      </w:r>
      <w:r w:rsidR="3407EA87">
        <w:t>invasive alien species</w:t>
      </w:r>
      <w:r w:rsidR="00896CEC">
        <w:t xml:space="preserve"> and</w:t>
      </w:r>
      <w:r>
        <w:t xml:space="preserve"> for assessing management effectiveness. Information needs for the purpose of developing and reporting on the effectiveness of policy instruments are also described. Finally, </w:t>
      </w:r>
      <w:r w:rsidRPr="25C90E76">
        <w:rPr>
          <w:b/>
          <w:bCs/>
        </w:rPr>
        <w:t>section 6.7</w:t>
      </w:r>
      <w:r>
        <w:t xml:space="preserve"> summarizes the key governance and policy challenges and opportunities for sustainable biological invasion management that emerge from the assessment. This section outlines the set of strategic actions and governance system properties that can jointly construct an integrated </w:t>
      </w:r>
      <w:r>
        <w:lastRenderedPageBreak/>
        <w:t xml:space="preserve">approach to the governance for biological invasions that can bring about a step change in progress to achieving related policy and management goals. </w:t>
      </w:r>
    </w:p>
    <w:p w14:paraId="1EFC2066" w14:textId="79D8B9FB" w:rsidR="00391CA8" w:rsidRPr="00A9434B" w:rsidRDefault="00CB2957" w:rsidP="00D0755F">
      <w:pPr>
        <w:jc w:val="center"/>
      </w:pPr>
      <w:r w:rsidRPr="00CB2957">
        <w:rPr>
          <w:noProof/>
        </w:rPr>
        <w:drawing>
          <wp:inline distT="0" distB="0" distL="0" distR="0" wp14:anchorId="0A63D71C" wp14:editId="3386872D">
            <wp:extent cx="6111240" cy="2941955"/>
            <wp:effectExtent l="0" t="0" r="0" b="4445"/>
            <wp:docPr id="2" name="Picture 2" descr="A diagram of a different types of transpo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fferent types of transport&#10;&#10;Description automatically generated with medium confidence"/>
                    <pic:cNvPicPr/>
                  </pic:nvPicPr>
                  <pic:blipFill>
                    <a:blip r:embed="rId23"/>
                    <a:stretch>
                      <a:fillRect/>
                    </a:stretch>
                  </pic:blipFill>
                  <pic:spPr>
                    <a:xfrm>
                      <a:off x="0" y="0"/>
                      <a:ext cx="6111240" cy="2941955"/>
                    </a:xfrm>
                    <a:prstGeom prst="rect">
                      <a:avLst/>
                    </a:prstGeom>
                  </pic:spPr>
                </pic:pic>
              </a:graphicData>
            </a:graphic>
          </wp:inline>
        </w:drawing>
      </w:r>
    </w:p>
    <w:p w14:paraId="4973A79F" w14:textId="08BC4C5E" w:rsidR="0D0CA2AC" w:rsidRPr="00673554" w:rsidRDefault="6FDE1443" w:rsidP="00186F35">
      <w:pPr>
        <w:pStyle w:val="Caption"/>
        <w:rPr>
          <w:rFonts w:eastAsiaTheme="minorEastAsia"/>
          <w:lang w:eastAsia="ja-JP"/>
        </w:rPr>
      </w:pPr>
      <w:bookmarkStart w:id="18" w:name="_Ref113363294"/>
      <w:bookmarkStart w:id="19" w:name="_Toc147418296"/>
      <w:bookmarkStart w:id="20" w:name="_Hlk137724184"/>
      <w:r w:rsidRPr="00A9434B">
        <w:t>Figure 6.</w:t>
      </w:r>
      <w:r w:rsidR="007C7AC3">
        <w:fldChar w:fldCharType="begin"/>
      </w:r>
      <w:r w:rsidR="007C7AC3">
        <w:instrText xml:space="preserve"> SEQ Figure_6. \* ARABIC </w:instrText>
      </w:r>
      <w:r w:rsidR="007C7AC3">
        <w:fldChar w:fldCharType="separate"/>
      </w:r>
      <w:r w:rsidR="0011368C">
        <w:rPr>
          <w:noProof/>
        </w:rPr>
        <w:t>1</w:t>
      </w:r>
      <w:r w:rsidR="007C7AC3">
        <w:rPr>
          <w:noProof/>
        </w:rPr>
        <w:fldChar w:fldCharType="end"/>
      </w:r>
      <w:bookmarkEnd w:id="18"/>
      <w:r w:rsidR="00725EEE" w:rsidRPr="00A9434B">
        <w:t>.</w:t>
      </w:r>
      <w:r w:rsidR="110A0C21" w:rsidRPr="00A9434B">
        <w:t xml:space="preserve"> </w:t>
      </w:r>
      <w:r w:rsidR="47C57175" w:rsidRPr="00A9434B">
        <w:rPr>
          <w:b w:val="0"/>
          <w:bCs w:val="0"/>
        </w:rPr>
        <w:t>F</w:t>
      </w:r>
      <w:r w:rsidRPr="00A9434B">
        <w:rPr>
          <w:b w:val="0"/>
          <w:bCs w:val="0"/>
        </w:rPr>
        <w:t xml:space="preserve">ramework for </w:t>
      </w:r>
      <w:r w:rsidR="488E7FD1" w:rsidRPr="00A9434B">
        <w:rPr>
          <w:b w:val="0"/>
          <w:bCs w:val="0"/>
        </w:rPr>
        <w:t xml:space="preserve">governance and policy </w:t>
      </w:r>
      <w:r w:rsidRPr="00A9434B">
        <w:rPr>
          <w:b w:val="0"/>
          <w:bCs w:val="0"/>
        </w:rPr>
        <w:t xml:space="preserve">response options and </w:t>
      </w:r>
      <w:r w:rsidR="488E7FD1" w:rsidRPr="00A9434B">
        <w:rPr>
          <w:b w:val="0"/>
          <w:bCs w:val="0"/>
        </w:rPr>
        <w:t>how they relate to nature, nature’s contribution</w:t>
      </w:r>
      <w:r w:rsidR="00577F32">
        <w:rPr>
          <w:b w:val="0"/>
          <w:bCs w:val="0"/>
        </w:rPr>
        <w:t>s</w:t>
      </w:r>
      <w:r w:rsidR="488E7FD1" w:rsidRPr="00A9434B">
        <w:rPr>
          <w:b w:val="0"/>
          <w:bCs w:val="0"/>
        </w:rPr>
        <w:t xml:space="preserve"> to people</w:t>
      </w:r>
      <w:r w:rsidR="00896CEC">
        <w:rPr>
          <w:b w:val="0"/>
          <w:bCs w:val="0"/>
        </w:rPr>
        <w:t xml:space="preserve"> and</w:t>
      </w:r>
      <w:r w:rsidR="488E7FD1" w:rsidRPr="00A9434B">
        <w:rPr>
          <w:b w:val="0"/>
          <w:bCs w:val="0"/>
        </w:rPr>
        <w:t xml:space="preserve"> good quality of life</w:t>
      </w:r>
      <w:r w:rsidRPr="00A9434B">
        <w:rPr>
          <w:b w:val="0"/>
          <w:bCs w:val="0"/>
        </w:rPr>
        <w:t>.</w:t>
      </w:r>
      <w:r w:rsidR="5E10A211" w:rsidRPr="00A9434B">
        <w:t xml:space="preserve"> </w:t>
      </w:r>
      <w:r w:rsidRPr="00A9434B">
        <w:rPr>
          <w:b w:val="0"/>
          <w:bCs w:val="0"/>
        </w:rPr>
        <w:t xml:space="preserve">Simplification of the IPBES conceptual framework that describes the array of response </w:t>
      </w:r>
      <w:r w:rsidRPr="00F27F4C">
        <w:rPr>
          <w:b w:val="0"/>
          <w:bCs w:val="0"/>
        </w:rPr>
        <w:t xml:space="preserve">options </w:t>
      </w:r>
      <w:r w:rsidR="00F27F4C" w:rsidRPr="00F27F4C">
        <w:rPr>
          <w:b w:val="0"/>
          <w:bCs w:val="0"/>
          <w:color w:val="000000" w:themeColor="text1"/>
        </w:rPr>
        <w:t xml:space="preserve">(left box) </w:t>
      </w:r>
      <w:r w:rsidRPr="00F27F4C">
        <w:rPr>
          <w:b w:val="0"/>
          <w:bCs w:val="0"/>
        </w:rPr>
        <w:t>to</w:t>
      </w:r>
      <w:r w:rsidRPr="00A9434B">
        <w:rPr>
          <w:b w:val="0"/>
          <w:bCs w:val="0"/>
        </w:rPr>
        <w:t xml:space="preserve"> limit the drivers </w:t>
      </w:r>
      <w:r w:rsidR="00192C26">
        <w:rPr>
          <w:b w:val="0"/>
          <w:bCs w:val="0"/>
        </w:rPr>
        <w:t xml:space="preserve">facilitating </w:t>
      </w:r>
      <w:r w:rsidRPr="00A9434B">
        <w:rPr>
          <w:b w:val="0"/>
          <w:bCs w:val="0"/>
        </w:rPr>
        <w:t xml:space="preserve">biological invasion and the spread of invasive alien species </w:t>
      </w:r>
      <w:r w:rsidR="00F27F4C" w:rsidRPr="00F27F4C">
        <w:rPr>
          <w:b w:val="0"/>
          <w:bCs w:val="0"/>
          <w:color w:val="000000" w:themeColor="text1"/>
        </w:rPr>
        <w:t xml:space="preserve">(middle box) and mitigate their negative impacts on good quality of life (surrounding boxes connected by dashed arrows). </w:t>
      </w:r>
      <w:r w:rsidR="00030B6C">
        <w:rPr>
          <w:rFonts w:eastAsiaTheme="minorEastAsia" w:hint="cs"/>
          <w:b w:val="0"/>
          <w:bCs w:val="0"/>
          <w:lang w:eastAsia="ja-JP"/>
        </w:rPr>
        <w:t>M</w:t>
      </w:r>
      <w:r w:rsidR="00030B6C">
        <w:rPr>
          <w:rFonts w:eastAsiaTheme="minorEastAsia"/>
          <w:b w:val="0"/>
          <w:bCs w:val="0"/>
          <w:lang w:eastAsia="ja-JP"/>
        </w:rPr>
        <w:t xml:space="preserve">odified from </w:t>
      </w:r>
      <w:r w:rsidR="00030B6C" w:rsidRPr="00030B6C">
        <w:rPr>
          <w:rFonts w:eastAsiaTheme="minorEastAsia"/>
          <w:b w:val="0"/>
          <w:bCs w:val="0"/>
          <w:lang w:eastAsia="ja-JP"/>
        </w:rPr>
        <w:t>S. Díaz et al.</w:t>
      </w:r>
      <w:r w:rsidR="00030B6C">
        <w:rPr>
          <w:rFonts w:eastAsiaTheme="minorEastAsia"/>
          <w:b w:val="0"/>
          <w:bCs w:val="0"/>
          <w:lang w:eastAsia="ja-JP"/>
        </w:rPr>
        <w:t xml:space="preserve"> </w:t>
      </w:r>
      <w:r w:rsidR="00030B6C" w:rsidRPr="0059234D">
        <w:rPr>
          <w:rFonts w:eastAsiaTheme="minorEastAsia"/>
          <w:b w:val="0"/>
          <w:bCs w:val="0"/>
          <w:lang w:eastAsia="ja-JP"/>
        </w:rPr>
        <w:fldChar w:fldCharType="begin"/>
      </w:r>
      <w:r w:rsidR="0006613E">
        <w:rPr>
          <w:rFonts w:eastAsiaTheme="minorEastAsia"/>
          <w:b w:val="0"/>
          <w:bCs w:val="0"/>
          <w:lang w:eastAsia="ja-JP"/>
        </w:rPr>
        <w:instrText xml:space="preserve"> ADDIN ZOTERO_ITEM CSL_CITATION {"citationID":"tayt7yGa","properties":{"formattedCitation":"(2015)","plainCitation":"(2015)","noteIndex":0},"citationItems":[{"id":56276,"uris":["http://zotero.org/groups/2352922/items/M2BU94IG"],"itemData":{"id":56276,"type":"article-journal","abstract":"The first public product of the Intergovernmental Platform on Biodiversity and Ecosystem Services (IPBES) is its Conceptual Framework. This conceptual and analytical tool, presented here in detail, will underpin all IPBES functions and provide structure and comparability to the syntheses that IPBES will produce at different spatial scales, on different themes, and in different regions. Salient innovative aspects of the IPBES Conceptual Framework are its transparent and participatory construction process and its explicit consideration of diverse scientific disciplines, stakeholders, and knowledge systems, including indigenous and local knowledge. Because the focus on co-construction of integrative knowledge is shared by an increasing number of initiatives worldwide, this framework should be useful beyond IPBES, for the wider research and knowledge-policy communities working on the links between nature and people, such as natural, social and engineering scientists, policy-makers at different levels, and decision-makers in different sectors of society.","collection-title":"Open Issue","container-title":"Current Opinion in Environmental Sustainability","DOI":"10.1016/j.cosust.2014.11.002","ISSN":"1877-3435","journalAbbreviation":"Current Opinion in Environmental Sustainability","language":"en","page":"1-16","source":"ScienceDirect","title":"The IPBES Conceptual Framework — connecting nature and people","URL":"https://doi.org/10.1016/j.cosust.2014.11.002","volume":"14","author":[{"family":"Díaz","given":"Sandra"},{"family":"Demissew","given":"Sebsebe"},{"family":"Carabias","given":"Julia"},{"family":"Joly","given":"Carlos"},{"family":"Lonsdale","given":"Mark"},{"family":"Ash","given":"Neville"},{"family":"Larigauderie","given":"Anne"},{"family":"Adhikari","given":"Jay Ram"},{"family":"Arico","given":"Salvatore"},{"family":"Báldi","given":"András"},{"family":"Bartuska","given":"Ann"},{"family":"Baste","given":"Ivar Andreas"},{"family":"Bilgin","given":"Adem"},{"family":"Brondizio","given":"Eduardo"},{"family":"Chan","given":"Kai MA"},{"family":"Figueroa","given":"Viviana Elsa"},{"family":"Duraiappah","given":"Anantha"},{"family":"Fischer","given":"Markus"},{"family":"Hill","given":"Rosemary"},{"family":"Koetz","given":"Thomas"},{"family":"Leadley","given":"Paul"},{"family":"Lyver","given":"Philip"},{"family":"Mace","given":"Georgina M"},{"family":"Martin-Lopez","given":"Berta"},{"family":"Okumura","given":"Michiko"},{"family":"Pacheco","given":"Diego"},{"family":"Pascual","given":"Unai"},{"family":"Pérez","given":"Edgar Selvin"},{"family":"Reyers","given":"Belinda"},{"family":"Roth","given":"Eva"},{"family":"Saito","given":"Osamu"},{"family":"Scholes","given":"Robert John"},{"family":"Sharma","given":"Nalini"},{"family":"Tallis","given":"Heather"},{"family":"Thaman","given":"Randolph"},{"family":"Watson","given":"Robert"},{"family":"Yahara","given":"Tetsukazu"},{"family":"Hamid","given":"Zakri Abdul"},{"family":"Akosim","given":"Callistus"},{"family":"Al-Hafedh","given":"Yousef"},{"family":"Allahverdiyev","given":"Rashad"},{"family":"Amankwah","given":"Edward"},{"family":"Asah","given":"Stanley T"},{"family":"Asfaw","given":"Zemede"},{"family":"Bartus","given":"Gabor"},{"family":"Brooks","given":"L Anathea"},{"family":"Caillaux","given":"Jorge"},{"family":"Dalle","given":"Gemedo"},{"family":"Darnaedi","given":"Dedy"},{"family":"Driver","given":"Amanda"},{"family":"Erpul","given":"Gunay"},{"family":"Escobar-Eyzaguirre","given":"Pablo"},{"family":"Failler","given":"Pierre"},{"family":"Fouda","given":"Ali Moustafa Mokhtar"},{"family":"Fu","given":"Bojie"},{"family":"Gundimeda","given":"Haripriya"},{"family":"Hashimoto","given":"Shizuka"},{"family":"Homer","given":"Floyd"},{"family":"Lavorel","given":"Sandra"},{"family":"Lichtenstein","given":"Gabriela"},{"family":"Mala","given":"William Armand"},{"family":"Mandivenyi","given":"Wadzanayi"},{"family":"Matczak","given":"Piotr"},{"family":"Mbizvo","given":"Carmel"},{"family":"Mehrdadi","given":"Mehrasa"},{"family":"Metzger","given":"Jean Paul"},{"family":"Mikissa","given":"Jean Bruno"},{"family":"Moller","given":"Henrik"},{"family":"Mooney","given":"Harold A"},{"family":"Mumby","given":"Peter"},{"family":"Nagendra","given":"Harini"},{"family":"Nesshover","given":"Carsten"},{"family":"Oteng-Yeboah","given":"Alfred Apau"},{"family":"Pataki","given":"György"},{"family":"Roué","given":"Marie"},{"family":"Rubis","given":"Jennifer"},{"family":"Schultz","given":"Maria"},{"family":"Smith","given":"Peggy"},{"family":"Sumaila","given":"Rashid"},{"family":"Takeuchi","given":"Kazuhiko"},{"family":"Thomas","given":"Spencer"},{"family":"Verma","given":"Madhu"},{"family":"Yeo-Chang","given":"Youn"},{"family":"Zlatanova","given":"Diana"}],"accessed":{"date-parts":[["2023",6,8]]},"issued":{"date-parts":[["2015",6,1]]}},"label":"page","suppress-author":true}],"schema":"https://github.com/citation-style-language/schema/raw/master/csl-citation.json"} </w:instrText>
      </w:r>
      <w:r w:rsidR="00030B6C" w:rsidRPr="0059234D">
        <w:rPr>
          <w:rFonts w:eastAsiaTheme="minorEastAsia"/>
          <w:b w:val="0"/>
          <w:bCs w:val="0"/>
          <w:lang w:eastAsia="ja-JP"/>
        </w:rPr>
        <w:fldChar w:fldCharType="separate"/>
      </w:r>
      <w:r w:rsidR="00030B6C" w:rsidRPr="00673554">
        <w:rPr>
          <w:b w:val="0"/>
        </w:rPr>
        <w:t>(2015)</w:t>
      </w:r>
      <w:r w:rsidR="00030B6C" w:rsidRPr="0059234D">
        <w:rPr>
          <w:rFonts w:eastAsiaTheme="minorEastAsia"/>
          <w:b w:val="0"/>
          <w:bCs w:val="0"/>
          <w:lang w:eastAsia="ja-JP"/>
        </w:rPr>
        <w:fldChar w:fldCharType="end"/>
      </w:r>
      <w:r w:rsidR="00FD65B1">
        <w:rPr>
          <w:rFonts w:eastAsiaTheme="minorEastAsia"/>
          <w:b w:val="0"/>
          <w:bCs w:val="0"/>
          <w:lang w:eastAsia="ja-JP"/>
        </w:rPr>
        <w:t xml:space="preserve">, </w:t>
      </w:r>
      <w:hyperlink r:id="rId24" w:history="1">
        <w:r w:rsidR="00FD65B1" w:rsidRPr="006A0CE1">
          <w:rPr>
            <w:rStyle w:val="Hyperlink"/>
            <w:rFonts w:eastAsiaTheme="minorEastAsia"/>
            <w:b w:val="0"/>
            <w:bCs w:val="0"/>
            <w:lang w:eastAsia="ja-JP"/>
          </w:rPr>
          <w:t>https://doi.org/10.1016/j.cosust.2014.11.002</w:t>
        </w:r>
      </w:hyperlink>
      <w:r w:rsidR="00FD65B1">
        <w:rPr>
          <w:rFonts w:eastAsiaTheme="minorEastAsia"/>
          <w:b w:val="0"/>
          <w:bCs w:val="0"/>
          <w:lang w:eastAsia="ja-JP"/>
        </w:rPr>
        <w:t xml:space="preserve">, </w:t>
      </w:r>
      <w:r w:rsidR="00030B6C">
        <w:rPr>
          <w:rFonts w:eastAsiaTheme="minorEastAsia"/>
          <w:b w:val="0"/>
          <w:bCs w:val="0"/>
          <w:lang w:eastAsia="ja-JP"/>
        </w:rPr>
        <w:t xml:space="preserve">under license </w:t>
      </w:r>
      <w:r w:rsidR="00030B6C" w:rsidRPr="00030B6C">
        <w:rPr>
          <w:rFonts w:eastAsiaTheme="minorEastAsia"/>
          <w:b w:val="0"/>
          <w:bCs w:val="0"/>
          <w:lang w:eastAsia="ja-JP"/>
        </w:rPr>
        <w:t>CC BY-NC-SA 3.0</w:t>
      </w:r>
      <w:r w:rsidR="00030B6C">
        <w:rPr>
          <w:rFonts w:eastAsiaTheme="minorEastAsia"/>
          <w:b w:val="0"/>
          <w:bCs w:val="0"/>
          <w:lang w:eastAsia="ja-JP"/>
        </w:rPr>
        <w:t>.</w:t>
      </w:r>
      <w:bookmarkEnd w:id="19"/>
    </w:p>
    <w:p w14:paraId="1F30252F" w14:textId="77777777" w:rsidR="00017C04" w:rsidRDefault="00F50AF9" w:rsidP="008521D1">
      <w:pPr>
        <w:pStyle w:val="Heading2"/>
      </w:pPr>
      <w:bookmarkStart w:id="21" w:name="_heading=h.2et92p0"/>
      <w:bookmarkStart w:id="22" w:name="_Toc133428293"/>
      <w:bookmarkStart w:id="23" w:name="_Toc133428779"/>
      <w:bookmarkStart w:id="24" w:name="_Toc147417573"/>
      <w:bookmarkEnd w:id="20"/>
      <w:bookmarkEnd w:id="21"/>
      <w:r>
        <w:t>Risks and opportunities</w:t>
      </w:r>
      <w:bookmarkStart w:id="25" w:name="_Toc2046747417"/>
      <w:bookmarkEnd w:id="22"/>
      <w:bookmarkEnd w:id="23"/>
      <w:bookmarkEnd w:id="24"/>
      <w:r>
        <w:t xml:space="preserve"> </w:t>
      </w:r>
      <w:bookmarkEnd w:id="25"/>
    </w:p>
    <w:p w14:paraId="150F358C" w14:textId="22C5809E" w:rsidR="00017C04" w:rsidRDefault="00F50AF9" w:rsidP="56C59A3A">
      <w:pPr>
        <w:rPr>
          <w:b/>
          <w:bCs/>
        </w:rPr>
      </w:pPr>
      <w:bookmarkStart w:id="26" w:name="_heading=h.3dy6vkm"/>
      <w:bookmarkEnd w:id="26"/>
      <w:r>
        <w:t>The IPBES invasive alien species assessment and previous IPBES assessments (as outlined in</w:t>
      </w:r>
      <w:r w:rsidRPr="00192C26">
        <w:t xml:space="preserve"> </w:t>
      </w:r>
      <w:r w:rsidR="1A702E81" w:rsidRPr="00673554">
        <w:rPr>
          <w:b/>
          <w:iCs/>
        </w:rPr>
        <w:t>Table</w:t>
      </w:r>
      <w:r w:rsidRPr="56C59A3A">
        <w:rPr>
          <w:b/>
          <w:bCs/>
        </w:rPr>
        <w:t xml:space="preserve"> 6.2</w:t>
      </w:r>
      <w:r>
        <w:t xml:space="preserve">) identify risks and opportunities that provide the basis for determining future options and strategies to prevent and mitigate the impacts of </w:t>
      </w:r>
      <w:r w:rsidR="2A8175B4">
        <w:t xml:space="preserve">invasive alien species </w:t>
      </w:r>
      <w:r>
        <w:t>on nature, nature</w:t>
      </w:r>
      <w:r w:rsidR="00F80082">
        <w:t>’</w:t>
      </w:r>
      <w:r>
        <w:t>s contributions to people</w:t>
      </w:r>
      <w:r w:rsidR="00896CEC">
        <w:t xml:space="preserve"> and</w:t>
      </w:r>
      <w:r>
        <w:t xml:space="preserve"> good quality of life </w:t>
      </w:r>
      <w:r w:rsidR="7F8D5079" w:rsidRPr="00A9434B">
        <w:t>(</w:t>
      </w:r>
      <w:r w:rsidR="00934039" w:rsidRPr="00673554">
        <w:rPr>
          <w:b/>
          <w:iCs/>
        </w:rPr>
        <w:fldChar w:fldCharType="begin"/>
      </w:r>
      <w:r w:rsidR="00934039" w:rsidRPr="00673554">
        <w:rPr>
          <w:b/>
          <w:iCs/>
        </w:rPr>
        <w:instrText xml:space="preserve"> REF _Ref113363294 \h  \* MERGEFORMAT </w:instrText>
      </w:r>
      <w:r w:rsidR="00934039" w:rsidRPr="00673554">
        <w:rPr>
          <w:b/>
          <w:iCs/>
        </w:rPr>
      </w:r>
      <w:r w:rsidR="00934039" w:rsidRPr="00673554">
        <w:rPr>
          <w:b/>
          <w:iCs/>
        </w:rPr>
        <w:fldChar w:fldCharType="separate"/>
      </w:r>
      <w:r w:rsidR="0011368C" w:rsidRPr="00673554">
        <w:rPr>
          <w:b/>
          <w:iCs/>
        </w:rPr>
        <w:t>Figure 6.1</w:t>
      </w:r>
      <w:r w:rsidR="00934039" w:rsidRPr="00673554">
        <w:rPr>
          <w:b/>
          <w:iCs/>
        </w:rPr>
        <w:fldChar w:fldCharType="end"/>
      </w:r>
      <w:r w:rsidR="7F8D5079" w:rsidRPr="00A9434B">
        <w:t>).</w:t>
      </w:r>
      <w:r>
        <w:t xml:space="preserve"> These risks and opportunities can be categorized into ten groups (</w:t>
      </w:r>
      <w:r w:rsidR="002F0E5B">
        <w:rPr>
          <w:b/>
          <w:bCs/>
        </w:rPr>
        <w:t>Table</w:t>
      </w:r>
      <w:r w:rsidRPr="56C59A3A">
        <w:rPr>
          <w:b/>
          <w:bCs/>
        </w:rPr>
        <w:t xml:space="preserve"> 6.2</w:t>
      </w:r>
      <w:r>
        <w:t>) and lay the foundation for the strategic identification of governance policy instruments and options. These risks and opportunities also reveal where adaptation is the most feasible option, when eradication or adequate management is no longer feasible, and when such an adaptive response could lead to a positive system transformation.</w:t>
      </w:r>
      <w:bookmarkStart w:id="27" w:name="_Ref104892380"/>
    </w:p>
    <w:p w14:paraId="0385FB8D" w14:textId="17AFA717" w:rsidR="00017C04" w:rsidRPr="00192C26" w:rsidRDefault="00F50AF9" w:rsidP="00192C26">
      <w:pPr>
        <w:pStyle w:val="Caption"/>
        <w:rPr>
          <w:color w:val="000000"/>
        </w:rPr>
      </w:pPr>
      <w:bookmarkStart w:id="28" w:name="_heading=h.1t3h5sf" w:colFirst="0" w:colLast="0"/>
      <w:bookmarkStart w:id="29" w:name="_Toc147418535"/>
      <w:bookmarkEnd w:id="28"/>
      <w:r w:rsidRPr="00192C26">
        <w:rPr>
          <w:bCs w:val="0"/>
        </w:rPr>
        <w:t>Table 6</w:t>
      </w:r>
      <w:r w:rsidR="7FFE9184" w:rsidRPr="00192C26">
        <w:rPr>
          <w:bCs w:val="0"/>
        </w:rPr>
        <w:t>.</w:t>
      </w:r>
      <w:bookmarkStart w:id="30" w:name="_Toc88742633"/>
      <w:bookmarkStart w:id="31" w:name="_Toc88743086"/>
      <w:bookmarkStart w:id="32" w:name="_Toc88743325"/>
      <w:bookmarkStart w:id="33" w:name="_Toc89445552"/>
      <w:bookmarkStart w:id="34" w:name="_Toc89445648"/>
      <w:bookmarkStart w:id="35" w:name="_Toc89770999"/>
      <w:bookmarkStart w:id="36" w:name="_Toc89879451"/>
      <w:bookmarkEnd w:id="30"/>
      <w:bookmarkEnd w:id="31"/>
      <w:bookmarkEnd w:id="32"/>
      <w:bookmarkEnd w:id="33"/>
      <w:bookmarkEnd w:id="34"/>
      <w:bookmarkEnd w:id="35"/>
      <w:bookmarkEnd w:id="36"/>
      <w:r w:rsidR="00ED51F5" w:rsidRPr="00192C26">
        <w:rPr>
          <w:bCs w:val="0"/>
        </w:rPr>
        <w:fldChar w:fldCharType="begin"/>
      </w:r>
      <w:r w:rsidR="00ED51F5" w:rsidRPr="00192C26">
        <w:rPr>
          <w:bCs w:val="0"/>
        </w:rPr>
        <w:instrText xml:space="preserve"> SEQ Table_6. \* ARABIC </w:instrText>
      </w:r>
      <w:r w:rsidR="00ED51F5" w:rsidRPr="00192C26">
        <w:rPr>
          <w:bCs w:val="0"/>
        </w:rPr>
        <w:fldChar w:fldCharType="separate"/>
      </w:r>
      <w:r w:rsidR="0011368C" w:rsidRPr="00192C26">
        <w:rPr>
          <w:bCs w:val="0"/>
          <w:noProof/>
        </w:rPr>
        <w:t>2</w:t>
      </w:r>
      <w:r w:rsidR="00ED51F5" w:rsidRPr="00192C26">
        <w:rPr>
          <w:bCs w:val="0"/>
        </w:rPr>
        <w:fldChar w:fldCharType="end"/>
      </w:r>
      <w:bookmarkEnd w:id="27"/>
      <w:r w:rsidR="00725EEE" w:rsidRPr="00192C26">
        <w:rPr>
          <w:bCs w:val="0"/>
        </w:rPr>
        <w:t>.</w:t>
      </w:r>
      <w:r w:rsidRPr="00192C26">
        <w:rPr>
          <w:color w:val="000000"/>
        </w:rPr>
        <w:t xml:space="preserve"> </w:t>
      </w:r>
      <w:r w:rsidRPr="00192C26">
        <w:rPr>
          <w:b w:val="0"/>
          <w:bCs w:val="0"/>
          <w:color w:val="000000"/>
        </w:rPr>
        <w:t>Risks (hazard or impact taking place) and opportunities (circumstances that make it possible to act) for managing biological invasions as defined in the IPBES invasive alien species assessment and other IPBES assessments</w:t>
      </w:r>
      <w:bookmarkEnd w:id="29"/>
    </w:p>
    <w:p w14:paraId="461012D5" w14:textId="1D608B96" w:rsidR="00017C04" w:rsidRPr="00192C26" w:rsidRDefault="00F50AF9" w:rsidP="00192C26">
      <w:r w:rsidRPr="00192C26">
        <w:t>The risks and opportunities showcased provide an overview of the main governance challenges, policy instruments</w:t>
      </w:r>
      <w:r w:rsidR="00896CEC">
        <w:t xml:space="preserve"> and</w:t>
      </w:r>
      <w:r w:rsidRPr="00192C26">
        <w:t xml:space="preserve"> knowledge needs that are highlighted in this chapter to effectively manage biological invasions. The relevant sections within the IPBES invasive alien species assessment and other IPBES assessments are highlighted for each of the points raised. </w:t>
      </w:r>
    </w:p>
    <w:tbl>
      <w:tblPr>
        <w:tblW w:w="9445"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695"/>
        <w:gridCol w:w="6750"/>
      </w:tblGrid>
      <w:tr w:rsidR="00017C04" w14:paraId="42216F21" w14:textId="77777777" w:rsidTr="001C390D">
        <w:trPr>
          <w:trHeight w:val="339"/>
        </w:trPr>
        <w:tc>
          <w:tcPr>
            <w:tcW w:w="2695" w:type="dxa"/>
            <w:vAlign w:val="center"/>
          </w:tcPr>
          <w:p w14:paraId="71AF6193" w14:textId="77777777" w:rsidR="00017C04" w:rsidRDefault="00F50AF9">
            <w:pPr>
              <w:keepNext/>
              <w:jc w:val="center"/>
            </w:pPr>
            <w:r>
              <w:lastRenderedPageBreak/>
              <w:t>Risks and/or opportunity</w:t>
            </w:r>
          </w:p>
        </w:tc>
        <w:tc>
          <w:tcPr>
            <w:tcW w:w="6750" w:type="dxa"/>
            <w:vAlign w:val="center"/>
          </w:tcPr>
          <w:p w14:paraId="703F2954" w14:textId="77777777" w:rsidR="00017C04" w:rsidRDefault="00F50AF9">
            <w:pPr>
              <w:keepNext/>
              <w:jc w:val="center"/>
            </w:pPr>
            <w:r>
              <w:t>Description (relevant chapter sections of this/previous IPBES assessments)</w:t>
            </w:r>
          </w:p>
        </w:tc>
      </w:tr>
      <w:tr w:rsidR="00017C04" w14:paraId="53305221" w14:textId="77777777" w:rsidTr="001C390D">
        <w:trPr>
          <w:trHeight w:val="339"/>
        </w:trPr>
        <w:tc>
          <w:tcPr>
            <w:tcW w:w="2695" w:type="dxa"/>
            <w:vAlign w:val="center"/>
          </w:tcPr>
          <w:p w14:paraId="17B12952" w14:textId="77777777" w:rsidR="00017C04" w:rsidRDefault="00F50AF9">
            <w:pPr>
              <w:spacing w:before="0" w:after="0"/>
            </w:pPr>
            <w:r>
              <w:t>Information disparity</w:t>
            </w:r>
          </w:p>
        </w:tc>
        <w:tc>
          <w:tcPr>
            <w:tcW w:w="6750" w:type="dxa"/>
          </w:tcPr>
          <w:p w14:paraId="6D3BD2AE" w14:textId="4312A8E7" w:rsidR="00ED51F5" w:rsidRPr="00A9434B" w:rsidRDefault="00ED51F5" w:rsidP="00192C26">
            <w:pPr>
              <w:pStyle w:val="ListParagraph"/>
              <w:numPr>
                <w:ilvl w:val="0"/>
                <w:numId w:val="11"/>
              </w:numPr>
              <w:spacing w:before="0" w:after="0"/>
            </w:pPr>
            <w:r w:rsidRPr="00A9434B">
              <w:t xml:space="preserve">Geographic, taxonomic, data access and publication biases </w:t>
            </w:r>
            <w:r w:rsidR="00EE5E90" w:rsidRPr="00A9434B">
              <w:t>(</w:t>
            </w:r>
            <w:r w:rsidR="00C14291" w:rsidRPr="00192C26">
              <w:rPr>
                <w:b/>
                <w:iCs/>
              </w:rPr>
              <w:t>C</w:t>
            </w:r>
            <w:r w:rsidR="00EE5E90" w:rsidRPr="00192C26">
              <w:rPr>
                <w:b/>
                <w:iCs/>
              </w:rPr>
              <w:t>hapter 6</w:t>
            </w:r>
            <w:r w:rsidR="00EE5E90" w:rsidRPr="00192C26">
              <w:rPr>
                <w:iCs/>
              </w:rPr>
              <w:t xml:space="preserve">, </w:t>
            </w:r>
            <w:r w:rsidRPr="00192C26">
              <w:rPr>
                <w:b/>
                <w:iCs/>
              </w:rPr>
              <w:t>section 6.6</w:t>
            </w:r>
            <w:r w:rsidR="006A0B1C" w:rsidRPr="00192C26">
              <w:rPr>
                <w:b/>
                <w:iCs/>
              </w:rPr>
              <w:t>.1</w:t>
            </w:r>
            <w:r w:rsidRPr="00192C26">
              <w:rPr>
                <w:iCs/>
              </w:rPr>
              <w:t>;</w:t>
            </w:r>
            <w:r w:rsidR="00EE5E90" w:rsidRPr="00192C26">
              <w:rPr>
                <w:b/>
                <w:iCs/>
              </w:rPr>
              <w:t xml:space="preserve"> </w:t>
            </w:r>
            <w:r w:rsidR="00C14291" w:rsidRPr="00192C26">
              <w:rPr>
                <w:b/>
                <w:iCs/>
              </w:rPr>
              <w:t>C</w:t>
            </w:r>
            <w:r w:rsidR="00EE5E90" w:rsidRPr="00192C26">
              <w:rPr>
                <w:b/>
                <w:iCs/>
              </w:rPr>
              <w:t>hapter 4</w:t>
            </w:r>
            <w:r w:rsidR="00EE5E90" w:rsidRPr="00192C26">
              <w:rPr>
                <w:iCs/>
              </w:rPr>
              <w:t xml:space="preserve">, </w:t>
            </w:r>
            <w:r w:rsidR="00EE5E90" w:rsidRPr="00192C26">
              <w:rPr>
                <w:b/>
                <w:iCs/>
              </w:rPr>
              <w:t>section 4.7.2</w:t>
            </w:r>
            <w:r w:rsidR="00EE5E90" w:rsidRPr="00A9434B">
              <w:t>;</w:t>
            </w:r>
            <w:r w:rsidRPr="00A9434B">
              <w:t xml:space="preserve"> </w:t>
            </w:r>
            <w:r w:rsidRPr="00A9434B">
              <w:fldChar w:fldCharType="begin"/>
            </w:r>
            <w:r w:rsidR="0006613E">
              <w:instrText xml:space="preserve"> ADDIN ZOTERO_ITEM CSL_CITATION {"citationID":"aoec96bi08","properties":{"formattedCitation":"(IPBES, 2018a)","plainCitation":"(IPBES, 2018a)","dontUpdate":true,"noteIndex":0},"citationItems":[{"id":26989,"uris":["http://zotero.org/groups/2352922/items/HNN39TBD","http://zotero.org/groups/2352922/items/BF3N3YYK"],"itemData":{"id":26989,"type":"report","abstract":"The Regional Assessment Report on Biodiversity and Ecosystem Services for Asia and the Pacific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10.5281/ZENODO.3237374","publisher":"Secretariat of the Intergovernmental Science-Policy Platform on Biodiversity and Ecosystem Services","publisher-place":"Bonn, Germany","source":"DOI.org (Datacite)","title":"The IPBES regional assessment report on biodiversity and ecosystem services for Asia and the Pacific","URL":"https://zenodo.org/record/3237374","author":[{"literal":"IPBES"}],"collection-editor":[{"family":"Karki","given":"Madhav"},{"family":"Sellamuttu","given":"Sonali Senaratna"},{"family":"Okayasu","given":"Sana"},{"family":"Suzuki","given":"Wataru"}],"accessed":{"date-parts":[["2020",8,25]]},"issued":{"date-parts":[["2018"]]}},"label":"page"}],"schema":"https://github.com/citation-style-language/schema/raw/master/csl-citation.json"} </w:instrText>
            </w:r>
            <w:r w:rsidRPr="00A9434B">
              <w:fldChar w:fldCharType="separate"/>
            </w:r>
            <w:r w:rsidR="00C71E80" w:rsidRPr="00A9434B">
              <w:t>IPBES, 2018a)</w:t>
            </w:r>
            <w:r w:rsidRPr="00A9434B">
              <w:fldChar w:fldCharType="end"/>
            </w:r>
          </w:p>
          <w:p w14:paraId="26562E06" w14:textId="3D190BFF" w:rsidR="00017C04" w:rsidRDefault="00F50AF9" w:rsidP="001C390D">
            <w:pPr>
              <w:numPr>
                <w:ilvl w:val="0"/>
                <w:numId w:val="11"/>
              </w:numPr>
              <w:pBdr>
                <w:top w:val="nil"/>
                <w:left w:val="nil"/>
                <w:bottom w:val="nil"/>
                <w:right w:val="nil"/>
                <w:between w:val="nil"/>
              </w:pBdr>
              <w:spacing w:before="0" w:after="0"/>
            </w:pPr>
            <w:r w:rsidRPr="001C390D">
              <w:rPr>
                <w:color w:val="000000" w:themeColor="text1"/>
              </w:rPr>
              <w:t xml:space="preserve">Comparatively limited knowledge of </w:t>
            </w:r>
            <w:r w:rsidR="684B06DD" w:rsidRPr="00192C26">
              <w:rPr>
                <w:color w:val="000000" w:themeColor="text1"/>
              </w:rPr>
              <w:t>invasive alien species</w:t>
            </w:r>
            <w:r w:rsidR="684B06DD" w:rsidRPr="001C390D">
              <w:t xml:space="preserve"> </w:t>
            </w:r>
            <w:r w:rsidRPr="001C390D">
              <w:t>impacts on fisheries, coral reefs</w:t>
            </w:r>
            <w:r w:rsidR="00896CEC">
              <w:t xml:space="preserve"> and</w:t>
            </w:r>
            <w:r w:rsidRPr="001C390D">
              <w:t xml:space="preserve"> marine ecosystem functioning (</w:t>
            </w:r>
            <w:r w:rsidR="00C14291">
              <w:rPr>
                <w:b/>
                <w:iCs/>
              </w:rPr>
              <w:t>G</w:t>
            </w:r>
            <w:r w:rsidR="0066407C" w:rsidRPr="00673554">
              <w:rPr>
                <w:b/>
                <w:iCs/>
              </w:rPr>
              <w:t>lossary</w:t>
            </w:r>
            <w:r w:rsidRPr="001C390D">
              <w:rPr>
                <w:color w:val="000000" w:themeColor="text1"/>
              </w:rPr>
              <w:t xml:space="preserve">; </w:t>
            </w:r>
            <w:r w:rsidRPr="001C390D">
              <w:rPr>
                <w:b/>
                <w:color w:val="000000" w:themeColor="text1"/>
              </w:rPr>
              <w:t>Chapter 4</w:t>
            </w:r>
            <w:r w:rsidRPr="001C390D">
              <w:rPr>
                <w:color w:val="000000" w:themeColor="text1"/>
              </w:rPr>
              <w:t>,</w:t>
            </w:r>
            <w:r w:rsidRPr="001C390D">
              <w:rPr>
                <w:b/>
                <w:color w:val="000000" w:themeColor="text1"/>
              </w:rPr>
              <w:t xml:space="preserve"> section 4.7.2</w:t>
            </w:r>
            <w:r w:rsidRPr="001C390D">
              <w:rPr>
                <w:color w:val="000000" w:themeColor="text1"/>
              </w:rPr>
              <w:t>)</w:t>
            </w:r>
          </w:p>
        </w:tc>
      </w:tr>
      <w:tr w:rsidR="00017C04" w14:paraId="5E1C639F" w14:textId="77777777" w:rsidTr="001C390D">
        <w:trPr>
          <w:trHeight w:val="339"/>
        </w:trPr>
        <w:tc>
          <w:tcPr>
            <w:tcW w:w="2695" w:type="dxa"/>
            <w:vAlign w:val="center"/>
          </w:tcPr>
          <w:p w14:paraId="7FCBA46F" w14:textId="77777777" w:rsidR="00017C04" w:rsidRDefault="00F50AF9">
            <w:pPr>
              <w:spacing w:before="0" w:after="0"/>
            </w:pPr>
            <w:r>
              <w:t xml:space="preserve">Information uncertainty </w:t>
            </w:r>
          </w:p>
        </w:tc>
        <w:tc>
          <w:tcPr>
            <w:tcW w:w="6750" w:type="dxa"/>
          </w:tcPr>
          <w:p w14:paraId="475FD300" w14:textId="3D0DDEE5" w:rsidR="00ED51F5" w:rsidRPr="00A9434B" w:rsidRDefault="00ED51F5" w:rsidP="001C390D">
            <w:pPr>
              <w:numPr>
                <w:ilvl w:val="0"/>
                <w:numId w:val="11"/>
              </w:numPr>
              <w:spacing w:before="0" w:after="0"/>
            </w:pPr>
            <w:r w:rsidRPr="001C390D">
              <w:rPr>
                <w:color w:val="000000" w:themeColor="text1"/>
              </w:rPr>
              <w:t>Uncertainty</w:t>
            </w:r>
            <w:r w:rsidRPr="00A9434B">
              <w:t xml:space="preserve"> about management cost, efficacy, limitations, success, collaborations</w:t>
            </w:r>
            <w:r w:rsidR="00896CEC">
              <w:t xml:space="preserve"> and</w:t>
            </w:r>
            <w:r w:rsidR="367A7783" w:rsidRPr="00A9434B">
              <w:t xml:space="preserve"> a</w:t>
            </w:r>
            <w:r w:rsidRPr="00A9434B">
              <w:t>daptation (</w:t>
            </w:r>
            <w:r w:rsidR="00C14291" w:rsidRPr="001C390D">
              <w:rPr>
                <w:b/>
                <w:iCs/>
              </w:rPr>
              <w:t>C</w:t>
            </w:r>
            <w:r w:rsidRPr="001C390D">
              <w:rPr>
                <w:b/>
                <w:iCs/>
              </w:rPr>
              <w:t>hapter 5</w:t>
            </w:r>
            <w:r w:rsidRPr="00A9434B">
              <w:t xml:space="preserve">; </w:t>
            </w:r>
            <w:r w:rsidRPr="00A9434B">
              <w:fldChar w:fldCharType="begin"/>
            </w:r>
            <w:r w:rsidR="0006613E">
              <w:instrText xml:space="preserve"> ADDIN ZOTERO_ITEM CSL_CITATION {"citationID":"a1vok37fpht","properties":{"formattedCitation":"(IPBES, 2018b)","plainCitation":"(IPBES, 2018b)","dontUpdate":true,"noteIndex":0},"citationItems":[{"id":26988,"uris":["http://zotero.org/groups/2352922/items/4BH3PUNM"],"itemData":{"id":26988,"type":"report","abstract":"The Regional Assessment Report on Biodiversity and Ecosystem Services for Europe and Central Asia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10.5281/ZENODO.3237429","publisher":"Secretariat of the Intergovernmental Science-Policy Platform on Biodiversity and Ecosystem Services","publisher-place":"Bonn, Germany","source":"DOI.org (Datacite)","title":"The IPBES regional assessment report on biodiversity and ecosystem services for Europe and Central Asia","URL":"https://zenodo.org/record/3237429","author":[{"literal":"IPBES"}],"collection-editor":[{"family":"Rounsevell","given":"Mark"},{"family":"Fischer","given":"Markus"},{"family":"Rando","given":"Amor Torre-Marin"},{"family":"Mader","given":"André"}],"accessed":{"date-parts":[["2021",2,9]]},"issued":{"date-parts":[["2018"]]}},"label":"page"}],"schema":"https://github.com/citation-style-language/schema/raw/master/csl-citation.json"} </w:instrText>
            </w:r>
            <w:r w:rsidRPr="00A9434B">
              <w:fldChar w:fldCharType="separate"/>
            </w:r>
            <w:r w:rsidR="00C71E80" w:rsidRPr="00A9434B">
              <w:t>IPBES, 2018b)</w:t>
            </w:r>
            <w:r w:rsidRPr="00A9434B">
              <w:fldChar w:fldCharType="end"/>
            </w:r>
          </w:p>
          <w:p w14:paraId="422E90CD" w14:textId="78732A4C" w:rsidR="00ED51F5" w:rsidRPr="00A9434B" w:rsidRDefault="00ED51F5" w:rsidP="001C390D">
            <w:pPr>
              <w:numPr>
                <w:ilvl w:val="0"/>
                <w:numId w:val="11"/>
              </w:numPr>
              <w:spacing w:before="0" w:after="0"/>
            </w:pPr>
            <w:r w:rsidRPr="001C390D">
              <w:rPr>
                <w:color w:val="000000" w:themeColor="text1"/>
              </w:rPr>
              <w:t>Uncertainty</w:t>
            </w:r>
            <w:r w:rsidRPr="00A9434B">
              <w:t xml:space="preserve"> </w:t>
            </w:r>
            <w:r w:rsidR="00D2754C" w:rsidRPr="00A9434B">
              <w:t>about</w:t>
            </w:r>
            <w:r w:rsidRPr="00A9434B">
              <w:t xml:space="preserve"> dispersal pathways, transboundary and regional collaboration (</w:t>
            </w:r>
            <w:r w:rsidR="00C14291">
              <w:rPr>
                <w:b/>
                <w:iCs/>
              </w:rPr>
              <w:t>G</w:t>
            </w:r>
            <w:r w:rsidR="00F219DB" w:rsidRPr="00673554">
              <w:rPr>
                <w:b/>
                <w:iCs/>
              </w:rPr>
              <w:t>lossary</w:t>
            </w:r>
            <w:r w:rsidR="00F219DB" w:rsidRPr="00673554">
              <w:rPr>
                <w:iCs/>
              </w:rPr>
              <w:t>;</w:t>
            </w:r>
            <w:r w:rsidR="00F219DB" w:rsidRPr="00673554">
              <w:rPr>
                <w:b/>
              </w:rPr>
              <w:t xml:space="preserve"> </w:t>
            </w:r>
            <w:r w:rsidR="00C14291">
              <w:rPr>
                <w:b/>
                <w:iCs/>
              </w:rPr>
              <w:t>C</w:t>
            </w:r>
            <w:r w:rsidRPr="00673554">
              <w:rPr>
                <w:b/>
                <w:iCs/>
              </w:rPr>
              <w:t>hapter 3</w:t>
            </w:r>
            <w:r w:rsidR="003A7C3E" w:rsidRPr="00673554">
              <w:rPr>
                <w:iCs/>
              </w:rPr>
              <w:t>,</w:t>
            </w:r>
            <w:r w:rsidR="003A7C3E" w:rsidRPr="00673554">
              <w:rPr>
                <w:b/>
                <w:iCs/>
              </w:rPr>
              <w:t xml:space="preserve"> section 3.6.1</w:t>
            </w:r>
            <w:r w:rsidRPr="00A9434B">
              <w:t xml:space="preserve">; </w:t>
            </w:r>
            <w:r w:rsidRPr="00A9434B">
              <w:fldChar w:fldCharType="begin"/>
            </w:r>
            <w:r w:rsidR="0006613E">
              <w:instrText xml:space="preserve"> ADDIN ZOTERO_ITEM CSL_CITATION {"citationID":"avlh0eubhs","properties":{"formattedCitation":"(IPBES, 2018b)","plainCitation":"(IPBES, 2018b)","dontUpdate":true,"noteIndex":0},"citationItems":[{"id":26988,"uris":["http://zotero.org/groups/2352922/items/4BH3PUNM"],"itemData":{"id":26988,"type":"report","abstract":"The Regional Assessment Report on Biodiversity and Ecosystem Services for Europe and Central Asia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10.5281/ZENODO.3237429","publisher":"Secretariat of the Intergovernmental Science-Policy Platform on Biodiversity and Ecosystem Services","publisher-place":"Bonn, Germany","source":"DOI.org (Datacite)","title":"The IPBES regional assessment report on biodiversity and ecosystem services for Europe and Central Asia","URL":"https://zenodo.org/record/3237429","author":[{"literal":"IPBES"}],"collection-editor":[{"family":"Rounsevell","given":"Mark"},{"family":"Fischer","given":"Markus"},{"family":"Rando","given":"Amor Torre-Marin"},{"family":"Mader","given":"André"}],"accessed":{"date-parts":[["2021",2,9]]},"issued":{"date-parts":[["2018"]]}},"label":"page"}],"schema":"https://github.com/citation-style-language/schema/raw/master/csl-citation.json"} </w:instrText>
            </w:r>
            <w:r w:rsidRPr="00A9434B">
              <w:fldChar w:fldCharType="separate"/>
            </w:r>
            <w:r w:rsidR="00C71E80" w:rsidRPr="00A9434B">
              <w:t>IPBES, 2018b)</w:t>
            </w:r>
            <w:r w:rsidRPr="00A9434B">
              <w:fldChar w:fldCharType="end"/>
            </w:r>
          </w:p>
          <w:p w14:paraId="5314C026" w14:textId="582CDBBE" w:rsidR="00017C04" w:rsidRDefault="00F50AF9" w:rsidP="001C390D">
            <w:pPr>
              <w:numPr>
                <w:ilvl w:val="0"/>
                <w:numId w:val="11"/>
              </w:numPr>
              <w:pBdr>
                <w:top w:val="nil"/>
                <w:left w:val="nil"/>
                <w:bottom w:val="nil"/>
                <w:right w:val="nil"/>
                <w:between w:val="nil"/>
              </w:pBdr>
              <w:spacing w:before="0" w:after="0"/>
            </w:pPr>
            <w:r w:rsidRPr="001C390D">
              <w:rPr>
                <w:color w:val="000000" w:themeColor="text1"/>
              </w:rPr>
              <w:t xml:space="preserve">Uncertainty about the impacts of novel assemblages/ecosystems emerging due to </w:t>
            </w:r>
            <w:r w:rsidR="4BB3353D" w:rsidRPr="00192C26">
              <w:rPr>
                <w:color w:val="000000" w:themeColor="text1"/>
              </w:rPr>
              <w:t>invasive alien species</w:t>
            </w:r>
            <w:r w:rsidR="4BB3353D" w:rsidRPr="00C12647">
              <w:rPr>
                <w:color w:val="000000" w:themeColor="text1"/>
              </w:rPr>
              <w:t xml:space="preserve"> </w:t>
            </w:r>
            <w:r w:rsidRPr="00C12647">
              <w:rPr>
                <w:color w:val="000000" w:themeColor="text1"/>
              </w:rPr>
              <w:t>(</w:t>
            </w:r>
            <w:r w:rsidRPr="00C12647">
              <w:rPr>
                <w:b/>
                <w:color w:val="000000" w:themeColor="text1"/>
              </w:rPr>
              <w:t>Chapter 4</w:t>
            </w:r>
            <w:r w:rsidRPr="00C12647">
              <w:rPr>
                <w:color w:val="000000" w:themeColor="text1"/>
              </w:rPr>
              <w:t>)</w:t>
            </w:r>
          </w:p>
        </w:tc>
      </w:tr>
      <w:tr w:rsidR="00017C04" w14:paraId="7C36DEB5" w14:textId="77777777" w:rsidTr="001C390D">
        <w:trPr>
          <w:trHeight w:val="339"/>
        </w:trPr>
        <w:tc>
          <w:tcPr>
            <w:tcW w:w="2695" w:type="dxa"/>
            <w:vAlign w:val="center"/>
          </w:tcPr>
          <w:p w14:paraId="0226A13C" w14:textId="77777777" w:rsidR="00017C04" w:rsidRDefault="00F50AF9">
            <w:pPr>
              <w:spacing w:before="0" w:after="0"/>
            </w:pPr>
            <w:r>
              <w:t xml:space="preserve">Framing biological invasions in terms of their interactions with other environmental problems </w:t>
            </w:r>
          </w:p>
        </w:tc>
        <w:tc>
          <w:tcPr>
            <w:tcW w:w="6750" w:type="dxa"/>
          </w:tcPr>
          <w:p w14:paraId="1F041F70" w14:textId="5147D359" w:rsidR="00017C04" w:rsidRDefault="00ED51F5" w:rsidP="001C390D">
            <w:pPr>
              <w:numPr>
                <w:ilvl w:val="0"/>
                <w:numId w:val="11"/>
              </w:numPr>
              <w:pBdr>
                <w:top w:val="nil"/>
                <w:left w:val="nil"/>
                <w:bottom w:val="nil"/>
                <w:right w:val="nil"/>
                <w:between w:val="nil"/>
              </w:pBdr>
              <w:spacing w:before="0" w:after="0"/>
            </w:pPr>
            <w:r w:rsidRPr="00A9434B">
              <w:t xml:space="preserve">Inadequate integration of </w:t>
            </w:r>
            <w:r w:rsidR="00020694" w:rsidRPr="00A9434B">
              <w:t>biological invasion</w:t>
            </w:r>
            <w:r w:rsidR="00D2754C" w:rsidRPr="00A9434B">
              <w:t xml:space="preserve"> </w:t>
            </w:r>
            <w:r w:rsidRPr="00A9434B">
              <w:t>problems in policies and management interventions aimed at addressing other environmental problems such as land degradation or climate change (</w:t>
            </w:r>
            <w:r w:rsidRPr="00673554">
              <w:rPr>
                <w:b/>
                <w:iCs/>
              </w:rPr>
              <w:t>sections 6.3</w:t>
            </w:r>
            <w:r w:rsidR="006A0B1C" w:rsidRPr="00673554">
              <w:rPr>
                <w:b/>
                <w:iCs/>
              </w:rPr>
              <w:t>.1</w:t>
            </w:r>
            <w:r w:rsidRPr="00673554">
              <w:rPr>
                <w:b/>
                <w:iCs/>
              </w:rPr>
              <w:t xml:space="preserve"> </w:t>
            </w:r>
            <w:r w:rsidRPr="00A9434B">
              <w:t>and</w:t>
            </w:r>
            <w:r w:rsidRPr="00A9434B">
              <w:rPr>
                <w:i/>
                <w:iCs/>
              </w:rPr>
              <w:t xml:space="preserve"> </w:t>
            </w:r>
            <w:r w:rsidRPr="00673554">
              <w:rPr>
                <w:b/>
                <w:iCs/>
              </w:rPr>
              <w:t>6.7</w:t>
            </w:r>
            <w:r w:rsidRPr="00A9434B">
              <w:t xml:space="preserve">; </w:t>
            </w:r>
            <w:r w:rsidRPr="00A9434B">
              <w:fldChar w:fldCharType="begin"/>
            </w:r>
            <w:r w:rsidR="0006613E">
              <w:instrText xml:space="preserve"> ADDIN ZOTERO_ITEM CSL_CITATION {"citationID":"eNcVOJGg","properties":{"formattedCitation":"(IPBES, 2016, 2018d)","plainCitation":"(IPBES, 2016, 2018d)","dontUpdate":true,"noteIndex":0},"citationItems":[{"id":26994,"uris":["http://zotero.org/groups/2352922/items/SR63FDXW"],"itemData":{"id":26994,"type":"report","abstract":"The goal of the Intergovernmental Science-Policy Platform on Biodiversity and Ecosystem Services (IPBES) is to strengthen the science-policy interface for biodiversity and ecosystem services towards conservation and sustainable use of biodiversity, long-term human well-being and sustainable development. To achieve this goal, the Platform has four functions: (i) Knowledge generation: to identify knowledge needs of decision makers, and catalyse efforts to generate new knowledge; (ii) Assessment: to deliver global, regional and thematic assessments, and promote and catalyse support for sub-global assessment; (iii) Policy support tools: to identify policy relevant tools/methodologies, facilitate their use, and promote and catalyse their further development; and (iv) Capacity building: to prioritize key capacity building needs, and provide and call for financial and other support for priority needs. This report assesses the current knowledge on pollinators, pollination and their links to food production. The overall aim of the thematic assessment of Pollinators, Pollination and Food Production is to assess animal pollination as a regulating ecosystem service underpinning food production in the context of its contribution to nature’s gifts to people and supporting a good quality of life. To achieve this, the focus is on the role of native and exotic pollinators, the status of, and trends in pollinators and pollinator-plant networks and pollination, drivers of change, impacts on human well-being, food production in response to pollination declines and deficits and the effectiveness of responses from various governance systems to pollination declines and deficits. The scope is global, covering all continents except Antarctica, where no pollinators are known. The assessment brings together contributions not only from natural, social and economic science perspectives but also from knowledge of indigenous and local community stakeholders and practitioners. The assessment strives to critically review the broadest range of evidence and make its findings readily available to support policy and management responses to declines and deficits in pollination. The report represents the first IPBES thematic assessment deliverable that aims to identify policy-relevant findings for decision-making in government, the private sector and civil society, as well as helping to demonstrate how an essential ecosystem service could potentially contribute to the post-2015 development agenda1.","event-place":"Bonn, Germany","language":"en","license":"Creative Commons Attribution 4.0 International, Open Access","note":"DOI: 10.5281/ZENODO.3402857","publisher":"Secretariat of the Intergovernmental Science-Policy Platform on Biodiversity and Ecosystem Services","publisher-place":"Bonn, Germany","source":"DOI.org (Datacite)","title":"The assessment report of the Intergovernmental Science-Policy Platform on Biodiversity and Ecosystem Services on pollinators, pollination and food production","URL":"https://zenodo.org/record/3402857","author":[{"literal":"IPBES"}],"collection-editor":[{"family":"Potts","given":"Simon G."},{"family":"Imperatriz-Fonseca","given":"Vera"},{"family":"Ngo","given":"Hien T."}],"accessed":{"date-parts":[["2020",6,17]]},"issued":{"date-parts":[["2016"]]}},"label":"page"},{"id":26995,"uris":["http://zotero.org/groups/2352922/items/VKR56P3N"],"itemData":{"id":26995,"type":"report","abstract":"The Assessment Report on Land Degradation and Restoration by the Intergovernmental Science-Policy Platform on Biodiversity and Ecosystem Services (IPBES) provides a critical analysis of the state of knowledge regarding the importance, drivers, status, and trends of terrestrial ecosystems. The Report recognizes that combatting land degradation, which is a pervasive, systemic phenomenon occurring in all parts of the world, is an urgent priority in order to protect the biodiversity and ecosystem services that are vital to all life on Earth and to ensure human well-being. The Report identifies a mix of governance options, policies and management practices that can help support stakeholders working at all levels to reduce the negative environmental, social and economic consequences of land degradation and to rehabilitate and restore degraded land. The Report encompasses all the terrestrial regions and biomes of the world, recognizing that land degradation drivers and processes can vary in severity within regions and countries as much as between them, and includes the full range of human-altered systems, including but not limited to drylands, agricultural and agroforestry systems, savannahs and forests and aquatic systems associated with these areas.&lt;br&gt;","language":"en","license":"Creative Commons Attribution 4.0 International, Open Access","note":"DOI: 10.5281/ZENODO.3237410","publisher":"Secretariat of the Intergovernmental Science-Policy Platform on Biodiversity and Ecosystem Services","source":"DOI.org (Datacite)","title":"Summary for policymakers of the assessment report on land degradation and restoration of the Intergovernmental Science Policy Platform on Biodiversity and Ecosystem Services.","URL":"https://zenodo.org/record/3237410","author":[{"literal":"IPBES"}],"accessed":{"date-parts":[["2021",2,9]]},"issued":{"date-parts":[["2018"]]}},"label":"page"}],"schema":"https://github.com/citation-style-language/schema/raw/master/csl-citation.json"} </w:instrText>
            </w:r>
            <w:r w:rsidRPr="00A9434B">
              <w:fldChar w:fldCharType="separate"/>
            </w:r>
            <w:r w:rsidR="00C71E80" w:rsidRPr="00A9434B">
              <w:t>IPBES, 2016, 2018d)</w:t>
            </w:r>
            <w:r w:rsidRPr="00A9434B">
              <w:fldChar w:fldCharType="end"/>
            </w:r>
          </w:p>
        </w:tc>
      </w:tr>
      <w:tr w:rsidR="00017C04" w14:paraId="32A0B530" w14:textId="77777777" w:rsidTr="001C390D">
        <w:trPr>
          <w:trHeight w:val="339"/>
        </w:trPr>
        <w:tc>
          <w:tcPr>
            <w:tcW w:w="2695" w:type="dxa"/>
            <w:vAlign w:val="center"/>
          </w:tcPr>
          <w:p w14:paraId="600AC07C" w14:textId="4BF6FF16" w:rsidR="00017C04" w:rsidRDefault="00F50AF9">
            <w:pPr>
              <w:spacing w:before="0" w:after="0"/>
            </w:pPr>
            <w:r>
              <w:t xml:space="preserve">Policies as drivers </w:t>
            </w:r>
            <w:r w:rsidR="22F254F0">
              <w:t xml:space="preserve">facilitating </w:t>
            </w:r>
            <w:r>
              <w:t>biological invasions</w:t>
            </w:r>
          </w:p>
        </w:tc>
        <w:tc>
          <w:tcPr>
            <w:tcW w:w="6750" w:type="dxa"/>
          </w:tcPr>
          <w:p w14:paraId="6DCF6F3A" w14:textId="693C93A6" w:rsidR="00ED51F5" w:rsidRPr="00A9434B" w:rsidRDefault="00ED51F5" w:rsidP="001C390D">
            <w:pPr>
              <w:numPr>
                <w:ilvl w:val="0"/>
                <w:numId w:val="11"/>
              </w:numPr>
              <w:spacing w:before="0" w:after="0"/>
            </w:pPr>
            <w:r w:rsidRPr="00A9434B">
              <w:t>Lack of coordination of policies on environment, infrastructure</w:t>
            </w:r>
            <w:r w:rsidR="2877CABA" w:rsidRPr="00A9434B">
              <w:t>, health, agriculture, forests, environment</w:t>
            </w:r>
            <w:r w:rsidRPr="00A9434B">
              <w:t>, nutrition and</w:t>
            </w:r>
            <w:r w:rsidR="00C432FF" w:rsidRPr="00A9434B">
              <w:t xml:space="preserve"> </w:t>
            </w:r>
            <w:r w:rsidR="00020694" w:rsidRPr="00A9434B">
              <w:t>biological invasion</w:t>
            </w:r>
            <w:r w:rsidRPr="00A9434B">
              <w:t xml:space="preserve"> management can </w:t>
            </w:r>
            <w:r w:rsidR="65B76062" w:rsidRPr="00A9434B">
              <w:t>cataly</w:t>
            </w:r>
            <w:r w:rsidR="6939B0A3" w:rsidRPr="00A9434B">
              <w:t>s</w:t>
            </w:r>
            <w:r w:rsidR="65B76062" w:rsidRPr="00A9434B">
              <w:t xml:space="preserve">e </w:t>
            </w:r>
            <w:r w:rsidRPr="00A9434B">
              <w:t>invasive alien species spread (</w:t>
            </w:r>
            <w:r w:rsidRPr="00673554">
              <w:rPr>
                <w:b/>
                <w:iCs/>
              </w:rPr>
              <w:t>section 6.3</w:t>
            </w:r>
            <w:r w:rsidR="006A0B1C" w:rsidRPr="00673554">
              <w:rPr>
                <w:b/>
                <w:iCs/>
              </w:rPr>
              <w:t>.1</w:t>
            </w:r>
            <w:r w:rsidRPr="00A9434B">
              <w:t xml:space="preserve">; </w:t>
            </w:r>
            <w:r w:rsidRPr="00A9434B">
              <w:fldChar w:fldCharType="begin"/>
            </w:r>
            <w:r w:rsidR="0006613E">
              <w:instrText xml:space="preserve"> ADDIN ZOTERO_ITEM CSL_CITATION {"citationID":"a42l591pun","properties":{"formattedCitation":"(IPBES, 2018d)","plainCitation":"(IPBES, 2018d)","dontUpdate":true,"noteIndex":0},"citationItems":[{"id":26989,"uris":["http://zotero.org/groups/2352922/items/HNN39TBD","http://zotero.org/groups/2352922/items/BF3N3YYK"],"itemData":{"id":26989,"type":"report","abstract":"The Regional Assessment Report on Biodiversity and Ecosystem Services for Asia and the Pacific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10.5281/ZENODO.3237374","publisher":"Secretariat of the Intergovernmental Science-Policy Platform on Biodiversity and Ecosystem Services","publisher-place":"Bonn, Germany","source":"DOI.org (Datacite)","title":"The IPBES regional assessment report on biodiversity and ecosystem services for Asia and the Pacific","URL":"https://zenodo.org/record/3237374","author":[{"literal":"IPBES"}],"collection-editor":[{"family":"Karki","given":"Madhav"},{"family":"Sellamuttu","given":"Sonali Senaratna"},{"family":"Okayasu","given":"Sana"},{"family":"Suzuki","given":"Wataru"}],"accessed":{"date-parts":[["2020",8,25]]},"issued":{"date-parts":[["2018"]]}}}],"schema":"https://github.com/citation-style-language/schema/raw/master/csl-citation.json"} </w:instrText>
            </w:r>
            <w:r w:rsidRPr="00A9434B">
              <w:fldChar w:fldCharType="separate"/>
            </w:r>
            <w:r w:rsidR="000C521B" w:rsidRPr="00A9434B">
              <w:t>IPBES, 2018d)</w:t>
            </w:r>
            <w:r w:rsidRPr="00A9434B">
              <w:fldChar w:fldCharType="end"/>
            </w:r>
          </w:p>
          <w:p w14:paraId="3B2C68F6" w14:textId="0DE40059" w:rsidR="00017C04" w:rsidRDefault="00F50AF9" w:rsidP="001C390D">
            <w:pPr>
              <w:numPr>
                <w:ilvl w:val="0"/>
                <w:numId w:val="11"/>
              </w:numPr>
              <w:pBdr>
                <w:top w:val="nil"/>
                <w:left w:val="nil"/>
                <w:bottom w:val="nil"/>
                <w:right w:val="nil"/>
                <w:between w:val="nil"/>
              </w:pBdr>
              <w:spacing w:before="0" w:after="0"/>
            </w:pPr>
            <w:r w:rsidRPr="001C390D">
              <w:rPr>
                <w:color w:val="000000" w:themeColor="text1"/>
              </w:rPr>
              <w:t xml:space="preserve">Inefficient policies on climate change, pollution, human population, land-use change, pet and wildlife trade, afforestation, horticulture and health had severe consequences on spread and impacts of </w:t>
            </w:r>
            <w:r w:rsidR="4E5B31C0" w:rsidRPr="00192C26">
              <w:rPr>
                <w:color w:val="000000" w:themeColor="text1"/>
              </w:rPr>
              <w:t>invasive alien species</w:t>
            </w:r>
            <w:r w:rsidR="4E5B31C0" w:rsidRPr="001C390D">
              <w:rPr>
                <w:color w:val="000000" w:themeColor="text1"/>
              </w:rPr>
              <w:t xml:space="preserve"> </w:t>
            </w:r>
            <w:r w:rsidRPr="001C390D">
              <w:rPr>
                <w:color w:val="000000" w:themeColor="text1"/>
              </w:rPr>
              <w:t>(</w:t>
            </w:r>
            <w:r w:rsidRPr="001C390D">
              <w:rPr>
                <w:b/>
                <w:color w:val="000000" w:themeColor="text1"/>
              </w:rPr>
              <w:t>section 6.3</w:t>
            </w:r>
            <w:r w:rsidRPr="001C390D">
              <w:rPr>
                <w:color w:val="000000" w:themeColor="text1"/>
              </w:rPr>
              <w:t>)</w:t>
            </w:r>
          </w:p>
          <w:p w14:paraId="31C3765E" w14:textId="13945DC1" w:rsidR="00017C04" w:rsidRDefault="00F50AF9" w:rsidP="001C390D">
            <w:pPr>
              <w:numPr>
                <w:ilvl w:val="0"/>
                <w:numId w:val="11"/>
              </w:numPr>
              <w:pBdr>
                <w:top w:val="nil"/>
                <w:left w:val="nil"/>
                <w:bottom w:val="nil"/>
                <w:right w:val="nil"/>
                <w:between w:val="nil"/>
              </w:pBdr>
              <w:spacing w:before="0" w:after="0"/>
            </w:pPr>
            <w:r w:rsidRPr="001C390D">
              <w:rPr>
                <w:color w:val="000000"/>
              </w:rPr>
              <w:t>Lack of coordination between policies of different sectors (</w:t>
            </w:r>
            <w:r w:rsidRPr="001C390D">
              <w:rPr>
                <w:b/>
                <w:color w:val="000000"/>
              </w:rPr>
              <w:t>section 6.3.1</w:t>
            </w:r>
            <w:r w:rsidRPr="001C390D">
              <w:rPr>
                <w:color w:val="000000"/>
              </w:rPr>
              <w:t>)</w:t>
            </w:r>
            <w:r w:rsidR="00896CEC">
              <w:rPr>
                <w:color w:val="000000"/>
              </w:rPr>
              <w:t xml:space="preserve"> and</w:t>
            </w:r>
            <w:r w:rsidRPr="001C390D">
              <w:rPr>
                <w:color w:val="000000"/>
              </w:rPr>
              <w:t xml:space="preserve"> between national and regional regulations (</w:t>
            </w:r>
            <w:r w:rsidRPr="001C390D">
              <w:rPr>
                <w:b/>
                <w:color w:val="000000"/>
              </w:rPr>
              <w:t xml:space="preserve">sections 6.3.2 </w:t>
            </w:r>
            <w:r w:rsidRPr="001C390D">
              <w:rPr>
                <w:color w:val="000000"/>
              </w:rPr>
              <w:t>and</w:t>
            </w:r>
            <w:r w:rsidRPr="001C390D">
              <w:rPr>
                <w:b/>
                <w:color w:val="000000"/>
              </w:rPr>
              <w:t xml:space="preserve"> 6.3.3</w:t>
            </w:r>
            <w:r w:rsidRPr="001C390D">
              <w:rPr>
                <w:color w:val="000000"/>
              </w:rPr>
              <w:t>)</w:t>
            </w:r>
          </w:p>
        </w:tc>
      </w:tr>
      <w:tr w:rsidR="00017C04" w14:paraId="0CA6CE1D" w14:textId="77777777" w:rsidTr="001C390D">
        <w:trPr>
          <w:trHeight w:val="339"/>
        </w:trPr>
        <w:tc>
          <w:tcPr>
            <w:tcW w:w="2695" w:type="dxa"/>
            <w:vAlign w:val="center"/>
          </w:tcPr>
          <w:p w14:paraId="5A53BF63" w14:textId="77777777" w:rsidR="00017C04" w:rsidRDefault="00F50AF9">
            <w:pPr>
              <w:spacing w:before="0" w:after="0"/>
            </w:pPr>
            <w:r>
              <w:t>Impact disparity</w:t>
            </w:r>
          </w:p>
        </w:tc>
        <w:tc>
          <w:tcPr>
            <w:tcW w:w="6750" w:type="dxa"/>
          </w:tcPr>
          <w:p w14:paraId="59E227B5" w14:textId="77777777" w:rsidR="00017C04" w:rsidRDefault="00F50AF9" w:rsidP="001C390D">
            <w:pPr>
              <w:numPr>
                <w:ilvl w:val="0"/>
                <w:numId w:val="11"/>
              </w:numPr>
              <w:pBdr>
                <w:top w:val="nil"/>
                <w:left w:val="nil"/>
                <w:bottom w:val="nil"/>
                <w:right w:val="nil"/>
                <w:between w:val="nil"/>
              </w:pBdr>
              <w:spacing w:before="0" w:after="0"/>
            </w:pPr>
            <w:r w:rsidRPr="001C390D">
              <w:rPr>
                <w:color w:val="000000"/>
              </w:rPr>
              <w:t>Management of biological invasions is particularly difficult when they simultaneously have both serious negative environmental impacts and benefits for good quality of life or are characterized by value conflicts (</w:t>
            </w:r>
            <w:r w:rsidRPr="001C390D">
              <w:rPr>
                <w:b/>
                <w:color w:val="000000"/>
              </w:rPr>
              <w:t xml:space="preserve">Chapters 4 </w:t>
            </w:r>
            <w:r w:rsidRPr="001C390D">
              <w:rPr>
                <w:color w:val="000000"/>
              </w:rPr>
              <w:t>and</w:t>
            </w:r>
            <w:r w:rsidRPr="001C390D">
              <w:rPr>
                <w:b/>
                <w:color w:val="000000"/>
              </w:rPr>
              <w:t xml:space="preserve"> 5</w:t>
            </w:r>
            <w:r w:rsidRPr="001C390D">
              <w:rPr>
                <w:color w:val="000000"/>
              </w:rPr>
              <w:t>)</w:t>
            </w:r>
          </w:p>
          <w:p w14:paraId="541A366D" w14:textId="77777777" w:rsidR="00017C04" w:rsidRDefault="00F50AF9" w:rsidP="001C390D">
            <w:pPr>
              <w:numPr>
                <w:ilvl w:val="0"/>
                <w:numId w:val="11"/>
              </w:numPr>
              <w:pBdr>
                <w:top w:val="nil"/>
                <w:left w:val="nil"/>
                <w:bottom w:val="nil"/>
                <w:right w:val="nil"/>
                <w:between w:val="nil"/>
              </w:pBdr>
              <w:spacing w:before="0" w:after="0"/>
            </w:pPr>
            <w:r w:rsidRPr="001C390D">
              <w:rPr>
                <w:color w:val="000000"/>
              </w:rPr>
              <w:t>Use of potentially invasive alien species in programmes aimed to ensure food security or promote economic development (</w:t>
            </w:r>
            <w:r w:rsidRPr="001C390D">
              <w:rPr>
                <w:b/>
                <w:color w:val="000000"/>
              </w:rPr>
              <w:t>section 6.3</w:t>
            </w:r>
            <w:r w:rsidRPr="001C390D">
              <w:rPr>
                <w:color w:val="000000"/>
              </w:rPr>
              <w:t>)</w:t>
            </w:r>
          </w:p>
        </w:tc>
      </w:tr>
      <w:tr w:rsidR="00017C04" w14:paraId="0CEB93A3" w14:textId="77777777" w:rsidTr="001C390D">
        <w:trPr>
          <w:trHeight w:val="339"/>
        </w:trPr>
        <w:tc>
          <w:tcPr>
            <w:tcW w:w="2695" w:type="dxa"/>
            <w:vAlign w:val="center"/>
          </w:tcPr>
          <w:p w14:paraId="763DF231" w14:textId="77777777" w:rsidR="00017C04" w:rsidRDefault="00F50AF9">
            <w:pPr>
              <w:spacing w:before="0" w:after="0"/>
            </w:pPr>
            <w:r>
              <w:t>Technological advancement</w:t>
            </w:r>
          </w:p>
        </w:tc>
        <w:tc>
          <w:tcPr>
            <w:tcW w:w="6750" w:type="dxa"/>
          </w:tcPr>
          <w:p w14:paraId="418142D4" w14:textId="77777777" w:rsidR="00017C04" w:rsidRDefault="00F50AF9" w:rsidP="001C390D">
            <w:pPr>
              <w:numPr>
                <w:ilvl w:val="0"/>
                <w:numId w:val="11"/>
              </w:numPr>
              <w:pBdr>
                <w:top w:val="nil"/>
                <w:left w:val="nil"/>
                <w:bottom w:val="nil"/>
                <w:right w:val="nil"/>
                <w:between w:val="nil"/>
              </w:pBdr>
              <w:spacing w:before="0" w:after="0"/>
            </w:pPr>
            <w:r w:rsidRPr="001C390D">
              <w:rPr>
                <w:color w:val="000000"/>
              </w:rPr>
              <w:t>Absence of early detection systems and rapid response actions for prevention and eradication of invasive alien species (</w:t>
            </w:r>
            <w:r w:rsidRPr="001C390D">
              <w:rPr>
                <w:b/>
                <w:color w:val="000000"/>
              </w:rPr>
              <w:t>section 6.6</w:t>
            </w:r>
            <w:r w:rsidRPr="001C390D">
              <w:rPr>
                <w:color w:val="000000"/>
              </w:rPr>
              <w:t>)</w:t>
            </w:r>
          </w:p>
          <w:p w14:paraId="16ED90C4" w14:textId="24F4AF52" w:rsidR="00017C04" w:rsidRDefault="00F50AF9" w:rsidP="001C390D">
            <w:pPr>
              <w:numPr>
                <w:ilvl w:val="0"/>
                <w:numId w:val="11"/>
              </w:numPr>
              <w:pBdr>
                <w:top w:val="nil"/>
                <w:left w:val="nil"/>
                <w:bottom w:val="nil"/>
                <w:right w:val="nil"/>
                <w:between w:val="nil"/>
              </w:pBdr>
              <w:spacing w:before="0" w:after="0"/>
            </w:pPr>
            <w:r w:rsidRPr="001C390D">
              <w:rPr>
                <w:color w:val="000000"/>
              </w:rPr>
              <w:t>Lack of monitoring (</w:t>
            </w:r>
            <w:r w:rsidR="00C14291">
              <w:rPr>
                <w:b/>
                <w:iCs/>
              </w:rPr>
              <w:t>G</w:t>
            </w:r>
            <w:r w:rsidR="00F6424A" w:rsidRPr="00673554">
              <w:rPr>
                <w:b/>
                <w:iCs/>
              </w:rPr>
              <w:t>lossary</w:t>
            </w:r>
            <w:r w:rsidRPr="001C390D">
              <w:rPr>
                <w:color w:val="000000"/>
              </w:rPr>
              <w:t>) programmes to track the effectiveness of responses and progress in managing biological invasions (</w:t>
            </w:r>
            <w:r w:rsidRPr="001C390D">
              <w:rPr>
                <w:b/>
                <w:color w:val="000000"/>
              </w:rPr>
              <w:t>section 6.2</w:t>
            </w:r>
            <w:r w:rsidRPr="001C390D">
              <w:rPr>
                <w:color w:val="000000"/>
              </w:rPr>
              <w:t xml:space="preserve">) </w:t>
            </w:r>
          </w:p>
          <w:p w14:paraId="32D76933" w14:textId="48A78D3F" w:rsidR="00017C04" w:rsidRDefault="00ED51F5" w:rsidP="001C390D">
            <w:pPr>
              <w:numPr>
                <w:ilvl w:val="0"/>
                <w:numId w:val="11"/>
              </w:numPr>
              <w:pBdr>
                <w:top w:val="nil"/>
                <w:left w:val="nil"/>
                <w:bottom w:val="nil"/>
                <w:right w:val="nil"/>
                <w:between w:val="nil"/>
              </w:pBdr>
              <w:spacing w:before="0" w:after="0"/>
            </w:pPr>
            <w:r w:rsidRPr="00A9434B">
              <w:t>Lack of inter-operable and standardized databases (</w:t>
            </w:r>
            <w:r w:rsidRPr="00673554">
              <w:rPr>
                <w:b/>
                <w:iCs/>
              </w:rPr>
              <w:t>section 6.6</w:t>
            </w:r>
            <w:r w:rsidRPr="00A9434B">
              <w:t xml:space="preserve">; </w:t>
            </w:r>
            <w:r w:rsidRPr="00A9434B">
              <w:fldChar w:fldCharType="begin"/>
            </w:r>
            <w:r w:rsidR="0006613E">
              <w:instrText xml:space="preserve"> ADDIN ZOTERO_ITEM CSL_CITATION {"citationID":"QiP0YvYF","properties":{"formattedCitation":"(IPBES, 2018c, 2019a)","plainCitation":"(IPBES, 2018c, 2019a)","dontUpdate":true,"noteIndex":0},"citationItems":[{"id":26986,"uris":["http://zotero.org/groups/2352922/items/CWMIXDK2"],"itemData":{"id":26986,"type":"report","event-place":"Bonn, Germany","publisher":"Secretariat of the Intergovernmental Science-Policy Platform on Biodiversity and Ecosystem Services","publisher-place":"Bonn, Germany","title":"Summary for policymakers of the regional assessment report on biodiversity and ecosystem services for Asia and the Pacific of the Intergovernmental Science-Policy Platform on Biodiversity and Ecosystem Services","author":[{"literal":"IPBES"}],"collection-editor":[{"family":"Karki","given":"Madhav"},{"family":"Sellamuttu","given":"Sonali Senaratna"},{"family":"Okayasu","given":"Sana"},{"family":"Suzuki","given":"Wataru"},{"family":"Acosta","given":"Lilibeth A."},{"family":"Alhafedh","given":"Yousef"},{"family":"Anticamara","given":"Jonathan A."},{"family":"Ausseil","given":"Anne-Gaëlle"},{"family":"Davies","given":"Kirsten"},{"family":"Gasparatos","given":"Alexandros"},{"family":"Gundimeda","given":"Haripriya"},{"family":"Ibrahim","given":"Faridah-Hanum"},{"family":"Kohsaka","given":"Ryo"},{"family":"Kumar","given":"Ritesh"},{"family":"Managi","given":"Shunsuke"},{"family":"Ning","given":"Wu"},{"family":"Rajvanshi","given":"Asha"},{"family":"Rawat","given":"Gopal S."},{"family":"Riordan","given":"Philip"},{"family":"Sharma","given":"Shyam"},{"family":"Virk","given":"Amjad"},{"family":"Wang","given":"Changyong"},{"family":"Yahara","given":"Tetsukazu"},{"family":"Yeo-Chang","given":"Youn"}],"issued":{"date-parts":[["2018"]]}},"label":"page"},{"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Pr="00A9434B">
              <w:fldChar w:fldCharType="separate"/>
            </w:r>
            <w:r w:rsidR="00C71E80" w:rsidRPr="00A9434B">
              <w:t>IPBES, 2018c, 2019a)</w:t>
            </w:r>
            <w:r w:rsidRPr="00A9434B">
              <w:fldChar w:fldCharType="end"/>
            </w:r>
          </w:p>
        </w:tc>
      </w:tr>
      <w:tr w:rsidR="00017C04" w14:paraId="763ED4F3" w14:textId="77777777" w:rsidTr="001C390D">
        <w:trPr>
          <w:trHeight w:val="339"/>
        </w:trPr>
        <w:tc>
          <w:tcPr>
            <w:tcW w:w="2695" w:type="dxa"/>
            <w:vAlign w:val="center"/>
          </w:tcPr>
          <w:p w14:paraId="448B79FB" w14:textId="77777777" w:rsidR="00017C04" w:rsidRDefault="00F50AF9">
            <w:pPr>
              <w:spacing w:before="0" w:after="0"/>
            </w:pPr>
            <w:r>
              <w:t xml:space="preserve">Economic synergies </w:t>
            </w:r>
          </w:p>
        </w:tc>
        <w:tc>
          <w:tcPr>
            <w:tcW w:w="6750" w:type="dxa"/>
          </w:tcPr>
          <w:p w14:paraId="35D35AA4" w14:textId="77777777" w:rsidR="00017C04" w:rsidRDefault="00F50AF9" w:rsidP="001C390D">
            <w:pPr>
              <w:numPr>
                <w:ilvl w:val="0"/>
                <w:numId w:val="11"/>
              </w:numPr>
              <w:pBdr>
                <w:top w:val="nil"/>
                <w:left w:val="nil"/>
                <w:bottom w:val="nil"/>
                <w:right w:val="nil"/>
                <w:between w:val="nil"/>
              </w:pBdr>
              <w:spacing w:before="0" w:after="0"/>
            </w:pPr>
            <w:r w:rsidRPr="001C390D">
              <w:rPr>
                <w:color w:val="000000"/>
              </w:rPr>
              <w:t>Conflict of interest in international regulatory frameworks with a direct or indirect focus on preventing invasive alien species introductions (</w:t>
            </w:r>
            <w:r w:rsidRPr="001C390D">
              <w:rPr>
                <w:b/>
                <w:color w:val="000000"/>
              </w:rPr>
              <w:t xml:space="preserve">sections 6.3 </w:t>
            </w:r>
            <w:r w:rsidRPr="001C390D">
              <w:rPr>
                <w:color w:val="000000"/>
              </w:rPr>
              <w:t>and</w:t>
            </w:r>
            <w:r w:rsidRPr="001C390D">
              <w:rPr>
                <w:i/>
                <w:color w:val="000000"/>
              </w:rPr>
              <w:t xml:space="preserve"> </w:t>
            </w:r>
            <w:r w:rsidRPr="001C390D">
              <w:rPr>
                <w:b/>
                <w:color w:val="000000"/>
              </w:rPr>
              <w:t>6.5</w:t>
            </w:r>
            <w:r w:rsidRPr="001C390D">
              <w:rPr>
                <w:color w:val="000000"/>
              </w:rPr>
              <w:t>)</w:t>
            </w:r>
          </w:p>
          <w:p w14:paraId="084911DC" w14:textId="74EAB907" w:rsidR="00017C04" w:rsidRDefault="00F50AF9" w:rsidP="001C390D">
            <w:pPr>
              <w:numPr>
                <w:ilvl w:val="0"/>
                <w:numId w:val="11"/>
              </w:numPr>
              <w:pBdr>
                <w:top w:val="nil"/>
                <w:left w:val="nil"/>
                <w:bottom w:val="nil"/>
                <w:right w:val="nil"/>
                <w:between w:val="nil"/>
              </w:pBdr>
              <w:spacing w:before="0" w:after="0"/>
            </w:pPr>
            <w:r w:rsidRPr="001C390D">
              <w:rPr>
                <w:color w:val="000000" w:themeColor="text1"/>
              </w:rPr>
              <w:t xml:space="preserve">Difficulties with assessing the collective investment in </w:t>
            </w:r>
            <w:r w:rsidRPr="00C12647">
              <w:rPr>
                <w:color w:val="000000" w:themeColor="text1"/>
              </w:rPr>
              <w:t>prevention and control</w:t>
            </w:r>
            <w:r w:rsidR="5A6D647E" w:rsidRPr="56C59A3A">
              <w:rPr>
                <w:color w:val="000000" w:themeColor="text1"/>
              </w:rPr>
              <w:t xml:space="preserve"> of </w:t>
            </w:r>
            <w:r w:rsidR="5A6D647E" w:rsidRPr="00192C26">
              <w:rPr>
                <w:color w:val="000000" w:themeColor="text1"/>
              </w:rPr>
              <w:t>invasive alien species</w:t>
            </w:r>
            <w:r w:rsidRPr="001C390D">
              <w:rPr>
                <w:color w:val="000000" w:themeColor="text1"/>
              </w:rPr>
              <w:t>, how adequate they are, and costs avoided as a result (</w:t>
            </w:r>
            <w:r w:rsidRPr="001C390D">
              <w:rPr>
                <w:b/>
                <w:color w:val="000000" w:themeColor="text1"/>
              </w:rPr>
              <w:t>section 6.1</w:t>
            </w:r>
            <w:r w:rsidRPr="001C390D">
              <w:rPr>
                <w:color w:val="000000" w:themeColor="text1"/>
              </w:rPr>
              <w:t>)</w:t>
            </w:r>
          </w:p>
        </w:tc>
      </w:tr>
      <w:tr w:rsidR="00017C04" w14:paraId="118D5100" w14:textId="77777777" w:rsidTr="001C390D">
        <w:trPr>
          <w:trHeight w:val="339"/>
        </w:trPr>
        <w:tc>
          <w:tcPr>
            <w:tcW w:w="2695" w:type="dxa"/>
            <w:vAlign w:val="center"/>
          </w:tcPr>
          <w:p w14:paraId="637C58AC" w14:textId="77777777" w:rsidR="00017C04" w:rsidRDefault="00F50AF9">
            <w:pPr>
              <w:spacing w:before="0" w:after="0"/>
            </w:pPr>
            <w:r>
              <w:lastRenderedPageBreak/>
              <w:t>Societal response</w:t>
            </w:r>
          </w:p>
        </w:tc>
        <w:tc>
          <w:tcPr>
            <w:tcW w:w="6750" w:type="dxa"/>
          </w:tcPr>
          <w:p w14:paraId="11334780" w14:textId="7245579E" w:rsidR="00ED51F5" w:rsidRPr="00A9434B" w:rsidRDefault="00ED51F5" w:rsidP="001C390D">
            <w:pPr>
              <w:numPr>
                <w:ilvl w:val="0"/>
                <w:numId w:val="11"/>
              </w:numPr>
              <w:spacing w:before="0" w:after="0"/>
            </w:pPr>
            <w:r w:rsidRPr="001C390D">
              <w:rPr>
                <w:color w:val="000000" w:themeColor="text1"/>
              </w:rPr>
              <w:t>Lack</w:t>
            </w:r>
            <w:r w:rsidRPr="00A9434B">
              <w:t xml:space="preserve"> of public support, financial resources</w:t>
            </w:r>
            <w:r w:rsidR="00896CEC">
              <w:t xml:space="preserve"> and</w:t>
            </w:r>
            <w:r w:rsidRPr="00A9434B">
              <w:t xml:space="preserve"> awareness of risk</w:t>
            </w:r>
            <w:r w:rsidR="7D505E47" w:rsidRPr="00A9434B">
              <w:t>s</w:t>
            </w:r>
            <w:r w:rsidRPr="00A9434B">
              <w:t xml:space="preserve"> associated with </w:t>
            </w:r>
            <w:r w:rsidR="001C390D">
              <w:t>invasive alien species</w:t>
            </w:r>
            <w:r w:rsidRPr="00A9434B">
              <w:t xml:space="preserve"> among all stakeholders (</w:t>
            </w:r>
            <w:r w:rsidRPr="00673554">
              <w:rPr>
                <w:b/>
                <w:iCs/>
              </w:rPr>
              <w:t>sections 6.4</w:t>
            </w:r>
            <w:r w:rsidRPr="00A9434B">
              <w:rPr>
                <w:i/>
                <w:iCs/>
              </w:rPr>
              <w:t xml:space="preserve"> </w:t>
            </w:r>
            <w:r w:rsidRPr="00A9434B">
              <w:t>and</w:t>
            </w:r>
            <w:r w:rsidRPr="00A9434B">
              <w:rPr>
                <w:i/>
                <w:iCs/>
              </w:rPr>
              <w:t xml:space="preserve"> </w:t>
            </w:r>
            <w:r w:rsidRPr="00673554">
              <w:rPr>
                <w:b/>
                <w:iCs/>
              </w:rPr>
              <w:t>6.5</w:t>
            </w:r>
            <w:r w:rsidRPr="00A9434B">
              <w:t xml:space="preserve">, </w:t>
            </w:r>
            <w:r w:rsidRPr="00A9434B">
              <w:fldChar w:fldCharType="begin"/>
            </w:r>
            <w:r w:rsidR="0006613E">
              <w:instrText xml:space="preserve"> ADDIN ZOTERO_ITEM CSL_CITATION {"citationID":"K735M6J9","properties":{"formattedCitation":"(IPBES, 2018a, 2019a)","plainCitation":"(IPBES, 2018a, 2019a)","dontUpdate":true,"noteIndex":0},"citationItems":[{"id":26989,"uris":["http://zotero.org/groups/2352922/items/HNN39TBD","http://zotero.org/groups/2352922/items/BF3N3YYK"],"itemData":{"id":26989,"type":"report","abstract":"The Regional Assessment Report on Biodiversity and Ecosystem Services for Asia and the Pacific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10.5281/ZENODO.3237374","publisher":"Secretariat of the Intergovernmental Science-Policy Platform on Biodiversity and Ecosystem Services","publisher-place":"Bonn, Germany","source":"DOI.org (Datacite)","title":"The IPBES regional assessment report on biodiversity and ecosystem services for Asia and the Pacific","URL":"https://zenodo.org/record/3237374","author":[{"literal":"IPBES"}],"collection-editor":[{"family":"Karki","given":"Madhav"},{"family":"Sellamuttu","given":"Sonali Senaratna"},{"family":"Okayasu","given":"Sana"},{"family":"Suzuki","given":"Wataru"}],"accessed":{"date-parts":[["2020",8,25]]},"issued":{"date-parts":[["2018"]]}}},{"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Pr="00A9434B">
              <w:fldChar w:fldCharType="separate"/>
            </w:r>
            <w:r w:rsidR="00C71E80" w:rsidRPr="00A9434B">
              <w:t>IPBES, 2018a, 2019a)</w:t>
            </w:r>
            <w:r w:rsidRPr="00A9434B">
              <w:fldChar w:fldCharType="end"/>
            </w:r>
          </w:p>
          <w:p w14:paraId="4AD2BC44" w14:textId="3A24C10A" w:rsidR="00017C04" w:rsidRDefault="00F50AF9" w:rsidP="00C12647">
            <w:pPr>
              <w:numPr>
                <w:ilvl w:val="0"/>
                <w:numId w:val="11"/>
              </w:numPr>
              <w:pBdr>
                <w:top w:val="nil"/>
                <w:left w:val="nil"/>
                <w:bottom w:val="nil"/>
                <w:right w:val="nil"/>
                <w:between w:val="nil"/>
              </w:pBdr>
              <w:spacing w:before="0" w:after="0"/>
            </w:pPr>
            <w:r w:rsidRPr="00C12647">
              <w:rPr>
                <w:color w:val="000000" w:themeColor="text1"/>
              </w:rPr>
              <w:t xml:space="preserve">Absence of institutions that coordinate and provide oversight on </w:t>
            </w:r>
            <w:r w:rsidR="184CA5C9" w:rsidRPr="00192C26">
              <w:rPr>
                <w:color w:val="000000" w:themeColor="text1"/>
              </w:rPr>
              <w:t>invasive alien species</w:t>
            </w:r>
            <w:r w:rsidR="184CA5C9" w:rsidRPr="001C390D">
              <w:rPr>
                <w:color w:val="000000" w:themeColor="text1"/>
              </w:rPr>
              <w:t xml:space="preserve"> </w:t>
            </w:r>
            <w:r w:rsidRPr="001C390D">
              <w:rPr>
                <w:color w:val="000000" w:themeColor="text1"/>
              </w:rPr>
              <w:t>prevention, control</w:t>
            </w:r>
            <w:r w:rsidR="00896CEC">
              <w:rPr>
                <w:color w:val="000000" w:themeColor="text1"/>
              </w:rPr>
              <w:t xml:space="preserve"> and</w:t>
            </w:r>
            <w:r w:rsidRPr="001C390D">
              <w:rPr>
                <w:color w:val="000000" w:themeColor="text1"/>
              </w:rPr>
              <w:t xml:space="preserve"> mitigation strategies, and promote the flow of information (</w:t>
            </w:r>
            <w:r w:rsidRPr="001C390D">
              <w:rPr>
                <w:b/>
                <w:color w:val="000000" w:themeColor="text1"/>
              </w:rPr>
              <w:t>sections 6.3</w:t>
            </w:r>
            <w:r w:rsidRPr="001C390D">
              <w:rPr>
                <w:i/>
                <w:color w:val="000000" w:themeColor="text1"/>
              </w:rPr>
              <w:t xml:space="preserve"> </w:t>
            </w:r>
            <w:r w:rsidRPr="001C390D">
              <w:rPr>
                <w:color w:val="000000" w:themeColor="text1"/>
              </w:rPr>
              <w:t>and</w:t>
            </w:r>
            <w:r w:rsidRPr="001C390D">
              <w:rPr>
                <w:i/>
                <w:color w:val="000000" w:themeColor="text1"/>
              </w:rPr>
              <w:t xml:space="preserve"> </w:t>
            </w:r>
            <w:r w:rsidRPr="001C390D">
              <w:rPr>
                <w:b/>
                <w:color w:val="000000" w:themeColor="text1"/>
              </w:rPr>
              <w:t>6.7</w:t>
            </w:r>
            <w:r w:rsidRPr="001C390D">
              <w:rPr>
                <w:color w:val="000000" w:themeColor="text1"/>
              </w:rPr>
              <w:t>)</w:t>
            </w:r>
          </w:p>
        </w:tc>
      </w:tr>
      <w:tr w:rsidR="00017C04" w14:paraId="06EE81BF" w14:textId="77777777" w:rsidTr="001C390D">
        <w:trPr>
          <w:trHeight w:val="339"/>
        </w:trPr>
        <w:tc>
          <w:tcPr>
            <w:tcW w:w="2695" w:type="dxa"/>
            <w:vAlign w:val="center"/>
          </w:tcPr>
          <w:p w14:paraId="75692DBC" w14:textId="77777777" w:rsidR="00017C04" w:rsidRDefault="00F50AF9">
            <w:pPr>
              <w:spacing w:before="0" w:after="0"/>
            </w:pPr>
            <w:r>
              <w:t>Engagement with Indigenous Peoples and local communities</w:t>
            </w:r>
          </w:p>
        </w:tc>
        <w:tc>
          <w:tcPr>
            <w:tcW w:w="6750" w:type="dxa"/>
          </w:tcPr>
          <w:p w14:paraId="5F0C831A" w14:textId="77777777" w:rsidR="00017C04" w:rsidRDefault="00F50AF9" w:rsidP="001C390D">
            <w:pPr>
              <w:numPr>
                <w:ilvl w:val="0"/>
                <w:numId w:val="11"/>
              </w:numPr>
              <w:pBdr>
                <w:top w:val="nil"/>
                <w:left w:val="nil"/>
                <w:bottom w:val="nil"/>
                <w:right w:val="nil"/>
                <w:between w:val="nil"/>
              </w:pBdr>
              <w:spacing w:before="0" w:after="0"/>
            </w:pPr>
            <w:r w:rsidRPr="001C390D">
              <w:rPr>
                <w:color w:val="000000"/>
              </w:rPr>
              <w:t>Engaging with stakeholders and Indigenous Peoples and local communities (</w:t>
            </w:r>
            <w:r w:rsidRPr="001C390D">
              <w:rPr>
                <w:b/>
                <w:color w:val="000000"/>
              </w:rPr>
              <w:t>section 6.4</w:t>
            </w:r>
            <w:r w:rsidRPr="001C390D">
              <w:rPr>
                <w:color w:val="000000"/>
              </w:rPr>
              <w:t>)</w:t>
            </w:r>
          </w:p>
          <w:p w14:paraId="7E0E5562" w14:textId="7F4170DE" w:rsidR="00017C04" w:rsidRDefault="00F50AF9" w:rsidP="001C390D">
            <w:pPr>
              <w:numPr>
                <w:ilvl w:val="0"/>
                <w:numId w:val="11"/>
              </w:numPr>
              <w:pBdr>
                <w:top w:val="nil"/>
                <w:left w:val="nil"/>
                <w:bottom w:val="nil"/>
                <w:right w:val="nil"/>
                <w:between w:val="nil"/>
              </w:pBdr>
              <w:spacing w:before="0" w:after="0"/>
              <w:rPr>
                <w:rFonts w:eastAsia="Times New Roman"/>
              </w:rPr>
            </w:pPr>
            <w:r w:rsidRPr="00C12647">
              <w:rPr>
                <w:color w:val="000000"/>
              </w:rPr>
              <w:t>Lack of integration of stakeholder and Indigenous and local knowledge (</w:t>
            </w:r>
            <w:r w:rsidR="00C14291">
              <w:rPr>
                <w:b/>
                <w:iCs/>
              </w:rPr>
              <w:t>G</w:t>
            </w:r>
            <w:r w:rsidR="00845241" w:rsidRPr="00673554">
              <w:rPr>
                <w:b/>
                <w:iCs/>
              </w:rPr>
              <w:t>lossary</w:t>
            </w:r>
            <w:r w:rsidRPr="008521D1">
              <w:rPr>
                <w:color w:val="000000"/>
              </w:rPr>
              <w:t>) and limited engagement of stakeholders and Indigenous Peoples and local communities in decision-making for biological invasions (</w:t>
            </w:r>
            <w:r w:rsidRPr="008521D1">
              <w:rPr>
                <w:b/>
                <w:color w:val="000000"/>
              </w:rPr>
              <w:t>section 6.4</w:t>
            </w:r>
            <w:r w:rsidRPr="008521D1">
              <w:rPr>
                <w:color w:val="000000"/>
              </w:rPr>
              <w:t>)</w:t>
            </w:r>
          </w:p>
        </w:tc>
      </w:tr>
      <w:tr w:rsidR="00017C04" w14:paraId="686AF01D" w14:textId="77777777" w:rsidTr="001C390D">
        <w:trPr>
          <w:trHeight w:val="339"/>
        </w:trPr>
        <w:tc>
          <w:tcPr>
            <w:tcW w:w="2695" w:type="dxa"/>
            <w:vAlign w:val="center"/>
          </w:tcPr>
          <w:p w14:paraId="06F43AA8" w14:textId="77777777" w:rsidR="00017C04" w:rsidRDefault="00F50AF9">
            <w:pPr>
              <w:spacing w:before="0" w:after="0"/>
            </w:pPr>
            <w:r>
              <w:t>Gaps in knowledge of governance</w:t>
            </w:r>
          </w:p>
        </w:tc>
        <w:tc>
          <w:tcPr>
            <w:tcW w:w="6750" w:type="dxa"/>
          </w:tcPr>
          <w:p w14:paraId="627AF055" w14:textId="77777777" w:rsidR="00017C04" w:rsidRDefault="00F50AF9" w:rsidP="008521D1">
            <w:pPr>
              <w:numPr>
                <w:ilvl w:val="0"/>
                <w:numId w:val="11"/>
              </w:numPr>
              <w:pBdr>
                <w:top w:val="nil"/>
                <w:left w:val="nil"/>
                <w:bottom w:val="nil"/>
                <w:right w:val="nil"/>
                <w:between w:val="nil"/>
              </w:pBdr>
              <w:spacing w:before="0" w:after="0"/>
            </w:pPr>
            <w:r w:rsidRPr="008521D1">
              <w:rPr>
                <w:color w:val="000000"/>
              </w:rPr>
              <w:t>Lack of information about the success of governance in management interventions (</w:t>
            </w:r>
            <w:r w:rsidRPr="008521D1">
              <w:rPr>
                <w:b/>
                <w:color w:val="000000"/>
              </w:rPr>
              <w:t>section 6.2</w:t>
            </w:r>
            <w:r w:rsidRPr="008521D1">
              <w:rPr>
                <w:color w:val="000000"/>
              </w:rPr>
              <w:t>)</w:t>
            </w:r>
          </w:p>
          <w:p w14:paraId="2162DAA7" w14:textId="77777777" w:rsidR="00017C04" w:rsidRDefault="00F50AF9" w:rsidP="008521D1">
            <w:pPr>
              <w:numPr>
                <w:ilvl w:val="0"/>
                <w:numId w:val="11"/>
              </w:numPr>
              <w:pBdr>
                <w:top w:val="nil"/>
                <w:left w:val="nil"/>
                <w:bottom w:val="nil"/>
                <w:right w:val="nil"/>
                <w:between w:val="nil"/>
              </w:pBdr>
              <w:spacing w:before="0" w:after="0"/>
            </w:pPr>
            <w:r w:rsidRPr="008521D1">
              <w:rPr>
                <w:color w:val="000000"/>
              </w:rPr>
              <w:t>Limited dedicated interdisciplinary research on the governance for biological invasions in an environmental governance context (</w:t>
            </w:r>
            <w:r w:rsidRPr="008521D1">
              <w:rPr>
                <w:b/>
                <w:color w:val="000000"/>
              </w:rPr>
              <w:t>section 6.2</w:t>
            </w:r>
            <w:r w:rsidRPr="008521D1">
              <w:rPr>
                <w:color w:val="000000"/>
              </w:rPr>
              <w:t>)</w:t>
            </w:r>
          </w:p>
        </w:tc>
      </w:tr>
    </w:tbl>
    <w:p w14:paraId="698A7242" w14:textId="77777777" w:rsidR="00017C04" w:rsidRDefault="00F50AF9" w:rsidP="008521D1">
      <w:pPr>
        <w:pStyle w:val="Heading2"/>
      </w:pPr>
      <w:bookmarkStart w:id="37" w:name="_Toc1078511615"/>
      <w:bookmarkStart w:id="38" w:name="_Toc133428294"/>
      <w:bookmarkStart w:id="39" w:name="_Toc133428780"/>
      <w:bookmarkStart w:id="40" w:name="_Toc147417574"/>
      <w:r>
        <w:t>Progress towards international and national goals and targets for invasive alien species</w:t>
      </w:r>
      <w:bookmarkEnd w:id="37"/>
      <w:bookmarkEnd w:id="38"/>
      <w:bookmarkEnd w:id="39"/>
      <w:bookmarkEnd w:id="40"/>
    </w:p>
    <w:p w14:paraId="7F4E3320" w14:textId="3BB8EE29" w:rsidR="00017C04" w:rsidRDefault="00F50AF9" w:rsidP="56C59A3A">
      <w:r>
        <w:t>The CBD is currently the most encompassing and directly relevant global environmental governance mechanism for biological invasions. It has the following three objectives: the conservation of biological diversity; the sustainable use of the components of biological diversity; and the fair and equitable sharing of the benefits arising out of the utilization of genetic resources (</w:t>
      </w:r>
      <w:r w:rsidR="008521D1">
        <w:rPr>
          <w:b/>
          <w:bCs/>
        </w:rPr>
        <w:t>F</w:t>
      </w:r>
      <w:r w:rsidRPr="56C59A3A">
        <w:rPr>
          <w:b/>
          <w:bCs/>
        </w:rPr>
        <w:t>igure 6.1</w:t>
      </w:r>
      <w:r>
        <w:t>,</w:t>
      </w:r>
      <w:r w:rsidRPr="56C59A3A">
        <w:rPr>
          <w:b/>
          <w:bCs/>
        </w:rPr>
        <w:t xml:space="preserve"> section 6.1.2</w:t>
      </w:r>
      <w:r>
        <w:t xml:space="preserve">). The Conference of the Parties (COP) to the CBD has also specifically </w:t>
      </w:r>
      <w:r w:rsidR="00273868">
        <w:t>r</w:t>
      </w:r>
      <w:r w:rsidR="00273868" w:rsidRPr="00273868">
        <w:t>ecogniz</w:t>
      </w:r>
      <w:r w:rsidR="00273868">
        <w:t>ed</w:t>
      </w:r>
      <w:r w:rsidR="00273868" w:rsidRPr="00273868">
        <w:t xml:space="preserve"> that invasive alien species represent one of the primary threats to biodiversity, especially in geographically and evolutionary isolated ecosystems, such as small island developing States</w:t>
      </w:r>
      <w:r w:rsidR="00273868">
        <w:t xml:space="preserve"> (SIDS)</w:t>
      </w:r>
      <w:r>
        <w:t xml:space="preserve">. As early as 2002, the CBD COP adopted a series of Guiding Principles for improving the governance for biological invasions </w:t>
      </w:r>
      <w:r w:rsidR="7FFE9184" w:rsidRPr="009C4C2F">
        <w:t>(</w:t>
      </w:r>
      <w:r w:rsidR="00363D20" w:rsidRPr="00673554">
        <w:rPr>
          <w:b/>
          <w:iCs/>
        </w:rPr>
        <w:fldChar w:fldCharType="begin"/>
      </w:r>
      <w:r w:rsidR="00363D20" w:rsidRPr="00673554">
        <w:rPr>
          <w:b/>
          <w:iCs/>
        </w:rPr>
        <w:instrText xml:space="preserve"> REF _Ref104892405 \h  \* MERGEFORMAT </w:instrText>
      </w:r>
      <w:r w:rsidR="00363D20" w:rsidRPr="00673554">
        <w:rPr>
          <w:b/>
          <w:iCs/>
        </w:rPr>
      </w:r>
      <w:r w:rsidR="00363D20" w:rsidRPr="00673554">
        <w:rPr>
          <w:b/>
          <w:iCs/>
        </w:rPr>
        <w:fldChar w:fldCharType="separate"/>
      </w:r>
      <w:r w:rsidR="0011368C" w:rsidRPr="00673554">
        <w:rPr>
          <w:b/>
          <w:iCs/>
        </w:rPr>
        <w:t>Table 6.3</w:t>
      </w:r>
      <w:r w:rsidR="00363D20" w:rsidRPr="00673554">
        <w:rPr>
          <w:b/>
          <w:iCs/>
        </w:rPr>
        <w:fldChar w:fldCharType="end"/>
      </w:r>
      <w:r w:rsidR="7FFE9184" w:rsidRPr="009C4C2F">
        <w:t>).</w:t>
      </w:r>
      <w:r>
        <w:t xml:space="preserve"> These Guiding Principles remain highly relevant and provide a list of options to accelerate and sustain progress on invasive alien species and their control. The responsibilities of Parties to the CBD are therefore longstanding, and gaps and shortcomings in the governance for biological invasions over the last several decades (</w:t>
      </w:r>
      <w:r w:rsidRPr="56C59A3A">
        <w:rPr>
          <w:b/>
          <w:bCs/>
        </w:rPr>
        <w:t>section 6.1.3</w:t>
      </w:r>
      <w:r>
        <w:t>) have meant that actions have not been sufficient to stop their spread (</w:t>
      </w:r>
      <w:r w:rsidRPr="56C59A3A">
        <w:rPr>
          <w:b/>
          <w:bCs/>
        </w:rPr>
        <w:t>Chapter 2</w:t>
      </w:r>
      <w:r>
        <w:t>).</w:t>
      </w:r>
    </w:p>
    <w:p w14:paraId="760C5B11" w14:textId="7DFABE2E" w:rsidR="00017C04" w:rsidRPr="008521D1" w:rsidRDefault="00F50AF9" w:rsidP="008521D1">
      <w:pPr>
        <w:pStyle w:val="Table"/>
        <w:keepNext/>
        <w:rPr>
          <w:b w:val="0"/>
          <w:bCs w:val="0"/>
          <w:color w:val="000000"/>
        </w:rPr>
      </w:pPr>
      <w:bookmarkStart w:id="41" w:name="_heading=h.2s8eyo1" w:colFirst="0" w:colLast="0"/>
      <w:bookmarkStart w:id="42" w:name="_Ref104892405"/>
      <w:bookmarkStart w:id="43" w:name="_Toc147418536"/>
      <w:bookmarkEnd w:id="41"/>
      <w:r w:rsidRPr="008521D1">
        <w:rPr>
          <w:bCs w:val="0"/>
        </w:rPr>
        <w:t>Table 6</w:t>
      </w:r>
      <w:r w:rsidR="00EE79F5" w:rsidRPr="008521D1">
        <w:rPr>
          <w:bCs w:val="0"/>
        </w:rPr>
        <w:t>.</w:t>
      </w:r>
      <w:r w:rsidR="00EE79F5" w:rsidRPr="008521D1">
        <w:rPr>
          <w:bCs w:val="0"/>
        </w:rPr>
        <w:fldChar w:fldCharType="begin"/>
      </w:r>
      <w:r w:rsidR="00EE79F5" w:rsidRPr="008521D1">
        <w:rPr>
          <w:bCs w:val="0"/>
        </w:rPr>
        <w:instrText xml:space="preserve"> SEQ Table_6. \* ARABIC </w:instrText>
      </w:r>
      <w:r w:rsidR="00EE79F5" w:rsidRPr="008521D1">
        <w:rPr>
          <w:bCs w:val="0"/>
        </w:rPr>
        <w:fldChar w:fldCharType="separate"/>
      </w:r>
      <w:r w:rsidR="0011368C" w:rsidRPr="008521D1">
        <w:rPr>
          <w:bCs w:val="0"/>
          <w:noProof/>
        </w:rPr>
        <w:t>3</w:t>
      </w:r>
      <w:r w:rsidR="00EE79F5" w:rsidRPr="008521D1">
        <w:rPr>
          <w:bCs w:val="0"/>
        </w:rPr>
        <w:fldChar w:fldCharType="end"/>
      </w:r>
      <w:bookmarkEnd w:id="42"/>
      <w:r w:rsidR="00725EEE" w:rsidRPr="008521D1">
        <w:rPr>
          <w:bCs w:val="0"/>
        </w:rPr>
        <w:t>.</w:t>
      </w:r>
      <w:r w:rsidRPr="008521D1">
        <w:rPr>
          <w:color w:val="000000"/>
        </w:rPr>
        <w:t xml:space="preserve"> </w:t>
      </w:r>
      <w:r w:rsidRPr="008521D1">
        <w:rPr>
          <w:b w:val="0"/>
          <w:bCs w:val="0"/>
          <w:color w:val="000000"/>
        </w:rPr>
        <w:t>The 15 Guiding Principles for the prevention, introduction and mitigation of impacts of alien species that threaten ecosystems, habitats or species</w:t>
      </w:r>
      <w:bookmarkEnd w:id="43"/>
      <w:r w:rsidRPr="008521D1">
        <w:rPr>
          <w:b w:val="0"/>
          <w:bCs w:val="0"/>
          <w:color w:val="000000"/>
        </w:rPr>
        <w:t xml:space="preserve"> </w:t>
      </w:r>
    </w:p>
    <w:p w14:paraId="530E9289" w14:textId="4DD4D18F" w:rsidR="00017C04" w:rsidRPr="008521D1" w:rsidRDefault="00F50AF9" w:rsidP="008521D1">
      <w:pPr>
        <w:pStyle w:val="Table"/>
        <w:keepNext/>
        <w:spacing w:before="0" w:after="0"/>
        <w:rPr>
          <w:b w:val="0"/>
          <w:bCs w:val="0"/>
        </w:rPr>
      </w:pPr>
      <w:r w:rsidRPr="008521D1">
        <w:rPr>
          <w:b w:val="0"/>
          <w:bCs w:val="0"/>
          <w:color w:val="000000"/>
        </w:rPr>
        <w:t xml:space="preserve">The text associated with these principles is not provided in full here - abbreviated notes are shown where particularly relevant to invasive alien species governance as discussed in </w:t>
      </w:r>
      <w:r w:rsidRPr="008521D1">
        <w:rPr>
          <w:color w:val="000000"/>
        </w:rPr>
        <w:t>section 6.2</w:t>
      </w:r>
      <w:r w:rsidRPr="008521D1">
        <w:rPr>
          <w:b w:val="0"/>
          <w:bCs w:val="0"/>
          <w:color w:val="000000"/>
        </w:rPr>
        <w:t xml:space="preserve"> (</w:t>
      </w:r>
      <w:r w:rsidRPr="008521D1">
        <w:rPr>
          <w:color w:val="000000"/>
        </w:rPr>
        <w:t>Chapter 1, section 1.3.1</w:t>
      </w:r>
      <w:r w:rsidRPr="008521D1">
        <w:rPr>
          <w:b w:val="0"/>
          <w:bCs w:val="0"/>
          <w:color w:val="000000"/>
        </w:rPr>
        <w:t xml:space="preserve">). </w:t>
      </w:r>
      <w:r w:rsidR="000A61A1" w:rsidRPr="008521D1">
        <w:rPr>
          <w:b w:val="0"/>
          <w:bCs w:val="0"/>
        </w:rPr>
        <w:t>Source:</w:t>
      </w:r>
      <w:r w:rsidR="006F02DD" w:rsidRPr="008521D1">
        <w:rPr>
          <w:b w:val="0"/>
          <w:bCs w:val="0"/>
        </w:rPr>
        <w:t xml:space="preserve"> CBD</w:t>
      </w:r>
      <w:r w:rsidR="00E25ED8" w:rsidRPr="008521D1">
        <w:rPr>
          <w:b w:val="0"/>
          <w:bCs w:val="0"/>
        </w:rPr>
        <w:t xml:space="preserve"> </w:t>
      </w:r>
      <w:r w:rsidR="00E25ED8" w:rsidRPr="008521D1">
        <w:rPr>
          <w:b w:val="0"/>
          <w:bCs w:val="0"/>
        </w:rPr>
        <w:fldChar w:fldCharType="begin"/>
      </w:r>
      <w:r w:rsidR="0006613E">
        <w:rPr>
          <w:b w:val="0"/>
          <w:bCs w:val="0"/>
        </w:rPr>
        <w:instrText xml:space="preserve"> ADDIN ZOTERO_ITEM CSL_CITATION {"citationID":"a140frp2kar","properties":{"formattedCitation":"(2002)","plainCitation":"(2002)","noteIndex":0},"citationItems":[{"id":30011,"uris":["http://zotero.org/groups/2352922/items/9EVDWKMU","http://zotero.org/groups/2352922/items/TPXNITQT"],"itemData":{"id":30011,"type":"paper-conference","collection-title":"Annex of UNEP/CBD/COP/DEC/VI/23","container-title":"COP 6 Decision VI/23","event-place":"The Hague, Netherlands","event-title":"COP 6","language":"en","license":"Copyright 2001-2011, Secretariat of the Convention on Biological Diversity","publisher":"Convention on Biodiversity, United Nations Environment Programme","publisher-place":"The Hague, Netherlands","title":"Alien species that threaten ecosystems, habitats or species","URL":"https://www.cbd.int/decision/cop/?id=7197","author":[{"literal":"CBD"}],"accessed":{"date-parts":[["2021",8,16]]},"issued":{"date-parts":[["2002",4,7]]}},"label":"page","suppress-author":true}],"schema":"https://github.com/citation-style-language/schema/raw/master/csl-citation.json"} </w:instrText>
      </w:r>
      <w:r w:rsidR="00E25ED8" w:rsidRPr="008521D1">
        <w:rPr>
          <w:b w:val="0"/>
          <w:bCs w:val="0"/>
        </w:rPr>
        <w:fldChar w:fldCharType="separate"/>
      </w:r>
      <w:r w:rsidR="00713CE0" w:rsidRPr="008521D1">
        <w:rPr>
          <w:b w:val="0"/>
          <w:bCs w:val="0"/>
        </w:rPr>
        <w:t>(2002)</w:t>
      </w:r>
      <w:r w:rsidR="00E25ED8" w:rsidRPr="008521D1">
        <w:rPr>
          <w:b w:val="0"/>
          <w:bCs w:val="0"/>
        </w:rPr>
        <w:fldChar w:fldCharType="end"/>
      </w:r>
      <w:r w:rsidR="00FD65B1" w:rsidRPr="008521D1">
        <w:rPr>
          <w:b w:val="0"/>
          <w:bCs w:val="0"/>
        </w:rPr>
        <w:t>.</w:t>
      </w:r>
    </w:p>
    <w:p w14:paraId="7118793E" w14:textId="77777777" w:rsidR="00017C04" w:rsidRPr="008521D1" w:rsidRDefault="00017C04" w:rsidP="008521D1">
      <w:pPr>
        <w:pStyle w:val="Table"/>
        <w:keepNext/>
        <w:spacing w:before="0" w:after="0"/>
        <w:rPr>
          <w:b w:val="0"/>
        </w:rPr>
      </w:pPr>
    </w:p>
    <w:tbl>
      <w:tblPr>
        <w:tblW w:w="902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00" w:firstRow="0" w:lastRow="0" w:firstColumn="0" w:lastColumn="0" w:noHBand="0" w:noVBand="1"/>
      </w:tblPr>
      <w:tblGrid>
        <w:gridCol w:w="629"/>
        <w:gridCol w:w="8391"/>
      </w:tblGrid>
      <w:tr w:rsidR="00192C26" w14:paraId="798E3A8C"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52F039CE" w14:textId="77777777" w:rsidR="00017C04" w:rsidRDefault="00F50AF9">
            <w:pPr>
              <w:keepNext/>
              <w:spacing w:before="0" w:after="0"/>
              <w:rPr>
                <w:b/>
              </w:rPr>
            </w:pPr>
            <w:r>
              <w:rPr>
                <w:b/>
              </w:rPr>
              <w:t>No.</w:t>
            </w:r>
          </w:p>
        </w:tc>
        <w:tc>
          <w:tcPr>
            <w:tcW w:w="8391" w:type="dxa"/>
            <w:tcBorders>
              <w:top w:val="single" w:sz="4" w:space="0" w:color="000000"/>
              <w:left w:val="single" w:sz="4" w:space="0" w:color="000000"/>
              <w:bottom w:val="single" w:sz="4" w:space="0" w:color="000000"/>
              <w:right w:val="single" w:sz="4" w:space="0" w:color="000000"/>
            </w:tcBorders>
            <w:shd w:val="clear" w:color="auto" w:fill="E7E6E6"/>
          </w:tcPr>
          <w:p w14:paraId="64E67E75" w14:textId="77777777" w:rsidR="00017C04" w:rsidRDefault="00F50AF9">
            <w:pPr>
              <w:keepNext/>
              <w:spacing w:before="0" w:after="0"/>
              <w:rPr>
                <w:b/>
              </w:rPr>
            </w:pPr>
            <w:r>
              <w:rPr>
                <w:b/>
              </w:rPr>
              <w:t>Guiding Principle</w:t>
            </w:r>
          </w:p>
        </w:tc>
      </w:tr>
      <w:tr w:rsidR="00017C04" w14:paraId="38B9B579" w14:textId="77777777" w:rsidTr="008521D1">
        <w:tc>
          <w:tcPr>
            <w:tcW w:w="9020" w:type="dxa"/>
            <w:gridSpan w:val="2"/>
            <w:tcBorders>
              <w:top w:val="single" w:sz="4" w:space="0" w:color="000000"/>
              <w:left w:val="single" w:sz="4" w:space="0" w:color="000000"/>
              <w:bottom w:val="single" w:sz="4" w:space="0" w:color="000000"/>
              <w:right w:val="single" w:sz="4" w:space="0" w:color="000000"/>
            </w:tcBorders>
            <w:shd w:val="clear" w:color="auto" w:fill="E7E6E6"/>
          </w:tcPr>
          <w:p w14:paraId="60690A36" w14:textId="77777777" w:rsidR="00017C04" w:rsidRDefault="00F50AF9">
            <w:pPr>
              <w:spacing w:before="0" w:after="0"/>
            </w:pPr>
            <w:r>
              <w:t>A. GENERAL</w:t>
            </w:r>
          </w:p>
        </w:tc>
      </w:tr>
      <w:tr w:rsidR="00192C26" w14:paraId="4BC5C0F1"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4773C676" w14:textId="77777777" w:rsidR="00017C04" w:rsidRDefault="00F50AF9">
            <w:pPr>
              <w:spacing w:before="0" w:after="0"/>
            </w:pPr>
            <w:r>
              <w:t>1</w:t>
            </w:r>
          </w:p>
        </w:tc>
        <w:tc>
          <w:tcPr>
            <w:tcW w:w="8391" w:type="dxa"/>
            <w:tcBorders>
              <w:top w:val="nil"/>
              <w:left w:val="single" w:sz="4" w:space="0" w:color="000000"/>
              <w:bottom w:val="nil"/>
              <w:right w:val="single" w:sz="4" w:space="0" w:color="000000"/>
            </w:tcBorders>
            <w:shd w:val="clear" w:color="auto" w:fill="E7E6E6"/>
          </w:tcPr>
          <w:p w14:paraId="3F917F19" w14:textId="77777777" w:rsidR="00017C04" w:rsidRDefault="00F50AF9">
            <w:pPr>
              <w:spacing w:before="0" w:after="0"/>
              <w:rPr>
                <w:b/>
              </w:rPr>
            </w:pPr>
            <w:r>
              <w:rPr>
                <w:b/>
              </w:rPr>
              <w:t xml:space="preserve">Precautionary approach: </w:t>
            </w:r>
            <w:r>
              <w:t>efforts to identify and prevent unintentional introductions as well as decisions concerning intentional introductions should be based on the precautionary approach as described in Principle 15 of the 1992 Rio Declaration.</w:t>
            </w:r>
          </w:p>
        </w:tc>
      </w:tr>
      <w:tr w:rsidR="00192C26" w14:paraId="1C5744CC"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7C87B5BD" w14:textId="77777777" w:rsidR="00017C04" w:rsidRDefault="00F50AF9">
            <w:pPr>
              <w:spacing w:before="0" w:after="0"/>
            </w:pPr>
            <w:r>
              <w:t>2</w:t>
            </w:r>
          </w:p>
        </w:tc>
        <w:tc>
          <w:tcPr>
            <w:tcW w:w="8391" w:type="dxa"/>
            <w:tcBorders>
              <w:top w:val="nil"/>
              <w:left w:val="single" w:sz="4" w:space="0" w:color="000000"/>
              <w:bottom w:val="nil"/>
              <w:right w:val="single" w:sz="4" w:space="0" w:color="000000"/>
            </w:tcBorders>
            <w:shd w:val="clear" w:color="auto" w:fill="E7E6E6"/>
          </w:tcPr>
          <w:p w14:paraId="7D540BD7" w14:textId="409562AD" w:rsidR="00017C04" w:rsidRDefault="00F50AF9">
            <w:pPr>
              <w:spacing w:before="0" w:after="0"/>
            </w:pPr>
            <w:r>
              <w:rPr>
                <w:b/>
              </w:rPr>
              <w:t>Three-stage hierarchical approach</w:t>
            </w:r>
            <w:r>
              <w:t>: prevention is the top priority; followed by early detection, rapid response</w:t>
            </w:r>
            <w:r w:rsidR="00896CEC">
              <w:t xml:space="preserve"> and</w:t>
            </w:r>
            <w:r>
              <w:t xml:space="preserve"> eradication; and then containment, long-term control measures and examination of the benefits and costs.</w:t>
            </w:r>
          </w:p>
        </w:tc>
      </w:tr>
      <w:tr w:rsidR="00192C26" w14:paraId="1122D689"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5AF70C2A" w14:textId="77777777" w:rsidR="00017C04" w:rsidRDefault="00F50AF9">
            <w:pPr>
              <w:spacing w:before="0" w:after="0"/>
            </w:pPr>
            <w:r>
              <w:lastRenderedPageBreak/>
              <w:t>3</w:t>
            </w:r>
          </w:p>
        </w:tc>
        <w:tc>
          <w:tcPr>
            <w:tcW w:w="8391" w:type="dxa"/>
            <w:tcBorders>
              <w:top w:val="nil"/>
              <w:left w:val="single" w:sz="4" w:space="0" w:color="000000"/>
              <w:bottom w:val="nil"/>
              <w:right w:val="single" w:sz="4" w:space="0" w:color="000000"/>
            </w:tcBorders>
            <w:shd w:val="clear" w:color="auto" w:fill="E7E6E6"/>
          </w:tcPr>
          <w:p w14:paraId="529AA117" w14:textId="77777777" w:rsidR="00017C04" w:rsidRDefault="00F50AF9">
            <w:pPr>
              <w:spacing w:before="0" w:after="0"/>
            </w:pPr>
            <w:r>
              <w:rPr>
                <w:b/>
              </w:rPr>
              <w:t>Ecosystem approach</w:t>
            </w:r>
            <w:r>
              <w:t>: as described in decision V/6 of the Conference of the Parties.</w:t>
            </w:r>
          </w:p>
        </w:tc>
      </w:tr>
      <w:tr w:rsidR="00192C26" w14:paraId="504FFDAB"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008CFDD2" w14:textId="77777777" w:rsidR="00017C04" w:rsidRDefault="00F50AF9">
            <w:pPr>
              <w:spacing w:before="0" w:after="0"/>
            </w:pPr>
            <w:r>
              <w:t>4</w:t>
            </w:r>
          </w:p>
        </w:tc>
        <w:tc>
          <w:tcPr>
            <w:tcW w:w="8391" w:type="dxa"/>
            <w:tcBorders>
              <w:top w:val="nil"/>
              <w:left w:val="single" w:sz="4" w:space="0" w:color="000000"/>
              <w:bottom w:val="nil"/>
              <w:right w:val="single" w:sz="4" w:space="0" w:color="000000"/>
            </w:tcBorders>
            <w:shd w:val="clear" w:color="auto" w:fill="E7E6E6"/>
          </w:tcPr>
          <w:p w14:paraId="3BF20FAC" w14:textId="77777777" w:rsidR="00017C04" w:rsidRDefault="00F50AF9">
            <w:pPr>
              <w:spacing w:before="0" w:after="0"/>
            </w:pPr>
            <w:r>
              <w:rPr>
                <w:b/>
              </w:rPr>
              <w:t>The role of States</w:t>
            </w:r>
            <w:r>
              <w:t>: States should recognize the risk that activities within their jurisdiction or control may pose to other states and should take appropriate individual and cooperative actions to minimize that risk, including making information on the identity of invasive alien species available to other states.</w:t>
            </w:r>
          </w:p>
        </w:tc>
      </w:tr>
      <w:tr w:rsidR="00192C26" w14:paraId="772E32E4"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27C379AA" w14:textId="77777777" w:rsidR="00017C04" w:rsidRDefault="00F50AF9">
            <w:pPr>
              <w:spacing w:before="0" w:after="0"/>
            </w:pPr>
            <w:r>
              <w:t>5</w:t>
            </w:r>
          </w:p>
        </w:tc>
        <w:tc>
          <w:tcPr>
            <w:tcW w:w="8391" w:type="dxa"/>
            <w:tcBorders>
              <w:top w:val="nil"/>
              <w:left w:val="single" w:sz="4" w:space="0" w:color="000000"/>
              <w:bottom w:val="nil"/>
              <w:right w:val="single" w:sz="4" w:space="0" w:color="000000"/>
            </w:tcBorders>
            <w:shd w:val="clear" w:color="auto" w:fill="E7E6E6"/>
          </w:tcPr>
          <w:p w14:paraId="111F41DB" w14:textId="77777777" w:rsidR="00017C04" w:rsidRDefault="00F50AF9">
            <w:pPr>
              <w:spacing w:before="0" w:after="0"/>
              <w:rPr>
                <w:b/>
              </w:rPr>
            </w:pPr>
            <w:r>
              <w:rPr>
                <w:b/>
              </w:rPr>
              <w:t xml:space="preserve">Research and monitoring: </w:t>
            </w:r>
            <w:r>
              <w:t>Research on an invasive alien species should focus on the history and ecology of invasions, the biological characteristics of the invasive alien species, and the associated impacts. Monitoring should involve multiple sectors and include both targeted and general surveys.</w:t>
            </w:r>
          </w:p>
        </w:tc>
      </w:tr>
      <w:tr w:rsidR="00192C26" w14:paraId="142B4B46"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426347D8" w14:textId="77777777" w:rsidR="00017C04" w:rsidRDefault="00F50AF9">
            <w:pPr>
              <w:spacing w:before="0" w:after="0"/>
            </w:pPr>
            <w:r>
              <w:t>6</w:t>
            </w:r>
          </w:p>
        </w:tc>
        <w:tc>
          <w:tcPr>
            <w:tcW w:w="8391" w:type="dxa"/>
            <w:tcBorders>
              <w:top w:val="nil"/>
              <w:left w:val="single" w:sz="4" w:space="0" w:color="000000"/>
              <w:bottom w:val="nil"/>
              <w:right w:val="single" w:sz="4" w:space="0" w:color="000000"/>
            </w:tcBorders>
            <w:shd w:val="clear" w:color="auto" w:fill="E7E6E6"/>
          </w:tcPr>
          <w:p w14:paraId="75C7FC69" w14:textId="77777777" w:rsidR="00017C04" w:rsidRDefault="00F50AF9">
            <w:pPr>
              <w:spacing w:before="0" w:after="0"/>
            </w:pPr>
            <w:r>
              <w:rPr>
                <w:b/>
              </w:rPr>
              <w:t xml:space="preserve">Education and public awareness: </w:t>
            </w:r>
            <w:r>
              <w:t>Promote education and public awareness of the causes of invasion and the risks associated with the introduction of alien species.</w:t>
            </w:r>
          </w:p>
        </w:tc>
      </w:tr>
      <w:tr w:rsidR="00017C04" w14:paraId="2460F13B" w14:textId="77777777" w:rsidTr="008521D1">
        <w:tc>
          <w:tcPr>
            <w:tcW w:w="9020" w:type="dxa"/>
            <w:gridSpan w:val="2"/>
            <w:tcBorders>
              <w:top w:val="single" w:sz="4" w:space="0" w:color="000000"/>
              <w:left w:val="single" w:sz="4" w:space="0" w:color="000000"/>
              <w:bottom w:val="single" w:sz="4" w:space="0" w:color="000000"/>
              <w:right w:val="single" w:sz="4" w:space="0" w:color="000000"/>
            </w:tcBorders>
            <w:shd w:val="clear" w:color="auto" w:fill="E7E6E6"/>
          </w:tcPr>
          <w:p w14:paraId="5BF36B1C" w14:textId="77777777" w:rsidR="00017C04" w:rsidRDefault="00F50AF9">
            <w:pPr>
              <w:spacing w:before="0" w:after="0"/>
            </w:pPr>
            <w:r>
              <w:t>B. PREVENTION</w:t>
            </w:r>
          </w:p>
        </w:tc>
      </w:tr>
      <w:tr w:rsidR="00192C26" w14:paraId="2CE32B7D"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36133907" w14:textId="77777777" w:rsidR="00017C04" w:rsidRDefault="00F50AF9">
            <w:pPr>
              <w:spacing w:before="0" w:after="0"/>
            </w:pPr>
            <w:r>
              <w:t>7</w:t>
            </w:r>
          </w:p>
        </w:tc>
        <w:tc>
          <w:tcPr>
            <w:tcW w:w="8391" w:type="dxa"/>
            <w:tcBorders>
              <w:top w:val="nil"/>
              <w:left w:val="single" w:sz="4" w:space="0" w:color="000000"/>
              <w:bottom w:val="nil"/>
              <w:right w:val="single" w:sz="4" w:space="0" w:color="000000"/>
            </w:tcBorders>
            <w:shd w:val="clear" w:color="auto" w:fill="E7E6E6"/>
          </w:tcPr>
          <w:p w14:paraId="1A7F9E28" w14:textId="77777777" w:rsidR="00017C04" w:rsidRDefault="00F50AF9">
            <w:pPr>
              <w:spacing w:before="0" w:after="0"/>
              <w:rPr>
                <w:b/>
              </w:rPr>
            </w:pPr>
            <w:r>
              <w:rPr>
                <w:b/>
              </w:rPr>
              <w:t xml:space="preserve">Border control and quarantine measures: </w:t>
            </w:r>
            <w:r>
              <w:t>Putting in place appropriate measures to control introductions of invasive alien species based on risk analysis of threats and potential pathways of entry.</w:t>
            </w:r>
          </w:p>
        </w:tc>
      </w:tr>
      <w:tr w:rsidR="00192C26" w14:paraId="5C85B85B"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220834C7" w14:textId="77777777" w:rsidR="00017C04" w:rsidRDefault="00F50AF9">
            <w:pPr>
              <w:spacing w:before="0" w:after="0"/>
            </w:pPr>
            <w:r>
              <w:t>8</w:t>
            </w:r>
          </w:p>
        </w:tc>
        <w:tc>
          <w:tcPr>
            <w:tcW w:w="8391" w:type="dxa"/>
            <w:tcBorders>
              <w:top w:val="nil"/>
              <w:left w:val="single" w:sz="4" w:space="0" w:color="000000"/>
              <w:bottom w:val="nil"/>
              <w:right w:val="single" w:sz="4" w:space="0" w:color="000000"/>
            </w:tcBorders>
            <w:shd w:val="clear" w:color="auto" w:fill="E7E6E6"/>
          </w:tcPr>
          <w:p w14:paraId="2FDD6C05" w14:textId="77777777" w:rsidR="00017C04" w:rsidRDefault="00F50AF9">
            <w:pPr>
              <w:spacing w:before="0" w:after="0"/>
            </w:pPr>
            <w:r>
              <w:rPr>
                <w:b/>
              </w:rPr>
              <w:t>Exchange of information</w:t>
            </w:r>
            <w:r>
              <w:t>: CBD Parties should assist in developing an inventory and synthesis of relevant databases, and developing information systems and an interoperable distributed network of databases for compilation and dissemination of information on alien species. The Parties should provide all relevant information on their specific import requirements for alien species and make this information available to other States.</w:t>
            </w:r>
          </w:p>
        </w:tc>
      </w:tr>
      <w:tr w:rsidR="00192C26" w14:paraId="239F289A"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10FE7246" w14:textId="77777777" w:rsidR="00017C04" w:rsidRDefault="00F50AF9">
            <w:pPr>
              <w:spacing w:before="0" w:after="0"/>
            </w:pPr>
            <w:r>
              <w:t>9</w:t>
            </w:r>
          </w:p>
        </w:tc>
        <w:tc>
          <w:tcPr>
            <w:tcW w:w="8391" w:type="dxa"/>
            <w:tcBorders>
              <w:top w:val="nil"/>
              <w:left w:val="single" w:sz="4" w:space="0" w:color="000000"/>
              <w:bottom w:val="nil"/>
              <w:right w:val="single" w:sz="4" w:space="0" w:color="000000"/>
            </w:tcBorders>
            <w:shd w:val="clear" w:color="auto" w:fill="E7E6E6"/>
          </w:tcPr>
          <w:p w14:paraId="0C729A89" w14:textId="77777777" w:rsidR="00017C04" w:rsidRDefault="00F50AF9">
            <w:pPr>
              <w:spacing w:before="0" w:after="0"/>
            </w:pPr>
            <w:r>
              <w:rPr>
                <w:b/>
              </w:rPr>
              <w:t>Cooperation, including capacity-building:</w:t>
            </w:r>
            <w:r>
              <w:t xml:space="preserve"> Cooperation should be based on programmes developed to share information as well as cooperative research and funding efforts. Capacity-building may involve technology transfer and the development of training programmes, especially for countries that lack expertise and resources.</w:t>
            </w:r>
          </w:p>
        </w:tc>
      </w:tr>
      <w:tr w:rsidR="00017C04" w14:paraId="1A29F11F" w14:textId="77777777" w:rsidTr="008521D1">
        <w:tc>
          <w:tcPr>
            <w:tcW w:w="9020" w:type="dxa"/>
            <w:gridSpan w:val="2"/>
            <w:tcBorders>
              <w:top w:val="single" w:sz="4" w:space="0" w:color="000000"/>
              <w:left w:val="single" w:sz="4" w:space="0" w:color="000000"/>
              <w:bottom w:val="single" w:sz="4" w:space="0" w:color="000000"/>
              <w:right w:val="single" w:sz="4" w:space="0" w:color="000000"/>
            </w:tcBorders>
            <w:shd w:val="clear" w:color="auto" w:fill="E7E6E6"/>
          </w:tcPr>
          <w:p w14:paraId="2BE56394" w14:textId="77777777" w:rsidR="00017C04" w:rsidRDefault="00F50AF9">
            <w:pPr>
              <w:spacing w:before="0" w:after="0"/>
            </w:pPr>
            <w:r>
              <w:t>C. INTRODUCTION OF SPECIES</w:t>
            </w:r>
          </w:p>
        </w:tc>
      </w:tr>
      <w:tr w:rsidR="00192C26" w14:paraId="7400E820"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5613E942" w14:textId="77777777" w:rsidR="00017C04" w:rsidRDefault="00F50AF9">
            <w:pPr>
              <w:spacing w:before="0" w:after="0"/>
            </w:pPr>
            <w:r>
              <w:t>10</w:t>
            </w:r>
          </w:p>
        </w:tc>
        <w:tc>
          <w:tcPr>
            <w:tcW w:w="8391" w:type="dxa"/>
            <w:tcBorders>
              <w:top w:val="nil"/>
              <w:left w:val="single" w:sz="4" w:space="0" w:color="000000"/>
              <w:bottom w:val="nil"/>
              <w:right w:val="single" w:sz="4" w:space="0" w:color="000000"/>
            </w:tcBorders>
            <w:shd w:val="clear" w:color="auto" w:fill="E7E6E6"/>
          </w:tcPr>
          <w:p w14:paraId="54E86F41" w14:textId="77777777" w:rsidR="00017C04" w:rsidRDefault="00F50AF9">
            <w:pPr>
              <w:spacing w:before="0" w:after="0"/>
            </w:pPr>
            <w:r>
              <w:rPr>
                <w:b/>
              </w:rPr>
              <w:t>Intentional introduction</w:t>
            </w:r>
            <w:r>
              <w:t>: No first-time intentional introduction or subsequent introductions of an alien species already invasive or potentially invasive within a country should take place without prior authorization from a competent authority of the recipient state(s).</w:t>
            </w:r>
          </w:p>
        </w:tc>
      </w:tr>
      <w:tr w:rsidR="00192C26" w14:paraId="18BD9974"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61D619D2" w14:textId="77777777" w:rsidR="00017C04" w:rsidRDefault="00F50AF9">
            <w:pPr>
              <w:spacing w:before="0" w:after="0"/>
            </w:pPr>
            <w:r>
              <w:t>11</w:t>
            </w:r>
          </w:p>
        </w:tc>
        <w:tc>
          <w:tcPr>
            <w:tcW w:w="8391" w:type="dxa"/>
            <w:tcBorders>
              <w:top w:val="nil"/>
              <w:left w:val="single" w:sz="4" w:space="0" w:color="000000"/>
              <w:bottom w:val="nil"/>
              <w:right w:val="single" w:sz="4" w:space="0" w:color="000000"/>
            </w:tcBorders>
            <w:shd w:val="clear" w:color="auto" w:fill="E7E6E6"/>
          </w:tcPr>
          <w:p w14:paraId="6DA9736A" w14:textId="77777777" w:rsidR="00017C04" w:rsidRDefault="00F50AF9">
            <w:pPr>
              <w:spacing w:before="0" w:after="0"/>
            </w:pPr>
            <w:r>
              <w:rPr>
                <w:b/>
              </w:rPr>
              <w:t>Unintentional introductions:</w:t>
            </w:r>
            <w:r>
              <w:t xml:space="preserve"> Provisions to address unintentional introductions need to be set in place.</w:t>
            </w:r>
          </w:p>
        </w:tc>
      </w:tr>
      <w:tr w:rsidR="00017C04" w14:paraId="7C2A283D" w14:textId="77777777" w:rsidTr="008521D1">
        <w:tc>
          <w:tcPr>
            <w:tcW w:w="9020" w:type="dxa"/>
            <w:gridSpan w:val="2"/>
            <w:tcBorders>
              <w:top w:val="single" w:sz="4" w:space="0" w:color="000000"/>
              <w:left w:val="single" w:sz="4" w:space="0" w:color="000000"/>
              <w:bottom w:val="single" w:sz="4" w:space="0" w:color="000000"/>
              <w:right w:val="single" w:sz="4" w:space="0" w:color="000000"/>
            </w:tcBorders>
            <w:shd w:val="clear" w:color="auto" w:fill="E7E6E6"/>
          </w:tcPr>
          <w:p w14:paraId="3CB4B901" w14:textId="77777777" w:rsidR="00017C04" w:rsidRDefault="00F50AF9">
            <w:pPr>
              <w:spacing w:before="0" w:after="0"/>
            </w:pPr>
            <w:r>
              <w:t>D. MITIGATION OF IMPACTS</w:t>
            </w:r>
          </w:p>
        </w:tc>
      </w:tr>
      <w:tr w:rsidR="00192C26" w14:paraId="4BDD927B" w14:textId="77777777">
        <w:tc>
          <w:tcPr>
            <w:tcW w:w="629" w:type="dxa"/>
            <w:tcBorders>
              <w:top w:val="single" w:sz="4" w:space="0" w:color="000000"/>
              <w:left w:val="single" w:sz="4" w:space="0" w:color="000000"/>
              <w:bottom w:val="single" w:sz="4" w:space="0" w:color="000000"/>
              <w:right w:val="single" w:sz="4" w:space="0" w:color="000000"/>
            </w:tcBorders>
            <w:shd w:val="clear" w:color="auto" w:fill="E7E6E6"/>
          </w:tcPr>
          <w:p w14:paraId="785693EF" w14:textId="77777777" w:rsidR="00017C04" w:rsidRDefault="00F50AF9">
            <w:pPr>
              <w:spacing w:before="0" w:after="0"/>
            </w:pPr>
            <w:r>
              <w:t>12-15</w:t>
            </w:r>
          </w:p>
        </w:tc>
        <w:tc>
          <w:tcPr>
            <w:tcW w:w="8391" w:type="dxa"/>
            <w:tcBorders>
              <w:top w:val="nil"/>
              <w:left w:val="single" w:sz="4" w:space="0" w:color="000000"/>
              <w:bottom w:val="single" w:sz="4" w:space="0" w:color="000000"/>
              <w:right w:val="single" w:sz="4" w:space="0" w:color="000000"/>
            </w:tcBorders>
            <w:shd w:val="clear" w:color="auto" w:fill="E7E6E6"/>
          </w:tcPr>
          <w:p w14:paraId="2C7627B2" w14:textId="77777777" w:rsidR="00017C04" w:rsidRDefault="00F50AF9">
            <w:pPr>
              <w:spacing w:before="0" w:after="0"/>
            </w:pPr>
            <w:r>
              <w:t>(full text not provided here) Including mitigation of impacts (no.12), eradication (no.13), containment (no.14) and control (no.15) (</w:t>
            </w:r>
            <w:r>
              <w:rPr>
                <w:b/>
              </w:rPr>
              <w:t>Chapter 5</w:t>
            </w:r>
            <w:r>
              <w:t>).</w:t>
            </w:r>
          </w:p>
        </w:tc>
      </w:tr>
    </w:tbl>
    <w:p w14:paraId="0E496914" w14:textId="7EEE0CBA" w:rsidR="00017C04" w:rsidRDefault="00F50AF9">
      <w:r>
        <w:t xml:space="preserve">Under the recent Kunming-Montreal Global Biodiversity Framework </w:t>
      </w:r>
      <w:r w:rsidR="006F02DD" w:rsidRPr="00BA5312">
        <w:fldChar w:fldCharType="begin"/>
      </w:r>
      <w:r w:rsidR="0006613E">
        <w:instrText xml:space="preserve"> ADDIN ZOTERO_ITEM CSL_CITATION {"citationID":"a19p0uci3aa","properties":{"formattedCitation":"(CBD, 2022a)","plainCitation":"(CBD, 2022a)","noteIndex":0},"citationItems":[{"id":54145,"uris":["http://zotero.org/groups/2352922/items/95AEP2XN"],"itemData":{"id":54145,"type":"paper-conference","collection-title":"CBD/COP/DEC/15/4","container-title":"Decision adopted by the conference of the parties to the convention on biological diversity","event-place":"Montreal, Canada","event-title":"Fifteenth meeting (Part II) of Conference of the parties to the Convention on Biological Diversity","language":"EN","publisher":"Convention on Biodiversity, United Nations Environment Programme","publisher-place":"Montreal, Canada","title":"15/4. Kunming-Montreal Global Biodiversity Framework","URL":"https://www.cbd.int/doc/decisions/cop-15/cop-15-dec-04-en.pdf","author":[{"literal":"CBD"}],"issued":{"date-parts":[["2022"]]}},"label":"page"}],"schema":"https://github.com/citation-style-language/schema/raw/master/csl-citation.json"} </w:instrText>
      </w:r>
      <w:r w:rsidR="006F02DD" w:rsidRPr="00BA5312">
        <w:fldChar w:fldCharType="separate"/>
      </w:r>
      <w:r w:rsidR="00EA1962" w:rsidRPr="00BA5312">
        <w:t>(CBD, 2022a)</w:t>
      </w:r>
      <w:r w:rsidR="006F02DD" w:rsidRPr="00BA5312">
        <w:fldChar w:fldCharType="end"/>
      </w:r>
      <w:r w:rsidR="000C3DFF" w:rsidRPr="00BA5312">
        <w:t>,</w:t>
      </w:r>
      <w:r>
        <w:t xml:space="preserve"> the invasive alien species target (Target 6) encompasses eliminating, reducing and mitigating impacts through pathway management (</w:t>
      </w:r>
      <w:r w:rsidR="00C14291">
        <w:rPr>
          <w:b/>
          <w:iCs/>
        </w:rPr>
        <w:t>G</w:t>
      </w:r>
      <w:r w:rsidR="00441648" w:rsidRPr="00673554">
        <w:rPr>
          <w:b/>
          <w:iCs/>
        </w:rPr>
        <w:t>lossary</w:t>
      </w:r>
      <w:r>
        <w:t>), prevention and with a focus on priority species and priority sites (</w:t>
      </w:r>
      <w:r>
        <w:rPr>
          <w:b/>
        </w:rPr>
        <w:t>Chapter 1</w:t>
      </w:r>
      <w:r>
        <w:t xml:space="preserve">, </w:t>
      </w:r>
      <w:r w:rsidR="1E02DC8D" w:rsidRPr="00673554">
        <w:rPr>
          <w:b/>
        </w:rPr>
        <w:t>Box</w:t>
      </w:r>
      <w:r>
        <w:rPr>
          <w:b/>
        </w:rPr>
        <w:t xml:space="preserve"> 1.1</w:t>
      </w:r>
      <w:r>
        <w:t xml:space="preserve">). With the addition of some new elements Target 6 reinforces the key elements of the previous Aichi Biodiversity Target 9, based on which current progress has been evaluated. Assessment of the progress towards meeting Aichi Biodiversity Target 9 (invasive alien species prevented and controlled) concluded that, while increases in the adoption of related policy was encouraging, there was still a considerable gap between the development and adoption of invasive alien species policy, and implementation at national levels </w:t>
      </w:r>
      <w:r w:rsidR="007E0B77" w:rsidRPr="00BA5312">
        <w:fldChar w:fldCharType="begin"/>
      </w:r>
      <w:r w:rsidR="0006613E">
        <w:instrText xml:space="preserve"> ADDIN ZOTERO_ITEM CSL_CITATION {"citationID":"a5n4h2naea","properties":{"formattedCitation":"\\uldash{(Secretariat of the CBD, 2020)}","plainCitation":"(Secretariat of the CBD, 2020)","dontUpdate":true,"noteIndex":0},"citationItems":[{"id":31283,"uris":["http://zotero.org/groups/2352922/items/L3F5ARQK","http://zotero.org/groups/2352922/items/P7BZ6TYF"],"itemData":{"id":31283,"type":"report","event-place":"Montreal, Canada","note":"ISBN-9789292256883","page":"211","publisher":"Secretariat of the Convention on Biological Diversity","publisher-place":"Montreal, Canada","title":"Global Biodiversity Outlook 5","URL":"https://www.cbd.int/gbo/gbo5/publication/gbo-5-en.pdf","author":[{"literal":"Secretariat of the CBD"}],"issued":{"date-parts":[["2020"]]}},"label":"page"}],"schema":"https://github.com/citation-style-language/schema/raw/master/csl-citation.json"} </w:instrText>
      </w:r>
      <w:r w:rsidR="007E0B77" w:rsidRPr="00BA5312">
        <w:fldChar w:fldCharType="separate"/>
      </w:r>
      <w:r w:rsidR="0055117E" w:rsidRPr="00BA5312">
        <w:t>(Secretariat of the CBD, 2020</w:t>
      </w:r>
      <w:r w:rsidR="007E0B77" w:rsidRPr="00BA5312">
        <w:fldChar w:fldCharType="end"/>
      </w:r>
      <w:r w:rsidR="0089231D" w:rsidRPr="00BA5312">
        <w:t>;</w:t>
      </w:r>
      <w:r w:rsidR="00722BA0">
        <w:t xml:space="preserve"> </w:t>
      </w:r>
      <w:r w:rsidR="00722BA0" w:rsidRPr="00722BA0">
        <w:rPr>
          <w:b/>
          <w:bCs/>
        </w:rPr>
        <w:t>Table 6.4</w:t>
      </w:r>
      <w:r w:rsidR="7256C8D8" w:rsidRPr="00A9434B">
        <w:t>).</w:t>
      </w:r>
      <w:r>
        <w:t xml:space="preserve"> </w:t>
      </w:r>
    </w:p>
    <w:p w14:paraId="3150E96D" w14:textId="66E93A68" w:rsidR="00017C04" w:rsidRDefault="00F50AF9">
      <w:pPr>
        <w:rPr>
          <w:i/>
        </w:rPr>
      </w:pPr>
      <w:r>
        <w:t xml:space="preserve">The </w:t>
      </w:r>
      <w:r w:rsidR="00F80082">
        <w:t>f</w:t>
      </w:r>
      <w:r>
        <w:t xml:space="preserve">ifth </w:t>
      </w:r>
      <w:r w:rsidR="00F80082">
        <w:t xml:space="preserve">edition of the </w:t>
      </w:r>
      <w:r>
        <w:t>Global Biodiversity Outlook also indicated that there has been no reduction in the pressure from invasive alien species on biodiversity, ecosystems</w:t>
      </w:r>
      <w:r w:rsidR="00896CEC">
        <w:t xml:space="preserve"> and</w:t>
      </w:r>
      <w:r>
        <w:t xml:space="preserve"> society </w:t>
      </w:r>
      <w:r w:rsidR="007E0B77" w:rsidRPr="00BA5312">
        <w:fldChar w:fldCharType="begin"/>
      </w:r>
      <w:r w:rsidR="0006613E">
        <w:instrText xml:space="preserve"> ADDIN ZOTERO_ITEM CSL_CITATION {"citationID":"7lopqxLT","properties":{"formattedCitation":"(Secretariat of the CBD, 2020)","plainCitation":"(Secretariat of the CBD, 2020)","noteIndex":0},"citationItems":[{"id":31283,"uris":["http://zotero.org/groups/2352922/items/L3F5ARQK","http://zotero.org/groups/2352922/items/P7BZ6TYF"],"itemData":{"id":31283,"type":"report","event-place":"Montreal, Canada","note":"ISBN-9789292256883","page":"211","publisher":"Secretariat of the Convention on Biological Diversity","publisher-place":"Montreal, Canada","title":"Global Biodiversity Outlook 5","URL":"https://www.cbd.int/gbo/gbo5/publication/gbo-5-en.pdf","author":[{"literal":"Secretariat of the CBD"}],"issued":{"date-parts":[["2020"]]}},"label":"page"}],"schema":"https://github.com/citation-style-language/schema/raw/master/csl-citation.json"} </w:instrText>
      </w:r>
      <w:r w:rsidR="007E0B77" w:rsidRPr="00BA5312">
        <w:fldChar w:fldCharType="separate"/>
      </w:r>
      <w:r w:rsidR="00C71E80" w:rsidRPr="00BA5312">
        <w:t>(Secretariat of the CBD, 2020)</w:t>
      </w:r>
      <w:r w:rsidR="007E0B77" w:rsidRPr="00BA5312">
        <w:fldChar w:fldCharType="end"/>
      </w:r>
      <w:r w:rsidR="7256C8D8" w:rsidRPr="00BA5312">
        <w:t>.</w:t>
      </w:r>
      <w:r>
        <w:t xml:space="preserve"> Factors identified as underlying the imperfect achievement of Aichi Biodiversity Target 9 included: inadequate policy implementation due to limited capacity and resourcing of </w:t>
      </w:r>
      <w:r>
        <w:lastRenderedPageBreak/>
        <w:t xml:space="preserve">relevant governmental agencies; lack of coherence across multiple, relevant policies; and the fact that policy adoption does not equate directly to management effectiveness. This Global Biodiversity Outlook report further pointed out the lack of research and data on biological invasion policy effectiveness at a global scale </w:t>
      </w:r>
      <w:r w:rsidR="007E0B77" w:rsidRPr="00BA5312">
        <w:fldChar w:fldCharType="begin"/>
      </w:r>
      <w:r w:rsidR="0006613E">
        <w:instrText xml:space="preserve"> ADDIN ZOTERO_ITEM CSL_CITATION {"citationID":"fqxU67R9","properties":{"formattedCitation":"(Secretariat of the CBD, 2020)","plainCitation":"(Secretariat of the CBD, 2020)","noteIndex":0},"citationItems":[{"id":31283,"uris":["http://zotero.org/groups/2352922/items/L3F5ARQK","http://zotero.org/groups/2352922/items/P7BZ6TYF"],"itemData":{"id":31283,"type":"report","event-place":"Montreal, Canada","note":"ISBN-9789292256883","page":"211","publisher":"Secretariat of the Convention on Biological Diversity","publisher-place":"Montreal, Canada","title":"Global Biodiversity Outlook 5","URL":"https://www.cbd.int/gbo/gbo5/publication/gbo-5-en.pdf","author":[{"literal":"Secretariat of the CBD"}],"issued":{"date-parts":[["2020"]]}},"label":"page"}],"schema":"https://github.com/citation-style-language/schema/raw/master/csl-citation.json"} </w:instrText>
      </w:r>
      <w:r w:rsidR="007E0B77" w:rsidRPr="00BA5312">
        <w:fldChar w:fldCharType="separate"/>
      </w:r>
      <w:r w:rsidR="00C71E80" w:rsidRPr="00BA5312">
        <w:t>(Secretariat of the CBD, 2020)</w:t>
      </w:r>
      <w:r w:rsidR="007E0B77" w:rsidRPr="00BA5312">
        <w:fldChar w:fldCharType="end"/>
      </w:r>
      <w:r w:rsidR="7256C8D8" w:rsidRPr="00BA5312">
        <w:t>.</w:t>
      </w:r>
      <w:r>
        <w:t xml:space="preserve"> Subsequent studies have also identified poor governance as a factor limiting national-level progress to achieving other Aichi Biodiversity Targets </w:t>
      </w:r>
      <w:r w:rsidR="007E0B77" w:rsidRPr="00BA5312">
        <w:fldChar w:fldCharType="begin"/>
      </w:r>
      <w:r w:rsidR="0006613E">
        <w:instrText xml:space="preserve"> ADDIN ZOTERO_ITEM CSL_CITATION {"citationID":"au40blmm4u","properties":{"formattedCitation":"(Buchanan et al., 2020)","plainCitation":"(Buchanan et al., 2020)","noteIndex":0},"citationItems":[{"id":52664,"uris":["http://zotero.org/groups/2352922/items/9ZDNMGMT"],"itemData":{"id":52664,"type":"article-journal","container-title":"Ecological Indicators","DOI":"10.1016/j.ecolind.2020.106497","note":"ISBN: 1470-160X\npublisher: Elsevier","page":"106497","title":"Assessment of national-level progress towards elements of the Aichi Biodiversity Targets","volume":"116","author":[{"family":"Buchanan","given":"Graeme M."},{"family":"Butchart","given":"Stuart HM"},{"family":"Chandler","given":"Georgina"},{"family":"Gregory","given":"Richard D."}],"issued":{"date-parts":[["2020"]]}}}],"schema":"https://github.com/citation-style-language/schema/raw/master/csl-citation.json"} </w:instrText>
      </w:r>
      <w:r w:rsidR="007E0B77" w:rsidRPr="00BA5312">
        <w:fldChar w:fldCharType="separate"/>
      </w:r>
      <w:r w:rsidR="00C71E80" w:rsidRPr="00BA5312">
        <w:t>(Buchanan et al., 2020)</w:t>
      </w:r>
      <w:r w:rsidR="007E0B77" w:rsidRPr="00BA5312">
        <w:fldChar w:fldCharType="end"/>
      </w:r>
      <w:r w:rsidR="7256C8D8" w:rsidRPr="00BA5312">
        <w:t>.</w:t>
      </w:r>
    </w:p>
    <w:p w14:paraId="0817C72E" w14:textId="1C7295A1" w:rsidR="00017C04" w:rsidRDefault="00F50AF9">
      <w:r>
        <w:t xml:space="preserve">The Sustainable Development Goals (SDGs) also include a target for invasive alien species (Target 15.8; </w:t>
      </w:r>
      <w:r>
        <w:rPr>
          <w:b/>
        </w:rPr>
        <w:t>Chapter 1</w:t>
      </w:r>
      <w:r>
        <w:t>,</w:t>
      </w:r>
      <w:r>
        <w:rPr>
          <w:b/>
        </w:rPr>
        <w:t xml:space="preserve"> </w:t>
      </w:r>
      <w:r w:rsidR="7256C8D8" w:rsidRPr="00673554">
        <w:rPr>
          <w:b/>
          <w:iCs/>
        </w:rPr>
        <w:t>Box</w:t>
      </w:r>
      <w:r>
        <w:rPr>
          <w:b/>
        </w:rPr>
        <w:t xml:space="preserve"> 1.1</w:t>
      </w:r>
      <w:r>
        <w:t>) closely related to Aichi Target 9 of the Strategic Plan for Biodiversity 2011-2020. This target aims to track progress in the commitment by countries to relevant multilateral agreements, and the proportion of countries with national strategies, legislation</w:t>
      </w:r>
      <w:r w:rsidR="00896CEC">
        <w:t xml:space="preserve"> and</w:t>
      </w:r>
      <w:r>
        <w:t xml:space="preserve"> policy for invasive alien species. However, the indicators that were selected to track progress of Target 15.8 of the 2030 Agenda for Sustainable Development also included for the first time an “input response” element (i.e., the extent to which the measures identified are resourced; </w:t>
      </w:r>
      <w:r>
        <w:rPr>
          <w:b/>
        </w:rPr>
        <w:t>section 6.2.1</w:t>
      </w:r>
      <w:r>
        <w:t xml:space="preserve">). </w:t>
      </w:r>
    </w:p>
    <w:p w14:paraId="1340D541" w14:textId="5817AB40" w:rsidR="00017C04" w:rsidRDefault="00F50AF9">
      <w:bookmarkStart w:id="44" w:name="_heading=h.17dp8vu" w:colFirst="0" w:colLast="0"/>
      <w:bookmarkEnd w:id="44"/>
      <w:r>
        <w:t>By comparison, multilateral instruments</w:t>
      </w:r>
      <w:r w:rsidR="00F80082">
        <w:t xml:space="preserve"> or organizations</w:t>
      </w:r>
      <w:r>
        <w:t xml:space="preserve"> such as the IPPC and WOAH have been widely successful in developing and implementing instruments to mitigate the risks of invasive alien species considered to be pests or to affect animal health. There are over 40 adopted </w:t>
      </w:r>
      <w:r w:rsidR="00F80082">
        <w:t>i</w:t>
      </w:r>
      <w:r>
        <w:t xml:space="preserve">nternational </w:t>
      </w:r>
      <w:r w:rsidR="00F80082">
        <w:t>s</w:t>
      </w:r>
      <w:r>
        <w:t xml:space="preserve">tandards for </w:t>
      </w:r>
      <w:r w:rsidR="00F80082">
        <w:t>p</w:t>
      </w:r>
      <w:r>
        <w:t xml:space="preserve">hytosanitary </w:t>
      </w:r>
      <w:r w:rsidR="00F80082">
        <w:t>m</w:t>
      </w:r>
      <w:r>
        <w:t>easures (ISPMs, developed by IPPC),</w:t>
      </w:r>
      <w:r w:rsidRPr="008521D1">
        <w:rPr>
          <w:vertAlign w:val="superscript"/>
        </w:rPr>
        <w:footnoteReference w:id="3"/>
      </w:r>
      <w:r>
        <w:t xml:space="preserve"> 31 Diagnostic Protocols, and 39 Phytosanitary Treatments aimed to protect the environment, forests</w:t>
      </w:r>
      <w:r w:rsidR="00896CEC">
        <w:t xml:space="preserve"> and</w:t>
      </w:r>
      <w:r>
        <w:t xml:space="preserve"> biodiversity while also facilitating economic and trade development. The standards and codes developed by the IPPC and WOAH have provided a foundation for multilateral collaboration in managing the risks posed by invasive alien species. </w:t>
      </w:r>
      <w:bookmarkStart w:id="45" w:name="_Ref104892576"/>
    </w:p>
    <w:p w14:paraId="3941D22A" w14:textId="741549BE" w:rsidR="00017C04" w:rsidRPr="008521D1" w:rsidRDefault="00F50AF9" w:rsidP="008521D1">
      <w:pPr>
        <w:pStyle w:val="Caption"/>
        <w:rPr>
          <w:color w:val="000000"/>
        </w:rPr>
      </w:pPr>
      <w:bookmarkStart w:id="46" w:name="_heading=h.3rdcrjn" w:colFirst="0" w:colLast="0"/>
      <w:bookmarkStart w:id="47" w:name="_Toc147418537"/>
      <w:bookmarkStart w:id="48" w:name="_Hlk129688208"/>
      <w:bookmarkEnd w:id="46"/>
      <w:r w:rsidRPr="008521D1">
        <w:rPr>
          <w:bCs w:val="0"/>
        </w:rPr>
        <w:t>Table 6</w:t>
      </w:r>
      <w:r w:rsidR="00EA2FCC" w:rsidRPr="008521D1">
        <w:rPr>
          <w:bCs w:val="0"/>
        </w:rPr>
        <w:t>.</w:t>
      </w:r>
      <w:r w:rsidR="00EA2FCC" w:rsidRPr="008521D1">
        <w:rPr>
          <w:bCs w:val="0"/>
        </w:rPr>
        <w:fldChar w:fldCharType="begin"/>
      </w:r>
      <w:r w:rsidR="00EA2FCC" w:rsidRPr="008521D1">
        <w:rPr>
          <w:bCs w:val="0"/>
        </w:rPr>
        <w:instrText xml:space="preserve"> SEQ Table_6. \* ARABIC </w:instrText>
      </w:r>
      <w:r w:rsidR="00EA2FCC" w:rsidRPr="008521D1">
        <w:rPr>
          <w:bCs w:val="0"/>
        </w:rPr>
        <w:fldChar w:fldCharType="separate"/>
      </w:r>
      <w:r w:rsidR="0011368C" w:rsidRPr="008521D1">
        <w:rPr>
          <w:bCs w:val="0"/>
          <w:noProof/>
        </w:rPr>
        <w:t>4</w:t>
      </w:r>
      <w:r w:rsidR="00EA2FCC" w:rsidRPr="008521D1">
        <w:rPr>
          <w:bCs w:val="0"/>
        </w:rPr>
        <w:fldChar w:fldCharType="end"/>
      </w:r>
      <w:bookmarkEnd w:id="45"/>
      <w:r w:rsidR="00585D0E" w:rsidRPr="008521D1">
        <w:rPr>
          <w:bCs w:val="0"/>
        </w:rPr>
        <w:t>.</w:t>
      </w:r>
      <w:r w:rsidRPr="008521D1">
        <w:rPr>
          <w:color w:val="000000"/>
        </w:rPr>
        <w:t xml:space="preserve"> </w:t>
      </w:r>
      <w:r w:rsidRPr="008521D1">
        <w:rPr>
          <w:b w:val="0"/>
          <w:bCs w:val="0"/>
          <w:color w:val="000000"/>
        </w:rPr>
        <w:t>Progress against invasive alien species policy goals and targets</w:t>
      </w:r>
      <w:bookmarkEnd w:id="47"/>
    </w:p>
    <w:tbl>
      <w:tblPr>
        <w:tblW w:w="9209"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1177"/>
        <w:gridCol w:w="2005"/>
        <w:gridCol w:w="2213"/>
        <w:gridCol w:w="3814"/>
      </w:tblGrid>
      <w:tr w:rsidR="00017C04" w14:paraId="366D74F2" w14:textId="77777777" w:rsidTr="008521D1">
        <w:trPr>
          <w:tblHeader/>
        </w:trPr>
        <w:tc>
          <w:tcPr>
            <w:tcW w:w="1177" w:type="dxa"/>
          </w:tcPr>
          <w:bookmarkEnd w:id="48"/>
          <w:p w14:paraId="2D286DE6" w14:textId="77777777" w:rsidR="00017C04" w:rsidRPr="00192C26" w:rsidRDefault="00F50AF9">
            <w:r>
              <w:t>Indicator category</w:t>
            </w:r>
          </w:p>
          <w:p w14:paraId="030CE5D4" w14:textId="77777777" w:rsidR="00017C04" w:rsidRDefault="00017C04"/>
        </w:tc>
        <w:tc>
          <w:tcPr>
            <w:tcW w:w="2005" w:type="dxa"/>
          </w:tcPr>
          <w:p w14:paraId="20D99E41" w14:textId="77777777" w:rsidR="00017C04" w:rsidRPr="00192C26" w:rsidRDefault="00F50AF9">
            <w:r>
              <w:t>Indicator</w:t>
            </w:r>
            <w:r w:rsidRPr="008521D1">
              <w:rPr>
                <w:vertAlign w:val="superscript"/>
              </w:rPr>
              <w:footnoteReference w:id="4"/>
            </w:r>
          </w:p>
        </w:tc>
        <w:tc>
          <w:tcPr>
            <w:tcW w:w="2213" w:type="dxa"/>
          </w:tcPr>
          <w:p w14:paraId="5798EBD8" w14:textId="77777777" w:rsidR="00017C04" w:rsidRPr="00192C26" w:rsidRDefault="00F50AF9">
            <w:r>
              <w:t>Elements of Aichi Biodiversity Target (AT) 9 and SDG Target 15.8</w:t>
            </w:r>
          </w:p>
        </w:tc>
        <w:tc>
          <w:tcPr>
            <w:tcW w:w="3814" w:type="dxa"/>
          </w:tcPr>
          <w:p w14:paraId="209CB236" w14:textId="77777777" w:rsidR="00017C04" w:rsidRPr="00192C26" w:rsidRDefault="00F50AF9">
            <w:r>
              <w:t>Global progress against Target or Goal</w:t>
            </w:r>
          </w:p>
        </w:tc>
      </w:tr>
      <w:tr w:rsidR="00017C04" w14:paraId="40327669" w14:textId="77777777" w:rsidTr="008521D1">
        <w:tc>
          <w:tcPr>
            <w:tcW w:w="1177" w:type="dxa"/>
            <w:vMerge w:val="restart"/>
            <w:shd w:val="clear" w:color="auto" w:fill="auto"/>
          </w:tcPr>
          <w:p w14:paraId="202C2BA7" w14:textId="77777777" w:rsidR="00017C04" w:rsidRPr="00192C26" w:rsidRDefault="00F50AF9">
            <w:pPr>
              <w:spacing w:before="0" w:after="0"/>
            </w:pPr>
            <w:r>
              <w:t>Driver</w:t>
            </w:r>
          </w:p>
        </w:tc>
        <w:tc>
          <w:tcPr>
            <w:tcW w:w="2005" w:type="dxa"/>
            <w:vMerge w:val="restart"/>
            <w:shd w:val="clear" w:color="auto" w:fill="auto"/>
            <w:vAlign w:val="center"/>
          </w:tcPr>
          <w:p w14:paraId="599360EF" w14:textId="0AD89C72" w:rsidR="00017C04" w:rsidRDefault="00F50AF9">
            <w:pPr>
              <w:spacing w:before="0" w:after="0"/>
            </w:pPr>
            <w:r>
              <w:t>Trends (</w:t>
            </w:r>
            <w:r w:rsidR="00D32F9A">
              <w:rPr>
                <w:b/>
                <w:iCs/>
              </w:rPr>
              <w:t>G</w:t>
            </w:r>
            <w:r w:rsidR="008322B6" w:rsidRPr="00673554">
              <w:rPr>
                <w:b/>
                <w:iCs/>
              </w:rPr>
              <w:t>lossary</w:t>
            </w:r>
            <w:r>
              <w:t xml:space="preserve">) in pathways of introduction and spread </w:t>
            </w:r>
          </w:p>
        </w:tc>
        <w:tc>
          <w:tcPr>
            <w:tcW w:w="2213" w:type="dxa"/>
            <w:shd w:val="clear" w:color="auto" w:fill="auto"/>
            <w:vAlign w:val="center"/>
          </w:tcPr>
          <w:p w14:paraId="05FAA4AB" w14:textId="77777777" w:rsidR="00017C04" w:rsidRDefault="00F50AF9">
            <w:pPr>
              <w:spacing w:before="0" w:after="0"/>
            </w:pPr>
            <w:r>
              <w:t>Measures are in place to manage pathways to prevent introduction and establishment (AT); Introduce measures to prevent the introduction of invasive alien species (SDG)</w:t>
            </w:r>
          </w:p>
        </w:tc>
        <w:tc>
          <w:tcPr>
            <w:tcW w:w="3814" w:type="dxa"/>
            <w:shd w:val="clear" w:color="auto" w:fill="auto"/>
            <w:vAlign w:val="center"/>
          </w:tcPr>
          <w:p w14:paraId="7B8BE08D" w14:textId="1DB2756B" w:rsidR="00017C04" w:rsidRDefault="002660AB">
            <w:pPr>
              <w:spacing w:before="0" w:after="0"/>
            </w:pPr>
            <w:r w:rsidRPr="00A9434B">
              <w:t>Progress has been made, but at an insufficient rate. This target has not been achieved (high confidence</w:t>
            </w:r>
            <w:r w:rsidR="00D81475" w:rsidRPr="00A9434B">
              <w:t>;</w:t>
            </w:r>
            <w:r w:rsidRPr="00A9434B">
              <w:t xml:space="preserve"> </w:t>
            </w:r>
            <w:r w:rsidR="00982710" w:rsidRPr="00A9434B">
              <w:fldChar w:fldCharType="begin"/>
            </w:r>
            <w:r w:rsidR="0006613E">
              <w:instrText xml:space="preserve"> ADDIN ZOTERO_ITEM CSL_CITATION {"citationID":"ac8qkb4691","properties":{"formattedCitation":"(Secretariat of the CBD, 2014, 2020)","plainCitation":"(Secretariat of the CBD, 2014, 2020)","noteIndex":0},"citationItems":[{"id":31282,"uris":["http://zotero.org/groups/2352922/items/SBR86XJZ"],"itemData":{"id":31282,"type":"report","event-place":"Montréal, Canada","note":"page: 155\nISBN: 92-9225-540-1","page":"155","publisher":"Secretariat of the Convention on Biological Diversity","publisher-place":"Montréal, Canada","title":"Global Biodiversity Outlook 4","URL":"https://www.cbd.int/gbo/gbo4/publication/gbo4-en-hr.pdf","author":[{"literal":"Secretariat of the CBD"}],"issued":{"date-parts":[["2014"]]}},"label":"page"},{"id":31283,"uris":["http://zotero.org/groups/2352922/items/L3F5ARQK","http://zotero.org/groups/2352922/items/P7BZ6TYF"],"itemData":{"id":31283,"type":"report","event-place":"Montreal, Canada","note":"ISBN-9789292256883","page":"211","publisher":"Secretariat of the Convention on Biological Diversity","publisher-place":"Montreal, Canada","title":"Global Biodiversity Outlook 5","URL":"https://www.cbd.int/gbo/gbo5/publication/gbo-5-en.pdf","author":[{"literal":"Secretariat of the CBD"}],"issued":{"date-parts":[["2020"]]}},"label":"page"}],"schema":"https://github.com/citation-style-language/schema/raw/master/csl-citation.json"} </w:instrText>
            </w:r>
            <w:r w:rsidR="00982710" w:rsidRPr="00A9434B">
              <w:fldChar w:fldCharType="separate"/>
            </w:r>
            <w:r w:rsidR="00C71E80" w:rsidRPr="00A9434B">
              <w:t>(Secretariat of the CBD, 2014, 2020)</w:t>
            </w:r>
            <w:r w:rsidR="00982710" w:rsidRPr="00A9434B">
              <w:fldChar w:fldCharType="end"/>
            </w:r>
            <w:r w:rsidRPr="00A9434B">
              <w:t xml:space="preserve">. Major pathways are not efficiently controlled at a global scale </w:t>
            </w:r>
            <w:r w:rsidR="00982710" w:rsidRPr="00A9434B">
              <w:fldChar w:fldCharType="begin"/>
            </w:r>
            <w:r w:rsidR="0006613E">
              <w:instrText xml:space="preserve"> ADDIN ZOTERO_ITEM CSL_CITATION {"citationID":"a1ofdef50ij","properties":{"formattedCitation":"(Secretariat of the CBD, 2014)","plainCitation":"(Secretariat of the CBD, 2014)","noteIndex":0},"citationItems":[{"id":31282,"uris":["http://zotero.org/groups/2352922/items/SBR86XJZ"],"itemData":{"id":31282,"type":"report","event-place":"Montréal, Canada","note":"page: 155\nISBN: 92-9225-540-1","page":"155","publisher":"Secretariat of the Convention on Biological Diversity","publisher-place":"Montréal, Canada","title":"Global Biodiversity Outlook 4","URL":"https://www.cbd.int/gbo/gbo4/publication/gbo4-en-hr.pdf","author":[{"literal":"Secretariat of the CBD"}],"issued":{"date-parts":[["2014"]]}}}],"schema":"https://github.com/citation-style-language/schema/raw/master/csl-citation.json"} </w:instrText>
            </w:r>
            <w:r w:rsidR="00982710" w:rsidRPr="00A9434B">
              <w:fldChar w:fldCharType="separate"/>
            </w:r>
            <w:r w:rsidR="00C71E80" w:rsidRPr="00A9434B">
              <w:t>(Secretariat of the CBD, 2014)</w:t>
            </w:r>
            <w:r w:rsidR="00982710" w:rsidRPr="00A9434B">
              <w:fldChar w:fldCharType="end"/>
            </w:r>
            <w:r w:rsidR="00222822" w:rsidRPr="00A9434B">
              <w:t xml:space="preserve">, </w:t>
            </w:r>
            <w:r w:rsidRPr="00A9434B">
              <w:t>but major advancements have been made in the context of shipping (in particular</w:t>
            </w:r>
            <w:r w:rsidR="00B039F1" w:rsidRPr="00A9434B">
              <w:t>, an agreement to prevent biological invasions via</w:t>
            </w:r>
            <w:r w:rsidRPr="00A9434B">
              <w:t xml:space="preserve"> ballast water).</w:t>
            </w:r>
          </w:p>
        </w:tc>
      </w:tr>
      <w:tr w:rsidR="00017C04" w14:paraId="52143B99" w14:textId="77777777" w:rsidTr="008521D1">
        <w:tc>
          <w:tcPr>
            <w:tcW w:w="1177" w:type="dxa"/>
            <w:vMerge/>
          </w:tcPr>
          <w:p w14:paraId="6AF57747" w14:textId="77777777" w:rsidR="00017C04" w:rsidRDefault="00017C04" w:rsidP="00C12647">
            <w:pPr>
              <w:widowControl w:val="0"/>
              <w:pBdr>
                <w:top w:val="nil"/>
                <w:left w:val="nil"/>
                <w:bottom w:val="nil"/>
                <w:right w:val="nil"/>
                <w:between w:val="nil"/>
              </w:pBdr>
              <w:spacing w:before="0" w:after="0" w:line="276" w:lineRule="auto"/>
            </w:pPr>
          </w:p>
        </w:tc>
        <w:tc>
          <w:tcPr>
            <w:tcW w:w="2005" w:type="dxa"/>
            <w:vMerge/>
            <w:vAlign w:val="center"/>
          </w:tcPr>
          <w:p w14:paraId="65EDD687" w14:textId="77777777" w:rsidR="00017C04" w:rsidRDefault="00017C04" w:rsidP="00C12647">
            <w:pPr>
              <w:widowControl w:val="0"/>
              <w:pBdr>
                <w:top w:val="nil"/>
                <w:left w:val="nil"/>
                <w:bottom w:val="nil"/>
                <w:right w:val="nil"/>
                <w:between w:val="nil"/>
              </w:pBdr>
              <w:spacing w:before="0" w:after="0" w:line="276" w:lineRule="auto"/>
            </w:pPr>
          </w:p>
        </w:tc>
        <w:tc>
          <w:tcPr>
            <w:tcW w:w="2213" w:type="dxa"/>
            <w:shd w:val="clear" w:color="auto" w:fill="auto"/>
            <w:vAlign w:val="center"/>
          </w:tcPr>
          <w:p w14:paraId="704BDD12" w14:textId="77777777" w:rsidR="00017C04" w:rsidRDefault="00F50AF9">
            <w:pPr>
              <w:spacing w:before="0" w:after="0"/>
            </w:pPr>
            <w:r>
              <w:t>Pathways identified and prioritized (AT 9.2)</w:t>
            </w:r>
          </w:p>
        </w:tc>
        <w:tc>
          <w:tcPr>
            <w:tcW w:w="3814" w:type="dxa"/>
            <w:shd w:val="clear" w:color="auto" w:fill="auto"/>
            <w:vAlign w:val="center"/>
          </w:tcPr>
          <w:p w14:paraId="296CE830" w14:textId="200D0E31" w:rsidR="00017C04" w:rsidRDefault="002660AB">
            <w:pPr>
              <w:spacing w:before="0" w:after="0"/>
            </w:pPr>
            <w:r w:rsidRPr="00A9434B">
              <w:t xml:space="preserve">Major pathways have been identified </w:t>
            </w:r>
            <w:r w:rsidRPr="00A9434B">
              <w:fldChar w:fldCharType="begin"/>
            </w:r>
            <w:r w:rsidR="0006613E">
              <w:instrText xml:space="preserve"> ADDIN ZOTERO_ITEM CSL_CITATION {"citationID":"ang3ffp7sp","properties":{"formattedCitation":"(Faulkner et al., 2020; IUCN, 2017; Saul et al., 2017; Secretariat of the CBD, 2014)","plainCitation":"(Faulkner et al., 2020; IUCN, 2017; Saul et al., 2017; Secretariat of the CBD, 2014)","noteIndex":0},"citationItems":[{"id":24819,"uris":["http://zotero.org/groups/2352922/items/IED93IWH"],"itemData":{"id":24819,"type":"article-journal","abstract":"Alien species are introduced to new regions in many different ways and for different purposes. A number of frameworks have been developed to group such pathways of introduction into discrete categories in order to improve our understanding of biological invasions, provide information for interventions that aim to prevent introductions, enable reporting to national and international organisations and facilitate the prediction of threats. The introduction pathway classification framework proposed by the Convention on Biological Diversity (CBD) as a global standard is comprised of six main categories and 44 sub-categories. However, issues have arisen with its implementation. In this position paper, we outline five desirable properties of an introduction pathway classification framework – it should be compatible (i.e. the level of detail of the categories is similar to that of the available data), actionable (i.e. categories link to specific interventions), general (i.e. categories are applicable across the contexts that are of interest (e.g. taxa, habitats and regions)), equivalent (i.e. categories are equivalent in their level of detail) and distinct (i.e. categories are discrete and easily distinguished) – termed the CAGED properties. The six main categories of the CBD framework have all of the CAGED properties, but the detailed sub-categories have few. Therefore, while the framework has been proposed by the CBD as a global standard and efforts have been made to put it into practice, we argue that there is room for improvement. We conclude by presenting scenarios for how the issues identified could be addressed, noting that a hybrid model might be most appropriate.","container-title":"NeoBiota","DOI":"10.3897/neobiota.62.53543","ISSN":"1314-2488, 1619-0033","journalAbbreviation":"NB","page":"143-159","source":"DOI.org (Crossref)","title":"Classifying the introduction pathways of alien species: are we moving in the right direction?","title-short":"Classifying the introduction pathways of alien species","URL":"https://neobiota.pensoft.net/article/53543/","volume":"62","author":[{"family":"Faulkner","given":"Katelyn T."},{"family":"Hulme","given":"Philip E."},{"family":"Pagad","given":"Shyama"},{"family":"Wilson","given":"John R. U."},{"family":"Robertson","given":"Mark P."}],"accessed":{"date-parts":[["2021",3,16]]},"issued":{"date-parts":[["2020",10,15]]}},"label":"page"},{"id":30885,"uris":["http://zotero.org/groups/2352922/items/W4XHWW6S"],"itemData":{"id":30885,"type":"report","genre":"Technical note prepared by IUCN for the European Commission","note":"publisher: European Commision","publisher":"International Union for Conservation of Nature","title":"Guidance for interpretation of CBD categories on introduction pathways","URL":"https://nora.nerc.ac.uk/id/eprint/519129/1/N519129CR.pdf","author":[{"literal":"IUCN"}],"issued":{"date-parts":[["2017"]]}},"label":"page"},{"id":56579,"uris":["http://zotero.org/groups/2352922/items/6K6T66JS","http://zotero.org/groups/2352922/items/LLURJVC9"],"itemData":{"id":56579,"type":"article-journal","container-title":"Journal of Applied Ecology","DOI":"10.1111/1365-2664.12819","ISSN":"00218901","issue":"2","journalAbbreviation":"J Appl Ecol","language":"en","page":"657-669","source":"DOI.org (Crossref)","title":"Assessing patterns in introduction pathways of alien species by linking major invasion data bases","URL":"https://onlinelibrary.wiley.com/doi/10.1111/1365-2664.12819","volume":"54","author":[{"family":"Saul","given":"Wolf-Christian"},{"family":"Roy","given":"Helen E."},{"family":"Booy","given":"Olaf"},{"family":"Carnevali","given":"Lucilla"},{"family":"Chen","given":"Hsuan-Ju"},{"family":"Genovesi","given":"Piero"},{"family":"Harrower","given":"Colin A."},{"family":"Hulme","given":"Philip E."},{"family":"Pagad","given":"Shyama"},{"family":"Pergl","given":"Jan"},{"family":"Jeschke","given":"Jonathan M."}],"editor":[{"family":"Beggs","given":"Jacqueline"}],"accessed":{"date-parts":[["2023",6,8]]},"issued":{"date-parts":[["2017",4]]}},"label":"page"},{"id":31282,"uris":["http://zotero.org/groups/2352922/items/SBR86XJZ"],"itemData":{"id":31282,"type":"report","event-place":"Montréal, Canada","note":"page: 155\nISBN: 92-9225-540-1","page":"155","publisher":"Secretariat of the Convention on Biological Diversity","publisher-place":"Montréal, Canada","title":"Global Biodiversity Outlook 4","URL":"https://www.cbd.int/gbo/gbo4/publication/gbo4-en-hr.pdf","author":[{"literal":"Secretariat of the CBD"}],"issued":{"date-parts":[["2014"]]}}}],"schema":"https://github.com/citation-style-language/schema/raw/master/csl-citation.json"} </w:instrText>
            </w:r>
            <w:r w:rsidRPr="00A9434B">
              <w:fldChar w:fldCharType="separate"/>
            </w:r>
            <w:r w:rsidR="00C71E80" w:rsidRPr="00A9434B">
              <w:t>(Faulkner et al., 2020; IUCN, 2017; Saul et al., 2017; Secretariat of the CBD, 2014)</w:t>
            </w:r>
            <w:r w:rsidRPr="00A9434B">
              <w:fldChar w:fldCharType="end"/>
            </w:r>
            <w:r w:rsidRPr="00A9434B">
              <w:t xml:space="preserve">. However, the pathways </w:t>
            </w:r>
            <w:r w:rsidRPr="00A9434B">
              <w:lastRenderedPageBreak/>
              <w:t xml:space="preserve">of introduction of more than a third of introduction events are unknown </w:t>
            </w:r>
            <w:r w:rsidRPr="00A9434B">
              <w:fldChar w:fldCharType="begin"/>
            </w:r>
            <w:r w:rsidR="0006613E">
              <w:instrText xml:space="preserve"> ADDIN ZOTERO_ITEM CSL_CITATION {"citationID":"a11get3bdvk","properties":{"formattedCitation":"(McGrannachan et al., 2021)","plainCitation":"(McGrannachan et al., 2021)","noteIndex":0},"citationItems":[{"id":53072,"uris":["http://zotero.org/groups/2352922/items/TUSUKX5I"],"itemData":{"id":53072,"type":"article-journal","abstract":"Information on the pathways by which alien taxa are introduced to new regions is vital for prioritising policy and management responses to invasions. However, available datasets are often compiled using disparate methods, making comparison and collation of pathway data difficult. Using a standardised framework for recording and categorising pathway data can help to rectify this problem and provide the information necessary to develop indicators for reporting on alien introductions. We combine the Convention on Biological Diversity’s Pathways Categorisation Scheme (CPC) with data compiled by the Invasive Species Specialist Group (ISSG) to report on multiregional trends on alien introduction pathways over the past 200+ years. We found a significant increase in the documented number of multiregional alien introduction events across all pathways of the CPC’s three hierarchical levels. The ‘escape’ pathway is the most common documented pathway used by alien taxa. Transport stowaways via shipping-related pathways are a rapidly increasing contribution to alien introductions. Most alien introduction events were of unknown pathway origin, highlighting the challenge of information gaps in pathway data and reiterating the need for standardised information-gathering practices. Combining the CPC framework with alien introduction pathways data will standardise pathway information and facilitate the development of global indicators of trends in alien introductions and the pathways they use. These indicators have the potential to inform policy and management strategies for preventing future biological invasions and can be downscaled to national and regional levels that are applicable across taxa and ecosystems.","container-title":"NeoBiota","DOI":"10.3897/neobiota.64.60642","ISSN":"1314-2488","language":"en","license":"2022 Chris M. McGrannachan, Shyama Pagad, Melodie A. McGeoch","note":"publisher: Pensoft Publishers","page":"43-67","source":"neobiota.pensoft.net","title":"A multiregional assessment of transnational pathways of introduction","URL":"https://neobiota.pensoft.net/article/60642/","volume":"64","author":[{"family":"McGrannachan","given":"Chris M."},{"family":"Pagad","given":"Shyama"},{"family":"McGeoch","given":"Melodie A."}],"accessed":{"date-parts":[["2022",8,31]]},"issued":{"date-parts":[["2021",1,20]]}},"label":"page"}],"schema":"https://github.com/citation-style-language/schema/raw/master/csl-citation.json"} </w:instrText>
            </w:r>
            <w:r w:rsidRPr="00A9434B">
              <w:fldChar w:fldCharType="separate"/>
            </w:r>
            <w:r w:rsidR="00C71E80" w:rsidRPr="00A9434B">
              <w:t>(McGrannachan et al., 2021)</w:t>
            </w:r>
            <w:r w:rsidRPr="00A9434B">
              <w:fldChar w:fldCharType="end"/>
            </w:r>
            <w:r w:rsidRPr="00A9434B">
              <w:t>.</w:t>
            </w:r>
          </w:p>
        </w:tc>
      </w:tr>
      <w:tr w:rsidR="00017C04" w14:paraId="78A30530" w14:textId="77777777" w:rsidTr="008521D1">
        <w:tc>
          <w:tcPr>
            <w:tcW w:w="1177" w:type="dxa"/>
            <w:vMerge w:val="restart"/>
            <w:shd w:val="clear" w:color="auto" w:fill="auto"/>
          </w:tcPr>
          <w:p w14:paraId="6D3F4554" w14:textId="77777777" w:rsidR="00017C04" w:rsidRPr="00192C26" w:rsidRDefault="00F50AF9">
            <w:pPr>
              <w:spacing w:before="0" w:after="0"/>
            </w:pPr>
            <w:r>
              <w:lastRenderedPageBreak/>
              <w:t>Pressure</w:t>
            </w:r>
          </w:p>
        </w:tc>
        <w:tc>
          <w:tcPr>
            <w:tcW w:w="2005" w:type="dxa"/>
            <w:vMerge w:val="restart"/>
            <w:shd w:val="clear" w:color="auto" w:fill="auto"/>
            <w:vAlign w:val="center"/>
          </w:tcPr>
          <w:p w14:paraId="2F53A52C" w14:textId="77777777" w:rsidR="00017C04" w:rsidRDefault="00F50AF9">
            <w:pPr>
              <w:spacing w:before="0" w:after="0"/>
            </w:pPr>
            <w:r>
              <w:t>Trends in numbers of invasive alien species and their impacts</w:t>
            </w:r>
          </w:p>
        </w:tc>
        <w:tc>
          <w:tcPr>
            <w:tcW w:w="2213" w:type="dxa"/>
            <w:shd w:val="clear" w:color="auto" w:fill="auto"/>
            <w:vAlign w:val="center"/>
          </w:tcPr>
          <w:p w14:paraId="36F453FD" w14:textId="7EE5DEA1" w:rsidR="00017C04" w:rsidRPr="008521D1" w:rsidRDefault="00F80082" w:rsidP="00F80082">
            <w:pPr>
              <w:pBdr>
                <w:top w:val="nil"/>
                <w:left w:val="nil"/>
                <w:bottom w:val="nil"/>
                <w:right w:val="nil"/>
                <w:between w:val="nil"/>
              </w:pBdr>
              <w:spacing w:before="0" w:after="0"/>
              <w:rPr>
                <w:color w:val="000000"/>
              </w:rPr>
            </w:pPr>
            <w:r>
              <w:rPr>
                <w:color w:val="000000"/>
              </w:rPr>
              <w:t>N</w:t>
            </w:r>
            <w:r w:rsidR="00F50AF9" w:rsidRPr="008521D1">
              <w:rPr>
                <w:color w:val="000000"/>
              </w:rPr>
              <w:t>one</w:t>
            </w:r>
          </w:p>
        </w:tc>
        <w:tc>
          <w:tcPr>
            <w:tcW w:w="3814" w:type="dxa"/>
            <w:shd w:val="clear" w:color="auto" w:fill="auto"/>
            <w:vAlign w:val="center"/>
          </w:tcPr>
          <w:p w14:paraId="5646E3EE" w14:textId="74C66006" w:rsidR="00017C04" w:rsidRDefault="00F50AF9">
            <w:pPr>
              <w:spacing w:before="0" w:after="0"/>
            </w:pPr>
            <w:r>
              <w:t xml:space="preserve">The number of documented, new introductions of alien species continues to increase (Seebens et al. 2017). Progress towards target has been made, but at an insufficient rate </w:t>
            </w:r>
            <w:r w:rsidR="00222822" w:rsidRPr="00A9434B">
              <w:fldChar w:fldCharType="begin"/>
            </w:r>
            <w:r w:rsidR="0006613E">
              <w:instrText xml:space="preserve"> ADDIN ZOTERO_ITEM CSL_CITATION {"citationID":"n3oiOph4","properties":{"formattedCitation":"(Secretariat of the CBD, 2014)","plainCitation":"(Secretariat of the CBD, 2014)","noteIndex":0},"citationItems":[{"id":31282,"uris":["http://zotero.org/groups/2352922/items/SBR86XJZ"],"itemData":{"id":31282,"type":"report","event-place":"Montréal, Canada","note":"page: 155\nISBN: 92-9225-540-1","page":"155","publisher":"Secretariat of the Convention on Biological Diversity","publisher-place":"Montréal, Canada","title":"Global Biodiversity Outlook 4","URL":"https://www.cbd.int/gbo/gbo4/publication/gbo4-en-hr.pdf","author":[{"literal":"Secretariat of the CBD"}],"issued":{"date-parts":[["2014"]]}}}],"schema":"https://github.com/citation-style-language/schema/raw/master/csl-citation.json"} </w:instrText>
            </w:r>
            <w:r w:rsidR="00222822" w:rsidRPr="00A9434B">
              <w:fldChar w:fldCharType="separate"/>
            </w:r>
            <w:r w:rsidR="00C71E80" w:rsidRPr="00A9434B">
              <w:t>(Secretariat of the CBD, 2014)</w:t>
            </w:r>
            <w:r w:rsidR="00222822" w:rsidRPr="00A9434B">
              <w:fldChar w:fldCharType="end"/>
            </w:r>
            <w:r w:rsidR="00222822" w:rsidRPr="00A9434B">
              <w:t>.</w:t>
            </w:r>
          </w:p>
        </w:tc>
      </w:tr>
      <w:tr w:rsidR="00017C04" w14:paraId="7374476B" w14:textId="77777777" w:rsidTr="008521D1">
        <w:tc>
          <w:tcPr>
            <w:tcW w:w="1177" w:type="dxa"/>
            <w:vMerge/>
          </w:tcPr>
          <w:p w14:paraId="210AF993" w14:textId="77777777" w:rsidR="00017C04" w:rsidRDefault="00017C04" w:rsidP="008521D1">
            <w:pPr>
              <w:spacing w:before="0" w:after="0"/>
            </w:pPr>
          </w:p>
        </w:tc>
        <w:tc>
          <w:tcPr>
            <w:tcW w:w="2005" w:type="dxa"/>
            <w:vMerge/>
            <w:vAlign w:val="center"/>
          </w:tcPr>
          <w:p w14:paraId="3D154F0C" w14:textId="77777777" w:rsidR="00017C04" w:rsidRDefault="00017C04" w:rsidP="008521D1">
            <w:pPr>
              <w:spacing w:before="0" w:after="0"/>
            </w:pPr>
          </w:p>
        </w:tc>
        <w:tc>
          <w:tcPr>
            <w:tcW w:w="2213" w:type="dxa"/>
            <w:shd w:val="clear" w:color="auto" w:fill="auto"/>
            <w:vAlign w:val="center"/>
          </w:tcPr>
          <w:p w14:paraId="7586669C" w14:textId="77777777" w:rsidR="00017C04" w:rsidRDefault="00F50AF9">
            <w:pPr>
              <w:spacing w:before="0" w:after="0"/>
            </w:pPr>
            <w:r>
              <w:t>Invasive alien species are identified and prioritized (AT 9.1)</w:t>
            </w:r>
          </w:p>
        </w:tc>
        <w:tc>
          <w:tcPr>
            <w:tcW w:w="3814" w:type="dxa"/>
            <w:shd w:val="clear" w:color="auto" w:fill="auto"/>
            <w:vAlign w:val="center"/>
          </w:tcPr>
          <w:p w14:paraId="401B540D" w14:textId="3E71D527" w:rsidR="00017C04" w:rsidRDefault="002660AB">
            <w:pPr>
              <w:spacing w:before="0" w:after="0"/>
            </w:pPr>
            <w:r w:rsidRPr="00A9434B">
              <w:t xml:space="preserve">Measures have been taken in many countries to develop checklists of invasive alien species </w:t>
            </w:r>
            <w:r w:rsidR="00222822" w:rsidRPr="00A9434B">
              <w:fldChar w:fldCharType="begin"/>
            </w:r>
            <w:r w:rsidR="0006613E">
              <w:instrText xml:space="preserve"> ADDIN ZOTERO_ITEM CSL_CITATION {"citationID":"jRf78Kn4","properties":{"formattedCitation":"(Secretariat of the CBD, 2014, 2020)","plainCitation":"(Secretariat of the CBD, 2014, 2020)","noteIndex":0},"citationItems":[{"id":31282,"uris":["http://zotero.org/groups/2352922/items/SBR86XJZ"],"itemData":{"id":31282,"type":"report","event-place":"Montréal, Canada","note":"page: 155\nISBN: 92-9225-540-1","page":"155","publisher":"Secretariat of the Convention on Biological Diversity","publisher-place":"Montréal, Canada","title":"Global Biodiversity Outlook 4","URL":"https://www.cbd.int/gbo/gbo4/publication/gbo4-en-hr.pdf","author":[{"literal":"Secretariat of the CBD"}],"issued":{"date-parts":[["2014"]]}},"label":"page"},{"id":31283,"uris":["http://zotero.org/groups/2352922/items/L3F5ARQK","http://zotero.org/groups/2352922/items/P7BZ6TYF"],"itemData":{"id":31283,"type":"report","event-place":"Montreal, Canada","note":"ISBN-9789292256883","page":"211","publisher":"Secretariat of the Convention on Biological Diversity","publisher-place":"Montreal, Canada","title":"Global Biodiversity Outlook 5","URL":"https://www.cbd.int/gbo/gbo5/publication/gbo-5-en.pdf","author":[{"literal":"Secretariat of the CBD"}],"issued":{"date-parts":[["2020"]]}},"label":"page"}],"schema":"https://github.com/citation-style-language/schema/raw/master/csl-citation.json"} </w:instrText>
            </w:r>
            <w:r w:rsidR="00222822" w:rsidRPr="00A9434B">
              <w:fldChar w:fldCharType="separate"/>
            </w:r>
            <w:r w:rsidR="00C71E80" w:rsidRPr="00A9434B">
              <w:t>(Secretariat of the CBD, 2014, 2020)</w:t>
            </w:r>
            <w:r w:rsidR="00222822" w:rsidRPr="00A9434B">
              <w:fldChar w:fldCharType="end"/>
            </w:r>
            <w:r w:rsidRPr="00A9434B">
              <w:t xml:space="preserve">. Target </w:t>
            </w:r>
            <w:r w:rsidR="00B039F1" w:rsidRPr="00A9434B">
              <w:t xml:space="preserve">partially </w:t>
            </w:r>
            <w:r w:rsidRPr="00A9434B">
              <w:t>achieved.</w:t>
            </w:r>
          </w:p>
        </w:tc>
      </w:tr>
      <w:tr w:rsidR="00017C04" w14:paraId="7C5867BA" w14:textId="77777777" w:rsidTr="008521D1">
        <w:tc>
          <w:tcPr>
            <w:tcW w:w="1177" w:type="dxa"/>
            <w:shd w:val="clear" w:color="auto" w:fill="auto"/>
          </w:tcPr>
          <w:p w14:paraId="4EE4C5C3" w14:textId="77777777" w:rsidR="00017C04" w:rsidRPr="00192C26" w:rsidRDefault="00F50AF9">
            <w:pPr>
              <w:spacing w:before="0" w:after="0"/>
            </w:pPr>
            <w:r>
              <w:t>State</w:t>
            </w:r>
          </w:p>
        </w:tc>
        <w:tc>
          <w:tcPr>
            <w:tcW w:w="2005" w:type="dxa"/>
            <w:shd w:val="clear" w:color="auto" w:fill="auto"/>
            <w:vAlign w:val="center"/>
          </w:tcPr>
          <w:p w14:paraId="3983A747" w14:textId="77777777" w:rsidR="00017C04" w:rsidRDefault="00F50AF9">
            <w:pPr>
              <w:spacing w:before="0" w:after="0"/>
            </w:pPr>
            <w:r>
              <w:t>Trends, mechanisms and severity of invasive alien species impacts</w:t>
            </w:r>
          </w:p>
        </w:tc>
        <w:tc>
          <w:tcPr>
            <w:tcW w:w="2213" w:type="dxa"/>
            <w:shd w:val="clear" w:color="auto" w:fill="auto"/>
            <w:vAlign w:val="center"/>
          </w:tcPr>
          <w:p w14:paraId="0AB515AE" w14:textId="77777777" w:rsidR="00017C04" w:rsidRDefault="00F50AF9">
            <w:pPr>
              <w:spacing w:before="0" w:after="0"/>
            </w:pPr>
            <w:r>
              <w:t>Introduce measures to significantly reduce the impact of invasive alien species (SDG)</w:t>
            </w:r>
          </w:p>
        </w:tc>
        <w:tc>
          <w:tcPr>
            <w:tcW w:w="3814" w:type="dxa"/>
            <w:shd w:val="clear" w:color="auto" w:fill="auto"/>
            <w:vAlign w:val="center"/>
          </w:tcPr>
          <w:p w14:paraId="600D613E" w14:textId="4D986807" w:rsidR="00017C04" w:rsidRDefault="00EA2FCC">
            <w:pPr>
              <w:spacing w:before="0" w:after="0"/>
            </w:pPr>
            <w:bookmarkStart w:id="49" w:name="_heading=h.26in1rg"/>
            <w:bookmarkStart w:id="50" w:name="_Hlk129688289"/>
            <w:bookmarkEnd w:id="49"/>
            <w:r w:rsidRPr="00A9434B">
              <w:t>A negative trend in</w:t>
            </w:r>
            <w:r w:rsidR="00722BA0">
              <w:t xml:space="preserve"> the conservation status of species threatened by invasive alien species in</w:t>
            </w:r>
            <w:r w:rsidRPr="00A9434B">
              <w:t xml:space="preserve"> the Red List Index </w:t>
            </w:r>
            <w:r w:rsidR="00B96F50" w:rsidRPr="00A9434B">
              <w:fldChar w:fldCharType="begin"/>
            </w:r>
            <w:r w:rsidR="002D2756">
              <w:instrText xml:space="preserve"> ADDIN ZOTERO_ITEM CSL_CITATION {"citationID":"3l3qObe3","properties":{"formattedCitation":"(McGeoch et al., 2010)","plainCitation":"(McGeoch et al., 2010)","noteIndex":0},"citationItems":[{"id":"SnSXgYY3/WWzzJk3K","uris":["http://zotero.org/groups/2352922/items/TA9WEFBP"],"itemData":{"id":28832,"type":"article-journal","abstract":"Aim Invasive alien species (IAS) pose a significant threat to biodiversity. The Convention on Biological Diversity’s 2010 Biodiversity Target, and the associated indicator for IAS, has stimulated globally coordinated efforts to quantify patterns in the extent of biological invasion, its impact on biodiversity and policy responses. Here, we report on the outcome of indicators of alien invasion at a global scale. Location Global. Methods We developed four indicators in a pressure-state-response framework, i.e. number of documented IAS (pressure), trends in the impact of IAS on biodiversity (state) and trends in international agreements and national policy adoption relevant to reducing IAS threats to biodiversity (response). These measures were considered best suited to providing globally representative, standardized and sustainable indicators by 2010. Results We show that the number of documented IAS is a significant underestimate, because its value is negatively affected by country development status and positively by research effort and information availability. The Red List Index demonstrates that IAS pressure is driving declines in species diversity, with the overall impact apparently increasing. The policy response trend has nonetheless been positive for the last several decades, although only half of countries that are signatory to the Convention on Biological Diversity (CBD) have IAS-relevant national legislation. Although IAS pressure has apparently driven the policy response, this has clearly not been sufficient and/or adequately implemented to reduce biodiversity impact. Main conclusions For this indicator of threat to biodiversity, the 2010 Biodiversity Target has thus not been achieved. The results nonetheless provide clear direction for bridging the current divide between information available on IAS and that needed for policy and management for the prevention and control of IAS. It further highlights the need for measures to ensure that policy is effectively implemented, such that it translates into reduced IAS pressure and impact on biodiversity beyond 2010.","container-title":"Diversity and Distributions","DOI":"10.1111/j.1472-4642.2009.00633.x","ISSN":"1472-4642","issue":"1","language":"en","license":"© 2010 Blackwell Publishing Ltd","page":"95-108","source":"Wiley Online Library","title":"Global indicators of biological invasion: species numbers, biodiversity impact and policy responses","title-short":"Global indicators of biological invasion","URL":"https://doi.org/10.1111/j.1472-4642.2009.00633.x","volume":"16","author":[{"family":"McGeoch","given":"Melodie A."},{"family":"Butchart","given":"Stuart H. M."},{"family":"Spear","given":"Dian"},{"family":"Marais","given":"Elrike"},{"family":"Kleynhans","given":"Elizabeth J."},{"family":"Symes","given":"Andy"},{"family":"Chanson","given":"Janice"},{"family":"Hoffmann","given":"Michael"}],"accessed":{"date-parts":[["2019",4,16]]},"issued":{"date-parts":[["2010"]]}}}],"schema":"https://github.com/citation-style-language/schema/raw/master/csl-citation.json"} </w:instrText>
            </w:r>
            <w:r w:rsidR="00B96F50" w:rsidRPr="00A9434B">
              <w:fldChar w:fldCharType="separate"/>
            </w:r>
            <w:r w:rsidR="00F0011F" w:rsidRPr="00F0011F">
              <w:t>(McGeoch et al., 2010)</w:t>
            </w:r>
            <w:r w:rsidR="00B96F50" w:rsidRPr="00A9434B">
              <w:fldChar w:fldCharType="end"/>
            </w:r>
            <w:r w:rsidR="00B96F50" w:rsidRPr="00A9434B">
              <w:t xml:space="preserve"> </w:t>
            </w:r>
            <w:r w:rsidRPr="00A9434B">
              <w:t xml:space="preserve">suggests that this target has not been achieved. </w:t>
            </w:r>
            <w:bookmarkEnd w:id="50"/>
            <w:r w:rsidRPr="00A9434B">
              <w:t>Overall, there has not been an improvement in conservation status of species threatened by invasive alien species, although some progress has been made for some species and for species on islands</w:t>
            </w:r>
            <w:r w:rsidR="008521D1">
              <w:t xml:space="preserve"> </w:t>
            </w:r>
            <w:r w:rsidR="003B4117" w:rsidRPr="00A9434B">
              <w:fldChar w:fldCharType="begin"/>
            </w:r>
            <w:r w:rsidR="002D2756">
              <w:instrText xml:space="preserve"> ADDIN ZOTERO_ITEM CSL_CITATION {"citationID":"aknn7qrse6","properties":{"formattedCitation":"(CBD, 2020a; Secretariat of the CBD, 2014)","plainCitation":"(CBD, 2020a; Secretariat of the CBD, 2014)","noteIndex":0},"citationItems":[{"id":54629,"uris":["http://zotero.org/groups/2352922/items/GU93839X"],"itemData":{"id":54629,"type":"webpage","container-title":"Convention on Biological Diversity","language":"en","title":"Preparations for the Post-2020 Biodiversity Framework: Fifth meeting of the Open-ended Working Group on the Post-2020 Global Biodiversity Framework","URL":"https://www.cbd.int/conferences/post2020","author":[{"literal":"CBD"}],"accessed":{"date-parts":[["2023",3,2]]},"issued":{"date-parts":[["2020"]]}},"label":"page"},{"id":31282,"uris":["http://zotero.org/groups/2352922/items/SBR86XJZ"],"itemData":{"id":31282,"type":"report","event-place":"Montréal, Canada","note":"page: 155\nISBN: 92-9225-540-1","page":"155","publisher":"Secretariat of the Convention on Biological Diversity","publisher-place":"Montréal, Canada","title":"Global Biodiversity Outlook 4","URL":"https://www.cbd.int/gbo/gbo4/publication/gbo4-en-hr.pdf","author":[{"literal":"Secretariat of the CBD"}],"issued":{"date-parts":[["2014"]]}},"label":"page"}],"schema":"https://github.com/citation-style-language/schema/raw/master/csl-citation.json"} </w:instrText>
            </w:r>
            <w:r w:rsidR="003B4117" w:rsidRPr="00A9434B">
              <w:fldChar w:fldCharType="separate"/>
            </w:r>
            <w:r w:rsidR="002D2756" w:rsidRPr="002D2756">
              <w:t>(CBD, 2020a; Secretariat of the CBD, 2014)</w:t>
            </w:r>
            <w:r w:rsidR="003B4117" w:rsidRPr="00A9434B">
              <w:fldChar w:fldCharType="end"/>
            </w:r>
            <w:r w:rsidRPr="00A9434B">
              <w:t xml:space="preserve"> </w:t>
            </w:r>
          </w:p>
        </w:tc>
      </w:tr>
      <w:tr w:rsidR="00017C04" w14:paraId="1B568A68" w14:textId="77777777" w:rsidTr="008521D1">
        <w:tc>
          <w:tcPr>
            <w:tcW w:w="1177" w:type="dxa"/>
            <w:shd w:val="clear" w:color="auto" w:fill="auto"/>
          </w:tcPr>
          <w:p w14:paraId="66905376" w14:textId="77777777" w:rsidR="00017C04" w:rsidRPr="00192C26" w:rsidRDefault="00F50AF9">
            <w:pPr>
              <w:spacing w:before="0" w:after="0"/>
            </w:pPr>
            <w:r>
              <w:t xml:space="preserve">Response </w:t>
            </w:r>
          </w:p>
          <w:p w14:paraId="49DED0AD" w14:textId="77777777" w:rsidR="00017C04" w:rsidRDefault="00F50AF9">
            <w:pPr>
              <w:spacing w:before="0" w:after="0"/>
            </w:pPr>
            <w:r>
              <w:t>Input</w:t>
            </w:r>
          </w:p>
        </w:tc>
        <w:tc>
          <w:tcPr>
            <w:tcW w:w="2005" w:type="dxa"/>
            <w:shd w:val="clear" w:color="auto" w:fill="auto"/>
            <w:vAlign w:val="center"/>
          </w:tcPr>
          <w:p w14:paraId="03F84B87" w14:textId="77777777" w:rsidR="00017C04" w:rsidRPr="008521D1" w:rsidRDefault="00F50AF9" w:rsidP="008521D1">
            <w:pPr>
              <w:pBdr>
                <w:top w:val="nil"/>
                <w:left w:val="nil"/>
                <w:bottom w:val="nil"/>
                <w:right w:val="nil"/>
                <w:between w:val="nil"/>
              </w:pBdr>
              <w:spacing w:before="0" w:after="0"/>
            </w:pPr>
            <w:r w:rsidRPr="008521D1">
              <w:t xml:space="preserve">Trends in the allocation of resources towards the prevention or control of invasive alien species </w:t>
            </w:r>
          </w:p>
          <w:p w14:paraId="677622E0" w14:textId="77777777" w:rsidR="00017C04" w:rsidRDefault="00017C04">
            <w:pPr>
              <w:spacing w:before="0" w:after="0"/>
            </w:pPr>
          </w:p>
        </w:tc>
        <w:tc>
          <w:tcPr>
            <w:tcW w:w="2213" w:type="dxa"/>
            <w:shd w:val="clear" w:color="auto" w:fill="auto"/>
            <w:vAlign w:val="center"/>
          </w:tcPr>
          <w:p w14:paraId="3A24EB5A" w14:textId="77777777" w:rsidR="00017C04" w:rsidRDefault="00F50AF9">
            <w:pPr>
              <w:spacing w:before="0" w:after="0"/>
            </w:pPr>
            <w:r>
              <w:t>Proportion of countries adopting relevant national legislation and adequately resourcing the prevention or control of invasive alien species (SDG)</w:t>
            </w:r>
          </w:p>
        </w:tc>
        <w:tc>
          <w:tcPr>
            <w:tcW w:w="3814" w:type="dxa"/>
            <w:shd w:val="clear" w:color="auto" w:fill="auto"/>
            <w:vAlign w:val="center"/>
          </w:tcPr>
          <w:p w14:paraId="3565BED4" w14:textId="2430CA09" w:rsidR="00017C04" w:rsidRDefault="007E3439">
            <w:pPr>
              <w:spacing w:before="0" w:after="0"/>
            </w:pPr>
            <w:r>
              <w:t>Of the 195 countries party to the CBD, a</w:t>
            </w:r>
            <w:r w:rsidR="00EA2FCC" w:rsidRPr="00A9434B">
              <w:t xml:space="preserve">lmost half have no national budget and no funding via global mechanisms for invasive alien species prevention and control activities </w:t>
            </w:r>
            <w:r w:rsidR="00EA2FCC" w:rsidRPr="00A9434B">
              <w:fldChar w:fldCharType="begin"/>
            </w:r>
            <w:r w:rsidR="0006613E">
              <w:instrText xml:space="preserve"> ADDIN ZOTERO_ITEM CSL_CITATION {"citationID":"a1arpd7jtmf","properties":{"formattedCitation":"(Pagad et al., 2020)","plainCitation":"(Pagad et al., 2020)","noteIndex":0},"citationItems":[{"id":30289,"uris":["http://zotero.org/groups/2352922/items/C44T2ZZP"],"itemData":{"id":30289,"type":"report","abstract":"Report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A."}],"accessed":{"date-parts":[["2021",8,25]]},"issued":{"date-parts":[["2020"]]}},"label":"page"}],"schema":"https://github.com/citation-style-language/schema/raw/master/csl-citation.json"} </w:instrText>
            </w:r>
            <w:r w:rsidR="00EA2FCC" w:rsidRPr="00A9434B">
              <w:fldChar w:fldCharType="separate"/>
            </w:r>
            <w:r w:rsidR="00C71E80" w:rsidRPr="00A9434B">
              <w:t>(Pagad et al., 2020)</w:t>
            </w:r>
            <w:r w:rsidR="00EA2FCC" w:rsidRPr="00A9434B">
              <w:fldChar w:fldCharType="end"/>
            </w:r>
            <w:r w:rsidR="00EA2FCC" w:rsidRPr="00A9434B">
              <w:t xml:space="preserve">. </w:t>
            </w:r>
          </w:p>
        </w:tc>
      </w:tr>
      <w:tr w:rsidR="00017C04" w14:paraId="207E05A6" w14:textId="77777777" w:rsidTr="008521D1">
        <w:tc>
          <w:tcPr>
            <w:tcW w:w="1177" w:type="dxa"/>
            <w:vMerge w:val="restart"/>
            <w:shd w:val="clear" w:color="auto" w:fill="auto"/>
          </w:tcPr>
          <w:p w14:paraId="620884E1" w14:textId="77777777" w:rsidR="00017C04" w:rsidRDefault="00F50AF9">
            <w:pPr>
              <w:spacing w:before="0" w:after="0"/>
            </w:pPr>
            <w:r>
              <w:t>Process</w:t>
            </w:r>
          </w:p>
        </w:tc>
        <w:tc>
          <w:tcPr>
            <w:tcW w:w="2005" w:type="dxa"/>
            <w:shd w:val="clear" w:color="auto" w:fill="auto"/>
            <w:vAlign w:val="center"/>
          </w:tcPr>
          <w:p w14:paraId="7BDEA86A" w14:textId="77777777" w:rsidR="00017C04" w:rsidRDefault="00F50AF9">
            <w:pPr>
              <w:spacing w:before="0" w:after="0"/>
            </w:pPr>
            <w:r>
              <w:t>Trends in establishment and national adoption of international agreements relevant to the prevention and control of invasive alien species</w:t>
            </w:r>
          </w:p>
        </w:tc>
        <w:tc>
          <w:tcPr>
            <w:tcW w:w="2213" w:type="dxa"/>
            <w:shd w:val="clear" w:color="auto" w:fill="auto"/>
            <w:vAlign w:val="center"/>
          </w:tcPr>
          <w:p w14:paraId="27EFF44E" w14:textId="77777777" w:rsidR="00017C04" w:rsidRDefault="00F50AF9">
            <w:pPr>
              <w:spacing w:before="0" w:after="0"/>
            </w:pPr>
            <w:r>
              <w:t>Trends in policy responses, legislation and management plans to control and prevent spread of invasive alien species (Pagad et al. 2020)</w:t>
            </w:r>
          </w:p>
        </w:tc>
        <w:tc>
          <w:tcPr>
            <w:tcW w:w="3814" w:type="dxa"/>
            <w:shd w:val="clear" w:color="auto" w:fill="auto"/>
            <w:vAlign w:val="center"/>
          </w:tcPr>
          <w:p w14:paraId="3B7C0950" w14:textId="3029B98A" w:rsidR="00017C04" w:rsidRDefault="00F50AF9">
            <w:pPr>
              <w:spacing w:before="0" w:after="0"/>
            </w:pPr>
            <w:r>
              <w:t xml:space="preserve">Between 30 and 90 </w:t>
            </w:r>
            <w:r w:rsidR="00F80082">
              <w:t>per cent</w:t>
            </w:r>
            <w:r>
              <w:t xml:space="preserve"> of all</w:t>
            </w:r>
            <w:r w:rsidR="00F80082">
              <w:t xml:space="preserve"> </w:t>
            </w:r>
            <w:r>
              <w:t xml:space="preserve">countries are signatory to the nine multilateral agreements relevant to the prevention or control of invasive alien species, including the CBD, with most countries’ signatory to the World Heritage Convention, IPPC and the Convention on International Trade in Endangered Species of Wild Fauna and Flora (CITES; 2% increase since 2010; </w:t>
            </w:r>
            <w:r w:rsidR="002737EF" w:rsidRPr="00215172">
              <w:fldChar w:fldCharType="begin"/>
            </w:r>
            <w:r w:rsidR="0006613E">
              <w:instrText xml:space="preserve"> ADDIN ZOTERO_ITEM CSL_CITATION {"citationID":"16qHln6O","properties":{"formattedCitation":"\\uldash{(Pagad et al., 2020)}","plainCitation":"(Pagad et al., 2020)","dontUpdate":true,"noteIndex":0},"citationItems":[{"id":30289,"uris":["http://zotero.org/groups/2352922/items/C44T2ZZP"],"itemData":{"id":30289,"type":"report","abstract":"Report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A."}],"accessed":{"date-parts":[["2021",8,25]]},"issued":{"date-parts":[["2020"]]}},"label":"page"}],"schema":"https://github.com/citation-style-language/schema/raw/master/csl-citation.json"} </w:instrText>
            </w:r>
            <w:r w:rsidR="002737EF" w:rsidRPr="00215172">
              <w:fldChar w:fldCharType="separate"/>
            </w:r>
            <w:r w:rsidR="002737EF" w:rsidRPr="00215172">
              <w:t xml:space="preserve">Pagad et al., </w:t>
            </w:r>
            <w:r w:rsidR="002737EF" w:rsidRPr="00215172">
              <w:lastRenderedPageBreak/>
              <w:t>2020)</w:t>
            </w:r>
            <w:r w:rsidR="002737EF" w:rsidRPr="00215172">
              <w:fldChar w:fldCharType="end"/>
            </w:r>
            <w:r w:rsidR="002660AB" w:rsidRPr="00215172">
              <w:t>.</w:t>
            </w:r>
            <w:r>
              <w:t xml:space="preserve"> Likewise, most of the world shipping tonnage (over 91%) is under regulation under the International Convention for the Control and Management of Ship’s Ballast Water and Sediments (BWM Convention; </w:t>
            </w:r>
            <w:r w:rsidR="002660AB" w:rsidRPr="00A9434B">
              <w:fldChar w:fldCharType="begin"/>
            </w:r>
            <w:r w:rsidR="0006613E">
              <w:instrText xml:space="preserve"> ADDIN ZOTERO_ITEM CSL_CITATION {"citationID":"al3tp3g2nh","properties":{"formattedCitation":"(IMO, 2022)","plainCitation":"(IMO, 2022)","dontUpdate":true,"noteIndex":0},"citationItems":[{"id":52668,"uris":["http://zotero.org/groups/2352922/items/6PIIXBNC"],"itemData":{"id":52668,"type":"document","note":"publisher: London (United Kingdom) IMO","publisher":"International Maritime Organization","title":"Status of multilateral conventions and instruments in respect of which the International Maritime Organization or its Secretary-General performs depositary or other functions as at 26 May 2022.","author":[{"literal":"IMO"}],"issued":{"date-parts":[["2022"]]}},"label":"page"}],"schema":"https://github.com/citation-style-language/schema/raw/master/csl-citation.json"} </w:instrText>
            </w:r>
            <w:r w:rsidR="002660AB" w:rsidRPr="00A9434B">
              <w:fldChar w:fldCharType="separate"/>
            </w:r>
            <w:r w:rsidR="00C71E80" w:rsidRPr="00A9434B">
              <w:t>IMO, 2022)</w:t>
            </w:r>
            <w:r w:rsidR="002660AB" w:rsidRPr="00A9434B">
              <w:fldChar w:fldCharType="end"/>
            </w:r>
            <w:r w:rsidR="002660AB" w:rsidRPr="00A9434B">
              <w:t>.</w:t>
            </w:r>
            <w:r>
              <w:t xml:space="preserve"> Trends in adoption overall are positive since 1970 </w:t>
            </w:r>
            <w:r w:rsidR="002737EF" w:rsidRPr="00A9434B">
              <w:fldChar w:fldCharType="begin"/>
            </w:r>
            <w:r w:rsidR="0006613E">
              <w:instrText xml:space="preserve"> ADDIN ZOTERO_ITEM CSL_CITATION {"citationID":"xYERYSLn","properties":{"formattedCitation":"(Pagad et al., 2020)","plainCitation":"(Pagad et al., 2020)","noteIndex":0},"citationItems":[{"id":30289,"uris":["http://zotero.org/groups/2352922/items/C44T2ZZP"],"itemData":{"id":30289,"type":"report","abstract":"Report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A."}],"accessed":{"date-parts":[["2021",8,25]]},"issued":{"date-parts":[["2020"]]}},"label":"page"}],"schema":"https://github.com/citation-style-language/schema/raw/master/csl-citation.json"} </w:instrText>
            </w:r>
            <w:r w:rsidR="002737EF" w:rsidRPr="00A9434B">
              <w:fldChar w:fldCharType="separate"/>
            </w:r>
            <w:r w:rsidR="00C71E80" w:rsidRPr="00A9434B">
              <w:t>(Pagad et al., 2020)</w:t>
            </w:r>
            <w:r w:rsidR="002737EF" w:rsidRPr="00A9434B">
              <w:fldChar w:fldCharType="end"/>
            </w:r>
            <w:r w:rsidR="002660AB" w:rsidRPr="00A9434B">
              <w:t>.</w:t>
            </w:r>
          </w:p>
        </w:tc>
      </w:tr>
      <w:tr w:rsidR="00017C04" w14:paraId="2DF7CECC" w14:textId="77777777" w:rsidTr="008521D1">
        <w:tc>
          <w:tcPr>
            <w:tcW w:w="1177" w:type="dxa"/>
            <w:vMerge/>
          </w:tcPr>
          <w:p w14:paraId="1DAB8501" w14:textId="77777777" w:rsidR="00017C04" w:rsidRDefault="00017C04" w:rsidP="008521D1">
            <w:pPr>
              <w:widowControl w:val="0"/>
              <w:pBdr>
                <w:top w:val="nil"/>
                <w:left w:val="nil"/>
                <w:bottom w:val="nil"/>
                <w:right w:val="nil"/>
                <w:between w:val="nil"/>
              </w:pBdr>
              <w:spacing w:before="0" w:after="0" w:line="276" w:lineRule="auto"/>
            </w:pPr>
          </w:p>
        </w:tc>
        <w:tc>
          <w:tcPr>
            <w:tcW w:w="2005" w:type="dxa"/>
            <w:shd w:val="clear" w:color="auto" w:fill="auto"/>
            <w:vAlign w:val="center"/>
          </w:tcPr>
          <w:p w14:paraId="581A26B8" w14:textId="77777777" w:rsidR="00017C04" w:rsidRDefault="00F50AF9">
            <w:pPr>
              <w:spacing w:before="0" w:after="0"/>
            </w:pPr>
            <w:r>
              <w:t>Trends in numbers of countries with national legislation and other policy measures relevant to the prevention and/or control of invasive alien species</w:t>
            </w:r>
          </w:p>
        </w:tc>
        <w:tc>
          <w:tcPr>
            <w:tcW w:w="2213" w:type="dxa"/>
            <w:shd w:val="clear" w:color="auto" w:fill="auto"/>
            <w:vAlign w:val="center"/>
          </w:tcPr>
          <w:p w14:paraId="7E4C32E3" w14:textId="77777777" w:rsidR="00017C04" w:rsidRDefault="00F50AF9">
            <w:pPr>
              <w:spacing w:before="0" w:after="0"/>
            </w:pPr>
            <w:r>
              <w:t>Proportion of countries adopting relevant national legislation and adequately resourcing the prevention or control of invasive alien species (SDG)</w:t>
            </w:r>
          </w:p>
        </w:tc>
        <w:tc>
          <w:tcPr>
            <w:tcW w:w="3814" w:type="dxa"/>
            <w:shd w:val="clear" w:color="auto" w:fill="auto"/>
            <w:vAlign w:val="center"/>
          </w:tcPr>
          <w:p w14:paraId="4C492AB2" w14:textId="22651E78" w:rsidR="00017C04" w:rsidRDefault="002660AB">
            <w:pPr>
              <w:spacing w:before="0" w:after="0"/>
            </w:pPr>
            <w:r w:rsidRPr="00A9434B">
              <w:t>Only 10% of reporting parties have national targets of similar scope and ambition to Aichi</w:t>
            </w:r>
            <w:r w:rsidR="00E82316" w:rsidRPr="00A9434B">
              <w:t xml:space="preserve"> Biodiversity</w:t>
            </w:r>
            <w:r w:rsidRPr="00A9434B">
              <w:t xml:space="preserve"> Target 9 and are on track to meet them </w:t>
            </w:r>
            <w:r w:rsidR="002737EF" w:rsidRPr="00A9434B">
              <w:fldChar w:fldCharType="begin"/>
            </w:r>
            <w:r w:rsidR="002D2756">
              <w:instrText xml:space="preserve"> ADDIN ZOTERO_ITEM CSL_CITATION {"citationID":"a1vt4nq5ari","properties":{"formattedCitation":"(CBD, 2020a)","plainCitation":"(CBD, 2020a)","noteIndex":0},"citationItems":[{"id":54629,"uris":["http://zotero.org/groups/2352922/items/GU93839X"],"itemData":{"id":54629,"type":"webpage","container-title":"Convention on Biological Diversity","language":"en","title":"Preparations for the Post-2020 Biodiversity Framework: Fifth meeting of the Open-ended Working Group on the Post-2020 Global Biodiversity Framework","URL":"https://www.cbd.int/conferences/post2020","author":[{"literal":"CBD"}],"accessed":{"date-parts":[["2023",3,2]]},"issued":{"date-parts":[["2020"]]}}}],"schema":"https://github.com/citation-style-language/schema/raw/master/csl-citation.json"} </w:instrText>
            </w:r>
            <w:r w:rsidR="002737EF" w:rsidRPr="00A9434B">
              <w:fldChar w:fldCharType="separate"/>
            </w:r>
            <w:r w:rsidR="002D2756" w:rsidRPr="002D2756">
              <w:t>(CBD, 2020a)</w:t>
            </w:r>
            <w:r w:rsidR="002737EF" w:rsidRPr="00A9434B">
              <w:fldChar w:fldCharType="end"/>
            </w:r>
            <w:r w:rsidR="002737EF" w:rsidRPr="00A9434B">
              <w:t xml:space="preserve">. </w:t>
            </w:r>
            <w:r w:rsidRPr="00A9434B">
              <w:t xml:space="preserve">Party self-assessment is variable as assessed against their own national targets </w:t>
            </w:r>
            <w:r w:rsidR="002737EF" w:rsidRPr="00A9434B">
              <w:fldChar w:fldCharType="begin"/>
            </w:r>
            <w:r w:rsidR="0006613E">
              <w:instrText xml:space="preserve"> ADDIN ZOTERO_ITEM CSL_CITATION {"citationID":"a2cgaiih6nq","properties":{"formattedCitation":"(Secretariat of the CBD, 2020)","plainCitation":"(Secretariat of the CBD, 2020)","noteIndex":0},"citationItems":[{"id":31283,"uris":["http://zotero.org/groups/2352922/items/L3F5ARQK","http://zotero.org/groups/2352922/items/P7BZ6TYF"],"itemData":{"id":31283,"type":"report","event-place":"Montreal, Canada","note":"ISBN-9789292256883","page":"211","publisher":"Secretariat of the Convention on Biological Diversity","publisher-place":"Montreal, Canada","title":"Global Biodiversity Outlook 5","URL":"https://www.cbd.int/gbo/gbo5/publication/gbo-5-en.pdf","author":[{"literal":"Secretariat of the CBD"}],"issued":{"date-parts":[["2020"]]}}}],"schema":"https://github.com/citation-style-language/schema/raw/master/csl-citation.json"} </w:instrText>
            </w:r>
            <w:r w:rsidR="002737EF" w:rsidRPr="00A9434B">
              <w:fldChar w:fldCharType="separate"/>
            </w:r>
            <w:r w:rsidR="00C71E80" w:rsidRPr="00A9434B">
              <w:t>(Secretariat of the CBD, 2020)</w:t>
            </w:r>
            <w:r w:rsidR="002737EF" w:rsidRPr="00A9434B">
              <w:fldChar w:fldCharType="end"/>
            </w:r>
            <w:r w:rsidR="002737EF" w:rsidRPr="00A9434B">
              <w:t xml:space="preserve">. </w:t>
            </w:r>
            <w:r w:rsidRPr="00A9434B">
              <w:t xml:space="preserve">Most countries (190) party to the CBD have some form of national legislation relevant to invasive alien species; 17 % of these are specifically focussed on invasive alien species </w:t>
            </w:r>
            <w:r w:rsidR="002737EF" w:rsidRPr="00A9434B">
              <w:fldChar w:fldCharType="begin"/>
            </w:r>
            <w:r w:rsidR="0006613E">
              <w:instrText xml:space="preserve"> ADDIN ZOTERO_ITEM CSL_CITATION {"citationID":"dic1cBDO","properties":{"formattedCitation":"(Pagad et al., 2020)","plainCitation":"(Pagad et al., 2020)","noteIndex":0},"citationItems":[{"id":30289,"uris":["http://zotero.org/groups/2352922/items/C44T2ZZP"],"itemData":{"id":30289,"type":"report","abstract":"Report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A."}],"accessed":{"date-parts":[["2021",8,25]]},"issued":{"date-parts":[["2020"]]}},"label":"page"}],"schema":"https://github.com/citation-style-language/schema/raw/master/csl-citation.json"} </w:instrText>
            </w:r>
            <w:r w:rsidR="002737EF" w:rsidRPr="00A9434B">
              <w:fldChar w:fldCharType="separate"/>
            </w:r>
            <w:r w:rsidR="00C71E80" w:rsidRPr="00A9434B">
              <w:t>(Pagad et al., 2020)</w:t>
            </w:r>
            <w:r w:rsidR="002737EF" w:rsidRPr="00A9434B">
              <w:fldChar w:fldCharType="end"/>
            </w:r>
            <w:r w:rsidRPr="00A9434B">
              <w:t xml:space="preserve">. 39% of </w:t>
            </w:r>
            <w:r w:rsidR="00F80082" w:rsidRPr="00A9434B">
              <w:t xml:space="preserve">countries have developed a national invasive species strategy and action plan </w:t>
            </w:r>
            <w:r w:rsidRPr="00A9434B">
              <w:t>(NIS</w:t>
            </w:r>
            <w:r w:rsidRPr="00215172">
              <w:t>SAP</w:t>
            </w:r>
            <w:r w:rsidR="00D81475" w:rsidRPr="00215172">
              <w:t>;</w:t>
            </w:r>
            <w:r w:rsidRPr="00215172">
              <w:t xml:space="preserve"> </w:t>
            </w:r>
            <w:r w:rsidR="002737EF" w:rsidRPr="00215172">
              <w:fldChar w:fldCharType="begin"/>
            </w:r>
            <w:r w:rsidR="0006613E">
              <w:instrText xml:space="preserve"> ADDIN ZOTERO_ITEM CSL_CITATION {"citationID":"YGOOi3el","properties":{"formattedCitation":"\\uldash{(Pagad et al., 2020)}","plainCitation":"(Pagad et al., 2020)","dontUpdate":true,"noteIndex":0},"citationItems":[{"id":30289,"uris":["http://zotero.org/groups/2352922/items/C44T2ZZP"],"itemData":{"id":30289,"type":"report","abstract":"Report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A."}],"accessed":{"date-parts":[["2021",8,25]]},"issued":{"date-parts":[["2020"]]}},"label":"page"}],"schema":"https://github.com/citation-style-language/schema/raw/master/csl-citation.json"} </w:instrText>
            </w:r>
            <w:r w:rsidR="002737EF" w:rsidRPr="00215172">
              <w:fldChar w:fldCharType="separate"/>
            </w:r>
            <w:r w:rsidR="002737EF" w:rsidRPr="00215172">
              <w:t>Pagad et al., 2020)</w:t>
            </w:r>
            <w:r w:rsidR="002737EF" w:rsidRPr="00215172">
              <w:fldChar w:fldCharType="end"/>
            </w:r>
            <w:r w:rsidRPr="00215172">
              <w:t>. 10% of countries rely entirely on international</w:t>
            </w:r>
            <w:r w:rsidRPr="00A9434B">
              <w:t xml:space="preserve"> funding for invasive alien species prevention and control activities </w:t>
            </w:r>
            <w:r w:rsidR="002737EF" w:rsidRPr="00A9434B">
              <w:fldChar w:fldCharType="begin"/>
            </w:r>
            <w:r w:rsidR="0006613E">
              <w:instrText xml:space="preserve"> ADDIN ZOTERO_ITEM CSL_CITATION {"citationID":"lKqMze5n","properties":{"formattedCitation":"(Pagad et al., 2020)","plainCitation":"(Pagad et al., 2020)","noteIndex":0},"citationItems":[{"id":30289,"uris":["http://zotero.org/groups/2352922/items/C44T2ZZP"],"itemData":{"id":30289,"type":"report","abstract":"Report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A."}],"accessed":{"date-parts":[["2021",8,25]]},"issued":{"date-parts":[["2020"]]}},"label":"page"}],"schema":"https://github.com/citation-style-language/schema/raw/master/csl-citation.json"} </w:instrText>
            </w:r>
            <w:r w:rsidR="002737EF" w:rsidRPr="00A9434B">
              <w:fldChar w:fldCharType="separate"/>
            </w:r>
            <w:r w:rsidR="00C71E80" w:rsidRPr="00A9434B">
              <w:t>(Pagad et al., 2020)</w:t>
            </w:r>
            <w:r w:rsidR="002737EF" w:rsidRPr="00A9434B">
              <w:fldChar w:fldCharType="end"/>
            </w:r>
            <w:r w:rsidRPr="00A9434B">
              <w:t>. Of the countries part</w:t>
            </w:r>
            <w:r w:rsidR="008A121F">
              <w:t>y</w:t>
            </w:r>
            <w:r w:rsidRPr="00A9434B">
              <w:t xml:space="preserve"> to the CBD (195), 80% have invasive alien species </w:t>
            </w:r>
            <w:r w:rsidR="00F80082" w:rsidRPr="00A9434B">
              <w:t>targets in their national biodiversity strategies and action plan</w:t>
            </w:r>
            <w:r w:rsidR="000E2F50" w:rsidRPr="00A9434B">
              <w:t>s (NBSAP</w:t>
            </w:r>
            <w:r w:rsidR="000B6FB8" w:rsidRPr="00A9434B">
              <w:t>s)</w:t>
            </w:r>
            <w:r w:rsidRPr="00A9434B">
              <w:t xml:space="preserve">, 74% are aligned with Aichi </w:t>
            </w:r>
            <w:r w:rsidR="00E82316" w:rsidRPr="00A9434B">
              <w:t xml:space="preserve">Biodiversity </w:t>
            </w:r>
            <w:r w:rsidRPr="00A9434B">
              <w:t xml:space="preserve">Target 9 </w:t>
            </w:r>
            <w:r w:rsidR="002737EF" w:rsidRPr="00A9434B">
              <w:fldChar w:fldCharType="begin"/>
            </w:r>
            <w:r w:rsidR="0006613E">
              <w:instrText xml:space="preserve"> ADDIN ZOTERO_ITEM CSL_CITATION {"citationID":"mRM98uCP","properties":{"formattedCitation":"(Pagad et al., 2020)","plainCitation":"(Pagad et al., 2020)","noteIndex":0},"citationItems":[{"id":30289,"uris":["http://zotero.org/groups/2352922/items/C44T2ZZP"],"itemData":{"id":30289,"type":"report","abstract":"Report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A."}],"accessed":{"date-parts":[["2021",8,25]]},"issued":{"date-parts":[["2020"]]}},"label":"page"}],"schema":"https://github.com/citation-style-language/schema/raw/master/csl-citation.json"} </w:instrText>
            </w:r>
            <w:r w:rsidR="002737EF" w:rsidRPr="00A9434B">
              <w:fldChar w:fldCharType="separate"/>
            </w:r>
            <w:r w:rsidR="00C71E80" w:rsidRPr="00A9434B">
              <w:t>(Pagad et al., 2020)</w:t>
            </w:r>
            <w:r w:rsidR="002737EF" w:rsidRPr="00A9434B">
              <w:fldChar w:fldCharType="end"/>
            </w:r>
            <w:r w:rsidRPr="00A9434B">
              <w:t>.</w:t>
            </w:r>
          </w:p>
        </w:tc>
      </w:tr>
      <w:tr w:rsidR="00017C04" w14:paraId="55C279F7" w14:textId="77777777" w:rsidTr="008521D1">
        <w:tc>
          <w:tcPr>
            <w:tcW w:w="1177" w:type="dxa"/>
            <w:vMerge w:val="restart"/>
            <w:shd w:val="clear" w:color="auto" w:fill="auto"/>
          </w:tcPr>
          <w:p w14:paraId="16C543AD" w14:textId="77777777" w:rsidR="00017C04" w:rsidRDefault="00F50AF9">
            <w:pPr>
              <w:spacing w:before="0" w:after="0"/>
            </w:pPr>
            <w:r>
              <w:t>Output</w:t>
            </w:r>
          </w:p>
        </w:tc>
        <w:tc>
          <w:tcPr>
            <w:tcW w:w="2005" w:type="dxa"/>
            <w:shd w:val="clear" w:color="auto" w:fill="auto"/>
            <w:vAlign w:val="center"/>
          </w:tcPr>
          <w:p w14:paraId="28C1F5FA" w14:textId="77777777" w:rsidR="00017C04" w:rsidRDefault="00F50AF9">
            <w:pPr>
              <w:spacing w:before="0" w:after="0"/>
            </w:pPr>
            <w:r w:rsidRPr="008521D1">
              <w:t xml:space="preserve">Trends in the prevention of invasive alien species </w:t>
            </w:r>
          </w:p>
        </w:tc>
        <w:tc>
          <w:tcPr>
            <w:tcW w:w="2213" w:type="dxa"/>
            <w:shd w:val="clear" w:color="auto" w:fill="auto"/>
            <w:vAlign w:val="center"/>
          </w:tcPr>
          <w:p w14:paraId="34063F27" w14:textId="77777777" w:rsidR="00017C04" w:rsidRDefault="00F50AF9">
            <w:pPr>
              <w:spacing w:before="0" w:after="0"/>
            </w:pPr>
            <w:r>
              <w:t xml:space="preserve">Measures are in place to manage pathways to prevent introduction and establishment; Priority species are controlled or eradicated (AT 9.4); </w:t>
            </w:r>
            <w:r>
              <w:lastRenderedPageBreak/>
              <w:t>Introduce measures to control or eradicate priority invasive alien species (SDG)</w:t>
            </w:r>
          </w:p>
        </w:tc>
        <w:tc>
          <w:tcPr>
            <w:tcW w:w="3814" w:type="dxa"/>
            <w:shd w:val="clear" w:color="auto" w:fill="auto"/>
            <w:vAlign w:val="center"/>
          </w:tcPr>
          <w:p w14:paraId="6EB19202" w14:textId="0870454B" w:rsidR="00017C04" w:rsidRDefault="00F50AF9">
            <w:pPr>
              <w:spacing w:before="0" w:after="0"/>
            </w:pPr>
            <w:r>
              <w:lastRenderedPageBreak/>
              <w:t xml:space="preserve">There has been no significant overall progress towards this target </w:t>
            </w:r>
            <w:r w:rsidR="002737EF" w:rsidRPr="00A9434B">
              <w:fldChar w:fldCharType="begin"/>
            </w:r>
            <w:r w:rsidR="0006613E">
              <w:instrText xml:space="preserve"> ADDIN ZOTERO_ITEM CSL_CITATION {"citationID":"a16mai09s7a","properties":{"formattedCitation":"(Secretariat of the CBD, 2014)","plainCitation":"(Secretariat of the CBD, 2014)","noteIndex":0},"citationItems":[{"id":31282,"uris":["http://zotero.org/groups/2352922/items/SBR86XJZ"],"itemData":{"id":31282,"type":"report","event-place":"Montréal, Canada","note":"page: 155\nISBN: 92-9225-540-1","page":"155","publisher":"Secretariat of the Convention on Biological Diversity","publisher-place":"Montréal, Canada","title":"Global Biodiversity Outlook 4","URL":"https://www.cbd.int/gbo/gbo4/publication/gbo4-en-hr.pdf","author":[{"literal":"Secretariat of the CBD"}],"issued":{"date-parts":[["2014"]]}}}],"schema":"https://github.com/citation-style-language/schema/raw/master/csl-citation.json"} </w:instrText>
            </w:r>
            <w:r w:rsidR="002737EF" w:rsidRPr="00A9434B">
              <w:fldChar w:fldCharType="separate"/>
            </w:r>
            <w:r w:rsidR="00C71E80" w:rsidRPr="00A9434B">
              <w:t>(Secretariat of the CBD, 2014)</w:t>
            </w:r>
            <w:r w:rsidR="002737EF" w:rsidRPr="00A9434B">
              <w:fldChar w:fldCharType="end"/>
            </w:r>
            <w:r w:rsidR="002660AB" w:rsidRPr="00A9434B">
              <w:t>.</w:t>
            </w:r>
            <w:r>
              <w:t xml:space="preserve"> Some measures have been put in place but are not sufficient to prevent the continuing increase in invasive alien species. </w:t>
            </w:r>
          </w:p>
          <w:p w14:paraId="2D3B4493" w14:textId="77777777" w:rsidR="00017C04" w:rsidRDefault="00017C04">
            <w:pPr>
              <w:spacing w:before="0" w:after="0"/>
            </w:pPr>
          </w:p>
        </w:tc>
      </w:tr>
      <w:tr w:rsidR="00017C04" w14:paraId="64D68575" w14:textId="77777777" w:rsidTr="008521D1">
        <w:tc>
          <w:tcPr>
            <w:tcW w:w="1177" w:type="dxa"/>
            <w:vMerge/>
          </w:tcPr>
          <w:p w14:paraId="20CDEC46" w14:textId="77777777" w:rsidR="00017C04" w:rsidRDefault="00017C04" w:rsidP="008521D1">
            <w:pPr>
              <w:widowControl w:val="0"/>
              <w:pBdr>
                <w:top w:val="nil"/>
                <w:left w:val="nil"/>
                <w:bottom w:val="nil"/>
                <w:right w:val="nil"/>
                <w:between w:val="nil"/>
              </w:pBdr>
              <w:spacing w:before="0" w:after="0" w:line="276" w:lineRule="auto"/>
            </w:pPr>
          </w:p>
        </w:tc>
        <w:tc>
          <w:tcPr>
            <w:tcW w:w="2005" w:type="dxa"/>
            <w:shd w:val="clear" w:color="auto" w:fill="auto"/>
            <w:vAlign w:val="center"/>
          </w:tcPr>
          <w:p w14:paraId="16EDF05B" w14:textId="77777777" w:rsidR="00017C04" w:rsidRPr="008521D1" w:rsidRDefault="00F50AF9">
            <w:pPr>
              <w:spacing w:before="0" w:after="0"/>
            </w:pPr>
            <w:r w:rsidRPr="008521D1">
              <w:t xml:space="preserve">Growth in information relevant to informing policy on </w:t>
            </w:r>
            <w:r>
              <w:t>invasive alien species</w:t>
            </w:r>
            <w:r w:rsidRPr="008521D1">
              <w:t xml:space="preserve"> prevention and control</w:t>
            </w:r>
          </w:p>
        </w:tc>
        <w:tc>
          <w:tcPr>
            <w:tcW w:w="2213" w:type="dxa"/>
            <w:shd w:val="clear" w:color="auto" w:fill="auto"/>
            <w:vAlign w:val="center"/>
          </w:tcPr>
          <w:p w14:paraId="412A8C01" w14:textId="77777777" w:rsidR="00017C04" w:rsidRDefault="00F50AF9">
            <w:pPr>
              <w:spacing w:before="0" w:after="0"/>
            </w:pPr>
            <w:r>
              <w:t>none</w:t>
            </w:r>
          </w:p>
        </w:tc>
        <w:tc>
          <w:tcPr>
            <w:tcW w:w="3814" w:type="dxa"/>
            <w:shd w:val="clear" w:color="auto" w:fill="auto"/>
            <w:vAlign w:val="center"/>
          </w:tcPr>
          <w:p w14:paraId="1849DE01" w14:textId="77777777" w:rsidR="00017C04" w:rsidRPr="008521D1" w:rsidRDefault="00F50AF9">
            <w:pPr>
              <w:spacing w:before="0" w:after="0"/>
            </w:pPr>
            <w:r w:rsidRPr="008521D1">
              <w:t>In progress</w:t>
            </w:r>
          </w:p>
        </w:tc>
      </w:tr>
      <w:tr w:rsidR="00017C04" w14:paraId="1A6B7FD4" w14:textId="77777777" w:rsidTr="008521D1">
        <w:tc>
          <w:tcPr>
            <w:tcW w:w="1177" w:type="dxa"/>
            <w:vMerge w:val="restart"/>
            <w:shd w:val="clear" w:color="auto" w:fill="auto"/>
          </w:tcPr>
          <w:p w14:paraId="14CAC315" w14:textId="77777777" w:rsidR="00017C04" w:rsidRDefault="00F50AF9">
            <w:pPr>
              <w:spacing w:before="0" w:after="0"/>
            </w:pPr>
            <w:r>
              <w:t>Outcome</w:t>
            </w:r>
          </w:p>
        </w:tc>
        <w:tc>
          <w:tcPr>
            <w:tcW w:w="2005" w:type="dxa"/>
            <w:vMerge w:val="restart"/>
            <w:shd w:val="clear" w:color="auto" w:fill="auto"/>
            <w:vAlign w:val="center"/>
          </w:tcPr>
          <w:p w14:paraId="41AAAD7B" w14:textId="77777777" w:rsidR="00017C04" w:rsidRDefault="00F50AF9">
            <w:pPr>
              <w:spacing w:before="0" w:after="0"/>
            </w:pPr>
            <w:r>
              <w:t>Trends in successful control and eradications of invasive alien species</w:t>
            </w:r>
          </w:p>
        </w:tc>
        <w:tc>
          <w:tcPr>
            <w:tcW w:w="2213" w:type="dxa"/>
            <w:shd w:val="clear" w:color="auto" w:fill="auto"/>
            <w:vAlign w:val="center"/>
          </w:tcPr>
          <w:p w14:paraId="4BCE3202" w14:textId="77777777" w:rsidR="00017C04" w:rsidRDefault="00F50AF9">
            <w:pPr>
              <w:spacing w:before="0" w:after="0"/>
            </w:pPr>
            <w:r>
              <w:t>Priority species are eradicated (AT 9.3)</w:t>
            </w:r>
          </w:p>
        </w:tc>
        <w:tc>
          <w:tcPr>
            <w:tcW w:w="3814" w:type="dxa"/>
            <w:shd w:val="clear" w:color="auto" w:fill="auto"/>
            <w:vAlign w:val="center"/>
          </w:tcPr>
          <w:p w14:paraId="27A3E7D3" w14:textId="6C0AED20" w:rsidR="002660AB" w:rsidRPr="00A9434B" w:rsidRDefault="000800DC" w:rsidP="00AE1CAA">
            <w:pPr>
              <w:spacing w:before="0" w:after="0"/>
            </w:pPr>
            <w:r w:rsidRPr="00A9434B">
              <w:t xml:space="preserve">Progress towards target, but at an insufficient rate </w:t>
            </w:r>
            <w:r w:rsidRPr="00A9434B">
              <w:fldChar w:fldCharType="begin"/>
            </w:r>
            <w:r w:rsidR="0006613E">
              <w:instrText xml:space="preserve"> ADDIN ZOTERO_ITEM CSL_CITATION {"citationID":"a294a4jhcbb","properties":{"formattedCitation":"(Secretariat of the CBD, 2020)","plainCitation":"(Secretariat of the CBD, 2020)","noteIndex":0},"citationItems":[{"id":31283,"uris":["http://zotero.org/groups/2352922/items/L3F5ARQK","http://zotero.org/groups/2352922/items/P7BZ6TYF"],"itemData":{"id":31283,"type":"report","event-place":"Montreal, Canada","note":"ISBN-9789292256883","page":"211","publisher":"Secretariat of the Convention on Biological Diversity","publisher-place":"Montreal, Canada","title":"Global Biodiversity Outlook 5","URL":"https://www.cbd.int/gbo/gbo5/publication/gbo-5-en.pdf","author":[{"literal":"Secretariat of the CBD"}],"issued":{"date-parts":[["2020"]]}},"label":"page"}],"schema":"https://github.com/citation-style-language/schema/raw/master/csl-citation.json"} </w:instrText>
            </w:r>
            <w:r w:rsidRPr="00A9434B">
              <w:fldChar w:fldCharType="separate"/>
            </w:r>
            <w:r w:rsidRPr="00A9434B">
              <w:t>(Secretariat of the CBD, 2020)</w:t>
            </w:r>
            <w:r w:rsidRPr="00A9434B">
              <w:fldChar w:fldCharType="end"/>
            </w:r>
            <w:r w:rsidRPr="00A9434B">
              <w:t>. Some control and eradication, but data limited. Progress has been made, but Target has not been achieved.</w:t>
            </w:r>
            <w:r w:rsidR="002660AB" w:rsidRPr="00A9434B">
              <w:t xml:space="preserve">25% of invasive alien species mammal eradications on islands have occurred since 2010 </w:t>
            </w:r>
            <w:r w:rsidR="002737EF" w:rsidRPr="00A9434B">
              <w:fldChar w:fldCharType="begin"/>
            </w:r>
            <w:r w:rsidR="0006613E">
              <w:instrText xml:space="preserve"> ADDIN ZOTERO_ITEM CSL_CITATION {"citationID":"DGkUtV0o","properties":{"formattedCitation":"(Secretariat of the CBD, 2014, 2020)","plainCitation":"(Secretariat of the CBD, 2014, 2020)","noteIndex":0},"citationItems":[{"id":31282,"uris":["http://zotero.org/groups/2352922/items/SBR86XJZ"],"itemData":{"id":31282,"type":"report","event-place":"Montréal, Canada","note":"page: 155\nISBN: 92-9225-540-1","page":"155","publisher":"Secretariat of the Convention on Biological Diversity","publisher-place":"Montréal, Canada","title":"Global Biodiversity Outlook 4","URL":"https://www.cbd.int/gbo/gbo4/publication/gbo4-en-hr.pdf","author":[{"literal":"Secretariat of the CBD"}],"issued":{"date-parts":[["2014"]]}},"label":"page"},{"id":31283,"uris":["http://zotero.org/groups/2352922/items/L3F5ARQK","http://zotero.org/groups/2352922/items/P7BZ6TYF"],"itemData":{"id":31283,"type":"report","event-place":"Montreal, Canada","note":"ISBN-9789292256883","page":"211","publisher":"Secretariat of the Convention on Biological Diversity","publisher-place":"Montreal, Canada","title":"Global Biodiversity Outlook 5","URL":"https://www.cbd.int/gbo/gbo5/publication/gbo-5-en.pdf","author":[{"literal":"Secretariat of the CBD"}],"issued":{"date-parts":[["2020"]]}},"label":"page"}],"schema":"https://github.com/citation-style-language/schema/raw/master/csl-citation.json"} </w:instrText>
            </w:r>
            <w:r w:rsidR="002737EF" w:rsidRPr="00A9434B">
              <w:fldChar w:fldCharType="separate"/>
            </w:r>
            <w:r w:rsidR="00C71E80" w:rsidRPr="00A9434B">
              <w:t>(Secretariat of the CBD, 2014, 2020)</w:t>
            </w:r>
            <w:r w:rsidR="002737EF" w:rsidRPr="00A9434B">
              <w:fldChar w:fldCharType="end"/>
            </w:r>
            <w:r w:rsidR="002660AB" w:rsidRPr="00A9434B">
              <w:t>.</w:t>
            </w:r>
          </w:p>
          <w:p w14:paraId="6EE9CD07" w14:textId="77777777" w:rsidR="00017C04" w:rsidRDefault="00017C04">
            <w:pPr>
              <w:spacing w:before="0" w:after="0"/>
            </w:pPr>
          </w:p>
        </w:tc>
      </w:tr>
      <w:tr w:rsidR="00017C04" w14:paraId="58654517" w14:textId="77777777" w:rsidTr="008521D1">
        <w:tc>
          <w:tcPr>
            <w:tcW w:w="1177" w:type="dxa"/>
            <w:vMerge/>
          </w:tcPr>
          <w:p w14:paraId="2913AC47" w14:textId="77777777" w:rsidR="00017C04" w:rsidRDefault="00017C04" w:rsidP="008521D1">
            <w:pPr>
              <w:spacing w:before="0" w:after="0"/>
            </w:pPr>
          </w:p>
        </w:tc>
        <w:tc>
          <w:tcPr>
            <w:tcW w:w="2005" w:type="dxa"/>
            <w:vMerge/>
            <w:vAlign w:val="center"/>
          </w:tcPr>
          <w:p w14:paraId="72C4E579" w14:textId="77777777" w:rsidR="00017C04" w:rsidRDefault="00017C04" w:rsidP="008521D1">
            <w:pPr>
              <w:spacing w:before="0" w:after="0"/>
            </w:pPr>
          </w:p>
        </w:tc>
        <w:tc>
          <w:tcPr>
            <w:tcW w:w="2213" w:type="dxa"/>
            <w:shd w:val="clear" w:color="auto" w:fill="auto"/>
            <w:vAlign w:val="center"/>
          </w:tcPr>
          <w:p w14:paraId="06A45051" w14:textId="77777777" w:rsidR="00017C04" w:rsidRDefault="00F50AF9">
            <w:pPr>
              <w:spacing w:before="0" w:after="0"/>
            </w:pPr>
            <w:r>
              <w:t>Priority species are controlled (AT 9.3)</w:t>
            </w:r>
          </w:p>
        </w:tc>
        <w:tc>
          <w:tcPr>
            <w:tcW w:w="3814" w:type="dxa"/>
            <w:shd w:val="clear" w:color="auto" w:fill="auto"/>
            <w:vAlign w:val="center"/>
          </w:tcPr>
          <w:p w14:paraId="68A9E28E" w14:textId="17DFB123" w:rsidR="00017C04" w:rsidRDefault="002660AB">
            <w:pPr>
              <w:spacing w:before="0" w:after="0"/>
            </w:pPr>
            <w:r w:rsidRPr="00A9434B">
              <w:t xml:space="preserve">Data limited </w:t>
            </w:r>
            <w:r w:rsidR="002737EF" w:rsidRPr="00A9434B">
              <w:fldChar w:fldCharType="begin"/>
            </w:r>
            <w:r w:rsidR="0006613E">
              <w:instrText xml:space="preserve"> ADDIN ZOTERO_ITEM CSL_CITATION {"citationID":"fQHI9oCJ","properties":{"formattedCitation":"(Secretariat of the CBD, 2020)","plainCitation":"(Secretariat of the CBD, 2020)","noteIndex":0},"citationItems":[{"id":31283,"uris":["http://zotero.org/groups/2352922/items/L3F5ARQK","http://zotero.org/groups/2352922/items/P7BZ6TYF"],"itemData":{"id":31283,"type":"report","event-place":"Montreal, Canada","note":"ISBN-9789292256883","page":"211","publisher":"Secretariat of the Convention on Biological Diversity","publisher-place":"Montreal, Canada","title":"Global Biodiversity Outlook 5","URL":"https://www.cbd.int/gbo/gbo5/publication/gbo-5-en.pdf","author":[{"literal":"Secretariat of the CBD"}],"issued":{"date-parts":[["2020"]]}},"label":"page"}],"schema":"https://github.com/citation-style-language/schema/raw/master/csl-citation.json"} </w:instrText>
            </w:r>
            <w:r w:rsidR="002737EF" w:rsidRPr="00A9434B">
              <w:fldChar w:fldCharType="separate"/>
            </w:r>
            <w:r w:rsidR="00C71E80" w:rsidRPr="00A9434B">
              <w:t>(Secretariat of the CBD, 2020)</w:t>
            </w:r>
            <w:r w:rsidR="002737EF" w:rsidRPr="00A9434B">
              <w:fldChar w:fldCharType="end"/>
            </w:r>
            <w:r w:rsidR="002737EF" w:rsidRPr="00A9434B">
              <w:t xml:space="preserve">. </w:t>
            </w:r>
            <w:r w:rsidRPr="00A9434B">
              <w:t>Target unlikely to have been achieved.</w:t>
            </w:r>
          </w:p>
        </w:tc>
      </w:tr>
    </w:tbl>
    <w:p w14:paraId="0BB7C874" w14:textId="77777777" w:rsidR="00B53AEF" w:rsidRPr="00A9434B" w:rsidRDefault="76EE8D46" w:rsidP="008521D1">
      <w:pPr>
        <w:pStyle w:val="Heading2"/>
      </w:pPr>
      <w:bookmarkStart w:id="51" w:name="_Toc75698958"/>
      <w:bookmarkStart w:id="52" w:name="_Toc1278556182"/>
      <w:bookmarkStart w:id="53" w:name="_Toc133428295"/>
      <w:bookmarkStart w:id="54" w:name="_Toc133428781"/>
      <w:bookmarkStart w:id="55" w:name="_Toc147417575"/>
      <w:r w:rsidRPr="00A9434B">
        <w:t>Specific p</w:t>
      </w:r>
      <w:r w:rsidR="7A40E722" w:rsidRPr="00A9434B">
        <w:t>rogress towards governance-related invasive alien species goals</w:t>
      </w:r>
      <w:bookmarkEnd w:id="51"/>
      <w:bookmarkEnd w:id="52"/>
      <w:bookmarkEnd w:id="53"/>
      <w:bookmarkEnd w:id="54"/>
      <w:bookmarkEnd w:id="55"/>
    </w:p>
    <w:p w14:paraId="2491BA2C" w14:textId="77777777" w:rsidR="00737EF9" w:rsidRPr="00A9434B" w:rsidRDefault="7FFE9184" w:rsidP="00737EF9">
      <w:pPr>
        <w:pStyle w:val="Heading5"/>
      </w:pPr>
      <w:r w:rsidRPr="00A9434B">
        <w:t xml:space="preserve">Response plans and monitoring </w:t>
      </w:r>
      <w:r w:rsidR="1614F4C5" w:rsidRPr="00A9434B">
        <w:t>for</w:t>
      </w:r>
      <w:r w:rsidRPr="00A9434B">
        <w:t xml:space="preserve"> invasive alien species </w:t>
      </w:r>
    </w:p>
    <w:p w14:paraId="059FEE06" w14:textId="087B1656" w:rsidR="00B53AEF" w:rsidRPr="00215172" w:rsidRDefault="7FFE9184" w:rsidP="00737EF9">
      <w:pPr>
        <w:spacing w:before="0"/>
      </w:pPr>
      <w:r w:rsidRPr="00A9434B">
        <w:t xml:space="preserve">In general, </w:t>
      </w:r>
      <w:r w:rsidR="6F7E6707" w:rsidRPr="00A9434B">
        <w:t xml:space="preserve">goals specific to societal </w:t>
      </w:r>
      <w:r w:rsidR="006F6E1F" w:rsidRPr="00A9434B">
        <w:t>“</w:t>
      </w:r>
      <w:r w:rsidRPr="00A9434B">
        <w:t>response</w:t>
      </w:r>
      <w:r w:rsidR="6F7E6707" w:rsidRPr="00A9434B">
        <w:t>s</w:t>
      </w:r>
      <w:r w:rsidR="006F6E1F" w:rsidRPr="00A9434B">
        <w:t>”</w:t>
      </w:r>
      <w:r w:rsidRPr="00A9434B">
        <w:t xml:space="preserve"> </w:t>
      </w:r>
      <w:r w:rsidR="6F7E6707" w:rsidRPr="00A9434B">
        <w:t>to</w:t>
      </w:r>
      <w:r w:rsidRPr="00A9434B">
        <w:t xml:space="preserve"> </w:t>
      </w:r>
      <w:r w:rsidR="2E38B11C" w:rsidRPr="00A9434B">
        <w:t>biological invasions</w:t>
      </w:r>
      <w:r w:rsidRPr="00A9434B">
        <w:t xml:space="preserve"> are very poorly developed, as is the availability of data on response plans and response monitoring </w:t>
      </w:r>
      <w:r w:rsidR="00F806B6" w:rsidRPr="00A9434B">
        <w:t>(</w:t>
      </w:r>
      <w:r w:rsidRPr="00673554">
        <w:rPr>
          <w:b/>
          <w:iCs/>
        </w:rPr>
        <w:t>section 6.6.</w:t>
      </w:r>
      <w:r w:rsidR="4D88F152" w:rsidRPr="00673554">
        <w:rPr>
          <w:b/>
          <w:iCs/>
        </w:rPr>
        <w:t>3</w:t>
      </w:r>
      <w:r w:rsidR="00585D0E" w:rsidRPr="00673554">
        <w:rPr>
          <w:iCs/>
        </w:rPr>
        <w:t>;</w:t>
      </w:r>
      <w:r w:rsidR="2E38B11C" w:rsidRPr="00215172">
        <w:t xml:space="preserve"> </w:t>
      </w:r>
      <w:r w:rsidR="00CF3CE1" w:rsidRPr="00215172">
        <w:fldChar w:fldCharType="begin"/>
      </w:r>
      <w:r w:rsidR="0006613E">
        <w:instrText xml:space="preserve"> ADDIN ZOTERO_ITEM CSL_CITATION {"citationID":"au92djtv3u","properties":{"formattedCitation":"\\uldash{(Vicente et al., 2021)}","plainCitation":"(Vicente et al., 2021)","dontUpdate":true,"noteIndex":0},"citationItems":[{"id":32784,"uris":["http://zotero.org/groups/2352922/items/QYN838AY"],"itemData":{"id":32784,"type":"article-journal","abstract":"Monitoring the progress parties have made toward meeting global biodiversity targets requires appropriate indicators. The recognition of Invasive alien species (IAS) as a biodiversity threat has led to the development of specific targets aiming at reducing their prevalence and impact. However, indicators for adequately monitoring and reporting on the status of biological invasions have been slow to emerge, with those that exist being arguably insufficient. We performed a systematic review of the peer-reviewed literature to assess the adequacy of existing IAS indicators against a range of policy-relevant and scientifically valid properties. We found that very few indicators have most of the desirable properties, and that existing indicators are unevenly spread across the components of the Driver-Pressure-State-Response and Theory of Change frameworks. We provide three possible reasons for this: i) inadequate attention paid to the requirements of an effective IAS indicator, (ii) insufficient data required to populate and inform policy-relevant, scientifically robust indicators, or (iii) deficient investment in the development and maintenance of IAS indicators. This review includes a gap analysis of where current inadequacies in IAS indicators exist, and provides a roadmap for the future development of indicators capable of measuring progress made toward mitigating and halting biological invasions.","container-title":"Conservation Letters","DOI":"10.1111/conl.12918","issue":"5","language":"en-us","note":"DOI: 10.32942/osf.io/mn52e\ntype: article","page":"e12918","source":"OSF Preprints","title":"Existing indicators do not adequately monitor progress towards meeting invasive alien species targets","URL":"https://ecoevorxiv.org/mn52e/","volume":"15","author":[{"family":"Vicente","given":"Joana Raquel Silva"},{"family":"Vaz","given":"Ana Sofia"},{"family":"Roige","given":"Mariona"},{"family":"Winter","given":"Marten"},{"family":"Clarke","given":"David"},{"family":"Lenzner","given":"Bernd"},{"family":"McGeoch","given":"Melodie A."}],"accessed":{"date-parts":[["2021",12,6]]},"issued":{"date-parts":[["2022"]]}},"label":"page"}],"schema":"https://github.com/citation-style-language/schema/raw/master/csl-citation.json"} </w:instrText>
      </w:r>
      <w:r w:rsidR="00CF3CE1" w:rsidRPr="00215172">
        <w:fldChar w:fldCharType="separate"/>
      </w:r>
      <w:r w:rsidR="002737EF" w:rsidRPr="00215172">
        <w:t>Vicente et al., 2021)</w:t>
      </w:r>
      <w:r w:rsidR="00CF3CE1" w:rsidRPr="00215172">
        <w:fldChar w:fldCharType="end"/>
      </w:r>
      <w:r w:rsidRPr="00215172">
        <w:t xml:space="preserve">. Nonetheless, </w:t>
      </w:r>
      <w:r w:rsidR="4D88F152" w:rsidRPr="00215172">
        <w:t xml:space="preserve">some components of </w:t>
      </w:r>
      <w:r w:rsidRPr="00215172">
        <w:t xml:space="preserve">existing </w:t>
      </w:r>
      <w:r w:rsidR="4D88F152" w:rsidRPr="00215172">
        <w:t xml:space="preserve">invasion </w:t>
      </w:r>
      <w:r w:rsidRPr="00215172">
        <w:t xml:space="preserve">targets and associated indicators fall into this </w:t>
      </w:r>
      <w:r w:rsidR="006F6E1F" w:rsidRPr="00215172">
        <w:t>“</w:t>
      </w:r>
      <w:r w:rsidR="48EC3158" w:rsidRPr="00215172">
        <w:t>r</w:t>
      </w:r>
      <w:r w:rsidRPr="00215172">
        <w:t>esponse</w:t>
      </w:r>
      <w:r w:rsidR="006F6E1F" w:rsidRPr="00215172">
        <w:t>”</w:t>
      </w:r>
      <w:r w:rsidRPr="00215172">
        <w:t xml:space="preserve"> category, and </w:t>
      </w:r>
      <w:r w:rsidR="5771D6C7" w:rsidRPr="00215172">
        <w:t xml:space="preserve">these </w:t>
      </w:r>
      <w:r w:rsidRPr="00215172">
        <w:t xml:space="preserve">are highly relevant to the governance </w:t>
      </w:r>
      <w:r w:rsidR="008C4602" w:rsidRPr="00215172">
        <w:t>for biological invasions</w:t>
      </w:r>
      <w:r w:rsidRPr="00215172">
        <w:t xml:space="preserve"> at global and national scales. These include the existence and uptake of </w:t>
      </w:r>
      <w:r w:rsidR="682C0486" w:rsidRPr="00215172">
        <w:t>multilateral</w:t>
      </w:r>
      <w:r w:rsidRPr="00215172">
        <w:t xml:space="preserve"> agreements and national legislation relevant to the prevention and control of invasive alien species, and resourcing of invasive alien species prevention and control activities </w:t>
      </w:r>
      <w:r w:rsidR="00CF3CE1" w:rsidRPr="00215172">
        <w:fldChar w:fldCharType="begin"/>
      </w:r>
      <w:r w:rsidR="002D2756">
        <w:instrText xml:space="preserve"> ADDIN ZOTERO_ITEM CSL_CITATION {"citationID":"a2jqohnjuu8","properties":{"formattedCitation":"\\uldash{(McGeoch et al., 2010; Pagad et al., 2020)}","plainCitation":"(McGeoch et al., 2010; Pagad et al., 2020)","dontUpdate":true,"noteIndex":0},"citationItems":[{"id":"SnSXgYY3/WWzzJk3K","uris":["http://zotero.org/groups/2352922/items/TA9WEFBP"],"itemData":{"id":28832,"type":"article-journal","abstract":"Aim Invasive alien species (IAS) pose a significant threat to biodiversity. The Convention on Biological Diversity’s 2010 Biodiversity Target, and the associated indicator for IAS, has stimulated globally coordinated efforts to quantify patterns in the extent of biological invasion, its impact on biodiversity and policy responses. Here, we report on the outcome of indicators of alien invasion at a global scale. Location Global. Methods We developed four indicators in a pressure-state-response framework, i.e. number of documented IAS (pressure), trends in the impact of IAS on biodiversity (state) and trends in international agreements and national policy adoption relevant to reducing IAS threats to biodiversity (response). These measures were considered best suited to providing globally representative, standardized and sustainable indicators by 2010. Results We show that the number of documented IAS is a significant underestimate, because its value is negatively affected by country development status and positively by research effort and information availability. The Red List Index demonstrates that IAS pressure is driving declines in species diversity, with the overall impact apparently increasing. The policy response trend has nonetheless been positive for the last several decades, although only half of countries that are signatory to the Convention on Biological Diversity (CBD) have IAS-relevant national legislation. Although IAS pressure has apparently driven the policy response, this has clearly not been sufficient and/or adequately implemented to reduce biodiversity impact. Main conclusions For this indicator of threat to biodiversity, the 2010 Biodiversity Target has thus not been achieved. The results nonetheless provide clear direction for bridging the current divide between information available on IAS and that needed for policy and management for the prevention and control of IAS. It further highlights the need for measures to ensure that policy is effectively implemented, such that it translates into reduced IAS pressure and impact on biodiversity beyond 2010.","container-title":"Diversity and Distributions","DOI":"10.1111/j.1472-4642.2009.00633.x","ISSN":"1472-4642","issue":"1","language":"en","license":"© 2010 Blackwell Publishing Ltd","page":"95-108","source":"Wiley Online Library","title":"Global indicators of biological invasion: species numbers, biodiversity impact and policy responses","title-short":"Global indicators of biological invasion","URL":"https://doi.org/10.1111/j.1472-4642.2009.00633.x","volume":"16","author":[{"family":"McGeoch","given":"Melodie A."},{"family":"Butchart","given":"Stuart H. M."},{"family":"Spear","given":"Dian"},{"family":"Marais","given":"Elrike"},{"family":"Kleynhans","given":"Elizabeth J."},{"family":"Symes","given":"Andy"},{"family":"Chanson","given":"Janice"},{"family":"Hoffmann","given":"Michael"}],"accessed":{"date-parts":[["2019",4,16]]},"issued":{"date-parts":[["2010"]]}},"label":"page"},{"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A."}],"accessed":{"date-parts":[["2021",8,25]]},"issued":{"date-parts":[["2020"]]}},"label":"page"}],"schema":"https://github.com/citation-style-language/schema/raw/master/csl-citation.json"} </w:instrText>
      </w:r>
      <w:r w:rsidR="00CF3CE1" w:rsidRPr="00215172">
        <w:fldChar w:fldCharType="separate"/>
      </w:r>
      <w:r w:rsidR="002737EF" w:rsidRPr="00215172">
        <w:t>(McGeoch et al., 2010; Pagad et al., 2020</w:t>
      </w:r>
      <w:r w:rsidR="00CF3CE1" w:rsidRPr="00215172">
        <w:fldChar w:fldCharType="end"/>
      </w:r>
      <w:r w:rsidR="00D81475" w:rsidRPr="00215172">
        <w:t>;</w:t>
      </w:r>
      <w:r w:rsidR="3C7A5268" w:rsidRPr="00215172">
        <w:t xml:space="preserve"> </w:t>
      </w:r>
      <w:r w:rsidR="153B2E30" w:rsidRPr="00673554">
        <w:rPr>
          <w:b/>
          <w:iCs/>
        </w:rPr>
        <w:t>section 6.6.3</w:t>
      </w:r>
      <w:r w:rsidR="153B2E30" w:rsidRPr="00215172">
        <w:t>)</w:t>
      </w:r>
      <w:r w:rsidR="2E38B11C" w:rsidRPr="00215172">
        <w:t>.</w:t>
      </w:r>
    </w:p>
    <w:p w14:paraId="390F344A" w14:textId="77777777" w:rsidR="00017C04" w:rsidRDefault="00F50AF9">
      <w:pPr>
        <w:pStyle w:val="Heading5"/>
        <w:rPr>
          <w:i/>
        </w:rPr>
      </w:pPr>
      <w:r>
        <w:t>Multilateral agreements</w:t>
      </w:r>
    </w:p>
    <w:p w14:paraId="1755D2DA" w14:textId="22DD99BD" w:rsidR="00017C04" w:rsidRDefault="00F50AF9" w:rsidP="56C59A3A">
      <w:pPr>
        <w:spacing w:before="0"/>
        <w:rPr>
          <w:i/>
          <w:iCs/>
        </w:rPr>
      </w:pPr>
      <w:bookmarkStart w:id="56" w:name="_heading=h.35nkun2"/>
      <w:bookmarkEnd w:id="56"/>
      <w:r>
        <w:t>Monitoring of the response targets that do exist (</w:t>
      </w:r>
      <w:r w:rsidRPr="56C59A3A">
        <w:rPr>
          <w:b/>
          <w:bCs/>
        </w:rPr>
        <w:t>section 6.6.3</w:t>
      </w:r>
      <w:r>
        <w:t xml:space="preserve">) shows that there has been a small increase in the number of countries that are signatories of seven relevant multilateral agreements in the last decade, and country adoption ranges from about 60 per cent to 98 per cent across these agreements </w:t>
      </w:r>
      <w:r w:rsidR="68EABEB8" w:rsidRPr="00215172">
        <w:t>(</w:t>
      </w:r>
      <w:r w:rsidR="00CD5E56" w:rsidRPr="00673554">
        <w:rPr>
          <w:b/>
          <w:iCs/>
        </w:rPr>
        <w:fldChar w:fldCharType="begin"/>
      </w:r>
      <w:r w:rsidR="00CD5E56" w:rsidRPr="00673554">
        <w:rPr>
          <w:b/>
          <w:iCs/>
        </w:rPr>
        <w:instrText xml:space="preserve"> REF _Ref113376165 \h  \* MERGEFORMAT </w:instrText>
      </w:r>
      <w:r w:rsidR="00CD5E56" w:rsidRPr="00673554">
        <w:rPr>
          <w:b/>
          <w:iCs/>
        </w:rPr>
      </w:r>
      <w:r w:rsidR="00CD5E56" w:rsidRPr="00673554">
        <w:rPr>
          <w:b/>
          <w:iCs/>
        </w:rPr>
        <w:fldChar w:fldCharType="separate"/>
      </w:r>
      <w:r w:rsidR="0011368C" w:rsidRPr="00673554">
        <w:rPr>
          <w:b/>
          <w:iCs/>
        </w:rPr>
        <w:t>Figure 6.2</w:t>
      </w:r>
      <w:r w:rsidR="00CD5E56" w:rsidRPr="00673554">
        <w:rPr>
          <w:b/>
          <w:iCs/>
        </w:rPr>
        <w:fldChar w:fldCharType="end"/>
      </w:r>
      <w:r w:rsidR="5DF5DCA8" w:rsidRPr="00215172">
        <w:t>;</w:t>
      </w:r>
      <w:r w:rsidR="68EABEB8" w:rsidRPr="00215172">
        <w:t xml:space="preserve"> </w:t>
      </w:r>
      <w:r w:rsidR="00B53AEF" w:rsidRPr="00215172">
        <w:fldChar w:fldCharType="begin"/>
      </w:r>
      <w:r w:rsidR="0006613E">
        <w:instrText xml:space="preserve"> ADDIN ZOTERO_ITEM CSL_CITATION {"citationID":"ad13nl7u84","properties":{"formattedCitation":"\\uldash{(Pagad et al., 2020)}","plainCitation":"(Pagad et al., 2020)","dontUpdate":true,"noteIndex":0},"citationItems":[{"id":30289,"uris":["http://zotero.org/groups/2352922/items/C44T2ZZP"],"itemData":{"id":30289,"type":"report","abstract":"Report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A."}],"accessed":{"date-parts":[["2021",8,25]]},"issued":{"date-parts":[["2020"]]}}}],"schema":"https://github.com/citation-style-language/schema/raw/master/csl-citation.json"} </w:instrText>
      </w:r>
      <w:r w:rsidR="00B53AEF" w:rsidRPr="00215172">
        <w:fldChar w:fldCharType="separate"/>
      </w:r>
      <w:r w:rsidR="002737EF" w:rsidRPr="00215172">
        <w:t>Pagad et al., 2020)</w:t>
      </w:r>
      <w:r w:rsidR="00B53AEF" w:rsidRPr="00215172">
        <w:fldChar w:fldCharType="end"/>
      </w:r>
      <w:r w:rsidR="7FFE9184" w:rsidRPr="00215172">
        <w:t>.</w:t>
      </w:r>
      <w:r>
        <w:t xml:space="preserve"> Of these, IPPC and WOAH have been critical instruments for preventing the introduction of invasive alien species and defining the roles of authorities working on biosecurity (</w:t>
      </w:r>
      <w:r w:rsidR="00F70D52">
        <w:rPr>
          <w:b/>
          <w:iCs/>
        </w:rPr>
        <w:t>G</w:t>
      </w:r>
      <w:r w:rsidR="001E13E0" w:rsidRPr="00673554">
        <w:rPr>
          <w:b/>
          <w:iCs/>
        </w:rPr>
        <w:t>lossary</w:t>
      </w:r>
      <w:r>
        <w:t xml:space="preserve">) to prevent introductions of invasive alien species. Likewise, the eighth, and most recent, agreement – the BWM Convention – has reached a country </w:t>
      </w:r>
      <w:r>
        <w:lastRenderedPageBreak/>
        <w:t>signatory level of 33</w:t>
      </w:r>
      <w:bookmarkStart w:id="57" w:name="_Hlk125378334"/>
      <w:r>
        <w:t xml:space="preserve"> per cent</w:t>
      </w:r>
      <w:bookmarkEnd w:id="57"/>
      <w:r>
        <w:t xml:space="preserve"> since it was established in 2004 </w:t>
      </w:r>
      <w:r w:rsidR="00F806B6" w:rsidRPr="00A9434B">
        <w:t>(</w:t>
      </w:r>
      <w:r w:rsidR="00CD5E56" w:rsidRPr="00673554">
        <w:rPr>
          <w:b/>
          <w:iCs/>
        </w:rPr>
        <w:fldChar w:fldCharType="begin"/>
      </w:r>
      <w:r w:rsidR="00CD5E56" w:rsidRPr="00673554">
        <w:rPr>
          <w:b/>
          <w:iCs/>
        </w:rPr>
        <w:instrText xml:space="preserve"> REF _Ref113376165 \h  \* MERGEFORMAT </w:instrText>
      </w:r>
      <w:r w:rsidR="00CD5E56" w:rsidRPr="00673554">
        <w:rPr>
          <w:b/>
          <w:iCs/>
        </w:rPr>
      </w:r>
      <w:r w:rsidR="00CD5E56" w:rsidRPr="00673554">
        <w:rPr>
          <w:b/>
          <w:iCs/>
        </w:rPr>
        <w:fldChar w:fldCharType="separate"/>
      </w:r>
      <w:r w:rsidR="0011368C" w:rsidRPr="00673554">
        <w:rPr>
          <w:b/>
          <w:iCs/>
        </w:rPr>
        <w:t>Figure 6.2</w:t>
      </w:r>
      <w:r w:rsidR="00CD5E56" w:rsidRPr="00673554">
        <w:rPr>
          <w:b/>
          <w:iCs/>
        </w:rPr>
        <w:fldChar w:fldCharType="end"/>
      </w:r>
      <w:r w:rsidR="00105F33" w:rsidRPr="00F70D52">
        <w:t>;</w:t>
      </w:r>
      <w:r>
        <w:t xml:space="preserve"> </w:t>
      </w:r>
      <w:r w:rsidRPr="56C59A3A">
        <w:rPr>
          <w:b/>
          <w:bCs/>
        </w:rPr>
        <w:t>Chapter 5</w:t>
      </w:r>
      <w:r>
        <w:t>,</w:t>
      </w:r>
      <w:r w:rsidRPr="56C59A3A">
        <w:rPr>
          <w:b/>
          <w:bCs/>
        </w:rPr>
        <w:t xml:space="preserve"> section 5.5.1</w:t>
      </w:r>
      <w:r>
        <w:t xml:space="preserve">), although it was ratified only in 2017. The over 60 country signatories to this convention are responsible for 91 per cent of the world’s shipping tonnage </w:t>
      </w:r>
      <w:r w:rsidR="008A1DA5" w:rsidRPr="00A9434B">
        <w:fldChar w:fldCharType="begin"/>
      </w:r>
      <w:r w:rsidR="0006613E">
        <w:instrText xml:space="preserve"> ADDIN ZOTERO_ITEM CSL_CITATION {"citationID":"a14dt123nta","properties":{"formattedCitation":"(IMO, 2022)","plainCitation":"(IMO, 2022)","noteIndex":0},"citationItems":[{"id":52668,"uris":["http://zotero.org/groups/2352922/items/6PIIXBNC"],"itemData":{"id":52668,"type":"document","note":"publisher: London (United Kingdom) IMO","publisher":"International Maritime Organization","title":"Status of multilateral conventions and instruments in respect of which the International Maritime Organization or its Secretary-General performs depositary or other functions as at 26 May 2022.","author":[{"literal":"IMO"}],"issued":{"date-parts":[["2022"]]}},"label":"page"}],"schema":"https://github.com/citation-style-language/schema/raw/master/csl-citation.json"} </w:instrText>
      </w:r>
      <w:r w:rsidR="008A1DA5" w:rsidRPr="00A9434B">
        <w:fldChar w:fldCharType="separate"/>
      </w:r>
      <w:r w:rsidR="00C71E80" w:rsidRPr="00A9434B">
        <w:t>(IMO, 2022)</w:t>
      </w:r>
      <w:r w:rsidR="008A1DA5" w:rsidRPr="00A9434B">
        <w:fldChar w:fldCharType="end"/>
      </w:r>
      <w:r w:rsidR="7FFE9184" w:rsidRPr="00A9434B">
        <w:t xml:space="preserve">, </w:t>
      </w:r>
      <w:r w:rsidR="68EABEB8" w:rsidRPr="00A9434B">
        <w:t>making it a potentially powerful instrument</w:t>
      </w:r>
      <w:r w:rsidR="7FFE9184" w:rsidRPr="00A9434B">
        <w:t xml:space="preserve"> for preventing</w:t>
      </w:r>
      <w:r w:rsidR="789B8430">
        <w:t xml:space="preserve"> invasive alien species</w:t>
      </w:r>
      <w:r>
        <w:t xml:space="preserve">; interestingly, this is the only multilateral treaty adopted specifically to prevent the spread of invasive alien species. </w:t>
      </w:r>
    </w:p>
    <w:p w14:paraId="570DF70B" w14:textId="1410F521" w:rsidR="00A81A12" w:rsidRPr="00A9434B" w:rsidRDefault="008521D1" w:rsidP="00D0755F">
      <w:pPr>
        <w:jc w:val="center"/>
      </w:pPr>
      <w:r w:rsidRPr="005C2707">
        <w:rPr>
          <w:noProof/>
        </w:rPr>
        <w:drawing>
          <wp:inline distT="0" distB="0" distL="0" distR="0" wp14:anchorId="6998C149" wp14:editId="54D105AD">
            <wp:extent cx="6111240" cy="3371850"/>
            <wp:effectExtent l="0" t="0" r="0" b="6350"/>
            <wp:docPr id="16" name="Picture 16"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different colored bars&#10;&#10;Description automatically generated with medium confidence"/>
                    <pic:cNvPicPr/>
                  </pic:nvPicPr>
                  <pic:blipFill>
                    <a:blip r:embed="rId25"/>
                    <a:stretch>
                      <a:fillRect/>
                    </a:stretch>
                  </pic:blipFill>
                  <pic:spPr>
                    <a:xfrm>
                      <a:off x="0" y="0"/>
                      <a:ext cx="6111240" cy="3371850"/>
                    </a:xfrm>
                    <a:prstGeom prst="rect">
                      <a:avLst/>
                    </a:prstGeom>
                  </pic:spPr>
                </pic:pic>
              </a:graphicData>
            </a:graphic>
          </wp:inline>
        </w:drawing>
      </w:r>
    </w:p>
    <w:p w14:paraId="4DCB4E64" w14:textId="6C4A7D81" w:rsidR="00A81A12" w:rsidRPr="00A9434B" w:rsidRDefault="00A81A12" w:rsidP="002660AB">
      <w:pPr>
        <w:pStyle w:val="Caption"/>
      </w:pPr>
      <w:bookmarkStart w:id="58" w:name="_Ref113376165"/>
      <w:bookmarkStart w:id="59" w:name="_Toc147418297"/>
      <w:bookmarkStart w:id="60" w:name="_Hlk137724727"/>
      <w:r w:rsidRPr="00A9434B">
        <w:t>Figure 6.</w:t>
      </w:r>
      <w:r w:rsidR="007C7AC3">
        <w:fldChar w:fldCharType="begin"/>
      </w:r>
      <w:r w:rsidR="007C7AC3">
        <w:instrText xml:space="preserve"> SEQ Figure_6. \* ARABIC </w:instrText>
      </w:r>
      <w:r w:rsidR="007C7AC3">
        <w:fldChar w:fldCharType="separate"/>
      </w:r>
      <w:r w:rsidR="0011368C">
        <w:rPr>
          <w:noProof/>
        </w:rPr>
        <w:t>2</w:t>
      </w:r>
      <w:r w:rsidR="007C7AC3">
        <w:rPr>
          <w:noProof/>
        </w:rPr>
        <w:fldChar w:fldCharType="end"/>
      </w:r>
      <w:bookmarkEnd w:id="58"/>
      <w:r w:rsidR="00585D0E" w:rsidRPr="00A9434B">
        <w:t>.</w:t>
      </w:r>
      <w:r w:rsidRPr="00A9434B">
        <w:t xml:space="preserve"> </w:t>
      </w:r>
      <w:r w:rsidR="00120E9D" w:rsidRPr="00A9434B">
        <w:rPr>
          <w:b w:val="0"/>
          <w:bCs w:val="0"/>
        </w:rPr>
        <w:t>P</w:t>
      </w:r>
      <w:r w:rsidRPr="00A9434B">
        <w:rPr>
          <w:b w:val="0"/>
          <w:bCs w:val="0"/>
        </w:rPr>
        <w:t xml:space="preserve">ercentage of countries </w:t>
      </w:r>
      <w:r w:rsidR="00A26092">
        <w:rPr>
          <w:b w:val="0"/>
          <w:bCs w:val="0"/>
        </w:rPr>
        <w:t xml:space="preserve">(y axis) </w:t>
      </w:r>
      <w:r w:rsidRPr="00A9434B">
        <w:rPr>
          <w:b w:val="0"/>
          <w:bCs w:val="0"/>
        </w:rPr>
        <w:t xml:space="preserve">signatory to eight </w:t>
      </w:r>
      <w:r w:rsidR="00F372B4" w:rsidRPr="00A9434B">
        <w:rPr>
          <w:b w:val="0"/>
          <w:bCs w:val="0"/>
        </w:rPr>
        <w:t>multilateral</w:t>
      </w:r>
      <w:r w:rsidRPr="00A9434B">
        <w:rPr>
          <w:b w:val="0"/>
          <w:bCs w:val="0"/>
        </w:rPr>
        <w:t xml:space="preserve"> agreements relevant to the prevention and control of invasive alien species</w:t>
      </w:r>
      <w:r w:rsidR="00A26092">
        <w:rPr>
          <w:b w:val="0"/>
          <w:bCs w:val="0"/>
        </w:rPr>
        <w:t xml:space="preserve"> (x axis)</w:t>
      </w:r>
      <w:r w:rsidRPr="00A9434B">
        <w:rPr>
          <w:b w:val="0"/>
          <w:bCs w:val="0"/>
        </w:rPr>
        <w:t>.</w:t>
      </w:r>
      <w:r w:rsidR="002660AB" w:rsidRPr="00A9434B">
        <w:t xml:space="preserve"> </w:t>
      </w:r>
      <w:r w:rsidR="00CD5E56" w:rsidRPr="00A9434B">
        <w:rPr>
          <w:b w:val="0"/>
          <w:bCs w:val="0"/>
        </w:rPr>
        <w:t xml:space="preserve">Data is shown for </w:t>
      </w:r>
      <w:r w:rsidRPr="00A9434B">
        <w:rPr>
          <w:b w:val="0"/>
          <w:bCs w:val="0"/>
        </w:rPr>
        <w:t xml:space="preserve">2010 </w:t>
      </w:r>
      <w:r w:rsidR="00F27F4C" w:rsidRPr="00C12647">
        <w:rPr>
          <w:b w:val="0"/>
          <w:bCs w:val="0"/>
          <w:color w:val="000000" w:themeColor="text1"/>
        </w:rPr>
        <w:t>(</w:t>
      </w:r>
      <w:r w:rsidR="00F27F4C" w:rsidRPr="00F27F4C">
        <w:rPr>
          <w:b w:val="0"/>
          <w:bCs w:val="0"/>
          <w:color w:val="000000" w:themeColor="text1"/>
        </w:rPr>
        <w:t>left</w:t>
      </w:r>
      <w:r w:rsidR="00F27F4C" w:rsidRPr="00C12647">
        <w:rPr>
          <w:b w:val="0"/>
          <w:bCs w:val="0"/>
          <w:color w:val="000000" w:themeColor="text1"/>
        </w:rPr>
        <w:t xml:space="preserve"> bars; n = 192) and 2020 (</w:t>
      </w:r>
      <w:r w:rsidR="00F27F4C" w:rsidRPr="00F27F4C">
        <w:rPr>
          <w:b w:val="0"/>
          <w:bCs w:val="0"/>
          <w:color w:val="000000" w:themeColor="text1"/>
        </w:rPr>
        <w:t>right</w:t>
      </w:r>
      <w:r w:rsidR="00F27F4C" w:rsidRPr="00C12647">
        <w:rPr>
          <w:b w:val="0"/>
          <w:bCs w:val="0"/>
          <w:color w:val="000000" w:themeColor="text1"/>
        </w:rPr>
        <w:t xml:space="preserve"> bars; n = 195)</w:t>
      </w:r>
      <w:r w:rsidRPr="00A9434B">
        <w:rPr>
          <w:b w:val="0"/>
          <w:bCs w:val="0"/>
        </w:rPr>
        <w:t xml:space="preserve">, </w:t>
      </w:r>
      <w:r w:rsidR="00CD5E56" w:rsidRPr="00A9434B">
        <w:rPr>
          <w:b w:val="0"/>
          <w:bCs w:val="0"/>
        </w:rPr>
        <w:t>with</w:t>
      </w:r>
      <w:r w:rsidRPr="00A9434B">
        <w:rPr>
          <w:b w:val="0"/>
          <w:bCs w:val="0"/>
        </w:rPr>
        <w:t xml:space="preserve"> % increase since 2010 (shown above), signatory </w:t>
      </w:r>
      <w:r w:rsidR="00A04917">
        <w:rPr>
          <w:b w:val="0"/>
          <w:bCs w:val="0"/>
        </w:rPr>
        <w:t xml:space="preserve">countries </w:t>
      </w:r>
      <w:r w:rsidRPr="00A9434B">
        <w:rPr>
          <w:b w:val="0"/>
          <w:bCs w:val="0"/>
        </w:rPr>
        <w:t xml:space="preserve">to eight </w:t>
      </w:r>
      <w:r w:rsidR="00F372B4" w:rsidRPr="00A9434B">
        <w:rPr>
          <w:b w:val="0"/>
          <w:bCs w:val="0"/>
        </w:rPr>
        <w:t>multilateral</w:t>
      </w:r>
      <w:r w:rsidRPr="00A9434B">
        <w:rPr>
          <w:b w:val="0"/>
          <w:bCs w:val="0"/>
        </w:rPr>
        <w:t xml:space="preserve"> agreements relevant to the prevention and control of invasive alien species. Only countries party to the </w:t>
      </w:r>
      <w:r w:rsidRPr="00BA5312">
        <w:rPr>
          <w:b w:val="0"/>
          <w:bCs w:val="0"/>
          <w:iCs/>
        </w:rPr>
        <w:t>C</w:t>
      </w:r>
      <w:r w:rsidR="00934039" w:rsidRPr="00BA5312">
        <w:rPr>
          <w:b w:val="0"/>
          <w:bCs w:val="0"/>
          <w:iCs/>
        </w:rPr>
        <w:t>BD</w:t>
      </w:r>
      <w:r w:rsidRPr="00BA5312">
        <w:rPr>
          <w:b w:val="0"/>
          <w:bCs w:val="0"/>
        </w:rPr>
        <w:t xml:space="preserve"> at the time of reporting were considered in the analysis. The eight </w:t>
      </w:r>
      <w:r w:rsidR="00F372B4" w:rsidRPr="00BA5312">
        <w:rPr>
          <w:b w:val="0"/>
          <w:bCs w:val="0"/>
        </w:rPr>
        <w:t>multilateral</w:t>
      </w:r>
      <w:r w:rsidRPr="00BA5312">
        <w:rPr>
          <w:b w:val="0"/>
          <w:bCs w:val="0"/>
        </w:rPr>
        <w:t xml:space="preserve"> agreements (year of establishment below acronym in figure) analysed were the </w:t>
      </w:r>
      <w:r w:rsidRPr="00BA5312">
        <w:rPr>
          <w:b w:val="0"/>
          <w:bCs w:val="0"/>
          <w:iCs/>
        </w:rPr>
        <w:t>Cartagena Protocol</w:t>
      </w:r>
      <w:r w:rsidRPr="00BA5312">
        <w:rPr>
          <w:b w:val="0"/>
          <w:bCs w:val="0"/>
        </w:rPr>
        <w:t xml:space="preserve"> </w:t>
      </w:r>
      <w:r w:rsidR="00B5632B" w:rsidRPr="00BA5312">
        <w:rPr>
          <w:b w:val="0"/>
          <w:bCs w:val="0"/>
        </w:rPr>
        <w:t xml:space="preserve">on Biosafety to the </w:t>
      </w:r>
      <w:r w:rsidR="00BB40E2" w:rsidRPr="00BA5312">
        <w:rPr>
          <w:b w:val="0"/>
          <w:bCs w:val="0"/>
        </w:rPr>
        <w:t>C</w:t>
      </w:r>
      <w:r w:rsidR="00BB40E2" w:rsidRPr="00772E4B">
        <w:rPr>
          <w:b w:val="0"/>
          <w:bCs w:val="0"/>
        </w:rPr>
        <w:t>BD</w:t>
      </w:r>
      <w:r w:rsidR="001B4C06" w:rsidRPr="00772E4B">
        <w:rPr>
          <w:b w:val="0"/>
          <w:bCs w:val="0"/>
        </w:rPr>
        <w:t xml:space="preserve"> </w:t>
      </w:r>
      <w:r w:rsidR="00017441" w:rsidRPr="00935C0C">
        <w:rPr>
          <w:b w:val="0"/>
          <w:bCs w:val="0"/>
        </w:rPr>
        <w:fldChar w:fldCharType="begin"/>
      </w:r>
      <w:r w:rsidR="0006613E">
        <w:rPr>
          <w:b w:val="0"/>
          <w:bCs w:val="0"/>
        </w:rPr>
        <w:instrText xml:space="preserve"> ADDIN ZOTERO_ITEM CSL_CITATION {"citationID":"9tAA0Mmd","properties":{"formattedCitation":"(CBD, 2000)","plainCitation":"(CBD, 2000)","noteIndex":0},"citationItems":[{"id":56061,"uris":["http://zotero.org/groups/2352922/items/RB27LEZP"],"itemData":{"id":56061,"type":"report","event-place":"Montreal","note":"92-807-1924-6","publisher":"Secretariat of the Convention on Biological Diversity","publisher-place":"Montreal","title":"Cartagena Protocol on Biosafety to the Convention on Biological Diversity: Text and Annexes","URL":"https://wedocs.unep.org/20.500.11822/27553","author":[{"literal":"CBD"}],"issued":{"date-parts":[["2000"]]}}}],"schema":"https://github.com/citation-style-language/schema/raw/master/csl-citation.json"} </w:instrText>
      </w:r>
      <w:r w:rsidR="00017441" w:rsidRPr="00935C0C">
        <w:rPr>
          <w:b w:val="0"/>
          <w:bCs w:val="0"/>
        </w:rPr>
        <w:fldChar w:fldCharType="separate"/>
      </w:r>
      <w:r w:rsidR="00D13761" w:rsidRPr="00673554">
        <w:rPr>
          <w:b w:val="0"/>
        </w:rPr>
        <w:t>(CBD, 2000)</w:t>
      </w:r>
      <w:r w:rsidR="00017441" w:rsidRPr="00935C0C">
        <w:rPr>
          <w:b w:val="0"/>
          <w:bCs w:val="0"/>
        </w:rPr>
        <w:fldChar w:fldCharType="end"/>
      </w:r>
      <w:r w:rsidRPr="00772E4B">
        <w:rPr>
          <w:b w:val="0"/>
          <w:bCs w:val="0"/>
        </w:rPr>
        <w:t>, th</w:t>
      </w:r>
      <w:r w:rsidRPr="00BA5312">
        <w:rPr>
          <w:b w:val="0"/>
          <w:bCs w:val="0"/>
        </w:rPr>
        <w:t>e IPPC</w:t>
      </w:r>
      <w:r w:rsidR="001B4C06">
        <w:rPr>
          <w:b w:val="0"/>
          <w:bCs w:val="0"/>
        </w:rPr>
        <w:t xml:space="preserve"> </w:t>
      </w:r>
      <w:r w:rsidR="001B4C06" w:rsidRPr="00CC523A">
        <w:rPr>
          <w:b w:val="0"/>
          <w:bCs w:val="0"/>
        </w:rPr>
        <w:fldChar w:fldCharType="begin"/>
      </w:r>
      <w:r w:rsidR="0006613E">
        <w:rPr>
          <w:b w:val="0"/>
          <w:bCs w:val="0"/>
        </w:rPr>
        <w:instrText xml:space="preserve"> ADDIN ZOTERO_ITEM CSL_CITATION {"citationID":"D0gkSnhW","properties":{"formattedCitation":"(IPPC, 1952)","plainCitation":"(IPPC, 1952)","noteIndex":0},"citationItems":[{"id":56062,"uris":["http://zotero.org/groups/2352922/items/NMECR6KP"],"itemData":{"id":56062,"type":"report","publisher":"International Plant Protection Convention","title":"International Plant Protection Convention","URL":"http://www.fao.org/fileadmin/user_upload/legal/docs/004s-e.pdf","author":[{"literal":"IPPC"}],"issued":{"date-parts":[["1952"]]}}}],"schema":"https://github.com/citation-style-language/schema/raw/master/csl-citation.json"} </w:instrText>
      </w:r>
      <w:r w:rsidR="001B4C06" w:rsidRPr="00CC523A">
        <w:rPr>
          <w:b w:val="0"/>
          <w:bCs w:val="0"/>
        </w:rPr>
        <w:fldChar w:fldCharType="separate"/>
      </w:r>
      <w:r w:rsidR="001B4C06" w:rsidRPr="00673554">
        <w:rPr>
          <w:b w:val="0"/>
        </w:rPr>
        <w:t>(IPPC, 1952)</w:t>
      </w:r>
      <w:r w:rsidR="001B4C06" w:rsidRPr="00CC523A">
        <w:rPr>
          <w:b w:val="0"/>
          <w:bCs w:val="0"/>
        </w:rPr>
        <w:fldChar w:fldCharType="end"/>
      </w:r>
      <w:r w:rsidRPr="00BA5312">
        <w:rPr>
          <w:b w:val="0"/>
          <w:bCs w:val="0"/>
        </w:rPr>
        <w:t xml:space="preserve">, the </w:t>
      </w:r>
      <w:r w:rsidRPr="00BA5312">
        <w:rPr>
          <w:b w:val="0"/>
          <w:bCs w:val="0"/>
          <w:iCs/>
        </w:rPr>
        <w:t xml:space="preserve">Agreement on </w:t>
      </w:r>
      <w:r w:rsidR="00C60089" w:rsidRPr="00BA5312">
        <w:rPr>
          <w:b w:val="0"/>
          <w:bCs w:val="0"/>
          <w:iCs/>
        </w:rPr>
        <w:t xml:space="preserve">the Application of </w:t>
      </w:r>
      <w:r w:rsidRPr="00BA5312">
        <w:rPr>
          <w:b w:val="0"/>
          <w:bCs w:val="0"/>
          <w:iCs/>
        </w:rPr>
        <w:t>Sanitary and</w:t>
      </w:r>
      <w:r w:rsidRPr="00BA5312">
        <w:rPr>
          <w:b w:val="0"/>
          <w:bCs w:val="0"/>
        </w:rPr>
        <w:t xml:space="preserve"> </w:t>
      </w:r>
      <w:r w:rsidRPr="00BA5312">
        <w:rPr>
          <w:b w:val="0"/>
          <w:bCs w:val="0"/>
          <w:iCs/>
        </w:rPr>
        <w:t xml:space="preserve">Phytosanitary Measures </w:t>
      </w:r>
      <w:r w:rsidR="00CD5E56" w:rsidRPr="00BA5312">
        <w:rPr>
          <w:b w:val="0"/>
          <w:bCs w:val="0"/>
          <w:iCs/>
        </w:rPr>
        <w:t>of the WTO</w:t>
      </w:r>
      <w:r w:rsidR="00635CA4">
        <w:rPr>
          <w:b w:val="0"/>
          <w:bCs w:val="0"/>
          <w:iCs/>
        </w:rPr>
        <w:t xml:space="preserve"> </w:t>
      </w:r>
      <w:r w:rsidR="00C64B8B">
        <w:rPr>
          <w:b w:val="0"/>
          <w:bCs w:val="0"/>
          <w:iCs/>
        </w:rPr>
        <w:t xml:space="preserve">(WTO SPS; </w:t>
      </w:r>
      <w:r w:rsidR="00635CA4" w:rsidRPr="00CC523A">
        <w:rPr>
          <w:b w:val="0"/>
          <w:bCs w:val="0"/>
          <w:iCs/>
        </w:rPr>
        <w:fldChar w:fldCharType="begin"/>
      </w:r>
      <w:r w:rsidR="0006613E">
        <w:rPr>
          <w:b w:val="0"/>
          <w:bCs w:val="0"/>
          <w:iCs/>
        </w:rPr>
        <w:instrText xml:space="preserve"> ADDIN ZOTERO_ITEM CSL_CITATION {"citationID":"UbFsDO57","properties":{"formattedCitation":"(WTO, 1995)","plainCitation":"(WTO, 1995)","dontUpdate":true,"noteIndex":0},"citationItems":[{"id":56063,"uris":["http://zotero.org/groups/2352922/items/TWBRC34B"],"itemData":{"id":56063,"type":"report","page":"69-83","publisher":"World Trade Organization","title":"The WTO Agreement on the Application of Sanitary and Phytosanitary Measures (SPS Agreement)","URL":"https://www.wto.org/english/docs_e/legal_e/15sps_01_e.htm","author":[{"literal":"WTO"}],"issued":{"date-parts":[["1995"]]}}}],"schema":"https://github.com/citation-style-language/schema/raw/master/csl-citation.json"} </w:instrText>
      </w:r>
      <w:r w:rsidR="00635CA4" w:rsidRPr="00CC523A">
        <w:rPr>
          <w:b w:val="0"/>
          <w:bCs w:val="0"/>
          <w:iCs/>
        </w:rPr>
        <w:fldChar w:fldCharType="separate"/>
      </w:r>
      <w:r w:rsidR="00635CA4" w:rsidRPr="00673554">
        <w:rPr>
          <w:b w:val="0"/>
        </w:rPr>
        <w:t>WTO, 1995)</w:t>
      </w:r>
      <w:r w:rsidR="00635CA4" w:rsidRPr="00CC523A">
        <w:rPr>
          <w:b w:val="0"/>
          <w:bCs w:val="0"/>
          <w:iCs/>
        </w:rPr>
        <w:fldChar w:fldCharType="end"/>
      </w:r>
      <w:r w:rsidRPr="00BA5312">
        <w:rPr>
          <w:b w:val="0"/>
          <w:bCs w:val="0"/>
        </w:rPr>
        <w:t>, CITES</w:t>
      </w:r>
      <w:r w:rsidR="00635CA4">
        <w:rPr>
          <w:b w:val="0"/>
          <w:bCs w:val="0"/>
        </w:rPr>
        <w:t xml:space="preserve"> </w:t>
      </w:r>
      <w:r w:rsidR="00635CA4" w:rsidRPr="00CC523A">
        <w:rPr>
          <w:b w:val="0"/>
          <w:bCs w:val="0"/>
        </w:rPr>
        <w:fldChar w:fldCharType="begin"/>
      </w:r>
      <w:r w:rsidR="002D2756">
        <w:rPr>
          <w:b w:val="0"/>
          <w:bCs w:val="0"/>
        </w:rPr>
        <w:instrText xml:space="preserve"> ADDIN ZOTERO_ITEM CSL_CITATION {"citationID":"SAhY10Ir","properties":{"formattedCitation":"(CITES, 1975)","plainCitation":"(CITES, 1975)","noteIndex":0},"citationItems":[{"id":56064,"uris":["http://zotero.org/groups/2352922/items/7M6MVQ2J"],"itemData":{"id":56064,"type":"report","publisher":"Convention on International Trade in Endangered Species of Wild Fauna and Flora","title":"Convention on International Trade in Endangered Species of Wild Fauna and Flora","URL":"https://www.cites.org/eng/disc/text.php","author":[{"literal":"CITES"}],"issued":{"date-parts":[["1975"]]}}}],"schema":"https://github.com/citation-style-language/schema/raw/master/csl-citation.json"} </w:instrText>
      </w:r>
      <w:r w:rsidR="00635CA4" w:rsidRPr="00CC523A">
        <w:rPr>
          <w:b w:val="0"/>
          <w:bCs w:val="0"/>
        </w:rPr>
        <w:fldChar w:fldCharType="separate"/>
      </w:r>
      <w:r w:rsidR="00635CA4" w:rsidRPr="00673554">
        <w:rPr>
          <w:b w:val="0"/>
        </w:rPr>
        <w:t>(CITES, 1975)</w:t>
      </w:r>
      <w:r w:rsidR="00635CA4" w:rsidRPr="00CC523A">
        <w:rPr>
          <w:b w:val="0"/>
          <w:bCs w:val="0"/>
        </w:rPr>
        <w:fldChar w:fldCharType="end"/>
      </w:r>
      <w:r w:rsidRPr="00CC523A">
        <w:rPr>
          <w:b w:val="0"/>
          <w:bCs w:val="0"/>
        </w:rPr>
        <w:t xml:space="preserve">, the </w:t>
      </w:r>
      <w:r w:rsidR="00AF54A4" w:rsidRPr="00CC523A">
        <w:rPr>
          <w:b w:val="0"/>
          <w:bCs w:val="0"/>
        </w:rPr>
        <w:t>Convention on Wetlands of International Importance</w:t>
      </w:r>
      <w:r w:rsidRPr="006469F6">
        <w:rPr>
          <w:b w:val="0"/>
          <w:bCs w:val="0"/>
        </w:rPr>
        <w:t xml:space="preserve"> (Ramsar</w:t>
      </w:r>
      <w:r w:rsidRPr="00CC523A">
        <w:rPr>
          <w:b w:val="0"/>
          <w:bCs w:val="0"/>
        </w:rPr>
        <w:t>)</w:t>
      </w:r>
      <w:r w:rsidR="00635CA4">
        <w:rPr>
          <w:b w:val="0"/>
          <w:bCs w:val="0"/>
        </w:rPr>
        <w:t xml:space="preserve"> </w:t>
      </w:r>
      <w:r w:rsidR="00BC6E2C" w:rsidRPr="00CC523A">
        <w:rPr>
          <w:b w:val="0"/>
          <w:bCs w:val="0"/>
        </w:rPr>
        <w:fldChar w:fldCharType="begin"/>
      </w:r>
      <w:r w:rsidR="0006613E">
        <w:rPr>
          <w:b w:val="0"/>
          <w:bCs w:val="0"/>
        </w:rPr>
        <w:instrText xml:space="preserve"> ADDIN ZOTERO_ITEM CSL_CITATION {"citationID":"HndNzMeg","properties":{"formattedCitation":"(Secretariat of Convention on Wetlands, 1971)","plainCitation":"(Secretariat of Convention on Wetlands, 1971)","noteIndex":0},"citationItems":[{"id":56065,"uris":["http://zotero.org/groups/2352922/items/BBHX33ZI"],"itemData":{"id":56065,"type":"report","title":"Convention on Wetlands of International Importance especially as Waterfowl Habitat: Final Text adopted by the International Conference on the Wetlands and Waterfowl","URL":"https:// www.ramsar.org/sites/default/files/ documents/library/original_1971_ convention_e.pdf","author":[{"literal":"Secretariat of Convention on Wetlands"}],"issued":{"date-parts":[["1971"]]}}}],"schema":"https://github.com/citation-style-language/schema/raw/master/csl-citation.json"} </w:instrText>
      </w:r>
      <w:r w:rsidR="00BC6E2C" w:rsidRPr="00CC523A">
        <w:rPr>
          <w:b w:val="0"/>
          <w:bCs w:val="0"/>
        </w:rPr>
        <w:fldChar w:fldCharType="separate"/>
      </w:r>
      <w:r w:rsidR="00BC6E2C" w:rsidRPr="00673554">
        <w:rPr>
          <w:b w:val="0"/>
        </w:rPr>
        <w:t>(Secretariat of Convention on Wetlands, 1971)</w:t>
      </w:r>
      <w:r w:rsidR="00BC6E2C" w:rsidRPr="00CC523A">
        <w:rPr>
          <w:b w:val="0"/>
          <w:bCs w:val="0"/>
        </w:rPr>
        <w:fldChar w:fldCharType="end"/>
      </w:r>
      <w:r w:rsidRPr="00CC523A">
        <w:rPr>
          <w:b w:val="0"/>
          <w:bCs w:val="0"/>
        </w:rPr>
        <w:t xml:space="preserve">, the </w:t>
      </w:r>
      <w:r w:rsidRPr="00CC523A">
        <w:rPr>
          <w:b w:val="0"/>
          <w:bCs w:val="0"/>
          <w:iCs/>
        </w:rPr>
        <w:t>Convention on the Cons</w:t>
      </w:r>
      <w:r w:rsidRPr="00BA5312">
        <w:rPr>
          <w:b w:val="0"/>
          <w:bCs w:val="0"/>
          <w:iCs/>
        </w:rPr>
        <w:t>ervation of Migratory Species of Wild Animals</w:t>
      </w:r>
      <w:r w:rsidRPr="00BA5312">
        <w:rPr>
          <w:b w:val="0"/>
          <w:bCs w:val="0"/>
        </w:rPr>
        <w:t xml:space="preserve"> (CMS)</w:t>
      </w:r>
      <w:r w:rsidR="00BC6E2C">
        <w:rPr>
          <w:b w:val="0"/>
          <w:bCs w:val="0"/>
        </w:rPr>
        <w:t xml:space="preserve"> </w:t>
      </w:r>
      <w:r w:rsidR="00BC6E2C" w:rsidRPr="00CC523A">
        <w:rPr>
          <w:b w:val="0"/>
          <w:bCs w:val="0"/>
        </w:rPr>
        <w:fldChar w:fldCharType="begin"/>
      </w:r>
      <w:r w:rsidR="0006613E">
        <w:rPr>
          <w:b w:val="0"/>
          <w:bCs w:val="0"/>
        </w:rPr>
        <w:instrText xml:space="preserve"> ADDIN ZOTERO_ITEM CSL_CITATION {"citationID":"jSywvzkC","properties":{"formattedCitation":"(CMS, 1979)","plainCitation":"(CMS, 1979)","noteIndex":0},"citationItems":[{"id":56066,"uris":["http://zotero.org/groups/2352922/items/3XH3SW2F"],"itemData":{"id":56066,"type":"report","publisher":"Convention on the Conservation of Migratory Species of Wild Animals","title":"Convention on the Conservation of Migratory Species of Wild Animals","URL":"https://www.cms.int/sites/ default/files/instrument/CMS-text.en_.PDF","author":[{"literal":"CMS"}],"issued":{"date-parts":[["1979"]]}}}],"schema":"https://github.com/citation-style-language/schema/raw/master/csl-citation.json"} </w:instrText>
      </w:r>
      <w:r w:rsidR="00BC6E2C" w:rsidRPr="00CC523A">
        <w:rPr>
          <w:b w:val="0"/>
          <w:bCs w:val="0"/>
        </w:rPr>
        <w:fldChar w:fldCharType="separate"/>
      </w:r>
      <w:r w:rsidR="00BC6E2C" w:rsidRPr="00673554">
        <w:rPr>
          <w:b w:val="0"/>
        </w:rPr>
        <w:t>(CMS, 1979)</w:t>
      </w:r>
      <w:r w:rsidR="00BC6E2C" w:rsidRPr="00CC523A">
        <w:rPr>
          <w:b w:val="0"/>
          <w:bCs w:val="0"/>
        </w:rPr>
        <w:fldChar w:fldCharType="end"/>
      </w:r>
      <w:r w:rsidRPr="00BA5312">
        <w:rPr>
          <w:b w:val="0"/>
          <w:bCs w:val="0"/>
        </w:rPr>
        <w:t xml:space="preserve">, the </w:t>
      </w:r>
      <w:r w:rsidRPr="00BA5312">
        <w:rPr>
          <w:b w:val="0"/>
          <w:bCs w:val="0"/>
          <w:iCs/>
        </w:rPr>
        <w:t>World Heritage Convention</w:t>
      </w:r>
      <w:r w:rsidRPr="00BA5312">
        <w:rPr>
          <w:b w:val="0"/>
          <w:bCs w:val="0"/>
        </w:rPr>
        <w:t xml:space="preserve"> (WHC)</w:t>
      </w:r>
      <w:r w:rsidR="00F04574">
        <w:rPr>
          <w:b w:val="0"/>
          <w:bCs w:val="0"/>
        </w:rPr>
        <w:t xml:space="preserve"> </w:t>
      </w:r>
      <w:r w:rsidR="00F04574" w:rsidRPr="00CC523A">
        <w:rPr>
          <w:b w:val="0"/>
          <w:bCs w:val="0"/>
        </w:rPr>
        <w:fldChar w:fldCharType="begin"/>
      </w:r>
      <w:r w:rsidR="0006613E">
        <w:rPr>
          <w:b w:val="0"/>
          <w:bCs w:val="0"/>
        </w:rPr>
        <w:instrText xml:space="preserve"> ADDIN ZOTERO_ITEM CSL_CITATION {"citationID":"U7FFyWeW","properties":{"formattedCitation":"(UNESCO, 2017)","plainCitation":"(UNESCO, 2017)","noteIndex":0},"citationItems":[{"id":56067,"uris":["http://zotero.org/groups/2352922/items/JP2ZFIUD"],"itemData":{"id":56067,"type":"webpage","container-title":"The United Nations Educational, Scientific and Cultural Organization","title":"The World Heritage Convention","URL":"http://whc.unesco.org/en/ Convention/","author":[{"literal":"UNESCO"}],"accessed":{"date-parts":[["2019",12,20]]},"issued":{"date-parts":[["2017"]]}}}],"schema":"https://github.com/citation-style-language/schema/raw/master/csl-citation.json"} </w:instrText>
      </w:r>
      <w:r w:rsidR="00F04574" w:rsidRPr="00CC523A">
        <w:rPr>
          <w:b w:val="0"/>
          <w:bCs w:val="0"/>
        </w:rPr>
        <w:fldChar w:fldCharType="separate"/>
      </w:r>
      <w:r w:rsidR="00F04574" w:rsidRPr="00673554">
        <w:rPr>
          <w:b w:val="0"/>
        </w:rPr>
        <w:t>(UNESCO, 2017)</w:t>
      </w:r>
      <w:r w:rsidR="00F04574" w:rsidRPr="00CC523A">
        <w:rPr>
          <w:b w:val="0"/>
          <w:bCs w:val="0"/>
        </w:rPr>
        <w:fldChar w:fldCharType="end"/>
      </w:r>
      <w:r w:rsidR="00896CEC">
        <w:rPr>
          <w:b w:val="0"/>
          <w:bCs w:val="0"/>
        </w:rPr>
        <w:t xml:space="preserve"> and</w:t>
      </w:r>
      <w:r w:rsidRPr="00BA5312">
        <w:rPr>
          <w:b w:val="0"/>
          <w:bCs w:val="0"/>
        </w:rPr>
        <w:t xml:space="preserve"> the </w:t>
      </w:r>
      <w:r w:rsidRPr="00BA5312">
        <w:rPr>
          <w:b w:val="0"/>
          <w:bCs w:val="0"/>
          <w:iCs/>
        </w:rPr>
        <w:t>B</w:t>
      </w:r>
      <w:r w:rsidRPr="00BA5312">
        <w:rPr>
          <w:b w:val="0"/>
          <w:bCs w:val="0"/>
        </w:rPr>
        <w:t>WM</w:t>
      </w:r>
      <w:r w:rsidR="00B7256E" w:rsidRPr="00BA5312">
        <w:rPr>
          <w:b w:val="0"/>
          <w:bCs w:val="0"/>
        </w:rPr>
        <w:t xml:space="preserve"> Conventio</w:t>
      </w:r>
      <w:r w:rsidR="00B7256E" w:rsidRPr="00CC523A">
        <w:rPr>
          <w:b w:val="0"/>
          <w:bCs w:val="0"/>
        </w:rPr>
        <w:t>n)</w:t>
      </w:r>
      <w:r w:rsidR="00F04574" w:rsidRPr="00CC523A">
        <w:rPr>
          <w:b w:val="0"/>
          <w:bCs w:val="0"/>
        </w:rPr>
        <w:t xml:space="preserve"> </w:t>
      </w:r>
      <w:r w:rsidR="00F04574" w:rsidRPr="00CC523A">
        <w:rPr>
          <w:b w:val="0"/>
          <w:bCs w:val="0"/>
        </w:rPr>
        <w:fldChar w:fldCharType="begin"/>
      </w:r>
      <w:r w:rsidR="0006613E">
        <w:rPr>
          <w:b w:val="0"/>
          <w:bCs w:val="0"/>
        </w:rPr>
        <w:instrText xml:space="preserve"> ADDIN ZOTERO_ITEM CSL_CITATION {"citationID":"diilFq1G","properties":{"formattedCitation":"(IMO, 2004)","plainCitation":"(IMO, 2004)","noteIndex":0},"citationItems":[{"id":56068,"uris":["http://zotero.org/groups/2352922/items/BKGNU3QA"],"itemData":{"id":56068,"type":"report","publisher":"International Maritime Organization","title":"International Convention for the Control and Management of Ships' Ballast Water and Sediments (BMW)","URL":"https://www.imo.org/en/About/Conventions/Pages/International-Convention-for-the-Control-and-Management-of-Ships%27-Ballast-Water-and-Sediments-(BWM).aspx","author":[{"literal":"IMO"}],"issued":{"date-parts":[["2004"]]}}}],"schema":"https://github.com/citation-style-language/schema/raw/master/csl-citation.json"} </w:instrText>
      </w:r>
      <w:r w:rsidR="00F04574" w:rsidRPr="00CC523A">
        <w:rPr>
          <w:b w:val="0"/>
          <w:bCs w:val="0"/>
        </w:rPr>
        <w:fldChar w:fldCharType="separate"/>
      </w:r>
      <w:r w:rsidR="00F04574" w:rsidRPr="00673554">
        <w:rPr>
          <w:b w:val="0"/>
        </w:rPr>
        <w:t>(IMO, 2004)</w:t>
      </w:r>
      <w:r w:rsidR="00F04574" w:rsidRPr="00CC523A">
        <w:rPr>
          <w:b w:val="0"/>
          <w:bCs w:val="0"/>
        </w:rPr>
        <w:fldChar w:fldCharType="end"/>
      </w:r>
      <w:r w:rsidRPr="00CC523A">
        <w:rPr>
          <w:b w:val="0"/>
          <w:bCs w:val="0"/>
        </w:rPr>
        <w:t xml:space="preserve">. </w:t>
      </w:r>
      <w:r w:rsidR="00C036D2">
        <w:rPr>
          <w:b w:val="0"/>
          <w:bCs w:val="0"/>
        </w:rPr>
        <w:t xml:space="preserve">The </w:t>
      </w:r>
      <w:r w:rsidR="00025E27">
        <w:rPr>
          <w:b w:val="0"/>
          <w:bCs w:val="0"/>
        </w:rPr>
        <w:t>WOAH</w:t>
      </w:r>
      <w:r w:rsidR="00C036D2">
        <w:rPr>
          <w:b w:val="0"/>
          <w:bCs w:val="0"/>
        </w:rPr>
        <w:t xml:space="preserve"> </w:t>
      </w:r>
      <w:r w:rsidR="00AA0D93" w:rsidRPr="00CC523A">
        <w:rPr>
          <w:b w:val="0"/>
          <w:bCs w:val="0"/>
        </w:rPr>
        <w:fldChar w:fldCharType="begin"/>
      </w:r>
      <w:r w:rsidR="0006613E">
        <w:rPr>
          <w:b w:val="0"/>
          <w:bCs w:val="0"/>
        </w:rPr>
        <w:instrText xml:space="preserve"> ADDIN ZOTERO_ITEM CSL_CITATION {"citationID":"Fa0zgc32","properties":{"formattedCitation":"(WOAH, 2011)","plainCitation":"(WOAH, 2011)","noteIndex":0},"citationItems":[{"id":56069,"uris":["http://zotero.org/groups/2352922/items/YS2SFKVQ"],"itemData":{"id":56069,"type":"report","event-place":"Paris, France","publisher":"World Organization for Animal Health","publisher-place":"Paris, France","title":"Guidelines For Assessing The Risk Of  Non-Native Animals Becoming Invasive","URL":"https://www.woah.org/app/uploads/2021/03/oieguidelines-nonnativeanimals-2012.pdf","author":[{"literal":"WOAH"}],"issued":{"date-parts":[["2011"]]}}}],"schema":"https://github.com/citation-style-language/schema/raw/master/csl-citation.json"} </w:instrText>
      </w:r>
      <w:r w:rsidR="00AA0D93" w:rsidRPr="00CC523A">
        <w:rPr>
          <w:b w:val="0"/>
          <w:bCs w:val="0"/>
        </w:rPr>
        <w:fldChar w:fldCharType="separate"/>
      </w:r>
      <w:r w:rsidR="00AA0D93" w:rsidRPr="00673554">
        <w:rPr>
          <w:b w:val="0"/>
        </w:rPr>
        <w:t>(WOAH, 2011)</w:t>
      </w:r>
      <w:r w:rsidR="00AA0D93" w:rsidRPr="00CC523A">
        <w:rPr>
          <w:b w:val="0"/>
          <w:bCs w:val="0"/>
        </w:rPr>
        <w:fldChar w:fldCharType="end"/>
      </w:r>
      <w:r w:rsidR="005A266A">
        <w:rPr>
          <w:b w:val="0"/>
          <w:bCs w:val="0"/>
        </w:rPr>
        <w:t xml:space="preserve"> </w:t>
      </w:r>
      <w:r w:rsidR="00C036D2">
        <w:rPr>
          <w:b w:val="0"/>
          <w:bCs w:val="0"/>
        </w:rPr>
        <w:t>has a high level of uptake (</w:t>
      </w:r>
      <w:r w:rsidR="00025E27">
        <w:rPr>
          <w:b w:val="0"/>
          <w:bCs w:val="0"/>
        </w:rPr>
        <w:t>93%</w:t>
      </w:r>
      <w:r w:rsidR="00C036D2">
        <w:rPr>
          <w:b w:val="0"/>
          <w:bCs w:val="0"/>
        </w:rPr>
        <w:t xml:space="preserve">) </w:t>
      </w:r>
      <w:r w:rsidR="00025E27">
        <w:rPr>
          <w:b w:val="0"/>
          <w:bCs w:val="0"/>
        </w:rPr>
        <w:t>and showed no change between 2010 and 2020</w:t>
      </w:r>
      <w:r w:rsidR="000F50EA">
        <w:rPr>
          <w:b w:val="0"/>
          <w:bCs w:val="0"/>
        </w:rPr>
        <w:t xml:space="preserve"> and is therefore not included in the figure</w:t>
      </w:r>
      <w:r w:rsidR="00025E27">
        <w:rPr>
          <w:b w:val="0"/>
          <w:bCs w:val="0"/>
        </w:rPr>
        <w:t xml:space="preserve">. </w:t>
      </w:r>
      <w:r w:rsidR="00CD5E56" w:rsidRPr="00BA5312">
        <w:rPr>
          <w:b w:val="0"/>
          <w:bCs w:val="0"/>
        </w:rPr>
        <w:t>Source:</w:t>
      </w:r>
      <w:r w:rsidRPr="00BA5312">
        <w:rPr>
          <w:b w:val="0"/>
          <w:bCs w:val="0"/>
        </w:rPr>
        <w:t xml:space="preserve"> </w:t>
      </w:r>
      <w:r w:rsidR="008A6132" w:rsidRPr="00BA5312">
        <w:rPr>
          <w:b w:val="0"/>
          <w:bCs w:val="0"/>
        </w:rPr>
        <w:t>Pagad et al.</w:t>
      </w:r>
      <w:r w:rsidR="00E25ED8" w:rsidRPr="00BA5312">
        <w:rPr>
          <w:b w:val="0"/>
          <w:bCs w:val="0"/>
        </w:rPr>
        <w:t xml:space="preserve"> </w:t>
      </w:r>
      <w:r w:rsidRPr="00BA5312">
        <w:rPr>
          <w:b w:val="0"/>
          <w:bCs w:val="0"/>
        </w:rPr>
        <w:fldChar w:fldCharType="begin"/>
      </w:r>
      <w:r w:rsidR="0006613E">
        <w:rPr>
          <w:b w:val="0"/>
          <w:bCs w:val="0"/>
        </w:rPr>
        <w:instrText xml:space="preserve"> ADDIN ZOTERO_ITEM CSL_CITATION {"citationID":"a19or3gokn0","properties":{"formattedCitation":"(2020)","plainCitation":"(2020)","noteIndex":0},"citationItems":[{"id":30289,"uris":["http://zotero.org/groups/2352922/items/C44T2ZZP"],"itemData":{"id":30289,"type":"report","abstract":"Report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A."}],"accessed":{"date-parts":[["2021",8,25]]},"issued":{"date-parts":[["2020"]]}},"label":"page","suppress-author":true}],"schema":"https://github.com/citation-style-language/schema/raw/master/csl-citation.json"} </w:instrText>
      </w:r>
      <w:r w:rsidRPr="00BA5312">
        <w:rPr>
          <w:b w:val="0"/>
          <w:bCs w:val="0"/>
        </w:rPr>
        <w:fldChar w:fldCharType="separate"/>
      </w:r>
      <w:r w:rsidR="00C71E80" w:rsidRPr="00BA5312">
        <w:rPr>
          <w:b w:val="0"/>
          <w:bCs w:val="0"/>
        </w:rPr>
        <w:t>(2020)</w:t>
      </w:r>
      <w:r w:rsidRPr="00BA5312">
        <w:rPr>
          <w:b w:val="0"/>
          <w:bCs w:val="0"/>
        </w:rPr>
        <w:fldChar w:fldCharType="end"/>
      </w:r>
      <w:r w:rsidR="00FD65B1">
        <w:rPr>
          <w:b w:val="0"/>
          <w:bCs w:val="0"/>
        </w:rPr>
        <w:t xml:space="preserve">, </w:t>
      </w:r>
      <w:hyperlink r:id="rId26" w:history="1">
        <w:r w:rsidR="004E0C12" w:rsidRPr="006A0CE1">
          <w:rPr>
            <w:rStyle w:val="Hyperlink"/>
            <w:b w:val="0"/>
            <w:bCs w:val="0"/>
          </w:rPr>
          <w:t>https://opal.latrobe.edu.au/articles/report/International_Adoption_of_Invasive_Alien_Species_Policy/13065158</w:t>
        </w:r>
      </w:hyperlink>
      <w:r w:rsidR="004E0C12">
        <w:rPr>
          <w:b w:val="0"/>
          <w:bCs w:val="0"/>
        </w:rPr>
        <w:t xml:space="preserve">, </w:t>
      </w:r>
      <w:r w:rsidR="00030B6C">
        <w:rPr>
          <w:b w:val="0"/>
          <w:bCs w:val="0"/>
        </w:rPr>
        <w:t>under license</w:t>
      </w:r>
      <w:r w:rsidR="00030B6C" w:rsidRPr="00030B6C">
        <w:t xml:space="preserve"> </w:t>
      </w:r>
      <w:r w:rsidR="00030B6C" w:rsidRPr="00030B6C">
        <w:rPr>
          <w:b w:val="0"/>
          <w:bCs w:val="0"/>
        </w:rPr>
        <w:t>CC BY 4.0</w:t>
      </w:r>
      <w:r w:rsidRPr="00BA5312">
        <w:rPr>
          <w:b w:val="0"/>
          <w:bCs w:val="0"/>
        </w:rPr>
        <w:t>.</w:t>
      </w:r>
      <w:bookmarkEnd w:id="59"/>
    </w:p>
    <w:bookmarkEnd w:id="60"/>
    <w:p w14:paraId="07121626" w14:textId="77777777" w:rsidR="00017C04" w:rsidRDefault="00F50AF9">
      <w:pPr>
        <w:pStyle w:val="Heading5"/>
        <w:rPr>
          <w:i/>
        </w:rPr>
      </w:pPr>
      <w:r>
        <w:t>National legislation</w:t>
      </w:r>
    </w:p>
    <w:p w14:paraId="5BE86082" w14:textId="7E6BB29B" w:rsidR="00017C04" w:rsidRDefault="00F50AF9">
      <w:pPr>
        <w:spacing w:before="0"/>
        <w:rPr>
          <w:i/>
        </w:rPr>
      </w:pPr>
      <w:r>
        <w:t xml:space="preserve">The development and adoption of relevant national legislation is split across agricultural and environmental sectors, and in some cases also split across industries involving plants and those involving animals </w:t>
      </w:r>
      <w:r w:rsidR="00B53AEF" w:rsidRPr="00A9434B">
        <w:t>(</w:t>
      </w:r>
      <w:r w:rsidR="00CD5E56" w:rsidRPr="00673554">
        <w:rPr>
          <w:b/>
          <w:iCs/>
        </w:rPr>
        <w:fldChar w:fldCharType="begin"/>
      </w:r>
      <w:r w:rsidR="00CD5E56" w:rsidRPr="00673554">
        <w:rPr>
          <w:b/>
          <w:iCs/>
        </w:rPr>
        <w:instrText xml:space="preserve"> REF _Ref113376122 \h  \* MERGEFORMAT </w:instrText>
      </w:r>
      <w:r w:rsidR="00CD5E56" w:rsidRPr="00673554">
        <w:rPr>
          <w:b/>
          <w:iCs/>
        </w:rPr>
      </w:r>
      <w:r w:rsidR="00CD5E56" w:rsidRPr="00673554">
        <w:rPr>
          <w:b/>
          <w:iCs/>
        </w:rPr>
        <w:fldChar w:fldCharType="separate"/>
      </w:r>
      <w:r w:rsidR="0011368C" w:rsidRPr="00673554">
        <w:rPr>
          <w:b/>
          <w:iCs/>
        </w:rPr>
        <w:t>Figure 6.3</w:t>
      </w:r>
      <w:r w:rsidR="00CD5E56" w:rsidRPr="00673554">
        <w:rPr>
          <w:b/>
          <w:iCs/>
        </w:rPr>
        <w:fldChar w:fldCharType="end"/>
      </w:r>
      <w:r w:rsidR="00B53AEF" w:rsidRPr="00A9434B">
        <w:t>). Only 17</w:t>
      </w:r>
      <w:r w:rsidR="004944DE" w:rsidRPr="00A9434B">
        <w:t xml:space="preserve"> per cent</w:t>
      </w:r>
      <w:r w:rsidR="00B53AEF" w:rsidRPr="00A9434B">
        <w:t xml:space="preserve"> of countries have invasive alien species-dedicated national legislation </w:t>
      </w:r>
      <w:r w:rsidR="00B53AEF" w:rsidRPr="00A9434B">
        <w:fldChar w:fldCharType="begin"/>
      </w:r>
      <w:r w:rsidR="0006613E">
        <w:instrText xml:space="preserve"> ADDIN ZOTERO_ITEM CSL_CITATION {"citationID":"a1ahdqs80bo","properties":{"formattedCitation":"(Pagad et al., 2020)","plainCitation":"(Pagad et al., 2020)","noteIndex":0},"citationItems":[{"id":30289,"uris":["http://zotero.org/groups/2352922/items/C44T2ZZP"],"itemData":{"id":30289,"type":"report","abstract":"Report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A."}],"accessed":{"date-parts":[["2021",8,25]]},"issued":{"date-parts":[["2020"]]}}}],"schema":"https://github.com/citation-style-language/schema/raw/master/csl-citation.json"} </w:instrText>
      </w:r>
      <w:r w:rsidR="00B53AEF" w:rsidRPr="00A9434B">
        <w:fldChar w:fldCharType="separate"/>
      </w:r>
      <w:r w:rsidR="00C71E80" w:rsidRPr="00A9434B">
        <w:t>(Pagad et al., 2020)</w:t>
      </w:r>
      <w:r w:rsidR="00B53AEF" w:rsidRPr="00A9434B">
        <w:fldChar w:fldCharType="end"/>
      </w:r>
      <w:r w:rsidR="00B53AEF" w:rsidRPr="00A9434B">
        <w:t>,</w:t>
      </w:r>
      <w:r>
        <w:t xml:space="preserve"> whereas an estimated 69 per cent have invasive alien species-specific legislation as part of legislation in other sectors (in addition to plant and animal health legislation that is broadly relevant to invasive alien species; </w:t>
      </w:r>
      <w:r w:rsidR="00B53AEF" w:rsidRPr="00215172">
        <w:fldChar w:fldCharType="begin"/>
      </w:r>
      <w:r w:rsidR="0006613E">
        <w:instrText xml:space="preserve"> ADDIN ZOTERO_ITEM CSL_CITATION {"citationID":"a2ip18arv3g","properties":{"formattedCitation":"\\uldash{(Pagad et al., 2020)}","plainCitation":"(Pagad et al., 2020)","dontUpdate":true,"noteIndex":0},"citationItems":[{"id":30289,"uris":["http://zotero.org/groups/2352922/items/C44T2ZZP"],"itemData":{"id":30289,"type":"report","abstract":"Report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A."}],"accessed":{"date-parts":[["2021",8,25]]},"issued":{"date-parts":[["2020"]]}}}],"schema":"https://github.com/citation-style-language/schema/raw/master/csl-citation.json"} </w:instrText>
      </w:r>
      <w:r w:rsidR="00B53AEF" w:rsidRPr="00215172">
        <w:fldChar w:fldCharType="separate"/>
      </w:r>
      <w:r w:rsidR="008A6132" w:rsidRPr="00215172">
        <w:t>Pagad et al., 2020)</w:t>
      </w:r>
      <w:r w:rsidR="00B53AEF" w:rsidRPr="00215172">
        <w:fldChar w:fldCharType="end"/>
      </w:r>
      <w:r w:rsidR="00B53AEF" w:rsidRPr="00215172">
        <w:t>.</w:t>
      </w:r>
      <w:r>
        <w:t xml:space="preserve"> </w:t>
      </w:r>
    </w:p>
    <w:p w14:paraId="7CCB379C" w14:textId="77777777" w:rsidR="00017C04" w:rsidRDefault="00F50AF9">
      <w:pPr>
        <w:jc w:val="center"/>
      </w:pPr>
      <w:r>
        <w:rPr>
          <w:noProof/>
        </w:rPr>
        <w:lastRenderedPageBreak/>
        <w:drawing>
          <wp:inline distT="0" distB="0" distL="0" distR="0" wp14:anchorId="2747C444" wp14:editId="07412226">
            <wp:extent cx="6111240" cy="3342640"/>
            <wp:effectExtent l="0" t="0" r="0" b="0"/>
            <wp:docPr id="1868808424" name="image164.png" descr="A graph of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4.png" descr="A graph of different colored squares&#10;&#10;Description automatically generated"/>
                    <pic:cNvPicPr preferRelativeResize="0"/>
                  </pic:nvPicPr>
                  <pic:blipFill>
                    <a:blip r:embed="rId27"/>
                    <a:srcRect/>
                    <a:stretch>
                      <a:fillRect/>
                    </a:stretch>
                  </pic:blipFill>
                  <pic:spPr>
                    <a:xfrm>
                      <a:off x="0" y="0"/>
                      <a:ext cx="6111240" cy="3342640"/>
                    </a:xfrm>
                    <a:prstGeom prst="rect">
                      <a:avLst/>
                    </a:prstGeom>
                    <a:ln/>
                  </pic:spPr>
                </pic:pic>
              </a:graphicData>
            </a:graphic>
          </wp:inline>
        </w:drawing>
      </w:r>
    </w:p>
    <w:p w14:paraId="1B215A74" w14:textId="721E1977" w:rsidR="00017C04" w:rsidRPr="00C73655" w:rsidRDefault="00F50AF9" w:rsidP="00C73655">
      <w:pPr>
        <w:pStyle w:val="Caption"/>
        <w:rPr>
          <w:b w:val="0"/>
          <w:bCs w:val="0"/>
          <w:color w:val="000000"/>
          <w:lang w:val="da-DK"/>
        </w:rPr>
      </w:pPr>
      <w:bookmarkStart w:id="61" w:name="_heading=h.44sinio" w:colFirst="0" w:colLast="0"/>
      <w:bookmarkStart w:id="62" w:name="_Ref113376122"/>
      <w:bookmarkStart w:id="63" w:name="_Toc147418298"/>
      <w:bookmarkStart w:id="64" w:name="_Hlk137724764"/>
      <w:bookmarkEnd w:id="61"/>
      <w:r w:rsidRPr="00C73655">
        <w:rPr>
          <w:bCs w:val="0"/>
        </w:rPr>
        <w:t>Figure 6</w:t>
      </w:r>
      <w:r w:rsidR="00A81A12" w:rsidRPr="00C73655">
        <w:rPr>
          <w:bCs w:val="0"/>
        </w:rPr>
        <w:t>.</w:t>
      </w:r>
      <w:r w:rsidR="00A81A12" w:rsidRPr="00C73655">
        <w:rPr>
          <w:bCs w:val="0"/>
        </w:rPr>
        <w:fldChar w:fldCharType="begin"/>
      </w:r>
      <w:r w:rsidR="00A81A12" w:rsidRPr="00C73655">
        <w:rPr>
          <w:bCs w:val="0"/>
        </w:rPr>
        <w:instrText xml:space="preserve"> SEQ Figure_6. \* ARABIC </w:instrText>
      </w:r>
      <w:r w:rsidR="00A81A12" w:rsidRPr="00C73655">
        <w:rPr>
          <w:bCs w:val="0"/>
        </w:rPr>
        <w:fldChar w:fldCharType="separate"/>
      </w:r>
      <w:r w:rsidR="0011368C" w:rsidRPr="00C73655">
        <w:rPr>
          <w:bCs w:val="0"/>
          <w:noProof/>
        </w:rPr>
        <w:t>3</w:t>
      </w:r>
      <w:r w:rsidR="00A81A12" w:rsidRPr="00C73655">
        <w:rPr>
          <w:bCs w:val="0"/>
        </w:rPr>
        <w:fldChar w:fldCharType="end"/>
      </w:r>
      <w:bookmarkEnd w:id="62"/>
      <w:r w:rsidR="00585D0E" w:rsidRPr="00C73655">
        <w:rPr>
          <w:bCs w:val="0"/>
        </w:rPr>
        <w:t>.</w:t>
      </w:r>
      <w:r w:rsidRPr="00C73655">
        <w:rPr>
          <w:bCs w:val="0"/>
          <w:color w:val="000000"/>
        </w:rPr>
        <w:t xml:space="preserve"> </w:t>
      </w:r>
      <w:r w:rsidRPr="00C73655">
        <w:rPr>
          <w:b w:val="0"/>
          <w:bCs w:val="0"/>
          <w:color w:val="000000"/>
        </w:rPr>
        <w:t xml:space="preserve">Adoption of national legislation relevant to the prevention and/or control of invasive alien species. Data is shown for 195 countries reporting to the CBD. The percentage of countries (y axis) with national legislation in invasive alien species-relevant sectors (x axis) shown. </w:t>
      </w:r>
      <w:r w:rsidRPr="00C73655">
        <w:rPr>
          <w:b w:val="0"/>
          <w:bCs w:val="0"/>
          <w:color w:val="000000"/>
          <w:lang w:val="da-DK"/>
        </w:rPr>
        <w:t xml:space="preserve">Source: Pagad et al. </w:t>
      </w:r>
      <w:r w:rsidR="00A81A12" w:rsidRPr="00C73655">
        <w:rPr>
          <w:b w:val="0"/>
          <w:bCs w:val="0"/>
        </w:rPr>
        <w:fldChar w:fldCharType="begin"/>
      </w:r>
      <w:r w:rsidR="0006613E">
        <w:rPr>
          <w:b w:val="0"/>
          <w:bCs w:val="0"/>
        </w:rPr>
        <w:instrText xml:space="preserve"> ADDIN ZOTERO_ITEM CSL_CITATION {"citationID":"a2phss29db0","properties":{"formattedCitation":"(2020)","plainCitation":"(2020)","noteIndex":0},"citationItems":[{"id":30289,"uris":["http://zotero.org/groups/2352922/items/C44T2ZZP"],"itemData":{"id":30289,"type":"report","abstract":"Report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A."}],"accessed":{"date-parts":[["2021",8,25]]},"issued":{"date-parts":[["2020"]]}},"label":"page","suppress-author":true}],"schema":"https://github.com/citation-style-language/schema/raw/master/csl-citation.json"} </w:instrText>
      </w:r>
      <w:r w:rsidR="00A81A12" w:rsidRPr="00C73655">
        <w:rPr>
          <w:b w:val="0"/>
          <w:bCs w:val="0"/>
        </w:rPr>
        <w:fldChar w:fldCharType="separate"/>
      </w:r>
      <w:r w:rsidR="00C71E80" w:rsidRPr="00C73655">
        <w:rPr>
          <w:b w:val="0"/>
          <w:bCs w:val="0"/>
        </w:rPr>
        <w:t>(2020)</w:t>
      </w:r>
      <w:r w:rsidR="00A81A12" w:rsidRPr="00C73655">
        <w:rPr>
          <w:b w:val="0"/>
          <w:bCs w:val="0"/>
        </w:rPr>
        <w:fldChar w:fldCharType="end"/>
      </w:r>
      <w:r w:rsidR="004E0C12" w:rsidRPr="00C73655">
        <w:rPr>
          <w:b w:val="0"/>
          <w:bCs w:val="0"/>
        </w:rPr>
        <w:t xml:space="preserve">, </w:t>
      </w:r>
      <w:hyperlink r:id="rId28" w:history="1">
        <w:r w:rsidR="004E0C12" w:rsidRPr="00C73655">
          <w:rPr>
            <w:rStyle w:val="Hyperlink"/>
            <w:b w:val="0"/>
            <w:bCs w:val="0"/>
          </w:rPr>
          <w:t>https://opal.latrobe.edu.au/articles/report/International_Adoption_of_Invasive_Alien_Species_Policy/13065158</w:t>
        </w:r>
      </w:hyperlink>
      <w:r w:rsidRPr="00C73655">
        <w:rPr>
          <w:b w:val="0"/>
          <w:bCs w:val="0"/>
          <w:color w:val="000000"/>
          <w:lang w:val="da-DK"/>
        </w:rPr>
        <w:t>, under license CC BY 4.0.</w:t>
      </w:r>
      <w:bookmarkEnd w:id="63"/>
    </w:p>
    <w:bookmarkEnd w:id="64"/>
    <w:p w14:paraId="09560D5F" w14:textId="77777777" w:rsidR="00737EF9" w:rsidRPr="00BA5312" w:rsidRDefault="37A31879" w:rsidP="00737EF9">
      <w:pPr>
        <w:pStyle w:val="Heading5"/>
      </w:pPr>
      <w:r w:rsidRPr="00BA5312">
        <w:t>Overview of progress</w:t>
      </w:r>
    </w:p>
    <w:p w14:paraId="454BAB16" w14:textId="3A116078" w:rsidR="001B2148" w:rsidRPr="00A9434B" w:rsidRDefault="37A31879" w:rsidP="00722BA0">
      <w:pPr>
        <w:spacing w:before="0"/>
        <w:rPr>
          <w:i/>
          <w:iCs/>
        </w:rPr>
      </w:pPr>
      <w:r w:rsidRPr="00BA5312">
        <w:t xml:space="preserve">The development of action plans for invasive alien species by CBD </w:t>
      </w:r>
      <w:r w:rsidR="00F80082">
        <w:t>p</w:t>
      </w:r>
      <w:r w:rsidRPr="00BA5312">
        <w:t xml:space="preserve">arties can help </w:t>
      </w:r>
      <w:r w:rsidR="403C1008" w:rsidRPr="00BA5312">
        <w:t>them</w:t>
      </w:r>
      <w:r w:rsidRPr="00BA5312">
        <w:t xml:space="preserve"> achieve </w:t>
      </w:r>
      <w:r w:rsidR="6916CB70" w:rsidRPr="00BA5312">
        <w:t xml:space="preserve">biological </w:t>
      </w:r>
      <w:r w:rsidRPr="00BA5312">
        <w:t xml:space="preserve">invasion-relevant goals and targets, such as </w:t>
      </w:r>
      <w:r w:rsidR="2AC1D03B" w:rsidRPr="00BA5312">
        <w:t xml:space="preserve">occurred under </w:t>
      </w:r>
      <w:r w:rsidRPr="00BA5312">
        <w:t>the previous Aichi Target 9 of the 2011-2010 Strategic Plan</w:t>
      </w:r>
      <w:r w:rsidR="799F3789" w:rsidRPr="00BA5312">
        <w:t xml:space="preserve"> </w:t>
      </w:r>
      <w:r w:rsidRPr="00BA5312">
        <w:t xml:space="preserve">(CBD, 2020). However, across the elements of Aichi </w:t>
      </w:r>
      <w:r w:rsidR="3AD36D33" w:rsidRPr="00BA5312">
        <w:t xml:space="preserve">Biodiversity </w:t>
      </w:r>
      <w:r w:rsidRPr="00BA5312">
        <w:t xml:space="preserve">Target 9 and related </w:t>
      </w:r>
      <w:r w:rsidR="103F52B3" w:rsidRPr="00BA5312">
        <w:t xml:space="preserve">Target 15.8 </w:t>
      </w:r>
      <w:r w:rsidR="103F52B3" w:rsidRPr="00BA5312">
        <w:rPr>
          <w:color w:val="000000" w:themeColor="text1"/>
        </w:rPr>
        <w:t>of the 2030 Agenda for Sustainable Development</w:t>
      </w:r>
      <w:r w:rsidRPr="00BA5312">
        <w:t>,</w:t>
      </w:r>
      <w:r w:rsidRPr="00A9434B">
        <w:t xml:space="preserve"> limited progress </w:t>
      </w:r>
      <w:r w:rsidR="653952E1" w:rsidRPr="00A9434B">
        <w:t>was</w:t>
      </w:r>
      <w:r w:rsidRPr="00A9434B">
        <w:t xml:space="preserve"> made over the decade to successfully prevent, control</w:t>
      </w:r>
      <w:r w:rsidR="00896CEC">
        <w:t xml:space="preserve"> and</w:t>
      </w:r>
      <w:r w:rsidRPr="00A9434B">
        <w:t xml:space="preserve"> reduc</w:t>
      </w:r>
      <w:r w:rsidR="3DA0BFD0" w:rsidRPr="00A9434B">
        <w:t>e</w:t>
      </w:r>
      <w:r w:rsidRPr="00A9434B">
        <w:t xml:space="preserve"> the impacts of invasive alien species (</w:t>
      </w:r>
      <w:r w:rsidRPr="00673554">
        <w:rPr>
          <w:b/>
          <w:iCs/>
        </w:rPr>
        <w:t>section 6.1.2</w:t>
      </w:r>
      <w:r w:rsidR="0089231D">
        <w:t>;</w:t>
      </w:r>
      <w:r w:rsidR="00722BA0">
        <w:t xml:space="preserve"> </w:t>
      </w:r>
      <w:r w:rsidR="00722BA0">
        <w:rPr>
          <w:b/>
          <w:bCs/>
        </w:rPr>
        <w:t>Table 6.4</w:t>
      </w:r>
      <w:r w:rsidRPr="00A9434B">
        <w:t xml:space="preserve">). Most countries </w:t>
      </w:r>
      <w:r w:rsidR="7731F3A2" w:rsidRPr="00A9434B">
        <w:t>(</w:t>
      </w:r>
      <w:r w:rsidR="4ACC3C4C" w:rsidRPr="00A9434B">
        <w:t xml:space="preserve">about </w:t>
      </w:r>
      <w:r w:rsidR="7731F3A2" w:rsidRPr="00A9434B">
        <w:t xml:space="preserve">196 countries; </w:t>
      </w:r>
      <w:r w:rsidR="008A6132" w:rsidRPr="00A9434B">
        <w:fldChar w:fldCharType="begin"/>
      </w:r>
      <w:r w:rsidR="0006613E">
        <w:instrText xml:space="preserve"> ADDIN ZOTERO_ITEM CSL_CITATION {"citationID":"a2o22l1v283","properties":{"formattedCitation":"\\uldash{(Pagad et al., 2022)}","plainCitation":"(Pagad et al., 2022)","dontUpdate":true,"noteIndex":0},"citationItems":[{"id":52617,"uris":["http://zotero.org/groups/2352922/items/XKWUAWB5","http://zotero.org/groups/2352922/items/GAJN9YAZ"],"itemData":{"id":52617,"type":"article-journal","abstract":"The Country Compendium of the Global Register of Introduced and Invasive Species (GRIIS) is a collation of data across 196 individual country checklists of alien species, along with a designation of those species with evidence of impact at a country level. The Compendium provides a baseline for monitoring the distribution and invasion status of all major taxonomic groups, and can be used for the purpose of global analyses of introduced (alien, non-native, exotic) and invasive species (invasive alien species), including regional, single and multi-species taxon assessments and comparisons. It enables exploration of gaps and inferred absences of species across countries, and also provides one means for updating individual GRIIS Checklists. The Country Compendium is, for example, instrumental, along with data on first records of introduction, for assessing and reporting on invasive alien species targets, including for the Convention on Biological Diversity and Sustainable Development Goals. The GRIIS Country Compendium provides a baseline and mechanism for tracking the spread of introduced and invasive alien species acr</w:instrText>
      </w:r>
      <w:r w:rsidR="0006613E">
        <w:rPr>
          <w:rFonts w:hint="eastAsia"/>
        </w:rPr>
        <w:instrText xml:space="preserve">oss countries globally.Design Type(s)Data integration objective </w:instrText>
      </w:r>
      <w:r w:rsidR="0006613E">
        <w:rPr>
          <w:rFonts w:hint="eastAsia"/>
        </w:rPr>
        <w:instrText>●</w:instrText>
      </w:r>
      <w:r w:rsidR="0006613E">
        <w:rPr>
          <w:rFonts w:hint="eastAsia"/>
        </w:rPr>
        <w:instrText xml:space="preserve"> Observation designMeasurement Type(s)Alien species occurrence </w:instrText>
      </w:r>
      <w:r w:rsidR="0006613E">
        <w:rPr>
          <w:rFonts w:hint="eastAsia"/>
        </w:rPr>
        <w:instrText>●</w:instrText>
      </w:r>
      <w:r w:rsidR="0006613E">
        <w:rPr>
          <w:rFonts w:hint="eastAsia"/>
        </w:rPr>
        <w:instrText xml:space="preserve"> Evidence of impact invasive alien species assessment objectiveTechnology Type(s)Agent expert </w:instrText>
      </w:r>
      <w:r w:rsidR="0006613E">
        <w:rPr>
          <w:rFonts w:hint="eastAsia"/>
        </w:rPr>
        <w:instrText>●</w:instrText>
      </w:r>
      <w:r w:rsidR="0006613E">
        <w:rPr>
          <w:rFonts w:hint="eastAsia"/>
        </w:rPr>
        <w:instrText xml:space="preserve"> Data collationFactor Type(s)Geographic location </w:instrText>
      </w:r>
      <w:r w:rsidR="0006613E">
        <w:rPr>
          <w:rFonts w:hint="eastAsia"/>
        </w:rPr>
        <w:instrText>●</w:instrText>
      </w:r>
      <w:r w:rsidR="0006613E">
        <w:rPr>
          <w:rFonts w:hint="eastAsia"/>
        </w:rPr>
        <w:instrText xml:space="preserve"> Origin / provenance </w:instrText>
      </w:r>
      <w:r w:rsidR="0006613E">
        <w:rPr>
          <w:rFonts w:hint="eastAsia"/>
        </w:rPr>
        <w:instrText>●</w:instrText>
      </w:r>
      <w:r w:rsidR="0006613E">
        <w:rPr>
          <w:rFonts w:hint="eastAsia"/>
        </w:rPr>
        <w:instrText xml:space="preserve"> HabitatSample Characteristics - OrganismAnimalia </w:instrText>
      </w:r>
      <w:r w:rsidR="0006613E">
        <w:rPr>
          <w:rFonts w:hint="eastAsia"/>
        </w:rPr>
        <w:instrText>●</w:instrText>
      </w:r>
      <w:r w:rsidR="0006613E">
        <w:rPr>
          <w:rFonts w:hint="eastAsia"/>
        </w:rPr>
        <w:instrText xml:space="preserve"> Bacteria </w:instrText>
      </w:r>
      <w:r w:rsidR="0006613E">
        <w:rPr>
          <w:rFonts w:hint="eastAsia"/>
        </w:rPr>
        <w:instrText>●</w:instrText>
      </w:r>
      <w:r w:rsidR="0006613E">
        <w:rPr>
          <w:rFonts w:hint="eastAsia"/>
        </w:rPr>
        <w:instrText xml:space="preserve"> Chromista </w:instrText>
      </w:r>
      <w:r w:rsidR="0006613E">
        <w:rPr>
          <w:rFonts w:hint="eastAsia"/>
        </w:rPr>
        <w:instrText>●</w:instrText>
      </w:r>
      <w:r w:rsidR="0006613E">
        <w:rPr>
          <w:rFonts w:hint="eastAsia"/>
        </w:rPr>
        <w:instrText xml:space="preserve"> Fungi </w:instrText>
      </w:r>
      <w:r w:rsidR="0006613E">
        <w:rPr>
          <w:rFonts w:hint="eastAsia"/>
        </w:rPr>
        <w:instrText>●</w:instrText>
      </w:r>
      <w:r w:rsidR="0006613E">
        <w:rPr>
          <w:rFonts w:hint="eastAsia"/>
        </w:rPr>
        <w:instrText xml:space="preserve"> Plantae </w:instrText>
      </w:r>
      <w:r w:rsidR="0006613E">
        <w:rPr>
          <w:rFonts w:hint="eastAsia"/>
        </w:rPr>
        <w:instrText>●</w:instrText>
      </w:r>
      <w:r w:rsidR="0006613E">
        <w:rPr>
          <w:rFonts w:hint="eastAsia"/>
        </w:rPr>
        <w:instrText xml:space="preserve"> Protista (Protozoa) </w:instrText>
      </w:r>
      <w:r w:rsidR="0006613E">
        <w:rPr>
          <w:rFonts w:hint="eastAsia"/>
        </w:rPr>
        <w:instrText>●</w:instrText>
      </w:r>
      <w:r w:rsidR="0006613E">
        <w:rPr>
          <w:rFonts w:hint="eastAsia"/>
        </w:rPr>
        <w:instrText xml:space="preserve"> VirusesSample Characteristics - LocationGlobal countries","container-title":"Scientific Data","DOI"</w:instrText>
      </w:r>
      <w:r w:rsidR="0006613E">
        <w:instrText xml:space="preserve">:"10.1038/s41597-022-01514-z","ISSN":"2052-4463","issue":"1","journalAbbreviation":"Sci Data","language":"en","license":"2022 The Author(s)","page":"391","source":"www.nature.com","title":"Country Compendium of the Global Register of Introduced and Invasive Species","URL":"https://www.nature.com/articles/s41597-022-01514-z","volume":"9","author":[{"family":"Pagad","given":"Shyama"},{"family":"Bisset","given":"Stewart"},{"family":"Genovesi","given":"Piero"},{"family":"Groom","given":"Quentin"},{"family":"Hirsch","given":"Tim"},{"family":"Jetz","given":"Walter"},{"family":"Ranipeta","given":"Ajay"},{"family":"Schigel","given":"Dmitry"},{"family":"Sica","given":"Yanina V."},{"family":"McGeoch","given":"Melodie A."}],"accessed":{"date-parts":[["2022",7,25]]},"issued":{"date-parts":[["2022",7,9]]}}}],"schema":"https://github.com/citation-style-language/schema/raw/master/csl-citation.json"} </w:instrText>
      </w:r>
      <w:r w:rsidR="008A6132" w:rsidRPr="00A9434B">
        <w:fldChar w:fldCharType="separate"/>
      </w:r>
      <w:r w:rsidR="008A6132" w:rsidRPr="00A9434B">
        <w:t>Pagad et al., 2022)</w:t>
      </w:r>
      <w:r w:rsidR="008A6132" w:rsidRPr="00A9434B">
        <w:fldChar w:fldCharType="end"/>
      </w:r>
      <w:r w:rsidR="008A6132" w:rsidRPr="00A9434B">
        <w:t xml:space="preserve"> </w:t>
      </w:r>
      <w:r w:rsidRPr="00A9434B">
        <w:t xml:space="preserve">now have checklists of introduced and invasive </w:t>
      </w:r>
      <w:r w:rsidR="5E6EED3D" w:rsidRPr="00A9434B">
        <w:t xml:space="preserve">alien </w:t>
      </w:r>
      <w:r w:rsidRPr="00A9434B">
        <w:t>species, but the documented numbers of new introductions continue to increase</w:t>
      </w:r>
      <w:r w:rsidR="009E0068" w:rsidRPr="00A9434B">
        <w:t xml:space="preserve"> </w:t>
      </w:r>
      <w:r w:rsidR="00F806B6" w:rsidRPr="00A9434B">
        <w:t>(</w:t>
      </w:r>
      <w:r w:rsidR="00F70D52">
        <w:rPr>
          <w:b/>
        </w:rPr>
        <w:t>C</w:t>
      </w:r>
      <w:r w:rsidR="009E0068" w:rsidRPr="00673554">
        <w:rPr>
          <w:b/>
        </w:rPr>
        <w:t>hapter 2</w:t>
      </w:r>
      <w:r w:rsidR="009E0068" w:rsidRPr="00A9434B">
        <w:t xml:space="preserve">; </w:t>
      </w:r>
      <w:r w:rsidR="0024548D" w:rsidRPr="00A9434B">
        <w:fldChar w:fldCharType="begin"/>
      </w:r>
      <w:r w:rsidR="0006613E">
        <w:instrText xml:space="preserve"> ADDIN ZOTERO_ITEM CSL_CITATION {"citationID":"a29ubjtfo1","properties":{"formattedCitation":"\\uldash{(Seebens et al., 2017)}","plainCitation":"(Seebens et al., 2017)","dontUpdate":true,"noteIndex":0},"citationItems":[{"id":33027,"uris":["http://zotero.org/groups/2352922/items/SW8TKG54"],"itemData":{"id":33027,"type":"article-journal","container-title":"Nature Communications","DOI":"10.1038/ncomms14435","ISSN":"2041-1723","issue":"1","journalAbbreviation":"Nat Commun","language":"en","page":"14435","source":"DOI.org (Crossref)","title":"No saturation in the accumulation of alien species worldwide","URL":"http://www.nature.com/articles/ncomms14435","volume":"8","author":[{"family":"Seebens","given":"Hanno"},{"family":"Blackburn","given":"Tim M."},{"family":"Dyer","given":"Ellie E."},{"family":"Genovesi","given":"Piero"},{"family":"Hulme","given":"Philip E."},{"family":"Jeschke","given":"Jonathan M."},{"family":"Pagad","given":"Shyama"},{"family":"Pyšek","given":"Petr"},{"family":"Winter","given":"Marten"},{"family":"Arianoutsou","given":"Margarita"},{"family":"Bacher","given":"Sven"},{"family":"Blasius","given":"Bernd"},{"family":"Brundu","given":"Giuseppe"},{"family":"Capinha","given":"César"},{"family":"Celesti-Grapow","given":"Laura"},{"family":"Dawson","given":"Wayne"},{"family":"Dullinger","given":"Stefan"},{"family":"Fuentes","given":"Nicol"},{"family":"Jäger","given":"Heinke"},{"family":"Kartesz","given":"John"},{"family":"Kenis","given":"Marc"},{"family":"Kreft","given":"Holger"},{"family":"Kühn","given":"Ingolf"},{"family":"Lenzner","given":"Bernd"},{"family":"Liebhold","given":"Andrew"},{"family":"Mosena","given":"Alexander"},{"family":"Moser","given":"Dietmar"},{"family":"Nishino","given":"Misako"},{"family":"Pearman","given":"David"},{"family":"Pergl","given":"Jan"},{"family":"Rabitsch","given":"Wolfgang"},{"family":"Rojas-Sandoval","given":"Julissa"},{"family":"Roques","given":"Alain"},{"family":"Rorke","given":"Stephanie"},{"family":"Rossinelli","given":"Silvia"},{"family":"Roy","given":"Helen E."},{"family":"Scalera","given":"Riccardo"},{"family":"Schindler","given":"Stefan"},{"family":"Štajerová","given":"Kateřina"},{"family":"Tokarska-Guzik","given":"Barbara"},{"family":"Kleunen","given":"Mark","non-dropping-particle":"van"},{"family":"Walker","given":"Kevin"},{"family":"Weigelt","given":"Patrick"},{"family":"Yamanaka","given":"Takehiko"},{"family":"Essl","given":"Franz"}],"accessed":{"date-parts":[["2019",12,5]]},"issued":{"date-parts":[["2017",4]]}},"label":"page"}],"schema":"https://github.com/citation-style-language/schema/raw/master/csl-citation.json"} </w:instrText>
      </w:r>
      <w:r w:rsidR="0024548D" w:rsidRPr="00A9434B">
        <w:fldChar w:fldCharType="separate"/>
      </w:r>
      <w:r w:rsidR="0024548D" w:rsidRPr="00A9434B">
        <w:t>Seebens et al., 2017)</w:t>
      </w:r>
      <w:r w:rsidR="0024548D" w:rsidRPr="00A9434B">
        <w:fldChar w:fldCharType="end"/>
      </w:r>
      <w:r w:rsidR="0024548D" w:rsidRPr="00A9434B">
        <w:t>.</w:t>
      </w:r>
      <w:r w:rsidR="00FF0BC3">
        <w:t xml:space="preserve"> </w:t>
      </w:r>
      <w:r w:rsidRPr="00A9434B">
        <w:t xml:space="preserve">The overall conservation status of species threatened by invasive alien species </w:t>
      </w:r>
      <w:r w:rsidR="008A6132" w:rsidRPr="00A9434B">
        <w:fldChar w:fldCharType="begin"/>
      </w:r>
      <w:r w:rsidR="0006613E">
        <w:instrText xml:space="preserve"> ADDIN ZOTERO_ITEM CSL_CITATION {"citationID":"aouhu8pqen","properties":{"formattedCitation":"(Blackburn et al., 2019)","plainCitation":"(Blackburn et al., 2019)","noteIndex":0},"citationItems":[{"id":24407,"uris":["http://zotero.org/groups/2352922/items/UGWDE39B","http://zotero.org/groups/2352922/items/IJIR5Z3L"],"itemData":{"id":24407,"type":"article-journal","container-title":"Frontiers in Ecology and the Environment","DOI":"10.1002/fee.2020","ISSN":"1540-9295, 1540-9309","issue":"4","journalAbbreviation":"Front Ecol Environ","language":"en","page":"203-207","source":"DOI.org (Crossref)","title":"Alien versus native species as drivers of recent extinctions","URL":"https://onlinelibrary.wiley.com/doi/abs/10.1002/fee.2020","volume":"17","author":[{"family":"Blackburn","given":"Tim M."},{"family":"Bellard","given":"Céline"},{"family":"Ricciardi","given":"Anthony"}],"accessed":{"date-parts":[["2019",10,25]]},"issued":{"date-parts":[["2019",5]]}}}],"schema":"https://github.com/citation-style-language/schema/raw/master/csl-citation.json"} </w:instrText>
      </w:r>
      <w:r w:rsidR="008A6132" w:rsidRPr="00A9434B">
        <w:fldChar w:fldCharType="separate"/>
      </w:r>
      <w:r w:rsidR="00C71E80" w:rsidRPr="00A9434B">
        <w:t>(Blackburn et al., 2019)</w:t>
      </w:r>
      <w:r w:rsidR="008A6132" w:rsidRPr="00A9434B">
        <w:fldChar w:fldCharType="end"/>
      </w:r>
      <w:r w:rsidR="008A6132" w:rsidRPr="00A9434B">
        <w:t xml:space="preserve"> </w:t>
      </w:r>
      <w:r w:rsidRPr="00A9434B">
        <w:t xml:space="preserve">continues to worsen, many countries have little to no funding for invasive alien species activities </w:t>
      </w:r>
      <w:r w:rsidR="008A6132" w:rsidRPr="00A9434B">
        <w:fldChar w:fldCharType="begin"/>
      </w:r>
      <w:r w:rsidR="0006613E">
        <w:instrText xml:space="preserve"> ADDIN ZOTERO_ITEM CSL_CITATION {"citationID":"68dywntY","properties":{"formattedCitation":"\\uldash{(Blackburn et al., 2019)}","plainCitation":"(Blackburn et al., 2019)","dontUpdate":true,"noteIndex":0},"citationItems":[{"id":24407,"uris":["http://zotero.org/groups/2352922/items/UGWDE39B","http://zotero.org/groups/2352922/items/IJIR5Z3L"],"itemData":{"id":24407,"type":"article-journal","container-title":"Frontiers in Ecology and the Environment","DOI":"10.1002/fee.2020","ISSN":"1540-9295, 1540-9309","issue":"4","journalAbbreviation":"Front Ecol Environ","language":"en","page":"203-207","source":"DOI.org (Crossref)","title":"Alien versus native species as drivers of recent extinctions","URL":"https://onlinelibrary.wiley.com/doi/abs/10.1002/fee.2020","volume":"17","author":[{"family":"Blackburn","given":"Tim M."},{"family":"Bellard","given":"Céline"},{"family":"Ricciardi","given":"Anthony"}],"accessed":{"date-parts":[["2019",10,25]]},"issued":{"date-parts":[["2019",5]]}}}],"schema":"https://github.com/citation-style-language/schema/raw/master/csl-citation.json"} </w:instrText>
      </w:r>
      <w:r w:rsidR="008A6132" w:rsidRPr="00A9434B">
        <w:fldChar w:fldCharType="separate"/>
      </w:r>
      <w:r w:rsidR="008A6132" w:rsidRPr="00A9434B">
        <w:t>(Blackburn et al., 2019</w:t>
      </w:r>
      <w:r w:rsidR="008A6132" w:rsidRPr="00A9434B">
        <w:fldChar w:fldCharType="end"/>
      </w:r>
      <w:r w:rsidR="00B75BD1" w:rsidRPr="00A9434B">
        <w:t xml:space="preserve">; </w:t>
      </w:r>
      <w:r w:rsidRPr="00673554">
        <w:rPr>
          <w:b/>
          <w:iCs/>
        </w:rPr>
        <w:t>section 6.1.2</w:t>
      </w:r>
      <w:r w:rsidRPr="00A9434B">
        <w:t>), and most national invasive alien species targets lacked ambition relative to Aichi Target 9</w:t>
      </w:r>
      <w:r w:rsidR="00722BA0">
        <w:t xml:space="preserve"> (</w:t>
      </w:r>
      <w:r w:rsidR="00722BA0">
        <w:rPr>
          <w:b/>
          <w:bCs/>
        </w:rPr>
        <w:t>Table 6.4</w:t>
      </w:r>
      <w:r w:rsidRPr="00A9434B">
        <w:t>). Legislative and other policy instruments for invasive alien species are highly variable across countries and across sectors within countr</w:t>
      </w:r>
      <w:r w:rsidRPr="00215172">
        <w:t xml:space="preserve">ies </w:t>
      </w:r>
      <w:r w:rsidR="00093E9E" w:rsidRPr="00215172">
        <w:fldChar w:fldCharType="begin">
          <w:fldData xml:space="preserve">PEVuZE5vdGU+PENpdGU+PEF1dGhvcj5FYXJseTwvQXV0aG9yPjxZZWFyPjIwMTY8L1llYXI+PFJl
Y051bT45MTwvUmVjTnVtPjxEaXNwbGF5VGV4dD4oRWFybHksIEJyYWRsZXkgZXQgYWwuIDIwMTYs
IFR1cmJlbGluLCBNYWxhbXVkIGV0IGFsLiAyMDE3LCBQYWdhZCwgQWZmbGVjayBldCBhbC4gMjAy
MCk8L0Rpc3BsYXlUZXh0PjxyZWNvcmQ+PHJlYy1udW1iZXI+OTE8L3JlYy1udW1iZXI+PGZvcmVp
Z24ta2V5cz48a2V5IGFwcD0iRU4iIGRiLWlkPSIyZnBzMnJwd2NwdHdheGVkejlvcHJ6dm1hd2Z4
ZWY5cGZwYTIiIHRpbWVzdGFtcD0iMTYyMDcyNTAxMyI+OTE8L2tleT48L2ZvcmVpZ24ta2V5cz48
cmVmLXR5cGUgbmFtZT0iSm91cm5hbCBBcnRpY2xlIj4xNzwvcmVmLXR5cGU+PGNvbnRyaWJ1dG9y
cz48YXV0aG9ycz48YXV0aG9yPkVhcmx5LCBSLjwvYXV0aG9yPjxhdXRob3I+QnJhZGxleSwgQi4g
QS48L2F1dGhvcj48YXV0aG9yPkR1a2VzLCBKLiBTLjwvYXV0aG9yPjxhdXRob3I+TGF3bGVyLCBK
LiBKLjwvYXV0aG9yPjxhdXRob3I+T2xkZW4sIEouIEQuPC9hdXRob3I+PGF1dGhvcj5CbHVtZW50
aGFsLCBELiBNLjwvYXV0aG9yPjxhdXRob3I+R29uemFsZXosIFAuPC9hdXRob3I+PGF1dGhvcj5H
cm9zaG9seiwgRS4gRC48L2F1dGhvcj48YXV0aG9yPkliYW5leiwgSS48L2F1dGhvcj48YXV0aG9y
Pk1pbGxlciwgTC4gUC48L2F1dGhvcj48YXV0aG9yPlNvcnRlLCBDLiBKLiBCLjwvYXV0aG9yPjxh
dXRob3I+VGF0ZW0sIEEuIEouPC9hdXRob3I+PC9hdXRob3JzPjwvY29udHJpYnV0b3JzPjxhdXRo
LWFkZHJlc3M+VW5pdiBFeGV0ZXIsIEN0ciBFY29sICZhbXA7IENvbnNlcnZhdCwgUGVucnluIENh
bXB1cywgUGVucnluIFRSMTAgOUZFLCBDb3Jud2FsbCwgRW5nbGFuZCYjeEQ7VW5pdiBNYXNzYWNo
dXNldHRzLCBEZXB0IEVudmlyb25tIENvbnNlcnZhdCwgQW1oZXJzdCwgTUEgMDEwMDMgVVNBJiN4
RDtQdXJkdWUgVW5pdiwgRGVwdCBGb3Jlc3RyeSAmYW1wOyBOYXQgUmVzb3VyY2VzLCBXIExhZmF5
ZXR0ZSwgSU4gNDc5MDcgVVNBJiN4RDtQdXJkdWUgVW5pdiwgRGVwdCBCaW9sIFNjaSwgVyBMYWZh
eWV0dGUsIElOIDQ3OTA3IFVTQSYjeEQ7VW5pdiBXYXNoaW5ndG9uLCBTY2ggRW52aXJvbm0gJmFt
cDsgRm9yZXN0IFNjaSwgU2VhdHRsZSwgV0EgOTgxOTUgVVNBJiN4RDtVbml2IFdhc2hpbmd0b24s
IFNjaCBBcXVhdCAmYW1wOyBGaXNoZXJ5IFNjaSwgU2VhdHRsZSwgV0EgOTgxOTUgVVNBJiN4RDtV
U0RBIEFSUywgUmFuZ2VsYW5kIFJlc291cmNlcyBSZXMgVW5pdCwgRnQgQ29sbGlucywgQ08gVVNB
JiN4RDtOYXRsIFBrIFNlcnYsIE5hdCBSZXNvdXJjZSBTdGV3YXJkc2hpcCAmYW1wOyBTY2ksIEJl
cmtlbGV5LCBDQSA5NDcyMCBVU0EmI3hEO1VuaXYgQ2FsaWYgQmVya2VsZXksIERlcHQgRW52aXJv
bm0gU2NpIFBvbGljeSAmYW1wOyBNYW5hZ2VtZW50LCBCZXJrZWxleSwgQ0EgOTQ3MjAgVVNBJiN4
RDtVbml2IENhbGlmIERhdmlzLCBEZXB0IEVudmlyb25tIFNjaSAmYW1wOyBQb2xpY3ksIERhdmlz
LCBDQSA5NTYxNiBVU0EmI3hEO1VuaXYgTWljaGlnYW4sIFNjaCBOYXQgUmVzb3VyY2VzICZhbXA7
IEVudmlyb25tLCBBbm4gQXJib3IsIE1JIDQ4MTA5IFVTQSYjeEQ7U3RhbmZvcmQgVW5pdiwgSG9w
a2lucyBNYXJpbmUgU3RuLCBQYWNpZmljIEdyb3ZlLCBDQSA5Mzk1MCBVU0EmI3hEO1VuaXYgQ2Fs
aWYgSXJ2aW5lLCBEZXB0IEVjb2wgJmFtcDsgRXZvbHV0aW9uYXJ5IEJpb2wsIElydmluZSwgQ0Eg
OTI2OTcgVVNBJiN4RDtVbml2IFNvdXRoYW1wdG9uLCBEZXB0IEdlb2cgJmFtcDsgRW52aXJvbm0s
IFNvdXRoYW1wdG9uIFNPMTcgMUJKLCBIYW50cywgRW5nbGFuZCYjeEQ7TklILCBGb2dhcnR5IElu
dCBDdHIsIEJsZGcgMTAsIEJldGhlc2RhLCBNRCAyMDg5MiBVU0EmI3hEO0Zsb3dtaW5kZXIgRmRu
LCBTRS0xMTM1NSBTdG9ja2hvbG0sIFN3ZWRlbjwvYXV0aC1hZGRyZXNzPjx0aXRsZXM+PHRpdGxl
Pkdsb2JhbCB0aHJlYXRzIGZyb20gaW52YXNpdmUgYWxpZW4gc3BlY2llcyBpbiB0aGUgdHdlbnR5
LWZpcnN0IGNlbnR1cnkgYW5kIG5hdGlvbmFsIHJlc3BvbnNlIGNhcGFjaXRpZXM8L3RpdGxlPjxz
ZWNvbmRhcnktdGl0bGU+TmF0dXJlIENvbW11bmljYXRpb25zPC9zZWNvbmRhcnktdGl0bGU+PGFs
dC10aXRsZT5OYXQgQ29tbXVuPC9hbHQtdGl0bGU+PC90aXRsZXM+PHBlcmlvZGljYWw+PGZ1bGwt
dGl0bGU+TmF0dXJlIENvbW11bmljYXRpb25zPC9mdWxsLXRpdGxlPjxhYmJyLTE+TmF0IENvbW11
bjwvYWJici0xPjwvcGVyaW9kaWNhbD48YWx0LXBlcmlvZGljYWw+PGZ1bGwtdGl0bGU+TmF0dXJl
IENvbW11bmljYXRpb25zPC9mdWxsLXRpdGxlPjxhYmJyLTE+TmF0IENvbW11bjwvYWJici0xPjwv
YWx0LXBlcmlvZGljYWw+PHZvbHVtZT43PC92b2x1bWU+PGtleXdvcmRzPjxrZXl3b3JkPnBsYW50
IGludmFzaW9uczwva2V5d29yZD48a2V5d29yZD5iaW9sb2dpY2FsIGludmFzaW9uczwva2V5d29y
ZD48a2V5d29yZD51bml0ZWQtc3RhdGVzPC9rZXl3b3JkPjxrZXl3b3JkPmJpb2RpdmVyc2l0eTwv
a2V5d29yZD48a2V5d29yZD50cmFkZTwva2V5d29yZD48a2V5d29yZD5yaXNrPC9rZXl3b3JkPjxr
ZXl3b3JkPnJpY2huZXNzPC9rZXl3b3JkPjxrZXl3b3JkPnBhdGh3YXlzPC9rZXl3b3JkPjxrZXl3
b3JkPmRpc3R1cmJhbmNlPC9rZXl3b3JkPjxrZXl3b3JkPmRpc3BlcnNhbDwva2V5d29yZD48L2tl
eXdvcmRzPjxkYXRlcz48eWVhcj4yMDE2PC95ZWFyPjxwdWItZGF0ZXM+PGRhdGU+QXVnPC9kYXRl
PjwvcHViLWRhdGVzPjwvZGF0ZXM+PGlzYm4+MjA0MS0xNzIzPC9pc2JuPjxhY2Nlc3Npb24tbnVt
PldPUzowMDAzODE5NDc4MDAwMDE8L2FjY2Vzc2lvbi1udW0+PHVybHM+PHJlbGF0ZWQtdXJscz48
dXJsPiZsdDtHbyB0byBJU0kmZ3Q7Oi8vV09TOjAwMDM4MTk0NzgwMDAwMTwvdXJsPjwvcmVsYXRl
ZC11cmxzPjwvdXJscz48ZWxlY3Ryb25pYy1yZXNvdXJjZS1udW0+QVJUTiAxMjQ4NSYjeEQ7MTAu
MTAzOC9uY29tbXMxMjQ4NTwvZWxlY3Ryb25pYy1yZXNvdXJjZS1udW0+PGxhbmd1YWdlPkVuZ2xp
c2g8L2xhbmd1YWdlPjwvcmVjb3JkPjwvQ2l0ZT48Q2l0ZT48QXV0aG9yPlR1cmJlbGluPC9BdXRo
b3I+PFllYXI+MjAxNzwvWWVhcj48UmVjTnVtPjkwPC9SZWNOdW0+PHJlY29yZD48cmVjLW51bWJl
cj45MDwvcmVjLW51bWJlcj48Zm9yZWlnbi1rZXlzPjxrZXkgYXBwPSJFTiIgZGItaWQ9IjJmcHMy
cnB3Y3B0d2F4ZWR6OW9wcnp2bWF3ZnhlZjlwZnBhMiIgdGltZXN0YW1wPSIxNjIwNzI0OTgzIj45
MDwva2V5PjwvZm9yZWlnbi1rZXlzPjxyZWYtdHlwZSBuYW1lPSJKb3VybmFsIEFydGljbGUiPjE3
PC9yZWYtdHlwZT48Y29udHJpYnV0b3JzPjxhdXRob3JzPjxhdXRob3I+VHVyYmVsaW4sIEEuIEou
PC9hdXRob3I+PGF1dGhvcj5NYWxhbXVkLCBCLiBELjwvYXV0aG9yPjxhdXRob3I+RnJhbmNpcywg
Ui4gQS48L2F1dGhvcj48L2F1dGhvcnM+PC9jb250cmlidXRvcnM+PGF1dGgtYWRkcmVzcz5LaW5n
cyBDb2xsIExvbmRvbiwgRGVwdCBHZW9nLCBMb25kb24gV0MyUiAyTFMsIEVuZ2xhbmQ8L2F1dGgt
YWRkcmVzcz48dGl0bGVzPjx0aXRsZT5NYXBwaW5nIHRoZSBnbG9iYWwgc3RhdGUgb2YgaW52YXNp
dmUgYWxpZW4gc3BlY2llczogcGF0dGVybnMgb2YgaW52YXNpb24gYW5kIHBvbGljeSByZXNwb25z
ZXM8L3RpdGxlPjxzZWNvbmRhcnktdGl0bGU+R2xvYmFsIEVjb2xvZ3kgYW5kIEJpb2dlb2dyYXBo
eTwvc2Vjb25kYXJ5LXRpdGxlPjxhbHQtdGl0bGU+R2xvYmFsIEVjb2wgQmlvZ2VvZ3I8L2FsdC10
aXRsZT48L3RpdGxlcz48cGVyaW9kaWNhbD48ZnVsbC10aXRsZT5HbG9iYWwgRWNvbG9neSBhbmQg
QmlvZ2VvZ3JhcGh5PC9mdWxsLXRpdGxlPjxhYmJyLTE+R2xvYmFsIEVjb2wgQmlvZ2VvZ3I8L2Fi
YnItMT48L3BlcmlvZGljYWw+PGFsdC1wZXJpb2RpY2FsPjxmdWxsLXRpdGxlPkdsb2JhbCBFY29s
b2d5IGFuZCBCaW9nZW9ncmFwaHk8L2Z1bGwtdGl0bGU+PGFiYnItMT5HbG9iYWwgRWNvbCBCaW9n
ZW9ncjwvYWJici0xPjwvYWx0LXBlcmlvZGljYWw+PHBhZ2VzPjc4LTkyPC9wYWdlcz48dm9sdW1l
PjI2PC92b2x1bWU+PG51bWJlcj4xPC9udW1iZXI+PGtleXdvcmRzPjxrZXl3b3JkPmJpb2dlb2dy
YXBoeTwva2V5d29yZD48a2V5d29yZD5kaXN0cmlidXRpb248L2tleXdvcmQ+PGtleXdvcmQ+Z2Vv
Z3JhcGhpY2FsIHBhdHRlcm48L2tleXdvcmQ+PGtleXdvcmQ+Z2xvYmFsIGRhdGFiYXNlPC9rZXl3
b3JkPjxrZXl3b3JkPmludGVybmF0aW9uYWwgdHJlYXRpZXM8L2tleXdvcmQ+PGtleXdvcmQ+aW52
YXNpdmUgYWxpZW4gc3BlY2llczwva2V5d29yZD48a2V5d29yZD5sZWdpc2xhdGlvbjwva2V5d29y
ZD48a2V5d29yZD5wYXRod2F5czwva2V5d29yZD48a2V5d29yZD5wb2xpY3kgcmVzcG9uc2U8L2tl
eXdvcmQ+PGtleXdvcmQ+YmlvbG9naWNhbCBpbnZhc2lvbnM8L2tleXdvcmQ+PGtleXdvcmQ+cGxh
bnQgaW52YXNpb25zPC9rZXl3b3JkPjxrZXl3b3JkPmJpb2RpdmVyc2l0eTwva2V5d29yZD48a2V5
d29yZD5pbXBhY3Q8L2tleXdvcmQ+PGtleXdvcmQ+aW5kaWNhdG9yczwva2V5d29yZD48L2tleXdv
cmRzPjxkYXRlcz48eWVhcj4yMDE3PC95ZWFyPjxwdWItZGF0ZXM+PGRhdGU+SmFuPC9kYXRlPjwv
cHViLWRhdGVzPjwvZGF0ZXM+PGlzYm4+MTQ2Ni04MjJ4PC9pc2JuPjxhY2Nlc3Npb24tbnVtPldP
UzowMDAzOTAyMjAxMDAwMDg8L2FjY2Vzc2lvbi1udW0+PHVybHM+PHJlbGF0ZWQtdXJscz48dXJs
PiZsdDtHbyB0byBJU0kmZ3Q7Oi8vV09TOjAwMDM5MDIyMDEwMDAwODwvdXJsPjwvcmVsYXRlZC11
cmxzPjwvdXJscz48ZWxlY3Ryb25pYy1yZXNvdXJjZS1udW0+MTAuMTExMS9nZWIuMTI1MTc8L2Vs
ZWN0cm9uaWMtcmVzb3VyY2UtbnVtPjxsYW5ndWFnZT5FbmdsaXNoPC9sYW5ndWFnZT48L3JlY29y
ZD48L0NpdGU+PENpdGU+PEF1dGhvcj5QYWdhZDwvQXV0aG9yPjxZZWFyPjIwMjA8L1llYXI+PFJl
Y051bT4xNjc8L1JlY051bT48cmVjb3JkPjxyZWMtbnVtYmVyPjE2NzwvcmVjLW51bWJlcj48Zm9y
ZWlnbi1rZXlzPjxrZXkgYXBwPSJFTiIgZGItaWQ9IjJmcHMycnB3Y3B0d2F4ZWR6OW9wcnp2bWF3
ZnhlZjlwZnBhMiIgdGltZXN0YW1wPSIxNjIyNzk4MDgwIj4xNjc8L2tleT48L2ZvcmVpZ24ta2V5
cz48cmVmLXR5cGUgbmFtZT0iSm91cm5hbCBBcnRpY2xlIj4xNzwvcmVmLXR5cGU+PGNvbnRyaWJ1
dG9ycz48YXV0aG9ycz48YXV0aG9yPlBhZ2FkLCBTaHlhbWE8L2F1dGhvcj48YXV0aG9yPkFmZmxl
Y2ssIFNheGJlZTwvYXV0aG9yPjxhdXRob3I+TWNHZW9jaCwgTWVsb2RpZTwvYXV0aG9yPjwvYXV0
aG9ycz48L2NvbnRyaWJ1dG9ycz48dGl0bGVzPjx0aXRsZT5JbnRlcm5hdGlvbmFsIEFkb3B0aW9u
IG9mIEludmFzaXZlIEFsaWVuIFNwZWNpZXMgUG9saWN5PC90aXRsZT48L3RpdGxlcz48ZGF0ZXM+
PHllYXI+MjAyMDwveWVhcj48L2RhdGVzPjx1cmxzPjwvdXJscz48L3JlY29yZD48L0NpdGU+PC9F
bmROb3RlPn==
</w:fldData>
        </w:fldChar>
      </w:r>
      <w:r w:rsidR="00093E9E" w:rsidRPr="00215172">
        <w:instrText xml:space="preserve"> ADDIN EN.CITE </w:instrText>
      </w:r>
      <w:r w:rsidR="00093E9E" w:rsidRPr="00215172">
        <w:fldChar w:fldCharType="begin">
          <w:fldData xml:space="preserve">PEVuZE5vdGU+PENpdGU+PEF1dGhvcj5FYXJseTwvQXV0aG9yPjxZZWFyPjIwMTY8L1llYXI+PFJl
Y051bT45MTwvUmVjTnVtPjxEaXNwbGF5VGV4dD4oRWFybHksIEJyYWRsZXkgZXQgYWwuIDIwMTYs
IFR1cmJlbGluLCBNYWxhbXVkIGV0IGFsLiAyMDE3LCBQYWdhZCwgQWZmbGVjayBldCBhbC4gMjAy
MCk8L0Rpc3BsYXlUZXh0PjxyZWNvcmQ+PHJlYy1udW1iZXI+OTE8L3JlYy1udW1iZXI+PGZvcmVp
Z24ta2V5cz48a2V5IGFwcD0iRU4iIGRiLWlkPSIyZnBzMnJwd2NwdHdheGVkejlvcHJ6dm1hd2Z4
ZWY5cGZwYTIiIHRpbWVzdGFtcD0iMTYyMDcyNTAxMyI+OTE8L2tleT48L2ZvcmVpZ24ta2V5cz48
cmVmLXR5cGUgbmFtZT0iSm91cm5hbCBBcnRpY2xlIj4xNzwvcmVmLXR5cGU+PGNvbnRyaWJ1dG9y
cz48YXV0aG9ycz48YXV0aG9yPkVhcmx5LCBSLjwvYXV0aG9yPjxhdXRob3I+QnJhZGxleSwgQi4g
QS48L2F1dGhvcj48YXV0aG9yPkR1a2VzLCBKLiBTLjwvYXV0aG9yPjxhdXRob3I+TGF3bGVyLCBK
LiBKLjwvYXV0aG9yPjxhdXRob3I+T2xkZW4sIEouIEQuPC9hdXRob3I+PGF1dGhvcj5CbHVtZW50
aGFsLCBELiBNLjwvYXV0aG9yPjxhdXRob3I+R29uemFsZXosIFAuPC9hdXRob3I+PGF1dGhvcj5H
cm9zaG9seiwgRS4gRC48L2F1dGhvcj48YXV0aG9yPkliYW5leiwgSS48L2F1dGhvcj48YXV0aG9y
Pk1pbGxlciwgTC4gUC48L2F1dGhvcj48YXV0aG9yPlNvcnRlLCBDLiBKLiBCLjwvYXV0aG9yPjxh
dXRob3I+VGF0ZW0sIEEuIEouPC9hdXRob3I+PC9hdXRob3JzPjwvY29udHJpYnV0b3JzPjxhdXRo
LWFkZHJlc3M+VW5pdiBFeGV0ZXIsIEN0ciBFY29sICZhbXA7IENvbnNlcnZhdCwgUGVucnluIENh
bXB1cywgUGVucnluIFRSMTAgOUZFLCBDb3Jud2FsbCwgRW5nbGFuZCYjeEQ7VW5pdiBNYXNzYWNo
dXNldHRzLCBEZXB0IEVudmlyb25tIENvbnNlcnZhdCwgQW1oZXJzdCwgTUEgMDEwMDMgVVNBJiN4
RDtQdXJkdWUgVW5pdiwgRGVwdCBGb3Jlc3RyeSAmYW1wOyBOYXQgUmVzb3VyY2VzLCBXIExhZmF5
ZXR0ZSwgSU4gNDc5MDcgVVNBJiN4RDtQdXJkdWUgVW5pdiwgRGVwdCBCaW9sIFNjaSwgVyBMYWZh
eWV0dGUsIElOIDQ3OTA3IFVTQSYjeEQ7VW5pdiBXYXNoaW5ndG9uLCBTY2ggRW52aXJvbm0gJmFt
cDsgRm9yZXN0IFNjaSwgU2VhdHRsZSwgV0EgOTgxOTUgVVNBJiN4RDtVbml2IFdhc2hpbmd0b24s
IFNjaCBBcXVhdCAmYW1wOyBGaXNoZXJ5IFNjaSwgU2VhdHRsZSwgV0EgOTgxOTUgVVNBJiN4RDtV
U0RBIEFSUywgUmFuZ2VsYW5kIFJlc291cmNlcyBSZXMgVW5pdCwgRnQgQ29sbGlucywgQ08gVVNB
JiN4RDtOYXRsIFBrIFNlcnYsIE5hdCBSZXNvdXJjZSBTdGV3YXJkc2hpcCAmYW1wOyBTY2ksIEJl
cmtlbGV5LCBDQSA5NDcyMCBVU0EmI3hEO1VuaXYgQ2FsaWYgQmVya2VsZXksIERlcHQgRW52aXJv
bm0gU2NpIFBvbGljeSAmYW1wOyBNYW5hZ2VtZW50LCBCZXJrZWxleSwgQ0EgOTQ3MjAgVVNBJiN4
RDtVbml2IENhbGlmIERhdmlzLCBEZXB0IEVudmlyb25tIFNjaSAmYW1wOyBQb2xpY3ksIERhdmlz
LCBDQSA5NTYxNiBVU0EmI3hEO1VuaXYgTWljaGlnYW4sIFNjaCBOYXQgUmVzb3VyY2VzICZhbXA7
IEVudmlyb25tLCBBbm4gQXJib3IsIE1JIDQ4MTA5IFVTQSYjeEQ7U3RhbmZvcmQgVW5pdiwgSG9w
a2lucyBNYXJpbmUgU3RuLCBQYWNpZmljIEdyb3ZlLCBDQSA5Mzk1MCBVU0EmI3hEO1VuaXYgQ2Fs
aWYgSXJ2aW5lLCBEZXB0IEVjb2wgJmFtcDsgRXZvbHV0aW9uYXJ5IEJpb2wsIElydmluZSwgQ0Eg
OTI2OTcgVVNBJiN4RDtVbml2IFNvdXRoYW1wdG9uLCBEZXB0IEdlb2cgJmFtcDsgRW52aXJvbm0s
IFNvdXRoYW1wdG9uIFNPMTcgMUJKLCBIYW50cywgRW5nbGFuZCYjeEQ7TklILCBGb2dhcnR5IElu
dCBDdHIsIEJsZGcgMTAsIEJldGhlc2RhLCBNRCAyMDg5MiBVU0EmI3hEO0Zsb3dtaW5kZXIgRmRu
LCBTRS0xMTM1NSBTdG9ja2hvbG0sIFN3ZWRlbjwvYXV0aC1hZGRyZXNzPjx0aXRsZXM+PHRpdGxl
Pkdsb2JhbCB0aHJlYXRzIGZyb20gaW52YXNpdmUgYWxpZW4gc3BlY2llcyBpbiB0aGUgdHdlbnR5
LWZpcnN0IGNlbnR1cnkgYW5kIG5hdGlvbmFsIHJlc3BvbnNlIGNhcGFjaXRpZXM8L3RpdGxlPjxz
ZWNvbmRhcnktdGl0bGU+TmF0dXJlIENvbW11bmljYXRpb25zPC9zZWNvbmRhcnktdGl0bGU+PGFs
dC10aXRsZT5OYXQgQ29tbXVuPC9hbHQtdGl0bGU+PC90aXRsZXM+PHBlcmlvZGljYWw+PGZ1bGwt
dGl0bGU+TmF0dXJlIENvbW11bmljYXRpb25zPC9mdWxsLXRpdGxlPjxhYmJyLTE+TmF0IENvbW11
bjwvYWJici0xPjwvcGVyaW9kaWNhbD48YWx0LXBlcmlvZGljYWw+PGZ1bGwtdGl0bGU+TmF0dXJl
IENvbW11bmljYXRpb25zPC9mdWxsLXRpdGxlPjxhYmJyLTE+TmF0IENvbW11bjwvYWJici0xPjwv
YWx0LXBlcmlvZGljYWw+PHZvbHVtZT43PC92b2x1bWU+PGtleXdvcmRzPjxrZXl3b3JkPnBsYW50
IGludmFzaW9uczwva2V5d29yZD48a2V5d29yZD5iaW9sb2dpY2FsIGludmFzaW9uczwva2V5d29y
ZD48a2V5d29yZD51bml0ZWQtc3RhdGVzPC9rZXl3b3JkPjxrZXl3b3JkPmJpb2RpdmVyc2l0eTwv
a2V5d29yZD48a2V5d29yZD50cmFkZTwva2V5d29yZD48a2V5d29yZD5yaXNrPC9rZXl3b3JkPjxr
ZXl3b3JkPnJpY2huZXNzPC9rZXl3b3JkPjxrZXl3b3JkPnBhdGh3YXlzPC9rZXl3b3JkPjxrZXl3
b3JkPmRpc3R1cmJhbmNlPC9rZXl3b3JkPjxrZXl3b3JkPmRpc3BlcnNhbDwva2V5d29yZD48L2tl
eXdvcmRzPjxkYXRlcz48eWVhcj4yMDE2PC95ZWFyPjxwdWItZGF0ZXM+PGRhdGU+QXVnPC9kYXRl
PjwvcHViLWRhdGVzPjwvZGF0ZXM+PGlzYm4+MjA0MS0xNzIzPC9pc2JuPjxhY2Nlc3Npb24tbnVt
PldPUzowMDAzODE5NDc4MDAwMDE8L2FjY2Vzc2lvbi1udW0+PHVybHM+PHJlbGF0ZWQtdXJscz48
dXJsPiZsdDtHbyB0byBJU0kmZ3Q7Oi8vV09TOjAwMDM4MTk0NzgwMDAwMTwvdXJsPjwvcmVsYXRl
ZC11cmxzPjwvdXJscz48ZWxlY3Ryb25pYy1yZXNvdXJjZS1udW0+QVJUTiAxMjQ4NSYjeEQ7MTAu
MTAzOC9uY29tbXMxMjQ4NTwvZWxlY3Ryb25pYy1yZXNvdXJjZS1udW0+PGxhbmd1YWdlPkVuZ2xp
c2g8L2xhbmd1YWdlPjwvcmVjb3JkPjwvQ2l0ZT48Q2l0ZT48QXV0aG9yPlR1cmJlbGluPC9BdXRo
b3I+PFllYXI+MjAxNzwvWWVhcj48UmVjTnVtPjkwPC9SZWNOdW0+PHJlY29yZD48cmVjLW51bWJl
cj45MDwvcmVjLW51bWJlcj48Zm9yZWlnbi1rZXlzPjxrZXkgYXBwPSJFTiIgZGItaWQ9IjJmcHMy
cnB3Y3B0d2F4ZWR6OW9wcnp2bWF3ZnhlZjlwZnBhMiIgdGltZXN0YW1wPSIxNjIwNzI0OTgzIj45
MDwva2V5PjwvZm9yZWlnbi1rZXlzPjxyZWYtdHlwZSBuYW1lPSJKb3VybmFsIEFydGljbGUiPjE3
PC9yZWYtdHlwZT48Y29udHJpYnV0b3JzPjxhdXRob3JzPjxhdXRob3I+VHVyYmVsaW4sIEEuIEou
PC9hdXRob3I+PGF1dGhvcj5NYWxhbXVkLCBCLiBELjwvYXV0aG9yPjxhdXRob3I+RnJhbmNpcywg
Ui4gQS48L2F1dGhvcj48L2F1dGhvcnM+PC9jb250cmlidXRvcnM+PGF1dGgtYWRkcmVzcz5LaW5n
cyBDb2xsIExvbmRvbiwgRGVwdCBHZW9nLCBMb25kb24gV0MyUiAyTFMsIEVuZ2xhbmQ8L2F1dGgt
YWRkcmVzcz48dGl0bGVzPjx0aXRsZT5NYXBwaW5nIHRoZSBnbG9iYWwgc3RhdGUgb2YgaW52YXNp
dmUgYWxpZW4gc3BlY2llczogcGF0dGVybnMgb2YgaW52YXNpb24gYW5kIHBvbGljeSByZXNwb25z
ZXM8L3RpdGxlPjxzZWNvbmRhcnktdGl0bGU+R2xvYmFsIEVjb2xvZ3kgYW5kIEJpb2dlb2dyYXBo
eTwvc2Vjb25kYXJ5LXRpdGxlPjxhbHQtdGl0bGU+R2xvYmFsIEVjb2wgQmlvZ2VvZ3I8L2FsdC10
aXRsZT48L3RpdGxlcz48cGVyaW9kaWNhbD48ZnVsbC10aXRsZT5HbG9iYWwgRWNvbG9neSBhbmQg
QmlvZ2VvZ3JhcGh5PC9mdWxsLXRpdGxlPjxhYmJyLTE+R2xvYmFsIEVjb2wgQmlvZ2VvZ3I8L2Fi
YnItMT48L3BlcmlvZGljYWw+PGFsdC1wZXJpb2RpY2FsPjxmdWxsLXRpdGxlPkdsb2JhbCBFY29s
b2d5IGFuZCBCaW9nZW9ncmFwaHk8L2Z1bGwtdGl0bGU+PGFiYnItMT5HbG9iYWwgRWNvbCBCaW9n
ZW9ncjwvYWJici0xPjwvYWx0LXBlcmlvZGljYWw+PHBhZ2VzPjc4LTkyPC9wYWdlcz48dm9sdW1l
PjI2PC92b2x1bWU+PG51bWJlcj4xPC9udW1iZXI+PGtleXdvcmRzPjxrZXl3b3JkPmJpb2dlb2dy
YXBoeTwva2V5d29yZD48a2V5d29yZD5kaXN0cmlidXRpb248L2tleXdvcmQ+PGtleXdvcmQ+Z2Vv
Z3JhcGhpY2FsIHBhdHRlcm48L2tleXdvcmQ+PGtleXdvcmQ+Z2xvYmFsIGRhdGFiYXNlPC9rZXl3
b3JkPjxrZXl3b3JkPmludGVybmF0aW9uYWwgdHJlYXRpZXM8L2tleXdvcmQ+PGtleXdvcmQ+aW52
YXNpdmUgYWxpZW4gc3BlY2llczwva2V5d29yZD48a2V5d29yZD5sZWdpc2xhdGlvbjwva2V5d29y
ZD48a2V5d29yZD5wYXRod2F5czwva2V5d29yZD48a2V5d29yZD5wb2xpY3kgcmVzcG9uc2U8L2tl
eXdvcmQ+PGtleXdvcmQ+YmlvbG9naWNhbCBpbnZhc2lvbnM8L2tleXdvcmQ+PGtleXdvcmQ+cGxh
bnQgaW52YXNpb25zPC9rZXl3b3JkPjxrZXl3b3JkPmJpb2RpdmVyc2l0eTwva2V5d29yZD48a2V5
d29yZD5pbXBhY3Q8L2tleXdvcmQ+PGtleXdvcmQ+aW5kaWNhdG9yczwva2V5d29yZD48L2tleXdv
cmRzPjxkYXRlcz48eWVhcj4yMDE3PC95ZWFyPjxwdWItZGF0ZXM+PGRhdGU+SmFuPC9kYXRlPjwv
cHViLWRhdGVzPjwvZGF0ZXM+PGlzYm4+MTQ2Ni04MjJ4PC9pc2JuPjxhY2Nlc3Npb24tbnVtPldP
UzowMDAzOTAyMjAxMDAwMDg8L2FjY2Vzc2lvbi1udW0+PHVybHM+PHJlbGF0ZWQtdXJscz48dXJs
PiZsdDtHbyB0byBJU0kmZ3Q7Oi8vV09TOjAwMDM5MDIyMDEwMDAwODwvdXJsPjwvcmVsYXRlZC11
cmxzPjwvdXJscz48ZWxlY3Ryb25pYy1yZXNvdXJjZS1udW0+MTAuMTExMS9nZWIuMTI1MTc8L2Vs
ZWN0cm9uaWMtcmVzb3VyY2UtbnVtPjxsYW5ndWFnZT5FbmdsaXNoPC9sYW5ndWFnZT48L3JlY29y
ZD48L0NpdGU+PENpdGU+PEF1dGhvcj5QYWdhZDwvQXV0aG9yPjxZZWFyPjIwMjA8L1llYXI+PFJl
Y051bT4xNjc8L1JlY051bT48cmVjb3JkPjxyZWMtbnVtYmVyPjE2NzwvcmVjLW51bWJlcj48Zm9y
ZWlnbi1rZXlzPjxrZXkgYXBwPSJFTiIgZGItaWQ9IjJmcHMycnB3Y3B0d2F4ZWR6OW9wcnp2bWF3
ZnhlZjlwZnBhMiIgdGltZXN0YW1wPSIxNjIyNzk4MDgwIj4xNjc8L2tleT48L2ZvcmVpZ24ta2V5
cz48cmVmLXR5cGUgbmFtZT0iSm91cm5hbCBBcnRpY2xlIj4xNzwvcmVmLXR5cGU+PGNvbnRyaWJ1
dG9ycz48YXV0aG9ycz48YXV0aG9yPlBhZ2FkLCBTaHlhbWE8L2F1dGhvcj48YXV0aG9yPkFmZmxl
Y2ssIFNheGJlZTwvYXV0aG9yPjxhdXRob3I+TWNHZW9jaCwgTWVsb2RpZTwvYXV0aG9yPjwvYXV0
aG9ycz48L2NvbnRyaWJ1dG9ycz48dGl0bGVzPjx0aXRsZT5JbnRlcm5hdGlvbmFsIEFkb3B0aW9u
IG9mIEludmFzaXZlIEFsaWVuIFNwZWNpZXMgUG9saWN5PC90aXRsZT48L3RpdGxlcz48ZGF0ZXM+
PHllYXI+MjAyMDwveWVhcj48L2RhdGVzPjx1cmxzPjwvdXJscz48L3JlY29yZD48L0NpdGU+PC9F
bmROb3RlPn==
</w:fldData>
        </w:fldChar>
      </w:r>
      <w:r w:rsidR="00093E9E" w:rsidRPr="00215172">
        <w:instrText xml:space="preserve"> ADDIN EN.CITE.DATA </w:instrText>
      </w:r>
      <w:r w:rsidR="00093E9E" w:rsidRPr="00215172">
        <w:fldChar w:fldCharType="end"/>
      </w:r>
      <w:r w:rsidR="00093E9E" w:rsidRPr="00215172">
        <w:fldChar w:fldCharType="separate"/>
      </w:r>
      <w:r w:rsidR="00093E9E" w:rsidRPr="00215172">
        <w:fldChar w:fldCharType="begin"/>
      </w:r>
      <w:r w:rsidR="0006613E">
        <w:instrText xml:space="preserve"> ADDIN ZOTERO_ITEM CSL_CITATION {"citationID":"ao2j9ld5na","properties":{"formattedCitation":"\\uldash{(Pagad et al., 2020)}","plainCitation":"(Pagad et al., 2020)","dontUpdate":true,"noteIndex":0},"citationItems":[{"id":30289,"uris":["http://zotero.org/groups/2352922/items/C44T2ZZP"],"itemData":{"id":30289,"type":"report","abstract":"Report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A."}],"accessed":{"date-parts":[["2021",8,25]]},"issued":{"date-parts":[["2020"]]}}}],"schema":"https://github.com/citation-style-language/schema/raw/master/csl-citation.json"} </w:instrText>
      </w:r>
      <w:r w:rsidR="00093E9E" w:rsidRPr="00215172">
        <w:fldChar w:fldCharType="separate"/>
      </w:r>
      <w:r w:rsidR="00E82A29" w:rsidRPr="00215172">
        <w:t>(Pagad et al., 2020</w:t>
      </w:r>
      <w:r w:rsidR="00093E9E" w:rsidRPr="00215172">
        <w:fldChar w:fldCharType="end"/>
      </w:r>
      <w:r w:rsidR="00093E9E" w:rsidRPr="00215172">
        <w:fldChar w:fldCharType="end"/>
      </w:r>
      <w:r w:rsidR="00E82A29" w:rsidRPr="00215172">
        <w:t xml:space="preserve">; </w:t>
      </w:r>
      <w:r w:rsidRPr="00673554">
        <w:rPr>
          <w:b/>
          <w:iCs/>
        </w:rPr>
        <w:t>section 6.1.2</w:t>
      </w:r>
      <w:r w:rsidRPr="00A9434B">
        <w:t>). Data available for assessing the management of pathways</w:t>
      </w:r>
      <w:r w:rsidR="00C97ADF" w:rsidRPr="00A9434B">
        <w:t xml:space="preserve"> of introduction of invasive alien species</w:t>
      </w:r>
      <w:r w:rsidRPr="00A9434B">
        <w:t xml:space="preserve"> and of </w:t>
      </w:r>
      <w:r w:rsidR="00722BA0">
        <w:t xml:space="preserve">alien </w:t>
      </w:r>
      <w:r w:rsidRPr="00A9434B">
        <w:t xml:space="preserve">species </w:t>
      </w:r>
      <w:r w:rsidR="00F806B6" w:rsidRPr="00A9434B">
        <w:t>(</w:t>
      </w:r>
      <w:r w:rsidR="00F70D52">
        <w:rPr>
          <w:b/>
          <w:iCs/>
        </w:rPr>
        <w:t>C</w:t>
      </w:r>
      <w:r w:rsidRPr="00673554">
        <w:rPr>
          <w:b/>
          <w:iCs/>
        </w:rPr>
        <w:t>hapter 5</w:t>
      </w:r>
      <w:r w:rsidRPr="00673554">
        <w:rPr>
          <w:iCs/>
        </w:rPr>
        <w:t xml:space="preserve">, </w:t>
      </w:r>
      <w:r w:rsidRPr="00673554">
        <w:rPr>
          <w:b/>
          <w:iCs/>
        </w:rPr>
        <w:t>section 5.3.1</w:t>
      </w:r>
      <w:r w:rsidRPr="00A9434B">
        <w:t xml:space="preserve">), and the effectiveness of this management, are inadequate and largely unavailable </w:t>
      </w:r>
      <w:r w:rsidR="00722BA0">
        <w:t>(</w:t>
      </w:r>
      <w:r w:rsidR="00722BA0">
        <w:rPr>
          <w:b/>
          <w:bCs/>
        </w:rPr>
        <w:t>Table 6.4</w:t>
      </w:r>
      <w:r w:rsidR="00722BA0">
        <w:t>).</w:t>
      </w:r>
    </w:p>
    <w:p w14:paraId="02EF3FF7" w14:textId="77777777" w:rsidR="00737EF9" w:rsidRPr="00A9434B" w:rsidRDefault="00B53AEF" w:rsidP="00737EF9">
      <w:pPr>
        <w:pStyle w:val="Heading5"/>
      </w:pPr>
      <w:r w:rsidRPr="00A9434B">
        <w:t>Resourcing</w:t>
      </w:r>
    </w:p>
    <w:p w14:paraId="2F759975" w14:textId="6AE2E9E0" w:rsidR="00A81A12" w:rsidRPr="00A9434B" w:rsidRDefault="00B53AEF" w:rsidP="00737EF9">
      <w:pPr>
        <w:spacing w:before="0"/>
      </w:pPr>
      <w:r w:rsidRPr="00A9434B">
        <w:t xml:space="preserve">Estimates of the financial cost of </w:t>
      </w:r>
      <w:r w:rsidR="001A51E8" w:rsidRPr="00A9434B">
        <w:t>biological invasions</w:t>
      </w:r>
      <w:r w:rsidRPr="00A9434B">
        <w:t xml:space="preserve"> to countries vary widely, depending on the data source, location</w:t>
      </w:r>
      <w:r w:rsidR="00896CEC">
        <w:t xml:space="preserve"> and</w:t>
      </w:r>
      <w:r w:rsidRPr="00A9434B">
        <w:t xml:space="preserve"> evaluation method used </w:t>
      </w:r>
      <w:r w:rsidRPr="00A9434B">
        <w:fldChar w:fldCharType="begin"/>
      </w:r>
      <w:r w:rsidRPr="00A9434B">
        <w:instrText xml:space="preserve"> ADDIN EN.CITE &lt;EndNote&gt;&lt;Cite&gt;&lt;Author&gt;Diagne&lt;/Author&gt;&lt;Year&gt;2020&lt;/Year&gt;&lt;RecNum&gt;51597&lt;/RecNum&gt;&lt;DisplayText&gt;(Diagne, Leroy et al. 2020)&lt;/DisplayText&gt;&lt;record&gt;&lt;rec-number&gt;51597&lt;/rec-number&gt;&lt;foreign-keys&gt;&lt;key app="EN" db-id="awx9raddr0xx2hev05rxr0z05weepwpt0fex" timestamp="1623323196"&gt;51597&lt;/key&gt;&lt;/foreign-keys&gt;&lt;ref-type name="Journal Article"&gt;17&lt;/ref-type&gt;&lt;contributors&gt;&lt;authors&gt;&lt;author&gt;Diagne, C&lt;/author&gt;&lt;author&gt;Leroy, B&lt;/author&gt;&lt;author&gt;Gozlan, R E&lt;/author&gt;&lt;author&gt;Vaissière, A-C&lt;/author&gt;&lt;author&gt;Assailly, C&lt;/author&gt;&lt;author&gt;Nuninger, L&lt;/author&gt;&lt;author&gt;Roiz, D&lt;/author&gt;&lt;author&gt;Jourdain, F&lt;/author&gt;&lt;author&gt;&lt;style face="normal" font="default" size="100%"&gt;Jari&lt;/style&gt;&lt;style face="normal" font="default" charset="238" size="100%"&gt;ć, I&lt;/style&gt;&lt;/author&gt;&lt;author&gt;Courchamp, F&lt;/author&gt;&lt;/authors&gt;&lt;/contributors&gt;&lt;titles&gt;&lt;title&gt;&lt;style face="normal" font="default" charset="238" size="100%"&gt;InvaCost, a public database of the economic costs of biological invasions worldwide. &lt;/style&gt;&lt;/title&gt;&lt;secondary-title&gt;&lt;style face="normal" font="default" charset="238" size="100%"&gt;Scientific Data&lt;/style&gt;&lt;/secondary-title&gt;&lt;/titles&gt;&lt;periodical&gt;&lt;full-title&gt;Scientific Data&lt;/full-title&gt;&lt;/periodical&gt;&lt;volume&gt;7&lt;/volume&gt;&lt;number&gt;277&lt;/number&gt;&lt;dates&gt;&lt;year&gt;2020&lt;/year&gt;&lt;/dates&gt;&lt;urls&gt;&lt;/urls&gt;&lt;electronic-resource-num&gt;DOI:10.1038/s41597-020-00586-z&lt;/electronic-resource-num&gt;&lt;/record&gt;&lt;/Cite&gt;&lt;/EndNote&gt;</w:instrText>
      </w:r>
      <w:r w:rsidRPr="00A9434B">
        <w:fldChar w:fldCharType="separate"/>
      </w:r>
      <w:r w:rsidR="006521C8" w:rsidRPr="00A9434B">
        <w:fldChar w:fldCharType="begin"/>
      </w:r>
      <w:r w:rsidR="002D2756">
        <w:instrText xml:space="preserve"> ADDIN ZOTERO_ITEM CSL_CITATION {"citationID":"a56o29nqkb","properties":{"formattedCitation":"(Diagne et al., 2020)","plainCitation":"(Diagne et al., 2020)","noteIndex":0},"citationItems":[{"id":56302,"uris":["http://zotero.org/groups/2352922/items/2QVHC5WH","http://zotero.org/groups/2352922/items/GG993XIJ"],"itemData":{"id":56302,"type":"article-journal","abstract":"Abstract\n            Biological invasions are responsible for tremendous impacts globally, including huge economic losses and management expenditures. Efficiently mitigating this major driver of global change requires the improvement of public awareness and policy regarding its substantial impacts on our socio-ecosystems. One option to contribute to this overall objective is to inform people on the economic costs linked to these impacts; however, until now, a reliable synthesis of invasion costs has never been produced at a global scale. Here, we introduce InvaCost as the most up-to-date, comprehensive, harmonised and robust compilation and description of economic cost estimates associated with biological invasions worldwide. We have developed a systematic, standardised methodology to collect information from peer-reviewed articles and grey literature, while ensuring data validity and method repeatability for further transparent inputs. Our manuscript presents the methodology and tools used to build and populate this living and publicly available database. InvaCost provides an essential basis (2419 cost estimates currently compiled) for worldwide research, management efforts and, ultimately, for data-driven and evidence-based policymaking.","container-title":"Scientific Data","DOI":"10.1038/s41597-020-00586-z","ISSN":"2052-4463","issue":"1","journalAbbreviation":"Sci Data","language":"en","page":"277","source":"DOI.org (Crossref)","title":"InvaCost, a public database of the economic costs of biological invasions worldwide","URL":"https://www.nature.com/articles/s41597-020-00586-z","volume":"7","author":[{"family":"Diagne","given":"C."},{"family":"Leroy","given":"B."},{"family":"Gozlan","given":"R. E."},{"family":"Vaissière","given":"A.-C."},{"family":"Assailly","given":"C."},{"family":"Nuninger","given":"L."},{"family":"Roiz","given":"D."},{"family":"Jourdain","given":"F."},{"family":"Jarić","given":"I."},{"family":"Courchamp","given":"F."}],"accessed":{"date-parts":[["2023",6,8]]},"issued":{"date-parts":[["2020",9,8]]}},"label":"page"}],"schema":"https://github.com/citation-style-language/schema/raw/master/csl-citation.json"} </w:instrText>
      </w:r>
      <w:r w:rsidR="006521C8" w:rsidRPr="00A9434B">
        <w:fldChar w:fldCharType="separate"/>
      </w:r>
      <w:r w:rsidR="00C71E80" w:rsidRPr="00A9434B">
        <w:t>(Diagne et al., 2020)</w:t>
      </w:r>
      <w:r w:rsidR="006521C8" w:rsidRPr="00A9434B">
        <w:fldChar w:fldCharType="end"/>
      </w:r>
      <w:r w:rsidRPr="00A9434B">
        <w:fldChar w:fldCharType="end"/>
      </w:r>
      <w:r w:rsidRPr="00A9434B">
        <w:t xml:space="preserve">. Based on country-sourced data </w:t>
      </w:r>
      <w:r w:rsidRPr="00A9434B">
        <w:fldChar w:fldCharType="begin"/>
      </w:r>
      <w:r w:rsidR="0006613E">
        <w:instrText xml:space="preserve"> ADDIN ZOTERO_ITEM CSL_CITATION {"citationID":"a2kvvognpdg","properties":{"formattedCitation":"(Pagad et al., 2020)","plainCitation":"(Pagad et al., 2020)","noteIndex":0},"citationItems":[{"id":30289,"uris":["http://zotero.org/groups/2352922/items/C44T2ZZP"],"itemData":{"id":30289,"type":"report","abstract":"Report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A."}],"accessed":{"date-parts":[["2021",8,25]]},"issued":{"date-parts":[["2020"]]}}}],"schema":"https://github.com/citation-style-language/schema/raw/master/csl-citation.json"} </w:instrText>
      </w:r>
      <w:r w:rsidRPr="00A9434B">
        <w:fldChar w:fldCharType="separate"/>
      </w:r>
      <w:r w:rsidR="00C71E80" w:rsidRPr="00A9434B">
        <w:t>(Pagad et al., 2020)</w:t>
      </w:r>
      <w:r w:rsidRPr="00A9434B">
        <w:fldChar w:fldCharType="end"/>
      </w:r>
      <w:r w:rsidRPr="00A9434B">
        <w:t>, estimates of country investment in the prevention and control of invasive alien species</w:t>
      </w:r>
      <w:r w:rsidR="000562C3" w:rsidRPr="00A9434B">
        <w:t xml:space="preserve"> </w:t>
      </w:r>
      <w:r w:rsidR="00F806B6" w:rsidRPr="00A9434B">
        <w:t>(</w:t>
      </w:r>
      <w:r w:rsidR="000562C3" w:rsidRPr="00673554">
        <w:rPr>
          <w:b/>
          <w:iCs/>
        </w:rPr>
        <w:t>section 6.5</w:t>
      </w:r>
      <w:r w:rsidR="000562C3" w:rsidRPr="00A9434B">
        <w:t>)</w:t>
      </w:r>
      <w:r w:rsidRPr="00A9434B">
        <w:t xml:space="preserve"> show </w:t>
      </w:r>
      <w:r w:rsidR="00ED51F5" w:rsidRPr="00A9434B">
        <w:t>that close to half of countries allocate no funds, with most such countries concentrated in Africa (</w:t>
      </w:r>
      <w:r w:rsidR="00434EED" w:rsidRPr="00673554">
        <w:rPr>
          <w:b/>
          <w:iCs/>
        </w:rPr>
        <w:fldChar w:fldCharType="begin"/>
      </w:r>
      <w:r w:rsidR="00434EED" w:rsidRPr="00673554">
        <w:rPr>
          <w:b/>
          <w:iCs/>
        </w:rPr>
        <w:instrText xml:space="preserve"> REF _Ref113376706 \h  \* MERGEFORMAT </w:instrText>
      </w:r>
      <w:r w:rsidR="00434EED" w:rsidRPr="00673554">
        <w:rPr>
          <w:b/>
          <w:iCs/>
        </w:rPr>
      </w:r>
      <w:r w:rsidR="00434EED" w:rsidRPr="00673554">
        <w:rPr>
          <w:b/>
          <w:iCs/>
        </w:rPr>
        <w:fldChar w:fldCharType="separate"/>
      </w:r>
      <w:r w:rsidR="0011368C" w:rsidRPr="00673554">
        <w:rPr>
          <w:b/>
          <w:iCs/>
        </w:rPr>
        <w:t>Figure 6.4</w:t>
      </w:r>
      <w:r w:rsidR="00434EED" w:rsidRPr="00673554">
        <w:rPr>
          <w:b/>
          <w:iCs/>
        </w:rPr>
        <w:fldChar w:fldCharType="end"/>
      </w:r>
      <w:r w:rsidR="00434EED" w:rsidRPr="00F70D52">
        <w:rPr>
          <w:b/>
          <w:bCs/>
        </w:rPr>
        <w:t xml:space="preserve"> </w:t>
      </w:r>
      <w:r w:rsidR="00ED51F5" w:rsidRPr="00F70D52">
        <w:t>and</w:t>
      </w:r>
      <w:r w:rsidR="00ED51F5" w:rsidRPr="00F70D52">
        <w:rPr>
          <w:b/>
          <w:bCs/>
        </w:rPr>
        <w:t xml:space="preserve"> </w:t>
      </w:r>
      <w:r w:rsidR="00434EED" w:rsidRPr="00673554">
        <w:rPr>
          <w:b/>
          <w:iCs/>
        </w:rPr>
        <w:fldChar w:fldCharType="begin"/>
      </w:r>
      <w:r w:rsidR="00434EED" w:rsidRPr="00673554">
        <w:rPr>
          <w:b/>
          <w:iCs/>
        </w:rPr>
        <w:instrText xml:space="preserve"> REF _Ref113376715 \h  \* MERGEFORMAT </w:instrText>
      </w:r>
      <w:r w:rsidR="00434EED" w:rsidRPr="00673554">
        <w:rPr>
          <w:b/>
          <w:iCs/>
        </w:rPr>
      </w:r>
      <w:r w:rsidR="00434EED" w:rsidRPr="00673554">
        <w:rPr>
          <w:b/>
          <w:iCs/>
        </w:rPr>
        <w:fldChar w:fldCharType="separate"/>
      </w:r>
      <w:r w:rsidR="0011368C" w:rsidRPr="00673554">
        <w:rPr>
          <w:b/>
          <w:iCs/>
        </w:rPr>
        <w:t>Figure 6.5</w:t>
      </w:r>
      <w:r w:rsidR="00434EED" w:rsidRPr="00673554">
        <w:rPr>
          <w:b/>
          <w:iCs/>
        </w:rPr>
        <w:fldChar w:fldCharType="end"/>
      </w:r>
      <w:r w:rsidR="00ED51F5" w:rsidRPr="00A9434B">
        <w:t xml:space="preserve">). Indeed, Africa depends most heavily </w:t>
      </w:r>
      <w:r w:rsidR="2877CABA" w:rsidRPr="00A9434B">
        <w:t>on</w:t>
      </w:r>
      <w:r w:rsidR="00ED51F5" w:rsidRPr="00A9434B">
        <w:t xml:space="preserve"> globally-sourced funding </w:t>
      </w:r>
      <w:r w:rsidR="001F6DD8" w:rsidRPr="00A9434B">
        <w:t>for the</w:t>
      </w:r>
      <w:r w:rsidR="00ED51F5" w:rsidRPr="00A9434B">
        <w:t xml:space="preserve"> prevention and control </w:t>
      </w:r>
      <w:r w:rsidR="00A9434B" w:rsidRPr="00A9434B">
        <w:t xml:space="preserve">of </w:t>
      </w:r>
      <w:r w:rsidR="001F6DD8" w:rsidRPr="00A9434B">
        <w:t xml:space="preserve">invasive alien species </w:t>
      </w:r>
      <w:r w:rsidR="00ED51F5" w:rsidRPr="00A9434B">
        <w:t>(</w:t>
      </w:r>
      <w:r w:rsidR="00434EED" w:rsidRPr="00673554">
        <w:rPr>
          <w:b/>
          <w:iCs/>
        </w:rPr>
        <w:fldChar w:fldCharType="begin"/>
      </w:r>
      <w:r w:rsidR="00434EED" w:rsidRPr="00673554">
        <w:rPr>
          <w:b/>
          <w:iCs/>
        </w:rPr>
        <w:instrText xml:space="preserve"> REF _Ref113376715 \h  \* MERGEFORMAT </w:instrText>
      </w:r>
      <w:r w:rsidR="00434EED" w:rsidRPr="00673554">
        <w:rPr>
          <w:b/>
          <w:iCs/>
        </w:rPr>
      </w:r>
      <w:r w:rsidR="00434EED" w:rsidRPr="00673554">
        <w:rPr>
          <w:b/>
          <w:iCs/>
        </w:rPr>
        <w:fldChar w:fldCharType="separate"/>
      </w:r>
      <w:r w:rsidR="0011368C" w:rsidRPr="00673554">
        <w:rPr>
          <w:b/>
          <w:iCs/>
        </w:rPr>
        <w:t>Figure 6.5</w:t>
      </w:r>
      <w:r w:rsidR="00434EED" w:rsidRPr="00673554">
        <w:rPr>
          <w:b/>
          <w:iCs/>
        </w:rPr>
        <w:fldChar w:fldCharType="end"/>
      </w:r>
      <w:r w:rsidR="00ED51F5" w:rsidRPr="00A9434B">
        <w:t xml:space="preserve">) and needs additional resources to support policy development and reporting </w:t>
      </w:r>
      <w:r w:rsidR="006521C8" w:rsidRPr="00A9434B">
        <w:fldChar w:fldCharType="begin"/>
      </w:r>
      <w:r w:rsidR="0006613E">
        <w:instrText xml:space="preserve"> ADDIN ZOTERO_ITEM CSL_CITATION {"citationID":"a1eqgtis6mv","properties":{"formattedCitation":"(Egoh et al., 2020)","plainCitation":"(Egoh et al., 2020)","noteIndex":0},"citationItems":[{"id":24306,"uris":["http://zotero.org/groups/2352922/items/3MN49KK5"],"itemData":{"id":24306,"type":"article-journal","abstract":"Invasive alien species (IAS) are known to pose a serious threat to biodiversity, and reduce the ability of ecosystems to provide benefits to humans. In recognition of this threat and to address the impacts of IAS, Parties to the Convention on Biological Diversity (CBD) adopted Aichi Biodiversity Target 9, which is dedicated to the control or eradication of priority IAS and the management of their introduction pathways by 2020. The achievement of Target 9 relies strongly on the commitment and ability of Parties to set ambitious national or regional targets and achive them, the availability of information and the requisite expertise on invasion biology. Now that the global community is gearing for the post-2020 Biodiversity Framework, it is time to take stock and identify opportunities to improve the performance of the African region beyond 2020. We approached this task by reviewing information on the impacts of IAS on ecosystem services in Africa, as a large proportion of Africans directly rely on ecosystem services, particularly in rural areas. Furthermore, we assessed the expertise on IAS in Africa. Our data sources were National Reports of African countries to the CBD, as well as peer-reviewed scientific literature. National Reports under the CBD provide information on measures taken to implement the Convention at country level, as well as progress towards the achievement of set targets. We found National Reports for 48 (about 90%) countries of which 73% provided feedback on IAS indicating commitment to fight IAS. However, there were few studies within peer-reviewed scientific literature looking at impacts of IAS on ecosystem services in Africa and almost half of the authors were non-Africans. This alludes to limited scientific expertise to inform and support IAS management on the continent. Both the National Reports and scientific literature showed that provisioning services were the most negatively affected by IAS. Also, more than 100 species were listed as problematic. More efforts and resources are needed to document IAS impacts across different realms (e.g. marine, terrestrial and freshwater) and for sub-regional bodies so that more integrated strategies and approaches can be developed. This information is also needed to support the development and implementation of national legislative and regulatory initiatives, as well as to report on international obligations such as the Aichi Biodiversity Targets.","container-title":"Journal of Environmental Management","DOI":"10.1016/j.jenvman.2020.110171","ISSN":"0301-4797","journalAbbreviation":"Journal of Environmental Management","language":"en","page":"110171","source":"ScienceDirect","title":"Setting the scene for achievable post-2020 convention on biological diversity targets: A review of the impacts of invasive alien species on ecosystem services in Africa","title-short":"Setting the scene for achievable post-2020 convention on biological diversity targets","URL":"http://www.sciencedirect.com/science/article/pii/S0301479720301079","volume":"261","author":[{"family":"Egoh","given":"Benis N."},{"family":"Ntshotsho","given":"Phumza"},{"family":"Maoela","given":"Malebajoa A."},{"family":"Blanchard","given":"Ryan"},{"family":"Ayompe","given":"Lacour M."},{"family":"Rahlao","given":"Sebataolo"}],"accessed":{"date-parts":[["2020",9,5]]},"issued":{"date-parts":[["2020",5,1]]}},"label":"page"}],"schema":"https://github.com/citation-style-language/schema/raw/master/csl-citation.json"} </w:instrText>
      </w:r>
      <w:r w:rsidR="006521C8" w:rsidRPr="00A9434B">
        <w:fldChar w:fldCharType="separate"/>
      </w:r>
      <w:r w:rsidR="00C71E80" w:rsidRPr="00A9434B">
        <w:t>(Egoh et al., 2020)</w:t>
      </w:r>
      <w:r w:rsidR="006521C8" w:rsidRPr="00A9434B">
        <w:fldChar w:fldCharType="end"/>
      </w:r>
      <w:r w:rsidRPr="00A9434B">
        <w:t xml:space="preserve">. In </w:t>
      </w:r>
      <w:r w:rsidRPr="00A9434B">
        <w:lastRenderedPageBreak/>
        <w:t xml:space="preserve">the other IPBES </w:t>
      </w:r>
      <w:r w:rsidR="00EE712F" w:rsidRPr="00A9434B">
        <w:t>r</w:t>
      </w:r>
      <w:r w:rsidRPr="00A9434B">
        <w:t>egions, funds are allocated through a mix of national and international sources (</w:t>
      </w:r>
      <w:r w:rsidR="00434EED" w:rsidRPr="00673554">
        <w:rPr>
          <w:b/>
          <w:iCs/>
        </w:rPr>
        <w:fldChar w:fldCharType="begin"/>
      </w:r>
      <w:r w:rsidR="00434EED" w:rsidRPr="00673554">
        <w:rPr>
          <w:b/>
          <w:iCs/>
        </w:rPr>
        <w:instrText xml:space="preserve"> REF _Ref113376715 \h  \* MERGEFORMAT </w:instrText>
      </w:r>
      <w:r w:rsidR="00434EED" w:rsidRPr="00673554">
        <w:rPr>
          <w:b/>
          <w:iCs/>
        </w:rPr>
      </w:r>
      <w:r w:rsidR="00434EED" w:rsidRPr="00673554">
        <w:rPr>
          <w:b/>
          <w:iCs/>
        </w:rPr>
        <w:fldChar w:fldCharType="separate"/>
      </w:r>
      <w:r w:rsidR="0011368C" w:rsidRPr="00673554">
        <w:rPr>
          <w:b/>
          <w:iCs/>
        </w:rPr>
        <w:t>Figure 6.5</w:t>
      </w:r>
      <w:r w:rsidR="00434EED" w:rsidRPr="00673554">
        <w:rPr>
          <w:b/>
          <w:iCs/>
        </w:rPr>
        <w:fldChar w:fldCharType="end"/>
      </w:r>
      <w:r w:rsidRPr="00A9434B">
        <w:t xml:space="preserve">). Europe and Central Asia have the highest rates of </w:t>
      </w:r>
      <w:r w:rsidR="001B7AB0" w:rsidRPr="00A9434B">
        <w:t>nationally derived</w:t>
      </w:r>
      <w:r w:rsidRPr="00A9434B">
        <w:t xml:space="preserve"> funding. However, e</w:t>
      </w:r>
      <w:r w:rsidRPr="00A9434B">
        <w:rPr>
          <w:rFonts w:eastAsia="Batang"/>
        </w:rPr>
        <w:t>ven where relevant legislation has been adopted, countries face significant resource shortages</w:t>
      </w:r>
      <w:r w:rsidR="008A1DA5" w:rsidRPr="00A9434B">
        <w:rPr>
          <w:rFonts w:eastAsia="Batang"/>
        </w:rPr>
        <w:t xml:space="preserve"> </w:t>
      </w:r>
      <w:r w:rsidR="008A1DA5" w:rsidRPr="00A9434B">
        <w:rPr>
          <w:rFonts w:eastAsia="Batang"/>
        </w:rPr>
        <w:fldChar w:fldCharType="begin"/>
      </w:r>
      <w:r w:rsidR="0006613E">
        <w:rPr>
          <w:rFonts w:eastAsia="Batang"/>
        </w:rPr>
        <w:instrText xml:space="preserve"> ADDIN ZOTERO_ITEM CSL_CITATION {"citationID":"a2jrf1tmako","properties":{"formattedCitation":"(0 Outhwaite, 2018)","plainCitation":"(0 Outhwaite, 2018)","dontUpdate":true,"noteIndex":0},"citationItems":[{"id":53468,"uris":["http://zotero.org/groups/2352922/items/CLRWEYWR","http://zotero.org/groups/2352922/items/PILBW3JL"],"itemData":{"id":53468,"type":"chapter","container-title":"Routledge handbook of biodiversity and the law","edition":"1st edition.","ISBN":"978-0-367-50524-0","page":"83-97","publisher":"Routledge","title":"Biosecurity, invasive species and the law.","URL":"https://www.taylorfrancis.com/chapters/edit/10.4324/9781315530857-6/biosecurity-invasive-species-law-opi-outhwaite","author":[{"family":"Outhwaite","given":"Opi"}],"editor":[{"family":"McManis","given":"C. R."},{"family":"Ong","given":"B."}],"issued":{"date-parts":[["2018"]]}},"label":"page"}],"schema":"https://github.com/citation-style-language/schema/raw/master/csl-citation.json"} </w:instrText>
      </w:r>
      <w:r w:rsidR="008A1DA5" w:rsidRPr="00A9434B">
        <w:rPr>
          <w:rFonts w:eastAsia="Batang"/>
        </w:rPr>
        <w:fldChar w:fldCharType="separate"/>
      </w:r>
      <w:r w:rsidR="00C71E80" w:rsidRPr="00A9434B">
        <w:t>(Outhwaite, 2018)</w:t>
      </w:r>
      <w:r w:rsidR="008A1DA5" w:rsidRPr="00A9434B">
        <w:rPr>
          <w:rFonts w:eastAsia="Batang"/>
        </w:rPr>
        <w:fldChar w:fldCharType="end"/>
      </w:r>
      <w:r w:rsidR="0088409D" w:rsidRPr="00A9434B">
        <w:rPr>
          <w:rFonts w:eastAsia="Batang"/>
        </w:rPr>
        <w:t xml:space="preserve">. </w:t>
      </w:r>
      <w:r w:rsidR="00B039F1" w:rsidRPr="00A9434B">
        <w:rPr>
          <w:rFonts w:eastAsia="Batang"/>
        </w:rPr>
        <w:t>It is important to n</w:t>
      </w:r>
      <w:r w:rsidR="00ED51F5" w:rsidRPr="00A9434B">
        <w:rPr>
          <w:rFonts w:eastAsia="Batang"/>
        </w:rPr>
        <w:t>ote that i</w:t>
      </w:r>
      <w:r w:rsidR="00ED51F5" w:rsidRPr="00A9434B">
        <w:t>n these indicators</w:t>
      </w:r>
      <w:r w:rsidR="00497849" w:rsidRPr="00A9434B">
        <w:t>,</w:t>
      </w:r>
      <w:r w:rsidR="00ED51F5" w:rsidRPr="00A9434B">
        <w:t xml:space="preserve"> investment in resourcing of </w:t>
      </w:r>
      <w:r w:rsidR="00055DE2" w:rsidRPr="00A9434B">
        <w:t>biological invasions</w:t>
      </w:r>
      <w:r w:rsidR="00ED51F5" w:rsidRPr="00A9434B">
        <w:t xml:space="preserve"> policy and management implementation </w:t>
      </w:r>
      <w:r w:rsidRPr="00A9434B">
        <w:t>is different from the reali</w:t>
      </w:r>
      <w:r w:rsidR="006B004D" w:rsidRPr="00A9434B">
        <w:t>z</w:t>
      </w:r>
      <w:r w:rsidRPr="00A9434B">
        <w:t xml:space="preserve">ed </w:t>
      </w:r>
      <w:r w:rsidR="006F6E1F" w:rsidRPr="00A9434B">
        <w:t>“</w:t>
      </w:r>
      <w:r w:rsidRPr="00A9434B">
        <w:t>cost</w:t>
      </w:r>
      <w:r w:rsidR="006F6E1F" w:rsidRPr="00A9434B">
        <w:t>”</w:t>
      </w:r>
      <w:r w:rsidRPr="00A9434B">
        <w:t xml:space="preserve"> of invasive alien species measured as damage or loss from invasive alien species and expenditure on management </w:t>
      </w:r>
      <w:r w:rsidR="00E82A29" w:rsidRPr="00A9434B">
        <w:fldChar w:fldCharType="begin"/>
      </w:r>
      <w:r w:rsidR="00E82A29" w:rsidRPr="00A9434B">
        <w:instrText xml:space="preserve"> ADDIN EN.CITE &lt;EndNote&gt;&lt;Cite&gt;&lt;Author&gt;Diagne&lt;/Author&gt;&lt;Year&gt;2020&lt;/Year&gt;&lt;RecNum&gt;51597&lt;/RecNum&gt;&lt;DisplayText&gt;(Diagne, Leroy et al. 2020)&lt;/DisplayText&gt;&lt;record&gt;&lt;rec-number&gt;51597&lt;/rec-number&gt;&lt;foreign-keys&gt;&lt;key app="EN" db-id="awx9raddr0xx2hev05rxr0z05weepwpt0fex" timestamp="1623323196"&gt;51597&lt;/key&gt;&lt;/foreign-keys&gt;&lt;ref-type name="Journal Article"&gt;17&lt;/ref-type&gt;&lt;contributors&gt;&lt;authors&gt;&lt;author&gt;Diagne, C&lt;/author&gt;&lt;author&gt;Leroy, B&lt;/author&gt;&lt;author&gt;Gozlan, R E&lt;/author&gt;&lt;author&gt;Vaissière, A-C&lt;/author&gt;&lt;author&gt;Assailly, C&lt;/author&gt;&lt;author&gt;Nuninger, L&lt;/author&gt;&lt;author&gt;Roiz, D&lt;/author&gt;&lt;author&gt;Jourdain, F&lt;/author&gt;&lt;author&gt;&lt;style face="normal" font="default" size="100%"&gt;Jari&lt;/style&gt;&lt;style face="normal" font="default" charset="238" size="100%"&gt;ć, I&lt;/style&gt;&lt;/author&gt;&lt;author&gt;Courchamp, F&lt;/author&gt;&lt;/authors&gt;&lt;/contributors&gt;&lt;titles&gt;&lt;title&gt;&lt;style face="normal" font="default" charset="238" size="100%"&gt;InvaCost, a public database of the economic costs of biological invasions worldwide. &lt;/style&gt;&lt;/title&gt;&lt;secondary-title&gt;&lt;style face="normal" font="default" charset="238" size="100%"&gt;Scientific Data&lt;/style&gt;&lt;/secondary-title&gt;&lt;/titles&gt;&lt;periodical&gt;&lt;full-title&gt;Scientific Data&lt;/full-title&gt;&lt;/periodical&gt;&lt;volume&gt;7&lt;/volume&gt;&lt;number&gt;277&lt;/number&gt;&lt;dates&gt;&lt;year&gt;2020&lt;/year&gt;&lt;/dates&gt;&lt;urls&gt;&lt;/urls&gt;&lt;electronic-resource-num&gt;DOI:10.1038/s41597-020-00586-z&lt;/electronic-resource-num&gt;&lt;/record&gt;&lt;/Cite&gt;&lt;/EndNote&gt;</w:instrText>
      </w:r>
      <w:r w:rsidR="00E82A29" w:rsidRPr="00A9434B">
        <w:fldChar w:fldCharType="separate"/>
      </w:r>
      <w:r w:rsidR="00E82A29" w:rsidRPr="00A9434B">
        <w:fldChar w:fldCharType="begin"/>
      </w:r>
      <w:r w:rsidR="002D2756">
        <w:instrText xml:space="preserve"> ADDIN ZOTERO_ITEM CSL_CITATION {"citationID":"FRoRgI6u","properties":{"formattedCitation":"(Diagne et al., 2020)","plainCitation":"(Diagne et al., 2020)","noteIndex":0},"citationItems":[{"id":56302,"uris":["http://zotero.org/groups/2352922/items/2QVHC5WH","http://zotero.org/groups/2352922/items/GG993XIJ"],"itemData":{"id":56302,"type":"article-journal","abstract":"Abstract\n            Biological invasions are responsible for tremendous impacts globally, including huge economic losses and management expenditures. Efficiently mitigating this major driver of global change requires the improvement of public awareness and policy regarding its substantial impacts on our socio-ecosystems. One option to contribute to this overall objective is to inform people on the economic costs linked to these impacts; however, until now, a reliable synthesis of invasion costs has never been produced at a global scale. Here, we introduce InvaCost as the most up-to-date, comprehensive, harmonised and robust compilation and description of economic cost estimates associated with biological invasions worldwide. We have developed a systematic, standardised methodology to collect information from peer-reviewed articles and grey literature, while ensuring data validity and method repeatability for further transparent inputs. Our manuscript presents the methodology and tools used to build and populate this living and publicly available database. InvaCost provides an essential basis (2419 cost estimates currently compiled) for worldwide research, management efforts and, ultimately, for data-driven and evidence-based policymaking.","container-title":"Scientific Data","DOI":"10.1038/s41597-020-00586-z","ISSN":"2052-4463","issue":"1","journalAbbreviation":"Sci Data","language":"en","page":"277","source":"DOI.org (Crossref)","title":"InvaCost, a public database of the economic costs of biological invasions worldwide","URL":"https://www.nature.com/articles/s41597-020-00586-z","volume":"7","author":[{"family":"Diagne","given":"C."},{"family":"Leroy","given":"B."},{"family":"Gozlan","given":"R. E."},{"family":"Vaissière","given":"A.-C."},{"family":"Assailly","given":"C."},{"family":"Nuninger","given":"L."},{"family":"Roiz","given":"D."},{"family":"Jourdain","given":"F."},{"family":"Jarić","given":"I."},{"family":"Courchamp","given":"F."}],"accessed":{"date-parts":[["2023",6,8]]},"issued":{"date-parts":[["2020",9,8]]}},"label":"page"}],"schema":"https://github.com/citation-style-language/schema/raw/master/csl-citation.json"} </w:instrText>
      </w:r>
      <w:r w:rsidR="00E82A29" w:rsidRPr="00A9434B">
        <w:fldChar w:fldCharType="separate"/>
      </w:r>
      <w:r w:rsidR="00C71E80" w:rsidRPr="00A9434B">
        <w:t>(Diagne et al., 2020)</w:t>
      </w:r>
      <w:r w:rsidR="00E82A29" w:rsidRPr="00A9434B">
        <w:fldChar w:fldCharType="end"/>
      </w:r>
      <w:r w:rsidR="00E82A29" w:rsidRPr="00A9434B">
        <w:fldChar w:fldCharType="end"/>
      </w:r>
      <w:r w:rsidR="006521C8" w:rsidRPr="00A9434B">
        <w:t xml:space="preserve">. </w:t>
      </w:r>
    </w:p>
    <w:p w14:paraId="4D8CF639" w14:textId="236DE90C" w:rsidR="00A81A12" w:rsidRPr="00A9434B" w:rsidRDefault="00CB2957" w:rsidP="00D0755F">
      <w:pPr>
        <w:jc w:val="center"/>
      </w:pPr>
      <w:r w:rsidRPr="00CB2957">
        <w:rPr>
          <w:noProof/>
        </w:rPr>
        <w:drawing>
          <wp:inline distT="0" distB="0" distL="0" distR="0" wp14:anchorId="4A9225BC" wp14:editId="33C093D6">
            <wp:extent cx="6111240" cy="3377565"/>
            <wp:effectExtent l="0" t="0" r="0" b="635"/>
            <wp:docPr id="4" name="Picture 4" descr="A graph of a number of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a number of squares&#10;&#10;Description automatically generated with medium confidence"/>
                    <pic:cNvPicPr/>
                  </pic:nvPicPr>
                  <pic:blipFill>
                    <a:blip r:embed="rId29"/>
                    <a:stretch>
                      <a:fillRect/>
                    </a:stretch>
                  </pic:blipFill>
                  <pic:spPr>
                    <a:xfrm>
                      <a:off x="0" y="0"/>
                      <a:ext cx="6111240" cy="3377565"/>
                    </a:xfrm>
                    <a:prstGeom prst="rect">
                      <a:avLst/>
                    </a:prstGeom>
                  </pic:spPr>
                </pic:pic>
              </a:graphicData>
            </a:graphic>
          </wp:inline>
        </w:drawing>
      </w:r>
    </w:p>
    <w:p w14:paraId="40392945" w14:textId="5A779C89" w:rsidR="00C53EDD" w:rsidRDefault="00A81A12" w:rsidP="00C53EDD">
      <w:pPr>
        <w:pStyle w:val="Caption"/>
        <w:rPr>
          <w:b w:val="0"/>
          <w:bCs w:val="0"/>
        </w:rPr>
      </w:pPr>
      <w:bookmarkStart w:id="65" w:name="_Ref113376706"/>
      <w:bookmarkStart w:id="66" w:name="_Hlk137724809"/>
      <w:bookmarkStart w:id="67" w:name="_Toc147418299"/>
      <w:r w:rsidRPr="00A9434B">
        <w:t>Figure 6.</w:t>
      </w:r>
      <w:r w:rsidR="007C7AC3">
        <w:fldChar w:fldCharType="begin"/>
      </w:r>
      <w:r w:rsidR="007C7AC3">
        <w:instrText xml:space="preserve"> SEQ Figure_6. \* ARABIC </w:instrText>
      </w:r>
      <w:r w:rsidR="007C7AC3">
        <w:fldChar w:fldCharType="separate"/>
      </w:r>
      <w:r w:rsidR="0011368C">
        <w:rPr>
          <w:noProof/>
        </w:rPr>
        <w:t>4</w:t>
      </w:r>
      <w:r w:rsidR="007C7AC3">
        <w:rPr>
          <w:noProof/>
        </w:rPr>
        <w:fldChar w:fldCharType="end"/>
      </w:r>
      <w:bookmarkEnd w:id="65"/>
      <w:r w:rsidR="00585D0E" w:rsidRPr="00A9434B">
        <w:t>.</w:t>
      </w:r>
      <w:r w:rsidRPr="00A9434B">
        <w:t xml:space="preserve"> </w:t>
      </w:r>
      <w:r w:rsidRPr="00A9434B">
        <w:rPr>
          <w:b w:val="0"/>
          <w:bCs w:val="0"/>
        </w:rPr>
        <w:t xml:space="preserve">Allocation of financial resources </w:t>
      </w:r>
      <w:r w:rsidR="00120E9D" w:rsidRPr="00A9434B">
        <w:rPr>
          <w:b w:val="0"/>
          <w:bCs w:val="0"/>
        </w:rPr>
        <w:t xml:space="preserve">to the prevention and control of invasive alien species, including </w:t>
      </w:r>
      <w:r w:rsidRPr="00A9434B">
        <w:rPr>
          <w:b w:val="0"/>
          <w:bCs w:val="0"/>
        </w:rPr>
        <w:t>both national and global financial mechanisms.</w:t>
      </w:r>
      <w:r w:rsidR="007669C7" w:rsidRPr="00A9434B">
        <w:rPr>
          <w:b w:val="0"/>
          <w:bCs w:val="0"/>
        </w:rPr>
        <w:t xml:space="preserve"> </w:t>
      </w:r>
      <w:r w:rsidR="006B6ABE" w:rsidRPr="00A9434B">
        <w:rPr>
          <w:b w:val="0"/>
          <w:bCs w:val="0"/>
        </w:rPr>
        <w:t>Source:</w:t>
      </w:r>
      <w:r w:rsidRPr="00A9434B">
        <w:rPr>
          <w:b w:val="0"/>
          <w:bCs w:val="0"/>
        </w:rPr>
        <w:t xml:space="preserve"> </w:t>
      </w:r>
      <w:r w:rsidR="00E82A29" w:rsidRPr="00A9434B">
        <w:rPr>
          <w:b w:val="0"/>
          <w:bCs w:val="0"/>
        </w:rPr>
        <w:t xml:space="preserve">Pagad et al. </w:t>
      </w:r>
      <w:r w:rsidRPr="00A9434B">
        <w:rPr>
          <w:b w:val="0"/>
          <w:bCs w:val="0"/>
        </w:rPr>
        <w:fldChar w:fldCharType="begin"/>
      </w:r>
      <w:r w:rsidR="0006613E">
        <w:rPr>
          <w:b w:val="0"/>
          <w:bCs w:val="0"/>
        </w:rPr>
        <w:instrText xml:space="preserve"> ADDIN ZOTERO_ITEM CSL_CITATION {"citationID":"a1mscealok7","properties":{"formattedCitation":"(2020)","plainCitation":"(2020)","noteIndex":0},"citationItems":[{"id":30289,"uris":["http://zotero.org/groups/2352922/items/C44T2ZZP"],"itemData":{"id":30289,"type":"report","abstract":"Report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A."}],"accessed":{"date-parts":[["2021",8,25]]},"issued":{"date-parts":[["2020"]]}},"label":"page","suppress-author":true}],"schema":"https://github.com/citation-style-language/schema/raw/master/csl-citation.json"} </w:instrText>
      </w:r>
      <w:r w:rsidRPr="00A9434B">
        <w:rPr>
          <w:b w:val="0"/>
          <w:bCs w:val="0"/>
        </w:rPr>
        <w:fldChar w:fldCharType="separate"/>
      </w:r>
      <w:r w:rsidR="00C71E80" w:rsidRPr="00A9434B">
        <w:rPr>
          <w:b w:val="0"/>
          <w:bCs w:val="0"/>
        </w:rPr>
        <w:t>(2020)</w:t>
      </w:r>
      <w:r w:rsidRPr="00A9434B">
        <w:rPr>
          <w:b w:val="0"/>
          <w:bCs w:val="0"/>
        </w:rPr>
        <w:fldChar w:fldCharType="end"/>
      </w:r>
      <w:r w:rsidR="004E0C12">
        <w:rPr>
          <w:b w:val="0"/>
          <w:bCs w:val="0"/>
        </w:rPr>
        <w:t>,</w:t>
      </w:r>
      <w:r w:rsidR="00F80082">
        <w:rPr>
          <w:b w:val="0"/>
          <w:bCs w:val="0"/>
        </w:rPr>
        <w:t xml:space="preserve"> </w:t>
      </w:r>
      <w:hyperlink r:id="rId30" w:history="1">
        <w:r w:rsidR="00F80082" w:rsidRPr="00A70428">
          <w:rPr>
            <w:rStyle w:val="Hyperlink"/>
            <w:b w:val="0"/>
            <w:bCs w:val="0"/>
          </w:rPr>
          <w:t>https://opal.latrobe.edu.au/articles/report/International_Adoption_of_Invasive_Alien_Species_Policy/13065158</w:t>
        </w:r>
      </w:hyperlink>
      <w:r w:rsidR="004E0C12">
        <w:rPr>
          <w:b w:val="0"/>
          <w:bCs w:val="0"/>
        </w:rPr>
        <w:t>,</w:t>
      </w:r>
      <w:r w:rsidR="00030B6C">
        <w:rPr>
          <w:b w:val="0"/>
          <w:bCs w:val="0"/>
        </w:rPr>
        <w:t xml:space="preserve"> under license</w:t>
      </w:r>
      <w:r w:rsidR="00030B6C" w:rsidRPr="00030B6C">
        <w:t xml:space="preserve"> </w:t>
      </w:r>
      <w:r w:rsidR="00030B6C" w:rsidRPr="00030B6C">
        <w:rPr>
          <w:b w:val="0"/>
          <w:bCs w:val="0"/>
        </w:rPr>
        <w:t>CC BY 4.0</w:t>
      </w:r>
      <w:r w:rsidR="007669C7" w:rsidRPr="00A9434B">
        <w:rPr>
          <w:b w:val="0"/>
          <w:bCs w:val="0"/>
        </w:rPr>
        <w:t>.</w:t>
      </w:r>
      <w:bookmarkStart w:id="68" w:name="_Hlk137724816"/>
      <w:bookmarkEnd w:id="66"/>
      <w:bookmarkEnd w:id="67"/>
    </w:p>
    <w:p w14:paraId="39BD2510" w14:textId="77777777" w:rsidR="00F80082" w:rsidRPr="00F80082" w:rsidRDefault="00F80082" w:rsidP="00F80082">
      <w:pPr>
        <w:rPr>
          <w:lang w:eastAsia="en-NZ"/>
        </w:rPr>
      </w:pPr>
    </w:p>
    <w:p w14:paraId="09FE6653" w14:textId="69E58BDB" w:rsidR="00C53EDD" w:rsidRPr="00A9434B" w:rsidRDefault="006174B1" w:rsidP="00943D3C">
      <w:pPr>
        <w:jc w:val="center"/>
      </w:pPr>
      <w:r w:rsidRPr="006174B1">
        <w:rPr>
          <w:noProof/>
        </w:rPr>
        <w:lastRenderedPageBreak/>
        <w:drawing>
          <wp:inline distT="0" distB="0" distL="0" distR="0" wp14:anchorId="3B5A5FC4" wp14:editId="40197398">
            <wp:extent cx="6111240" cy="4029075"/>
            <wp:effectExtent l="0" t="0" r="0" b="0"/>
            <wp:docPr id="17" name="Picture 17"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graph of different colored bars&#10;&#10;Description automatically generated"/>
                    <pic:cNvPicPr/>
                  </pic:nvPicPr>
                  <pic:blipFill>
                    <a:blip r:embed="rId31"/>
                    <a:stretch>
                      <a:fillRect/>
                    </a:stretch>
                  </pic:blipFill>
                  <pic:spPr>
                    <a:xfrm>
                      <a:off x="0" y="0"/>
                      <a:ext cx="6111240" cy="4029075"/>
                    </a:xfrm>
                    <a:prstGeom prst="rect">
                      <a:avLst/>
                    </a:prstGeom>
                  </pic:spPr>
                </pic:pic>
              </a:graphicData>
            </a:graphic>
          </wp:inline>
        </w:drawing>
      </w:r>
      <w:bookmarkStart w:id="69" w:name="_heading=h.z337ya" w:colFirst="0" w:colLast="0"/>
      <w:bookmarkEnd w:id="68"/>
      <w:bookmarkEnd w:id="69"/>
    </w:p>
    <w:p w14:paraId="7FA83DFD" w14:textId="77777777" w:rsidR="00C53EDD" w:rsidRPr="00AE7716" w:rsidRDefault="00C53EDD" w:rsidP="00C53EDD">
      <w:pPr>
        <w:keepNext/>
        <w:pBdr>
          <w:top w:val="nil"/>
          <w:left w:val="nil"/>
          <w:bottom w:val="nil"/>
          <w:right w:val="nil"/>
          <w:between w:val="nil"/>
        </w:pBdr>
        <w:rPr>
          <w:color w:val="000000"/>
          <w:lang w:val="da-DK"/>
        </w:rPr>
      </w:pPr>
      <w:bookmarkStart w:id="70" w:name="_Ref113376715"/>
      <w:bookmarkStart w:id="71" w:name="_Toc147418300"/>
      <w:r w:rsidRPr="00C53EDD">
        <w:rPr>
          <w:b/>
          <w:bCs/>
        </w:rPr>
        <w:t>Figure 6.</w:t>
      </w:r>
      <w:r w:rsidRPr="00C53EDD">
        <w:rPr>
          <w:b/>
          <w:bCs/>
        </w:rPr>
        <w:fldChar w:fldCharType="begin"/>
      </w:r>
      <w:r w:rsidRPr="00C53EDD">
        <w:rPr>
          <w:b/>
          <w:bCs/>
        </w:rPr>
        <w:instrText xml:space="preserve"> SEQ Figure_6. \* ARABIC </w:instrText>
      </w:r>
      <w:r w:rsidRPr="00C53EDD">
        <w:rPr>
          <w:b/>
          <w:bCs/>
        </w:rPr>
        <w:fldChar w:fldCharType="separate"/>
      </w:r>
      <w:r w:rsidRPr="00C53EDD">
        <w:rPr>
          <w:b/>
          <w:bCs/>
          <w:noProof/>
        </w:rPr>
        <w:t>5</w:t>
      </w:r>
      <w:r w:rsidRPr="00C53EDD">
        <w:rPr>
          <w:b/>
          <w:bCs/>
        </w:rPr>
        <w:fldChar w:fldCharType="end"/>
      </w:r>
      <w:bookmarkEnd w:id="70"/>
      <w:r w:rsidRPr="00C53EDD">
        <w:rPr>
          <w:b/>
          <w:bCs/>
        </w:rPr>
        <w:t>.</w:t>
      </w:r>
      <w:r>
        <w:t xml:space="preserve"> </w:t>
      </w:r>
      <w:r>
        <w:rPr>
          <w:color w:val="000000"/>
        </w:rPr>
        <w:t xml:space="preserve">Percentage of countries (y axis) per IPBES region that have accessed different funding sources (x axis) for invasive alien species prevention and control. Africa: n = 38, Americas: n = 25, Asia and the Pacific: n = 32, Europe and Central Asia: n = 46. </w:t>
      </w:r>
      <w:r w:rsidRPr="00AE7716">
        <w:rPr>
          <w:color w:val="000000"/>
          <w:lang w:val="da-DK"/>
        </w:rPr>
        <w:t xml:space="preserve">Source: Pagad et al. (2020), </w:t>
      </w:r>
      <w:hyperlink r:id="rId32">
        <w:r w:rsidRPr="00AE7716">
          <w:rPr>
            <w:color w:val="0563C1"/>
            <w:u w:val="single"/>
            <w:lang w:val="da-DK"/>
          </w:rPr>
          <w:t>https://opal.latrobe.edu.au/articles/report/International_Adoption_of_Invasive_Alien_Species_Policy/13065158</w:t>
        </w:r>
      </w:hyperlink>
      <w:r w:rsidRPr="00AE7716">
        <w:rPr>
          <w:color w:val="000000"/>
          <w:lang w:val="da-DK"/>
        </w:rPr>
        <w:t>, under license</w:t>
      </w:r>
      <w:r w:rsidRPr="00AE7716">
        <w:rPr>
          <w:b/>
          <w:color w:val="000000"/>
          <w:lang w:val="da-DK"/>
        </w:rPr>
        <w:t xml:space="preserve"> </w:t>
      </w:r>
      <w:r w:rsidRPr="00AE7716">
        <w:rPr>
          <w:color w:val="000000"/>
          <w:lang w:val="da-DK"/>
        </w:rPr>
        <w:t>CC BY 4.0.</w:t>
      </w:r>
      <w:bookmarkEnd w:id="71"/>
    </w:p>
    <w:p w14:paraId="31AC255E" w14:textId="68670161" w:rsidR="00017C04" w:rsidRPr="00C73655" w:rsidRDefault="00F50AF9" w:rsidP="00C73655">
      <w:pPr>
        <w:keepNext/>
        <w:pBdr>
          <w:top w:val="nil"/>
          <w:left w:val="nil"/>
          <w:bottom w:val="nil"/>
          <w:right w:val="nil"/>
          <w:between w:val="nil"/>
        </w:pBdr>
        <w:rPr>
          <w:color w:val="000000"/>
        </w:rPr>
      </w:pPr>
      <w:r w:rsidRPr="00C73655">
        <w:rPr>
          <w:color w:val="000000" w:themeColor="text1"/>
        </w:rPr>
        <w:t>In summary, globally representative, country-relevant data on the governance for biological invasions and related policy instruments show generally high levels of compliance with multilateral agreements. Such agreements do contribute to prevention and control</w:t>
      </w:r>
      <w:r w:rsidR="284F7239" w:rsidRPr="56C59A3A">
        <w:rPr>
          <w:color w:val="000000" w:themeColor="text1"/>
        </w:rPr>
        <w:t xml:space="preserve"> of </w:t>
      </w:r>
      <w:r w:rsidR="284F7239">
        <w:t>invasive alien species</w:t>
      </w:r>
      <w:r w:rsidR="00896CEC">
        <w:rPr>
          <w:color w:val="000000" w:themeColor="text1"/>
        </w:rPr>
        <w:t xml:space="preserve"> and</w:t>
      </w:r>
      <w:r w:rsidRPr="00C73655">
        <w:rPr>
          <w:color w:val="000000" w:themeColor="text1"/>
        </w:rPr>
        <w:t xml:space="preserve"> stimulate the existence of many different national instruments, though in most countries these instruments are siloed within industry sectors </w:t>
      </w:r>
      <w:r w:rsidR="7FFE9184" w:rsidRPr="00A9434B">
        <w:t>(</w:t>
      </w:r>
      <w:r w:rsidR="00434EED" w:rsidRPr="00673554">
        <w:rPr>
          <w:iCs/>
        </w:rPr>
        <w:fldChar w:fldCharType="begin"/>
      </w:r>
      <w:r w:rsidR="00434EED" w:rsidRPr="00673554">
        <w:rPr>
          <w:iCs/>
        </w:rPr>
        <w:instrText xml:space="preserve"> REF _Ref113376122 \h  \* MERGEFORMAT </w:instrText>
      </w:r>
      <w:r w:rsidR="00434EED" w:rsidRPr="00673554">
        <w:rPr>
          <w:iCs/>
        </w:rPr>
      </w:r>
      <w:r w:rsidR="00434EED" w:rsidRPr="00673554">
        <w:rPr>
          <w:iCs/>
        </w:rPr>
        <w:fldChar w:fldCharType="separate"/>
      </w:r>
      <w:r w:rsidR="0011368C" w:rsidRPr="00673554">
        <w:rPr>
          <w:iCs/>
        </w:rPr>
        <w:t>Figure 6.3</w:t>
      </w:r>
      <w:r w:rsidR="00434EED" w:rsidRPr="00673554">
        <w:rPr>
          <w:iCs/>
        </w:rPr>
        <w:fldChar w:fldCharType="end"/>
      </w:r>
      <w:r w:rsidR="7FFE9184" w:rsidRPr="00A9434B">
        <w:t>),</w:t>
      </w:r>
      <w:r w:rsidRPr="00C73655">
        <w:rPr>
          <w:color w:val="000000" w:themeColor="text1"/>
        </w:rPr>
        <w:t xml:space="preserve"> most of which are not dedicated to invasive alien species prevention and control. A thorough analysis of national legislative instruments for biological invasions is still lacking (perpetuating the situation identified mid-term in the Strategic Plan for Biodiversity 2011-2020), as are assessments of the effectiveness of invasive alien species legislation </w:t>
      </w:r>
      <w:r w:rsidR="005D45D0" w:rsidRPr="00A9434B">
        <w:rPr>
          <w:b/>
        </w:rPr>
        <w:fldChar w:fldCharType="begin"/>
      </w:r>
      <w:r w:rsidR="0006613E">
        <w:instrText xml:space="preserve"> ADDIN ZOTERO_ITEM CSL_CITATION {"citationID":"a2civqdclph","properties":{"formattedCitation":"(Leadley et al., 2014)","plainCitation":"(Leadley et al., 2014)","noteIndex":0},"citationItems":[{"id":30288,"uris":["http://zotero.org/groups/2352922/items/E66TASPF"],"itemData":{"id":30288,"type":"report","abstract":"\"In 2010, the Parties to the Convention on Biological Diversity (CBD) adopted the Strategic Plan for Biodiversity 2011-2020 in Nagoya, Japan. This Strategic Plan includes a 'shared vision, a mission, strategic goals and 20 ambitious yet achievable targets, collectively known as the Aichi Targets.' The vision is that 'By 2050, biodiversity is valued, conserved, restored and wisely used, maintaining ecosystem services, sustaining a healthy planet and delivering benefits essential for all people.' The Global Biodiversity Outlook 4 is an assessment of progress towards attaining the Strategic Plan roughly halfway between its adoption in 2010 and the deadline for achieving most of the Aichi Targets in 2020. This Global Biodiversity Outlook 4 (GBO-4) Technical Report provides a detailed assessment of the evidence base underlying the conclusions in the main Global Biodiversity Outlook 4 report\"--","collection-title":"CBD Technical Series","event-place":"Montreal, Canada","genre":"Global Biodiversity Outlook 4 (GBO-4) Technical Report","language":"en","note":"OCLC: 899004983","number":"78","page":"500","publisher":"Secretariat of the Convention on Biological Diversity","publisher-place":"Montreal, Canada","source":"Open WorldCat","title":"Progress towards the Aichi biodiversity targets: An assessment of biodiversity trends, policy scenarios and key actions","title-short":"Progress towards the Aichi biodiversity targets","URL":"http://www.deslibris.ca/ID/244310","author":[{"family":"Leadley","given":"Paul W."},{"family":"Krug","given":"Cornelia B"},{"family":"Alkemade","given":"R"},{"family":"Pereira","given":"H. M."},{"family":"Sumaila","given":"U. R."},{"family":"Walpole","given":"M."},{"family":"Marques","given":"A."},{"family":"Newbold","given":"T."},{"family":"Teh","given":"L. S. L."},{"family":"Kolck","given":"J.","non-dropping-particle":"van"},{"family":"Bellard","given":"C."},{"family":"Januchowski-Hartley","given":"S. R."},{"family":"Mumby","given":"P. J."}],"accessed":{"date-parts":[["2021",8,25]]},"issued":{"date-parts":[["2014"]]}},"label":"page"}],"schema":"https://github.com/citation-style-language/schema/raw/master/csl-citation.json"} </w:instrText>
      </w:r>
      <w:r w:rsidR="005D45D0" w:rsidRPr="00A9434B">
        <w:rPr>
          <w:b/>
        </w:rPr>
        <w:fldChar w:fldCharType="separate"/>
      </w:r>
      <w:r w:rsidR="00C71E80" w:rsidRPr="00A9434B">
        <w:t>(Leadley et al., 2014)</w:t>
      </w:r>
      <w:r w:rsidR="005D45D0" w:rsidRPr="00A9434B">
        <w:rPr>
          <w:b/>
        </w:rPr>
        <w:fldChar w:fldCharType="end"/>
      </w:r>
      <w:r w:rsidR="2F292AA4" w:rsidRPr="00A9434B">
        <w:t>.</w:t>
      </w:r>
    </w:p>
    <w:p w14:paraId="34224B7C" w14:textId="6EBCE842" w:rsidR="00017C04" w:rsidRDefault="00F50AF9" w:rsidP="00192C26">
      <w:r>
        <w:t xml:space="preserve">Although evidence for progress in establishing and advancing effective governance for biological invasions is patchy and incomplete, the weight of evidence points to a failure to adequately resource, prevent and control invasive alien species (throughout this assessment and </w:t>
      </w:r>
      <w:r>
        <w:rPr>
          <w:b/>
        </w:rPr>
        <w:t>section 6.6.3</w:t>
      </w:r>
      <w:r>
        <w:t xml:space="preserve">). </w:t>
      </w:r>
      <w:r w:rsidRPr="00C73655">
        <w:rPr>
          <w:color w:val="000000"/>
        </w:rPr>
        <w:t>While it is not possible to establish how much worse the situation would be in the absence of the substantial collective investment made to date to prevent and control invasive alien species (</w:t>
      </w:r>
      <w:r w:rsidRPr="00C73655">
        <w:rPr>
          <w:b/>
          <w:color w:val="000000"/>
        </w:rPr>
        <w:t>Chapter 5</w:t>
      </w:r>
      <w:r w:rsidRPr="00C73655">
        <w:rPr>
          <w:color w:val="000000"/>
        </w:rPr>
        <w:t>,</w:t>
      </w:r>
      <w:r w:rsidRPr="00C73655">
        <w:rPr>
          <w:b/>
          <w:color w:val="000000"/>
        </w:rPr>
        <w:t xml:space="preserve"> section 5.5.7</w:t>
      </w:r>
      <w:r w:rsidRPr="00C73655">
        <w:rPr>
          <w:color w:val="000000"/>
        </w:rPr>
        <w:t>)</w:t>
      </w:r>
      <w:r>
        <w:t xml:space="preserve">, it can be inferred that governance approaches and governance systems for biological invasions have been inadequate. Strengthening related governance provides an overarching option for improving the prevention and control of invasive alien species and making faster progress toward achieving multilateral goals and targets </w:t>
      </w:r>
      <w:r w:rsidR="00ED51F5" w:rsidRPr="00A9434B">
        <w:fldChar w:fldCharType="begin"/>
      </w:r>
      <w:r w:rsidR="0006613E">
        <w:instrText xml:space="preserve"> ADDIN ZOTERO_ITEM CSL_CITATION {"citationID":"a2mamrjq9be","properties":{"formattedCitation":"(Buchanan et al., 2020)","plainCitation":"(Buchanan et al., 2020)","noteIndex":0},"citationItems":[{"id":52664,"uris":["http://zotero.org/groups/2352922/items/9ZDNMGMT"],"itemData":{"id":52664,"type":"article-journal","container-title":"Ecological Indicators","DOI":"10.1016/j.ecolind.2020.106497","note":"ISBN: 1470-160X\npublisher: Elsevier","page":"106497","title":"Assessment of national-level progress towards elements of the Aichi Biodiversity Targets","volume":"116","author":[{"family":"Buchanan","given":"Graeme M."},{"family":"Butchart","given":"Stuart HM"},{"family":"Chandler","given":"Georgina"},{"family":"Gregory","given":"Richard D."}],"issued":{"date-parts":[["2020"]]}},"label":"page"}],"schema":"https://github.com/citation-style-language/schema/raw/master/csl-citation.json"} </w:instrText>
      </w:r>
      <w:r w:rsidR="00ED51F5" w:rsidRPr="00A9434B">
        <w:fldChar w:fldCharType="separate"/>
      </w:r>
      <w:r w:rsidR="00C71E80" w:rsidRPr="00A9434B">
        <w:t>(Buchanan et al., 2020)</w:t>
      </w:r>
      <w:r w:rsidR="00ED51F5" w:rsidRPr="00A9434B">
        <w:fldChar w:fldCharType="end"/>
      </w:r>
      <w:r w:rsidR="7FFE9184" w:rsidRPr="00A9434B">
        <w:t>.</w:t>
      </w:r>
      <w:r>
        <w:br w:type="page"/>
      </w:r>
    </w:p>
    <w:p w14:paraId="22B6A0B3" w14:textId="77777777" w:rsidR="00017C04" w:rsidRDefault="00F50AF9" w:rsidP="00C73655">
      <w:pPr>
        <w:pStyle w:val="Heading1"/>
        <w:numPr>
          <w:ilvl w:val="1"/>
          <w:numId w:val="10"/>
        </w:numPr>
      </w:pPr>
      <w:bookmarkStart w:id="72" w:name="_Toc1329897211"/>
      <w:bookmarkStart w:id="73" w:name="_Toc133428296"/>
      <w:bookmarkStart w:id="74" w:name="_Toc133428782"/>
      <w:bookmarkStart w:id="75" w:name="_Toc147417576"/>
      <w:r>
        <w:lastRenderedPageBreak/>
        <w:t>Governance response options</w:t>
      </w:r>
      <w:bookmarkStart w:id="76" w:name="_Toc75698954"/>
      <w:bookmarkEnd w:id="72"/>
      <w:bookmarkEnd w:id="73"/>
      <w:bookmarkEnd w:id="74"/>
      <w:bookmarkEnd w:id="75"/>
    </w:p>
    <w:p w14:paraId="533FC5E6" w14:textId="36B9CB84" w:rsidR="00017C04" w:rsidRDefault="00F50AF9">
      <w:bookmarkStart w:id="77" w:name="_heading=h.1y810tw" w:colFirst="0" w:colLast="0"/>
      <w:bookmarkStart w:id="78" w:name="_Toc88742644"/>
      <w:bookmarkStart w:id="79" w:name="_Toc88743097"/>
      <w:bookmarkStart w:id="80" w:name="_Toc88743336"/>
      <w:bookmarkStart w:id="81" w:name="_Toc89445563"/>
      <w:bookmarkStart w:id="82" w:name="_Toc89445659"/>
      <w:bookmarkStart w:id="83" w:name="_Toc89771010"/>
      <w:bookmarkStart w:id="84" w:name="_Toc89879462"/>
      <w:bookmarkEnd w:id="76"/>
      <w:bookmarkEnd w:id="77"/>
      <w:bookmarkEnd w:id="78"/>
      <w:bookmarkEnd w:id="79"/>
      <w:bookmarkEnd w:id="80"/>
      <w:bookmarkEnd w:id="81"/>
      <w:bookmarkEnd w:id="82"/>
      <w:bookmarkEnd w:id="83"/>
      <w:bookmarkEnd w:id="84"/>
      <w:r>
        <w:t xml:space="preserve">This section provides context for assessing governance options for biological invasions. It aims to clarify the understanding of the governance system within which a policy instrument or policy support tool for biological invasions is being implemented </w:t>
      </w:r>
      <w:r w:rsidR="5E0CB0CE" w:rsidRPr="00A9434B">
        <w:t>(</w:t>
      </w:r>
      <w:r w:rsidR="00B9562C" w:rsidRPr="00673554">
        <w:rPr>
          <w:b/>
          <w:iCs/>
        </w:rPr>
        <w:fldChar w:fldCharType="begin"/>
      </w:r>
      <w:r w:rsidR="00B9562C" w:rsidRPr="00673554">
        <w:rPr>
          <w:b/>
          <w:iCs/>
        </w:rPr>
        <w:instrText xml:space="preserve"> REF _Ref104898371 \h  \* MERGEFORMAT </w:instrText>
      </w:r>
      <w:r w:rsidR="00B9562C" w:rsidRPr="00673554">
        <w:rPr>
          <w:b/>
          <w:iCs/>
        </w:rPr>
      </w:r>
      <w:r w:rsidR="00B9562C" w:rsidRPr="00673554">
        <w:rPr>
          <w:b/>
          <w:iCs/>
        </w:rPr>
        <w:fldChar w:fldCharType="separate"/>
      </w:r>
      <w:r w:rsidR="0011368C" w:rsidRPr="00673554">
        <w:rPr>
          <w:b/>
          <w:iCs/>
        </w:rPr>
        <w:t>Box 6.2</w:t>
      </w:r>
      <w:r w:rsidR="00B9562C" w:rsidRPr="00673554">
        <w:rPr>
          <w:b/>
          <w:iCs/>
        </w:rPr>
        <w:fldChar w:fldCharType="end"/>
      </w:r>
      <w:r w:rsidR="625787F0" w:rsidRPr="00A9434B">
        <w:t>)</w:t>
      </w:r>
      <w:r w:rsidR="7271F006" w:rsidRPr="00A9434B">
        <w:t>.</w:t>
      </w:r>
      <w:r>
        <w:t xml:space="preserve"> “Good governance is an enabling condition for policy implementation, distributing the resulting positive impacts evenly across society” </w:t>
      </w:r>
      <w:r w:rsidR="007669C7" w:rsidRPr="00A9434B">
        <w:fldChar w:fldCharType="begin"/>
      </w:r>
      <w:r w:rsidR="007669C7" w:rsidRPr="00A9434B">
        <w:instrText xml:space="preserve"> ADDIN EN.CITE &lt;EndNote&gt;&lt;Cite&gt;&lt;Author&gt;IPBES-PEG&lt;/Author&gt;&lt;Year&gt;2020&lt;/Year&gt;&lt;RecNum&gt;49253&lt;/RecNum&gt;&lt;DisplayText&gt;(IPBES-PEG 2020)&lt;/DisplayText&gt;&lt;record&gt;&lt;rec-number&gt;49253&lt;/rec-number&gt;&lt;foreign-keys&gt;&lt;key app="EN" db-id="awx9raddr0xx2hev05rxr0z05weepwpt0fex" timestamp="1592108914"&gt;49253&lt;/key&gt;&lt;/foreign-keys&gt;&lt;ref-type name="Report"&gt;27&lt;/ref-type&gt;&lt;contributors&gt;&lt;authors&gt;&lt;author&gt;IPBES-PEG&lt;/author&gt;&lt;/authors&gt;&lt;secondary-authors&gt;&lt;author&gt;Policy Expert Group&lt;/author&gt;&lt;/secondary-authors&gt;&lt;tertiary-authors&gt;&lt;author&gt;IPBES&lt;/author&gt;&lt;/tertiary-authors&gt;&lt;/contributors&gt;&lt;titles&gt;&lt;title&gt;Methodological guidance for assessing policy instruments and facilitating the use fo policy support tools adn methodologies through IPBES assessments&lt;/title&gt;&lt;/titles&gt;&lt;pages&gt;18&lt;/pages&gt;&lt;edition&gt;Draft&lt;/edition&gt;&lt;dates&gt;&lt;year&gt;2020&lt;/year&gt;&lt;/dates&gt;&lt;urls&gt;&lt;related-urls&gt;&lt;url&gt;https://ipbes.net/policy-tools-methodologies&lt;/url&gt;&lt;/related-urls&gt;&lt;/urls&gt;&lt;/record&gt;&lt;/Cite&gt;&lt;/EndNote&gt;</w:instrText>
      </w:r>
      <w:r w:rsidR="007669C7" w:rsidRPr="00A9434B">
        <w:fldChar w:fldCharType="separate"/>
      </w:r>
      <w:r w:rsidR="007669C7" w:rsidRPr="00A9434B">
        <w:fldChar w:fldCharType="begin"/>
      </w:r>
      <w:r w:rsidR="0006613E">
        <w:instrText xml:space="preserve"> ADDIN ZOTERO_ITEM CSL_CITATION {"citationID":"a2hbdu6f87p","properties":{"formattedCitation":"(IPBES, 2019b)","plainCitation":"(IPBES, 2019b)","noteIndex":0},"citationItems":[{"id":30735,"uris":["http://zotero.org/groups/2352922/items/LQWMAXBV","http://zotero.org/groups/2352922/items/PN6IMK2B"],"itemData":{"id":30735,"type":"paper-conference","container-title":"Information on work related to policy support tools and methodologies","event-place":"Paris, France","event-title":"Plenary of the Intergovernmental Science-Policy Platform on Biodiversity and Ecosystem Services Seventh session","page":"Appendix 1","publisher":"IPBES","publisher-place":"Paris, France","title":"Methodological guidance for assessing policy instruments and facilitating the use for policy support tools and methodologies through IPBES assessments","volume":"IPBES/7/INF/13","author":[{"literal":"IPBES"}],"issued":{"date-parts":[["2019"]]}},"label":"page"}],"schema":"https://github.com/citation-style-language/schema/raw/master/csl-citation.json"} </w:instrText>
      </w:r>
      <w:r w:rsidR="007669C7" w:rsidRPr="00A9434B">
        <w:fldChar w:fldCharType="separate"/>
      </w:r>
      <w:r w:rsidR="009020A3" w:rsidRPr="009020A3">
        <w:t>(IPBES, 2019b)</w:t>
      </w:r>
      <w:r w:rsidR="007669C7" w:rsidRPr="00A9434B">
        <w:fldChar w:fldCharType="end"/>
      </w:r>
      <w:r w:rsidR="007669C7" w:rsidRPr="00A9434B">
        <w:fldChar w:fldCharType="end"/>
      </w:r>
      <w:r w:rsidR="7271F006" w:rsidRPr="00A9434B">
        <w:t>.</w:t>
      </w:r>
      <w:r>
        <w:t xml:space="preserve"> This section identifies governance considerations from invasive alien species-specific literature and contextualizes these within environmental governance more broadly. A key finding is that there is little dedicated interdisciplinary research on the governance for biological invasions in an environmental governance context. </w:t>
      </w:r>
    </w:p>
    <w:p w14:paraId="5097DE59" w14:textId="027FD200" w:rsidR="00017C04" w:rsidRPr="00C73655" w:rsidRDefault="00F50AF9" w:rsidP="00C73655">
      <w:pPr>
        <w:pStyle w:val="Caption"/>
        <w:pBdr>
          <w:top w:val="single" w:sz="4" w:space="1" w:color="auto"/>
          <w:left w:val="single" w:sz="4" w:space="4" w:color="auto"/>
          <w:bottom w:val="single" w:sz="4" w:space="1" w:color="auto"/>
          <w:right w:val="single" w:sz="4" w:space="4" w:color="auto"/>
        </w:pBdr>
        <w:shd w:val="clear" w:color="auto" w:fill="E7E6E6" w:themeFill="background2"/>
        <w:rPr>
          <w:color w:val="000000"/>
        </w:rPr>
      </w:pPr>
      <w:bookmarkStart w:id="85" w:name="_heading=h.4i7ojhp" w:colFirst="0" w:colLast="0"/>
      <w:bookmarkStart w:id="86" w:name="_Ref104898371"/>
      <w:bookmarkStart w:id="87" w:name="_Toc147418611"/>
      <w:bookmarkEnd w:id="85"/>
      <w:r w:rsidRPr="00F80082">
        <w:rPr>
          <w:bCs w:val="0"/>
        </w:rPr>
        <w:t>Box 6</w:t>
      </w:r>
      <w:r w:rsidR="005E3C57" w:rsidRPr="00A9434B">
        <w:t>.</w:t>
      </w:r>
      <w:r w:rsidR="007C7AC3">
        <w:fldChar w:fldCharType="begin"/>
      </w:r>
      <w:r w:rsidR="007C7AC3">
        <w:instrText xml:space="preserve"> </w:instrText>
      </w:r>
      <w:r w:rsidR="007C7AC3">
        <w:instrText xml:space="preserve">SEQ Box_6. \* ARABIC </w:instrText>
      </w:r>
      <w:r w:rsidR="007C7AC3">
        <w:fldChar w:fldCharType="separate"/>
      </w:r>
      <w:r w:rsidR="0011368C">
        <w:rPr>
          <w:noProof/>
        </w:rPr>
        <w:t>2</w:t>
      </w:r>
      <w:r w:rsidR="007C7AC3">
        <w:rPr>
          <w:noProof/>
        </w:rPr>
        <w:fldChar w:fldCharType="end"/>
      </w:r>
      <w:bookmarkEnd w:id="86"/>
      <w:r w:rsidR="00585D0E" w:rsidRPr="00A9434B">
        <w:rPr>
          <w:rFonts w:eastAsiaTheme="minorEastAsia"/>
          <w:lang w:eastAsia="ja-JP"/>
        </w:rPr>
        <w:t>.</w:t>
      </w:r>
      <w:r w:rsidRPr="00C73655">
        <w:rPr>
          <w:color w:val="000000"/>
        </w:rPr>
        <w:t xml:space="preserve"> Governance for biological invasions</w:t>
      </w:r>
      <w:bookmarkEnd w:id="87"/>
    </w:p>
    <w:p w14:paraId="0C199231" w14:textId="24FCA1AB" w:rsidR="003A09D0" w:rsidRPr="00A9434B" w:rsidRDefault="00131B85" w:rsidP="00DD05DA">
      <w:pPr>
        <w:pBdr>
          <w:top w:val="single" w:sz="4" w:space="1" w:color="auto"/>
          <w:left w:val="single" w:sz="4" w:space="4" w:color="auto"/>
          <w:bottom w:val="single" w:sz="4" w:space="1" w:color="auto"/>
          <w:right w:val="single" w:sz="4" w:space="4" w:color="auto"/>
        </w:pBdr>
        <w:shd w:val="clear" w:color="auto" w:fill="E7E6E6" w:themeFill="background2"/>
      </w:pPr>
      <w:r w:rsidRPr="00A9434B">
        <w:t>G</w:t>
      </w:r>
      <w:r w:rsidR="00E61454" w:rsidRPr="00A9434B">
        <w:t>overnance e</w:t>
      </w:r>
      <w:r w:rsidR="00110BF7" w:rsidRPr="00A9434B">
        <w:t>ncompasses the norms, rules, laws, values, expectations, relationships</w:t>
      </w:r>
      <w:r w:rsidR="00896CEC">
        <w:t xml:space="preserve"> and</w:t>
      </w:r>
      <w:r w:rsidR="00110BF7" w:rsidRPr="00A9434B">
        <w:t xml:space="preserve"> structures that affect or guide the behaviour of individuals and institutions, public and private</w:t>
      </w:r>
      <w:r w:rsidR="005C2617" w:rsidRPr="00A9434B">
        <w:t>.</w:t>
      </w:r>
      <w:r w:rsidR="005A1E65" w:rsidRPr="00A9434B">
        <w:t xml:space="preserve"> In the context of biological invasions, governance is</w:t>
      </w:r>
      <w:r w:rsidR="00110BF7" w:rsidRPr="00A9434B">
        <w:t xml:space="preserve"> aimed at the specific public purpose of preventing and reducing the spread</w:t>
      </w:r>
      <w:r w:rsidR="00896CEC">
        <w:t xml:space="preserve"> and</w:t>
      </w:r>
      <w:r w:rsidR="00110BF7" w:rsidRPr="00A9434B">
        <w:t xml:space="preserve"> preventing the harm, caused by invasive alien species </w:t>
      </w:r>
      <w:r w:rsidR="00110BF7" w:rsidRPr="00A9434B">
        <w:fldChar w:fldCharType="begin">
          <w:fldData xml:space="preserve">PEVuZE5vdGU+PENpdGU+PEF1dGhvcj5BbmRvbm92YTwvQXV0aG9yPjxZZWFyPjIwMTA8L1llYXI+
PFJlY051bT40OTE5MjwvUmVjTnVtPjxEaXNwbGF5VGV4dD4oQW5kb25vdmEgYW5kIE1pdGNoZWxs
IDIwMTAsIFJlZWQgYW5kIEN1cnpvbiAyMDE1KTwvRGlzcGxheVRleHQ+PHJlY29yZD48cmVjLW51
bWJlcj40OTE5MjwvcmVjLW51bWJlcj48Zm9yZWlnbi1rZXlzPjxrZXkgYXBwPSJFTiIgZGItaWQ9
ImF3eDlyYWRkcjB4eDJoZXYwNXJ4cjB6MDV3ZWVwd3B0MGZleCIgdGltZXN0YW1wPSIxNTgxNjQ2
ODc1Ij40OTE5Mjwva2V5PjwvZm9yZWlnbi1rZXlzPjxyZWYtdHlwZSBuYW1lPSJCb29rIFNlY3Rp
b24iPjU8L3JlZi10eXBlPjxjb250cmlidXRvcnM+PGF1dGhvcnM+PGF1dGhvcj5BbmRvbm92YSwg
TGlsaWFuYSBCLjwvYXV0aG9yPjxhdXRob3I+TWl0Y2hlbGwsIFJvbmFsZCBCLjwvYXV0aG9yPjwv
YXV0aG9ycz48c2Vjb25kYXJ5LWF1dGhvcnM+PGF1dGhvcj5HYWRnaWwsIEEuPC9hdXRob3I+PGF1
dGhvcj5MaXZlcm1hbiwgRC4gTS48L2F1dGhvcj48L3NlY29uZGFyeS1hdXRob3JzPjwvY29udHJp
YnV0b3JzPjx0aXRsZXM+PHRpdGxlPlRoZSBSZXNjYWxpbmcgb2YgR2xvYmFsIEVudmlyb25tZW50
YWwgUG9saXRpY3M8L3RpdGxlPjxzZWNvbmRhcnktdGl0bGU+QW5udWFsIFJldmlldyBvZiBFbnZp
cm9ubWVudCBhbmQgUmVzb3VyY2VzLCBWb2wgMzU8L3NlY29uZGFyeS10aXRsZT48dGVydGlhcnkt
dGl0bGU+QW5udWFsIFJldmlldyBvZiBFbnZpcm9ubWVudCBhbmQgUmVzb3VyY2VzPC90ZXJ0aWFy
eS10aXRsZT48L3RpdGxlcz48cGFnZXM+MjU1LTI4MjwvcGFnZXM+PHZvbHVtZT4zNTwvdm9sdW1l
PjxkYXRlcz48eWVhcj4yMDEwPC95ZWFyPjwvZGF0ZXM+PGlzYm4+OTc4LTAtODI0My0yMzM1LTY8
L2lzYm4+PGFjY2Vzc2lvbi1udW0+V09TOjAwMDI4NDcyMTEwMDAxMDwvYWNjZXNzaW9uLW51bT48
dXJscz48cmVsYXRlZC11cmxzPjx1cmw+Jmx0O0dvIHRvIElTSSZndDs6Ly9XT1M6MDAwMjg0NzIx
MTAwMDEwPC91cmw+PC9yZWxhdGVkLXVybHM+PC91cmxzPjxlbGVjdHJvbmljLXJlc291cmNlLW51
bT4xMC4xMTQ2L2FubnVyZXYtZW52aXJvbi0xMDA4MDktMTI1MzQ2PC9lbGVjdHJvbmljLXJlc291
cmNlLW51bT48L3JlY29yZD48L0NpdGU+PENpdGU+PEF1dGhvcj5SZWVkPC9BdXRob3I+PFllYXI+
MjAxNTwvWWVhcj48UmVjTnVtPjQ5MTIxPC9SZWNOdW0+PHJlY29yZD48cmVjLW51bWJlcj40OTEy
MTwvcmVjLW51bWJlcj48Zm9yZWlnbi1rZXlzPjxrZXkgYXBwPSJFTiIgZGItaWQ9ImF3eDlyYWRk
cjB4eDJoZXYwNXJ4cjB6MDV3ZWVwd3B0MGZleCIgdGltZXN0YW1wPSIxNTgxNDk3MzIwIj40OTEy
MTwva2V5PjwvZm9yZWlnbi1rZXlzPjxyZWYtdHlwZSBuYW1lPSJKb3VybmFsIEFydGljbGUiPjE3
PC9yZWYtdHlwZT48Y29udHJpYnV0b3JzPjxhdXRob3JzPjxhdXRob3I+UmVlZCwgTS4gUy48L2F1
dGhvcj48YXV0aG9yPkN1cnpvbiwgUi48L2F1dGhvcj48L2F1dGhvcnM+PC9jb250cmlidXRvcnM+
PHRpdGxlcz48dGl0bGU+U3Rha2Vob2xkZXIgbWFwcGluZyBmb3IgdGhlIGdvdmVybmFuY2Ugb2Yg
Ymlvc2VjdXJpdHk6IGEgbGl0ZXJhdHVyZSByZXZpZXc8L3RpdGxlPjxzZWNvbmRhcnktdGl0bGU+
Sm91cm5hbCBvZiBJbnRlZ3JhdGl2ZSBFbnZpcm9ubWVudGFsIFNjaWVuY2VzPC9zZWNvbmRhcnkt
dGl0bGU+PC90aXRsZXM+PHBlcmlvZGljYWw+PGZ1bGwtdGl0bGU+Sm91cm5hbCBvZiBJbnRlZ3Jh
dGl2ZSBFbnZpcm9ubWVudGFsIFNjaWVuY2VzPC9mdWxsLXRpdGxlPjwvcGVyaW9kaWNhbD48cGFn
ZXM+MTUtMzg8L3BhZ2VzPjx2b2x1bWU+MTI8L3ZvbHVtZT48bnVtYmVyPjE8L251bWJlcj48ZGF0
ZXM+PHllYXI+MjAxNTwveWVhcj48cHViLWRhdGVzPjxkYXRlPkphbiAyPC9kYXRlPjwvcHViLWRh
dGVzPjwvZGF0ZXM+PGlzYm4+MTk0My04MTVYPC9pc2JuPjxhY2Nlc3Npb24tbnVtPldPUzowMDAz
NTAwNDYyMDAwMDI8L2FjY2Vzc2lvbi1udW0+PHVybHM+PHJlbGF0ZWQtdXJscz48dXJsPiZsdDtH
byB0byBJU0kmZ3Q7Oi8vV09TOjAwMDM1MDA0NjIwMDAwMjwvdXJsPjwvcmVsYXRlZC11cmxzPjwv
dXJscz48ZWxlY3Ryb25pYy1yZXNvdXJjZS1udW0+MTAuMTA4MC8xOTQzODE1eC4yMDE0Ljk3NTcy
MzwvZWxlY3Ryb25pYy1yZXNvdXJjZS1udW0+PC9yZWNvcmQ+PC9DaXRlPjwvRW5kTm90ZT4A
</w:fldData>
        </w:fldChar>
      </w:r>
      <w:r w:rsidR="00110BF7" w:rsidRPr="00A9434B">
        <w:instrText xml:space="preserve"> ADDIN EN.CITE </w:instrText>
      </w:r>
      <w:r w:rsidR="00110BF7" w:rsidRPr="00A9434B">
        <w:fldChar w:fldCharType="begin">
          <w:fldData xml:space="preserve">PEVuZE5vdGU+PENpdGU+PEF1dGhvcj5BbmRvbm92YTwvQXV0aG9yPjxZZWFyPjIwMTA8L1llYXI+
PFJlY051bT40OTE5MjwvUmVjTnVtPjxEaXNwbGF5VGV4dD4oQW5kb25vdmEgYW5kIE1pdGNoZWxs
IDIwMTAsIFJlZWQgYW5kIEN1cnpvbiAyMDE1KTwvRGlzcGxheVRleHQ+PHJlY29yZD48cmVjLW51
bWJlcj40OTE5MjwvcmVjLW51bWJlcj48Zm9yZWlnbi1rZXlzPjxrZXkgYXBwPSJFTiIgZGItaWQ9
ImF3eDlyYWRkcjB4eDJoZXYwNXJ4cjB6MDV3ZWVwd3B0MGZleCIgdGltZXN0YW1wPSIxNTgxNjQ2
ODc1Ij40OTE5Mjwva2V5PjwvZm9yZWlnbi1rZXlzPjxyZWYtdHlwZSBuYW1lPSJCb29rIFNlY3Rp
b24iPjU8L3JlZi10eXBlPjxjb250cmlidXRvcnM+PGF1dGhvcnM+PGF1dGhvcj5BbmRvbm92YSwg
TGlsaWFuYSBCLjwvYXV0aG9yPjxhdXRob3I+TWl0Y2hlbGwsIFJvbmFsZCBCLjwvYXV0aG9yPjwv
YXV0aG9ycz48c2Vjb25kYXJ5LWF1dGhvcnM+PGF1dGhvcj5HYWRnaWwsIEEuPC9hdXRob3I+PGF1
dGhvcj5MaXZlcm1hbiwgRC4gTS48L2F1dGhvcj48L3NlY29uZGFyeS1hdXRob3JzPjwvY29udHJp
YnV0b3JzPjx0aXRsZXM+PHRpdGxlPlRoZSBSZXNjYWxpbmcgb2YgR2xvYmFsIEVudmlyb25tZW50
YWwgUG9saXRpY3M8L3RpdGxlPjxzZWNvbmRhcnktdGl0bGU+QW5udWFsIFJldmlldyBvZiBFbnZp
cm9ubWVudCBhbmQgUmVzb3VyY2VzLCBWb2wgMzU8L3NlY29uZGFyeS10aXRsZT48dGVydGlhcnkt
dGl0bGU+QW5udWFsIFJldmlldyBvZiBFbnZpcm9ubWVudCBhbmQgUmVzb3VyY2VzPC90ZXJ0aWFy
eS10aXRsZT48L3RpdGxlcz48cGFnZXM+MjU1LTI4MjwvcGFnZXM+PHZvbHVtZT4zNTwvdm9sdW1l
PjxkYXRlcz48eWVhcj4yMDEwPC95ZWFyPjwvZGF0ZXM+PGlzYm4+OTc4LTAtODI0My0yMzM1LTY8
L2lzYm4+PGFjY2Vzc2lvbi1udW0+V09TOjAwMDI4NDcyMTEwMDAxMDwvYWNjZXNzaW9uLW51bT48
dXJscz48cmVsYXRlZC11cmxzPjx1cmw+Jmx0O0dvIHRvIElTSSZndDs6Ly9XT1M6MDAwMjg0NzIx
MTAwMDEwPC91cmw+PC9yZWxhdGVkLXVybHM+PC91cmxzPjxlbGVjdHJvbmljLXJlc291cmNlLW51
bT4xMC4xMTQ2L2FubnVyZXYtZW52aXJvbi0xMDA4MDktMTI1MzQ2PC9lbGVjdHJvbmljLXJlc291
cmNlLW51bT48L3JlY29yZD48L0NpdGU+PENpdGU+PEF1dGhvcj5SZWVkPC9BdXRob3I+PFllYXI+
MjAxNTwvWWVhcj48UmVjTnVtPjQ5MTIxPC9SZWNOdW0+PHJlY29yZD48cmVjLW51bWJlcj40OTEy
MTwvcmVjLW51bWJlcj48Zm9yZWlnbi1rZXlzPjxrZXkgYXBwPSJFTiIgZGItaWQ9ImF3eDlyYWRk
cjB4eDJoZXYwNXJ4cjB6MDV3ZWVwd3B0MGZleCIgdGltZXN0YW1wPSIxNTgxNDk3MzIwIj40OTEy
MTwva2V5PjwvZm9yZWlnbi1rZXlzPjxyZWYtdHlwZSBuYW1lPSJKb3VybmFsIEFydGljbGUiPjE3
PC9yZWYtdHlwZT48Y29udHJpYnV0b3JzPjxhdXRob3JzPjxhdXRob3I+UmVlZCwgTS4gUy48L2F1
dGhvcj48YXV0aG9yPkN1cnpvbiwgUi48L2F1dGhvcj48L2F1dGhvcnM+PC9jb250cmlidXRvcnM+
PHRpdGxlcz48dGl0bGU+U3Rha2Vob2xkZXIgbWFwcGluZyBmb3IgdGhlIGdvdmVybmFuY2Ugb2Yg
Ymlvc2VjdXJpdHk6IGEgbGl0ZXJhdHVyZSByZXZpZXc8L3RpdGxlPjxzZWNvbmRhcnktdGl0bGU+
Sm91cm5hbCBvZiBJbnRlZ3JhdGl2ZSBFbnZpcm9ubWVudGFsIFNjaWVuY2VzPC9zZWNvbmRhcnkt
dGl0bGU+PC90aXRsZXM+PHBlcmlvZGljYWw+PGZ1bGwtdGl0bGU+Sm91cm5hbCBvZiBJbnRlZ3Jh
dGl2ZSBFbnZpcm9ubWVudGFsIFNjaWVuY2VzPC9mdWxsLXRpdGxlPjwvcGVyaW9kaWNhbD48cGFn
ZXM+MTUtMzg8L3BhZ2VzPjx2b2x1bWU+MTI8L3ZvbHVtZT48bnVtYmVyPjE8L251bWJlcj48ZGF0
ZXM+PHllYXI+MjAxNTwveWVhcj48cHViLWRhdGVzPjxkYXRlPkphbiAyPC9kYXRlPjwvcHViLWRh
dGVzPjwvZGF0ZXM+PGlzYm4+MTk0My04MTVYPC9pc2JuPjxhY2Nlc3Npb24tbnVtPldPUzowMDAz
NTAwNDYyMDAwMDI8L2FjY2Vzc2lvbi1udW0+PHVybHM+PHJlbGF0ZWQtdXJscz48dXJsPiZsdDtH
byB0byBJU0kmZ3Q7Oi8vV09TOjAwMDM1MDA0NjIwMDAwMjwvdXJsPjwvcmVsYXRlZC11cmxzPjwv
dXJscz48ZWxlY3Ryb25pYy1yZXNvdXJjZS1udW0+MTAuMTA4MC8xOTQzODE1eC4yMDE0Ljk3NTcy
MzwvZWxlY3Ryb25pYy1yZXNvdXJjZS1udW0+PC9yZWNvcmQ+PC9DaXRlPjwvRW5kTm90ZT4A
</w:fldData>
        </w:fldChar>
      </w:r>
      <w:r w:rsidR="00110BF7" w:rsidRPr="00A9434B">
        <w:instrText xml:space="preserve"> ADDIN EN.CITE.DATA </w:instrText>
      </w:r>
      <w:r w:rsidR="00110BF7" w:rsidRPr="00A9434B">
        <w:fldChar w:fldCharType="end"/>
      </w:r>
      <w:r w:rsidR="00110BF7" w:rsidRPr="00A9434B">
        <w:fldChar w:fldCharType="separate"/>
      </w:r>
      <w:r w:rsidR="006521C8" w:rsidRPr="00A9434B">
        <w:fldChar w:fldCharType="begin"/>
      </w:r>
      <w:r w:rsidR="0006613E">
        <w:instrText xml:space="preserve"> ADDIN ZOTERO_ITEM CSL_CITATION {"citationID":"a5odme2jed","properties":{"formattedCitation":"(Andonova &amp; Mitchell, 2010; M. S. Reed &amp; Curzon, 2015)","plainCitation":"(Andonova &amp; Mitchell, 2010; M. S. Reed &amp; Curzon, 2015)","noteIndex":0},"citationItems":[{"id":11297,"uris":["http://zotero.org/groups/2352922/items/SCEW9H9Y"],"itemData":{"id":11297,"type":"article-journal","abstract":"In the past half-century, the practice and study of global environmental politics and governance have been dramatically rescaled. They have become increasingly complex and interconnected with respect to the level (between local and global) at which they take place, the range of actors engaged in them, and the linkages between them and nominally nonenvironmental issues. Global environmental politics and governance have been rescaled vertically down toward provincial and municipal governments and up toward supranational regimes. They have also been rescaled horizontally across regional and sectoral organizations and networks and across new issues, such as development, security, and trade among others. This rescaling reflects shifts in the magnitude, complexity, and interconnectedness of the global environmental problems humans face as well as epistemological shifts in how humans understand and respond to these problems, and rescaling has implications for both the practice and study of global environmental politics.","container-title":"Annual Review of Environment and Resources","DOI":"10.1146/annurev-environ-100809-125346","issue":"1","note":"_eprint: https://doi.org/10.1146/annurev-environ-100809-125346","page":"255-282","source":"Annual Reviews","title":"The Rescaling of Global Environmental Politics","URL":"https://doi.org/10.1146/annurev-environ-100809-125346","volume":"35","author":[{"family":"Andonova","given":"Liliana B."},{"family":"Mitchell","given":"Ronald B."}],"accessed":{"date-parts":[["2020",8,18]]},"issued":{"date-parts":[["2010"]]}},"label":"page"},{"id":24036,"uris":["http://zotero.org/groups/2352922/items/DABRZBE7"],"itemData":{"id":24036,"type":"article-journal","abstract":"There is an increasing recognition that greater stakeholder engagement is needed in the assessment, management and communication of risks around plant and animal health, and biosecurity issues more generally. Despite a growing number of studies considering the knowledge and actions of stakeholders in the governance of biosecurity issues, attempts to systematically identify, categorise or analyse stakeholders in this field are relatively rare. This paper therefore integrates literature from a range of disciplines to generate methodological and theoretical insights that may enable decision-makers to effectively map and analyse biosecurity stakeholders, and enable more transparent, inclusive and adaptive governance of biosecurity. The review starts by defining key terms, before discussing some of the challenges and benefits of effectively representing stakeholders in biosecurity strategies. The paper then reviews a range of theoretical approaches to stakeholder mapping, before critically analysing alternative methods for stakeholder mapping and analysis, which could be used in biosecurity interventions. These theories and methods are then discussed in relation to biosecurity governance, drawing on recent applications of stakeholder mapping in biosecurity policy and practice.","container-title":"Journal of Integrative Environmental Sciences","DOI":"10.1080/1943815X.2014.975723","ISSN":"1943-815X","issue":"1","journalAbbreviation":"Journal of Integrative Environmental Sciences","page":"15-38","source":"Taylor and Francis+NEJM","title":"Stakeholder mapping for the governance of biosecurity: a literature review","title-short":"Stakeholder mapping for the governance of biosecurity","URL":"https://doi.org/10.1080/1943815X.2014.975723","volume":"12","author":[{"family":"Reed","given":"Mark S."},{"family":"Curzon","given":"R."}],"accessed":{"date-parts":[["2020",5,7]]},"issued":{"date-parts":[["2015",1,2]]}},"label":"page"}],"schema":"https://github.com/citation-style-language/schema/raw/master/csl-citation.json"} </w:instrText>
      </w:r>
      <w:r w:rsidR="006521C8" w:rsidRPr="00A9434B">
        <w:fldChar w:fldCharType="separate"/>
      </w:r>
      <w:r w:rsidR="00C71E80" w:rsidRPr="00A9434B">
        <w:t>(Andonova &amp; Mitchell, 2010; M. S. Reed &amp; Curzon, 2015)</w:t>
      </w:r>
      <w:r w:rsidR="006521C8" w:rsidRPr="00A9434B">
        <w:fldChar w:fldCharType="end"/>
      </w:r>
      <w:r w:rsidR="00110BF7" w:rsidRPr="00A9434B">
        <w:fldChar w:fldCharType="end"/>
      </w:r>
      <w:r w:rsidR="00110BF7" w:rsidRPr="00A9434B">
        <w:t xml:space="preserve">. The governance </w:t>
      </w:r>
      <w:r w:rsidR="00D6699F" w:rsidRPr="00A9434B">
        <w:t>for</w:t>
      </w:r>
      <w:r w:rsidR="00110BF7" w:rsidRPr="00A9434B">
        <w:t xml:space="preserve"> </w:t>
      </w:r>
      <w:r w:rsidR="005A1E65" w:rsidRPr="00A9434B">
        <w:t>biological invasions</w:t>
      </w:r>
      <w:r w:rsidR="00110BF7" w:rsidRPr="00A9434B">
        <w:t xml:space="preserve"> therefore encompasses formalized arrangements such as national strategy and legislation, as well as informal decision-making processes involving the range of </w:t>
      </w:r>
      <w:r w:rsidR="005A1E65" w:rsidRPr="00A9434B">
        <w:t xml:space="preserve">effecting and affected stakeholders </w:t>
      </w:r>
      <w:r w:rsidR="0024548D" w:rsidRPr="00A9434B">
        <w:t>(</w:t>
      </w:r>
      <w:r w:rsidR="0024548D" w:rsidRPr="00673554">
        <w:rPr>
          <w:b/>
        </w:rPr>
        <w:t>section 1.5.1</w:t>
      </w:r>
      <w:r w:rsidR="0024548D" w:rsidRPr="00A9434B">
        <w:t xml:space="preserve"> in </w:t>
      </w:r>
      <w:r w:rsidR="00F70D52">
        <w:rPr>
          <w:b/>
        </w:rPr>
        <w:t>C</w:t>
      </w:r>
      <w:r w:rsidR="0024548D" w:rsidRPr="00673554">
        <w:rPr>
          <w:b/>
        </w:rPr>
        <w:t>hapter 1</w:t>
      </w:r>
      <w:r w:rsidR="0024548D" w:rsidRPr="00A9434B">
        <w:t xml:space="preserve"> for more information on stakeholder groups,</w:t>
      </w:r>
      <w:r w:rsidR="00D970D2" w:rsidRPr="00A9434B">
        <w:t xml:space="preserve"> </w:t>
      </w:r>
      <w:r w:rsidR="0024548D" w:rsidRPr="00A9434B">
        <w:fldChar w:fldCharType="begin"/>
      </w:r>
      <w:r w:rsidR="0006613E">
        <w:instrText xml:space="preserve"> ADDIN ZOTERO_ITEM CSL_CITATION {"citationID":"a18nb5e7vhp","properties":{"formattedCitation":"\\uldash{(Reed &amp; Curzon, 2015)}","plainCitation":"(Reed &amp; Curzon, 2015)","dontUpdate":true,"noteIndex":0},"citationItems":[{"id":24036,"uris":["http://zotero.org/groups/2352922/items/DABRZBE7"],"itemData":{"id":24036,"type":"article-journal","abstract":"There is an increasing recognition that greater stakeholder engagement is needed in the assessment, management and communication of risks around plant and animal health, and biosecurity issues more generally. Despite a growing number of studies considering the knowledge and actions of stakeholders in the governance of biosecurity issues, attempts to systematically identify, categorise or analyse stakeholders in this field are relatively rare. This paper therefore integrates literature from a range of disciplines to generate methodological and theoretical insights that may enable decision-makers to effectively map and analyse biosecurity stakeholders, and enable more transparent, inclusive and adaptive governance of biosecurity. The review starts by defining key terms, before discussing some of the challenges and benefits of effectively representing stakeholders in biosecurity strategies. The paper then reviews a range of theoretical approaches to stakeholder mapping, before critically analysing alternative methods for stakeholder mapping and analysis, which could be used in biosecurity interventions. These theories and methods are then discussed in relation to biosecurity governance, drawing on recent applications of stakeholder mapping in biosecurity policy and practice.","container-title":"Journal of Integrative Environmental Sciences","DOI":"10.1080/1943815X.2014.975723","ISSN":"1943-815X","issue":"1","journalAbbreviation":"Journal of Integrative Environmental Sciences","page":"15-38","source":"Taylor and Francis+NEJM","title":"Stakeholder mapping for the governance of biosecurity: a literature review","title-short":"Stakeholder mapping for the governance of biosecurity","URL":"https://doi.org/10.1080/1943815X.2014.975723","volume":"12","author":[{"family":"Reed","given":"Mark S."},{"family":"Curzon","given":"R."}],"accessed":{"date-parts":[["2020",5,7]]},"issued":{"date-parts":[["2015",1,2]]}}}],"schema":"https://github.com/citation-style-language/schema/raw/master/csl-citation.json"} </w:instrText>
      </w:r>
      <w:r w:rsidR="0024548D" w:rsidRPr="00A9434B">
        <w:fldChar w:fldCharType="separate"/>
      </w:r>
      <w:r w:rsidR="0024548D" w:rsidRPr="00A9434B">
        <w:t>Reed &amp; Curzon, 2015)</w:t>
      </w:r>
      <w:r w:rsidR="0024548D" w:rsidRPr="00A9434B">
        <w:fldChar w:fldCharType="end"/>
      </w:r>
      <w:r w:rsidR="00110BF7" w:rsidRPr="00A9434B">
        <w:t>. A key feature of governance</w:t>
      </w:r>
      <w:r w:rsidR="005A1E65" w:rsidRPr="00A9434B">
        <w:t xml:space="preserve"> </w:t>
      </w:r>
      <w:r w:rsidR="00D6699F" w:rsidRPr="00A9434B">
        <w:t>for</w:t>
      </w:r>
      <w:r w:rsidR="005A1E65" w:rsidRPr="00A9434B">
        <w:t xml:space="preserve"> biological invasions</w:t>
      </w:r>
      <w:r w:rsidR="00110BF7" w:rsidRPr="00A9434B">
        <w:t xml:space="preserve"> is that it is a continuous, cooperative process that accommodates diverse and conflicting interests to enable action </w:t>
      </w:r>
      <w:r w:rsidR="00110BF7" w:rsidRPr="00A9434B">
        <w:fldChar w:fldCharType="begin"/>
      </w:r>
      <w:r w:rsidR="00110BF7" w:rsidRPr="00A9434B">
        <w:instrText xml:space="preserve"> ADDIN EN.CITE &lt;EndNote&gt;&lt;Cite&gt;&lt;Author&gt;Riley&lt;/Author&gt;&lt;Year&gt;2012&lt;/Year&gt;&lt;RecNum&gt;49156&lt;/RecNum&gt;&lt;DisplayText&gt;(Riley 2012)&lt;/DisplayText&gt;&lt;record&gt;&lt;rec-number&gt;49156&lt;/rec-number&gt;&lt;foreign-keys&gt;&lt;key app="EN" db-id="awx9raddr0xx2hev05rxr0z05weepwpt0fex" timestamp="1581497320"&gt;49156&lt;/key&gt;&lt;/foreign-keys&gt;&lt;ref-type name="Journal Article"&gt;17&lt;/ref-type&gt;&lt;contributors&gt;&lt;authors&gt;&lt;author&gt;Riley, Sophie&lt;/author&gt;&lt;/authors&gt;&lt;/contributors&gt;&lt;titles&gt;&lt;title&gt;Law is order, and good law is good order: The role of governance in the regulation of invasive alien species&lt;/title&gt;&lt;secondary-title&gt;Environmental and Planning Law Journal&lt;/secondary-title&gt;&lt;/titles&gt;&lt;periodical&gt;&lt;full-title&gt;Environmental and planning law journal&lt;/full-title&gt;&lt;abbr-1&gt;Environ. Plan. Law J.&lt;/abbr-1&gt;&lt;abbr-2&gt;Environ Plan Law J&lt;/abbr-2&gt;&lt;/periodical&gt;&lt;volume&gt;29&lt;/volume&gt;&lt;number&gt;1&lt;/number&gt;&lt;dates&gt;&lt;year&gt;2012&lt;/year&gt;&lt;pub-dates&gt;&lt;date&gt;2012&lt;/date&gt;&lt;/pub-dates&gt;&lt;/dates&gt;&lt;isbn&gt;0813-300X&lt;/isbn&gt;&lt;accession-num&gt;WOS:000213725200002&lt;/accession-num&gt;&lt;urls&gt;&lt;related-urls&gt;&lt;url&gt;&amp;lt;Go to ISI&amp;gt;://WOS:000213725200002&lt;/url&gt;&lt;/related-urls&gt;&lt;/urls&gt;&lt;custom7&gt;Unsp 16&lt;/custom7&gt;&lt;/record&gt;&lt;/Cite&gt;&lt;/EndNote&gt;</w:instrText>
      </w:r>
      <w:r w:rsidR="00110BF7" w:rsidRPr="00A9434B">
        <w:fldChar w:fldCharType="separate"/>
      </w:r>
      <w:r w:rsidR="006521C8" w:rsidRPr="00A9434B">
        <w:fldChar w:fldCharType="begin"/>
      </w:r>
      <w:r w:rsidR="0006613E">
        <w:instrText xml:space="preserve"> ADDIN ZOTERO_ITEM CSL_CITATION {"citationID":"amo4pc82ii","properties":{"formattedCitation":"(Riley, 2012)","plainCitation":"(Riley, 2012)","noteIndex":0},"citationItems":[{"id":24138,"uris":["http://zotero.org/groups/2352922/items/3MLHJ4IF"],"itemData":{"id":24138,"type":"article-journal","abstract":"In Australia, invasive alien species (IAS) are the second largest threat to biodiversity after loss of habitat. International obligations provide that Australia should prevent the introduction of, or control or eradicate those alien species that threaten ecosystems, habitats or species. Yet, designing and implementing effective IAS regimes remains elusive. It is a multidimensional exercise that engages a variety of actors across all levels of government. The purpose of this paper is to examine complications stemming from governance of IAS regimes in federal systems where law-making power is shared.","container-title":"Environmental and planning law journal","DOI":"10.3316/agispt.20121130","ISSN":"0813-300X","issue":"1","journalAbbreviation":"Environ. Plan. Law J.","language":"en","page":"16–44","title":"Law is order, and good law is good order: The role of governance in the regulation of invasive alien species","URL":"https://search.informit.org/doi/10.3316/agispt.20121130","volume":"29","author":[{"family":"Riley","given":"Sophie"}],"issued":{"date-parts":[["2012"]]}},"label":"page"}],"schema":"https://github.com/citation-style-language/schema/raw/master/csl-citation.json"} </w:instrText>
      </w:r>
      <w:r w:rsidR="006521C8" w:rsidRPr="00A9434B">
        <w:fldChar w:fldCharType="separate"/>
      </w:r>
      <w:r w:rsidR="00C71E80" w:rsidRPr="00A9434B">
        <w:t>(Riley, 2012)</w:t>
      </w:r>
      <w:r w:rsidR="006521C8" w:rsidRPr="00A9434B">
        <w:fldChar w:fldCharType="end"/>
      </w:r>
      <w:r w:rsidR="00110BF7" w:rsidRPr="00A9434B">
        <w:fldChar w:fldCharType="end"/>
      </w:r>
      <w:r w:rsidR="00110BF7" w:rsidRPr="00A9434B">
        <w:t>.</w:t>
      </w:r>
      <w:r w:rsidR="003A09D0" w:rsidRPr="00A9434B">
        <w:t xml:space="preserve"> </w:t>
      </w:r>
    </w:p>
    <w:p w14:paraId="4C0A22FD" w14:textId="2A3CEA41" w:rsidR="009935DB" w:rsidRPr="00A9434B" w:rsidRDefault="003A09D0" w:rsidP="006B3143">
      <w:r w:rsidRPr="00A9434B">
        <w:t xml:space="preserve">The concept of governance is defined and used in several ways. </w:t>
      </w:r>
      <w:r w:rsidR="007669C7" w:rsidRPr="00A9434B">
        <w:t xml:space="preserve">This assessment uses </w:t>
      </w:r>
      <w:r w:rsidRPr="00A9434B">
        <w:t xml:space="preserve">the formulation and rationale of </w:t>
      </w:r>
      <w:r w:rsidR="00D970D2" w:rsidRPr="00A9434B">
        <w:t xml:space="preserve">Gilek et al. </w:t>
      </w:r>
      <w:r w:rsidR="00D970D2" w:rsidRPr="00A9434B">
        <w:fldChar w:fldCharType="begin"/>
      </w:r>
      <w:r w:rsidR="0006613E">
        <w:instrText xml:space="preserve"> ADDIN ZOTERO_ITEM CSL_CITATION {"citationID":"aks3bi6etj","properties":{"formattedCitation":"(2016)","plainCitation":"(2016)","noteIndex":0},"citationItems":[{"id":23811,"uris":["http://zotero.org/groups/2352922/items/2IKJ4NA6"],"itemData":{"id":23811,"type":"chapter","collection-title":"MARE Publication Series","container-title":"Environmental Governance of the Baltic Sea","event-place":"Cham","ISBN":"978-3-319-27006-7","note":"DOI: 10.1007/978-3-319-27006-7_1","page":"1-17","publisher":"Springer","publisher-place":"Cham","title":"Environmental Governance of the Baltic Sea: Identifying Key Challenges, Research Topics and Analytical Approaches","volume":"10","author":[{"family":"Gilek","given":"Michael"},{"family":"Karlsson","given":"Mikael"},{"family":"Linke","given":"Sebastian"},{"family":"Smolarz","given":"Katarzyna"}],"editor":[{"family":"Gilek","given":"Michael"},{"family":"Karlsson","given":"Mikael"},{"family":"Linke","given":"Sebastian"},{"family":"Smolarz","given":"Katarzyna"}],"issued":{"date-parts":[["2016"]]}},"label":"page","suppress-author":true}],"schema":"https://github.com/citation-style-language/schema/raw/master/csl-citation.json"} </w:instrText>
      </w:r>
      <w:r w:rsidR="00D970D2" w:rsidRPr="00A9434B">
        <w:fldChar w:fldCharType="separate"/>
      </w:r>
      <w:r w:rsidR="00C71E80" w:rsidRPr="00A9434B">
        <w:t>(2016)</w:t>
      </w:r>
      <w:r w:rsidR="00D970D2" w:rsidRPr="00A9434B">
        <w:fldChar w:fldCharType="end"/>
      </w:r>
      <w:r w:rsidR="00C27DCE">
        <w:t>:</w:t>
      </w:r>
    </w:p>
    <w:p w14:paraId="3529A4B3" w14:textId="77777777" w:rsidR="00017C04" w:rsidRDefault="00F50AF9">
      <w:pPr>
        <w:ind w:left="720" w:right="720"/>
      </w:pPr>
      <w:r>
        <w:t xml:space="preserve">“Governance includes both structures – such as policy contexts, existing power relations among key actors, regulatory frameworks and organizational forms of decision-making, reflexivity and participation – and processes. Processes comprise aspects such as the evolution of institutions and interactions between, for example, science and policy, as well as communication and interaction among policymakers, scientists, and other stakeholders. Processes also include the development of strategies, framings, communication, and learning.” </w:t>
      </w:r>
    </w:p>
    <w:p w14:paraId="3BED1ECC" w14:textId="0AD2E907" w:rsidR="008C2CCD" w:rsidRDefault="6D01EBEB" w:rsidP="00D970D2">
      <w:bookmarkStart w:id="88" w:name="_heading=h.2xcytpi"/>
      <w:bookmarkEnd w:id="88"/>
      <w:r w:rsidRPr="00A9434B">
        <w:t>Strong governance can hel</w:t>
      </w:r>
      <w:r w:rsidR="006E332C" w:rsidRPr="00A9434B">
        <w:t>p</w:t>
      </w:r>
      <w:r w:rsidRPr="00A9434B">
        <w:t xml:space="preserve"> </w:t>
      </w:r>
      <w:r w:rsidR="0AD72B4F" w:rsidRPr="00A9434B">
        <w:t xml:space="preserve">to </w:t>
      </w:r>
      <w:r w:rsidRPr="00A9434B">
        <w:t xml:space="preserve">address the problem of </w:t>
      </w:r>
      <w:r w:rsidR="00C73655">
        <w:t>invasive alien species</w:t>
      </w:r>
      <w:r w:rsidRPr="00A9434B">
        <w:t>, as it enables the legislation, regulations, cooperation, participation</w:t>
      </w:r>
      <w:r w:rsidR="00896CEC">
        <w:t xml:space="preserve"> and</w:t>
      </w:r>
      <w:r w:rsidRPr="00A9434B">
        <w:t xml:space="preserve"> monitoring of actions to mitigate </w:t>
      </w:r>
      <w:r w:rsidR="2D144EA7" w:rsidRPr="00A9434B">
        <w:t xml:space="preserve">key </w:t>
      </w:r>
      <w:r w:rsidRPr="00A9434B">
        <w:t xml:space="preserve">drivers </w:t>
      </w:r>
      <w:bookmarkStart w:id="89" w:name="_Toc75698957"/>
      <w:bookmarkStart w:id="90" w:name="_Toc1030570068"/>
      <w:r w:rsidR="00D970D2" w:rsidRPr="00A9434B">
        <w:fldChar w:fldCharType="begin"/>
      </w:r>
      <w:r w:rsidR="0006613E">
        <w:instrText xml:space="preserve"> ADDIN ZOTERO_ITEM CSL_CITATION {"citationID":"a22i73lta8c","properties":{"formattedCitation":"(T. Evans et al., 2018)","plainCitation":"(T. Evans et al., 2018)","noteIndex":0},"citationItems":[{"id":11369,"uris":["http://zotero.org/groups/2352922/items/G6QLGHXL"],"itemData":{"id":11369,"type":"article-journal","abstract":"Invasive alien species (IAS) constitute a major threat to global biological diversity. In order to control their spread, a detailed understanding of the factors influencing their distribution is essential. Although international trade is regarded as a major force structuring spatial patterns of IAS, the role of other social factors remains unclear. Despite studies highlighting the importance of strong governance in slowing drivers of biodiversity loss such as logging, deforestation, and agricultural intensification, no study has yet analyzed its contribution to the issue of IAS. Using estimates of governance quality and comprehensive spatiotemporal IAS data, we performed multiple linear regressions to investigate the effect of governance quality upon the distribution of species listed under “100 of the worst” IAS in 38 Eurasian countries as defined by DASIE. Our model suggested that for countries with higher GDP, stronger governance was associated with a greater number of the worst IAS; in contrast, for the lowest GDP countries under analysis, stronger governance was associated with fewer of these IAS. We elucidate how the quality of governance within a country has implications for trade, tourism, transport, legislation, and economic development, all of which influence the spread of IAS. While our findings support the common assumption that strengthening governance benefits conservation interventions in countries of smaller economy, we find that this effect is not universal. Stronger governance alone cannot adequately address the problem of IAS, and targeted action is required in relatively high-GDP countries in order to stem the influx of IAS associated with high volumes of trade.","container-title":"Ecology and Evolution","DOI":"10.1002/ece3.3744","ISSN":"2045-7758","issue":"4","journalAbbreviation":"Ecol Evol","language":"en","license":"© 2017 The Authors. Ecology and Evolution published by John Wiley &amp; Sons Ltd.","page":"1984-1994","source":"Wiley Online Library","title":"Does governance play a role in the distribution of invasive alien species?","URL":"https://onlinelibrary.wiley.com/doi/abs/10.1002/ece3.3744","volume":"8","author":[{"family":"Evans","given":"Thomas"},{"family":"Ermgassen","given":"Philine","dropping-particle":"zu"},{"family":"Amano","given":"Tatsuya"},{"family":"Peh","given":"Kelvin S.-H."}],"accessed":{"date-parts":[["2019",1,7]]},"issued":{"date-parts":[["2018",1,17]]}},"label":"page"}],"schema":"https://github.com/citation-style-language/schema/raw/master/csl-citation.json"} </w:instrText>
      </w:r>
      <w:r w:rsidR="00D970D2" w:rsidRPr="00A9434B">
        <w:fldChar w:fldCharType="separate"/>
      </w:r>
      <w:r w:rsidR="00C71E80" w:rsidRPr="00A9434B">
        <w:t>(T. Evans et al., 2018)</w:t>
      </w:r>
      <w:r w:rsidR="00D970D2" w:rsidRPr="00A9434B">
        <w:fldChar w:fldCharType="end"/>
      </w:r>
      <w:r w:rsidR="00D970D2" w:rsidRPr="00A9434B">
        <w:t>.</w:t>
      </w:r>
    </w:p>
    <w:p w14:paraId="32950574" w14:textId="77777777" w:rsidR="00017C04" w:rsidRDefault="00F50AF9" w:rsidP="00C73655">
      <w:pPr>
        <w:pStyle w:val="Heading2"/>
      </w:pPr>
      <w:bookmarkStart w:id="91" w:name="_Toc147417577"/>
      <w:r>
        <w:t>The theory of change and indicator frameworks for improving implementation</w:t>
      </w:r>
      <w:bookmarkEnd w:id="91"/>
      <w:r>
        <w:t xml:space="preserve"> </w:t>
      </w:r>
      <w:bookmarkEnd w:id="89"/>
      <w:bookmarkEnd w:id="90"/>
    </w:p>
    <w:p w14:paraId="12C35E9D" w14:textId="15249E75" w:rsidR="00096449" w:rsidRPr="00A9434B" w:rsidRDefault="35D83526" w:rsidP="006B3143">
      <w:r w:rsidRPr="00A9434B">
        <w:t xml:space="preserve">The Driver-Pressure-State-Response (DPSR) model, sometimes including </w:t>
      </w:r>
      <w:r w:rsidR="00AF03AE" w:rsidRPr="00A9434B">
        <w:t>i</w:t>
      </w:r>
      <w:r w:rsidRPr="00A9434B">
        <w:t>mpacts (DPSIR</w:t>
      </w:r>
      <w:r w:rsidR="00D81475" w:rsidRPr="00A9434B">
        <w:t>;</w:t>
      </w:r>
      <w:r w:rsidRPr="00A9434B">
        <w:t xml:space="preserve"> </w:t>
      </w:r>
      <w:r w:rsidR="00700DF3" w:rsidRPr="00A9434B">
        <w:fldChar w:fldCharType="begin"/>
      </w:r>
      <w:r w:rsidR="00700DF3" w:rsidRPr="00A9434B">
        <w:instrText xml:space="preserve"> ADDIN EN.CITE &lt;EndNote&gt;&lt;Cite&gt;&lt;Author&gt;OECD&lt;/Author&gt;&lt;Year&gt;2003&lt;/Year&gt;&lt;RecNum&gt;57&lt;/RecNum&gt;&lt;DisplayText&gt;(OECD 2003)&lt;/DisplayText&gt;&lt;record&gt;&lt;rec-number&gt;80&lt;/rec-number&gt;&lt;foreign-keys&gt;&lt;key app="EN" db-id="0d55paxdcvwpebe55d1vrz5ne2pattprarta" timestamp="1597992734"&gt;80&lt;/key&gt;&lt;/foreign-keys&gt;&lt;ref-type name="Report"&gt;27&lt;/ref-type&gt;&lt;contributors&gt;&lt;authors&gt;&lt;author&gt;OECD&lt;/author&gt;&lt;/authors&gt;&lt;/contributors&gt;&lt;titles&gt;&lt;title&gt;OECD environmental indicators: Development, measurement and use.&lt;/title&gt;&lt;/titles&gt;&lt;dates&gt;&lt;year&gt;2003&lt;/year&gt;&lt;/dates&gt;&lt;pub-location&gt;Paris&lt;/pub-location&gt;&lt;publisher&gt;Organisation for Economic Co-operation and Development&lt;/publisher&gt;&lt;work-type&gt;Reference Paper&lt;/work-type&gt;&lt;urls&gt;&lt;related-urls&gt;&lt;url&gt;http://www.oecd.org/env/&lt;/url&gt;&lt;/related-urls&gt;&lt;/urls&gt;&lt;/record&gt;&lt;/Cite&gt;&lt;/EndNote&gt;</w:instrText>
      </w:r>
      <w:r w:rsidR="00700DF3" w:rsidRPr="00A9434B">
        <w:fldChar w:fldCharType="separate"/>
      </w:r>
      <w:r w:rsidR="0087315D" w:rsidRPr="00A9434B">
        <w:fldChar w:fldCharType="begin"/>
      </w:r>
      <w:r w:rsidR="002D2756">
        <w:instrText xml:space="preserve"> ADDIN ZOTERO_ITEM CSL_CITATION {"citationID":"a26t8345233","properties":{"formattedCitation":"(OECD, 2003)","plainCitation":"(OECD, 2003)","dontUpdate":true,"noteIndex":0},"citationItems":[{"id":53476,"uris":["http://zotero.org/groups/2352922/items/HUXGYTL6","http://zotero.org/groups/2352922/items/M6LK8S8N"],"itemData":{"id":53476,"type":"report","collection-title":"OECD environmental indicators","event-place":"Paris","genre":"Reference Paper","publisher":"Organisation for Economic Co-operation and Development","publisher-place":"Paris","title":"OECD environmental indicators: Development, measurement and use.","URL":"https://www.oecd.org/env/indicators-modelling-outlooks/24993546.pdf","author":[{"literal":"OECD"}],"issued":{"date-parts":[["2003"]]}}}],"schema":"https://github.com/citation-style-language/schema/raw/master/csl-citation.json"} </w:instrText>
      </w:r>
      <w:r w:rsidR="0087315D" w:rsidRPr="00A9434B">
        <w:fldChar w:fldCharType="separate"/>
      </w:r>
      <w:r w:rsidR="4248AB7D" w:rsidRPr="00A9434B">
        <w:t>OECD, 2003)</w:t>
      </w:r>
      <w:r w:rsidR="0087315D" w:rsidRPr="00A9434B">
        <w:fldChar w:fldCharType="end"/>
      </w:r>
      <w:r w:rsidR="00700DF3" w:rsidRPr="00A9434B">
        <w:fldChar w:fldCharType="end"/>
      </w:r>
      <w:r w:rsidR="42B340EF" w:rsidRPr="00A9434B">
        <w:t>,</w:t>
      </w:r>
      <w:r w:rsidRPr="00A9434B">
        <w:t xml:space="preserve"> is a strategic framework used for reporting on global and national progress toward meeting</w:t>
      </w:r>
      <w:r w:rsidR="0AA59304" w:rsidRPr="00A9434B">
        <w:t xml:space="preserve"> </w:t>
      </w:r>
      <w:r w:rsidRPr="00BA5312">
        <w:t xml:space="preserve">goals and targets. </w:t>
      </w:r>
      <w:r w:rsidR="7C3E425F" w:rsidRPr="00BA5312">
        <w:t xml:space="preserve">It is designed to </w:t>
      </w:r>
      <w:r w:rsidR="2C2462BF" w:rsidRPr="00BA5312">
        <w:t xml:space="preserve">directly </w:t>
      </w:r>
      <w:r w:rsidR="7C3E425F" w:rsidRPr="00BA5312">
        <w:t>link</w:t>
      </w:r>
      <w:r w:rsidR="280EC092" w:rsidRPr="00BA5312">
        <w:t xml:space="preserve"> monitoring of the problem with </w:t>
      </w:r>
      <w:r w:rsidR="2E175185" w:rsidRPr="00BA5312">
        <w:t xml:space="preserve">the </w:t>
      </w:r>
      <w:r w:rsidR="280EC092" w:rsidRPr="00BA5312">
        <w:t xml:space="preserve">actions taken to </w:t>
      </w:r>
      <w:r w:rsidR="55B02C07" w:rsidRPr="00BA5312">
        <w:t xml:space="preserve">deal </w:t>
      </w:r>
      <w:r w:rsidR="280EC092" w:rsidRPr="00BA5312">
        <w:t>with it</w:t>
      </w:r>
      <w:r w:rsidR="2C2462BF" w:rsidRPr="00BA5312">
        <w:t xml:space="preserve">. </w:t>
      </w:r>
      <w:r w:rsidRPr="00BA5312">
        <w:t xml:space="preserve">The </w:t>
      </w:r>
      <w:r w:rsidR="002542A1" w:rsidRPr="00BA5312">
        <w:t>Kunming-Montreal</w:t>
      </w:r>
      <w:r w:rsidR="2D7D3057" w:rsidRPr="00BA5312">
        <w:t xml:space="preserve"> </w:t>
      </w:r>
      <w:r w:rsidR="00E40549" w:rsidRPr="00BA5312">
        <w:t>G</w:t>
      </w:r>
      <w:r w:rsidR="2D7D3057" w:rsidRPr="00BA5312">
        <w:t xml:space="preserve">lobal </w:t>
      </w:r>
      <w:r w:rsidR="00E40549" w:rsidRPr="00BA5312">
        <w:t>B</w:t>
      </w:r>
      <w:r w:rsidR="2D7D3057" w:rsidRPr="00BA5312">
        <w:t xml:space="preserve">iodiversity </w:t>
      </w:r>
      <w:r w:rsidR="0AD72B4F" w:rsidRPr="00BA5312">
        <w:t>F</w:t>
      </w:r>
      <w:r w:rsidR="2D7D3057" w:rsidRPr="00BA5312">
        <w:t>ramewor</w:t>
      </w:r>
      <w:r w:rsidRPr="00BA5312">
        <w:t xml:space="preserve">k </w:t>
      </w:r>
      <w:r w:rsidR="00D970D2" w:rsidRPr="00BA5312">
        <w:fldChar w:fldCharType="begin"/>
      </w:r>
      <w:r w:rsidR="0006613E">
        <w:instrText xml:space="preserve"> ADDIN ZOTERO_ITEM CSL_CITATION {"citationID":"a24f7jucb91","properties":{"formattedCitation":"(CBD, 2022a)","plainCitation":"(CBD, 2022a)","noteIndex":0},"citationItems":[{"id":54145,"uris":["http://zotero.org/groups/2352922/items/95AEP2XN"],"itemData":{"id":54145,"type":"paper-conference","collection-title":"CBD/COP/DEC/15/4","container-title":"Decision adopted by the conference of the parties to the convention on biological diversity","event-place":"Montreal, Canada","event-title":"Fifteenth meeting (Part II) of Conference of the parties to the Convention on Biological Diversity","language":"EN","publisher":"Convention on Biodiversity, United Nations Environment Programme","publisher-place":"Montreal, Canada","title":"15/4. Kunming-Montreal Global Biodiversity Framework","URL":"https://www.cbd.int/doc/decisions/cop-15/cop-15-dec-04-en.pdf","author":[{"literal":"CBD"}],"issued":{"date-parts":[["2022"]]}},"label":"page"}],"schema":"https://github.com/citation-style-language/schema/raw/master/csl-citation.json"} </w:instrText>
      </w:r>
      <w:r w:rsidR="00D970D2" w:rsidRPr="00BA5312">
        <w:fldChar w:fldCharType="separate"/>
      </w:r>
      <w:r w:rsidR="00017441" w:rsidRPr="00017441">
        <w:t>(CBD, 2022a)</w:t>
      </w:r>
      <w:r w:rsidR="00D970D2" w:rsidRPr="00BA5312">
        <w:fldChar w:fldCharType="end"/>
      </w:r>
      <w:r w:rsidR="00D970D2" w:rsidRPr="00BA5312">
        <w:t xml:space="preserve"> </w:t>
      </w:r>
      <w:r w:rsidRPr="00BA5312">
        <w:t>now extends this</w:t>
      </w:r>
      <w:r w:rsidR="0025334F" w:rsidRPr="00BA5312">
        <w:t>,</w:t>
      </w:r>
      <w:r w:rsidRPr="00BA5312">
        <w:t xml:space="preserve"> using a </w:t>
      </w:r>
      <w:r w:rsidR="1FEE4969" w:rsidRPr="00BA5312">
        <w:t>t</w:t>
      </w:r>
      <w:r w:rsidRPr="00BA5312">
        <w:t xml:space="preserve">heory of </w:t>
      </w:r>
      <w:r w:rsidR="1FEE4969" w:rsidRPr="00BA5312">
        <w:t>c</w:t>
      </w:r>
      <w:r w:rsidRPr="00BA5312">
        <w:t>hange</w:t>
      </w:r>
      <w:r w:rsidRPr="00A9434B">
        <w:t xml:space="preserve"> for accelerating action to achieve biodiversity goals for the planet and people </w:t>
      </w:r>
      <w:r w:rsidR="0087315D" w:rsidRPr="00A9434B">
        <w:fldChar w:fldCharType="begin"/>
      </w:r>
      <w:r w:rsidR="002D2756">
        <w:instrText xml:space="preserve"> ADDIN ZOTERO_ITEM CSL_CITATION {"citationID":"a6ndhepvnh","properties":{"formattedCitation":"(CBD, 2021b)","plainCitation":"(CBD, 2021b)","noteIndex":0},"citationItems":[{"id":31927,"uris":["http://zotero.org/groups/2352922/items/VTCP8FLJ"],"itemData":{"id":31927,"type":"document","language":"en","publisher":"Convention on Biodiversity, United Nations Environment Programme","source":"Zotero","title":"CBD/WG2020/3/3: First draft of the post-2020 global biodiversity framework","URL":"https://www.cbd.int/doc/c/abb5/591f/2e46096d3f0330b08ce87a45/wg2020-03-03-en.pdf","author":[{"literal":"CBD"}],"issued":{"date-parts":[["2021",7,5]]}},"label":"page"}],"schema":"https://github.com/citation-style-language/schema/raw/master/csl-citation.json"} </w:instrText>
      </w:r>
      <w:r w:rsidR="0087315D" w:rsidRPr="00A9434B">
        <w:fldChar w:fldCharType="separate"/>
      </w:r>
      <w:r w:rsidR="002D2756" w:rsidRPr="002D2756">
        <w:t>(CBD, 2021b)</w:t>
      </w:r>
      <w:r w:rsidR="0087315D" w:rsidRPr="00A9434B">
        <w:fldChar w:fldCharType="end"/>
      </w:r>
      <w:r w:rsidR="0AD72B4F" w:rsidRPr="00A9434B">
        <w:t>; it</w:t>
      </w:r>
      <w:r w:rsidRPr="00A9434B">
        <w:t xml:space="preserve"> distinguishes four types of </w:t>
      </w:r>
      <w:r w:rsidR="400A8A13" w:rsidRPr="00A9434B">
        <w:t>r</w:t>
      </w:r>
      <w:r w:rsidRPr="00A9434B">
        <w:t xml:space="preserve">esponse, </w:t>
      </w:r>
      <w:r w:rsidR="26FB2721" w:rsidRPr="00A9434B">
        <w:t>i.e</w:t>
      </w:r>
      <w:r w:rsidR="400A8A13" w:rsidRPr="00A9434B">
        <w:t xml:space="preserve">., input, process, output and outcome </w:t>
      </w:r>
      <w:r w:rsidR="00700DF3" w:rsidRPr="00A9434B">
        <w:fldChar w:fldCharType="begin"/>
      </w:r>
      <w:r w:rsidR="00700DF3" w:rsidRPr="00A9434B">
        <w:instrText xml:space="preserve"> ADDIN EN.CITE &lt;EndNote&gt;&lt;Cite&gt;&lt;Author&gt;OECD&lt;/Author&gt;&lt;Year&gt;2019&lt;/Year&gt;&lt;RecNum&gt;50519&lt;/RecNum&gt;&lt;DisplayText&gt;(OECD 2019)&lt;/DisplayText&gt;&lt;record&gt;&lt;rec-number&gt;50519&lt;/rec-number&gt;&lt;foreign-keys&gt;&lt;key app="EN" db-id="awx9raddr0xx2hev05rxr0z05weepwpt0fex" timestamp="1597025687"&gt;50519&lt;/key&gt;&lt;/foreign-keys&gt;&lt;ref-type name="Report"&gt;27&lt;/ref-type&gt;&lt;contributors&gt;&lt;authors&gt;&lt;author&gt;OECD&lt;/author&gt;&lt;/authors&gt;&lt;/contributors&gt;&lt;titles&gt;&lt;title&gt;The Post-2020 Biodiversity Framework: Targets, indicators and measurability implications at global and national level&lt;/title&gt;&lt;/titles&gt;&lt;pages&gt;59&lt;/pages&gt;&lt;edition&gt;November&lt;/edition&gt;&lt;dates&gt;&lt;year&gt;2019&lt;/year&gt;&lt;/dates&gt;&lt;urls&gt;&lt;/urls&gt;&lt;/record&gt;&lt;/Cite&gt;&lt;/EndNote&gt;</w:instrText>
      </w:r>
      <w:r w:rsidR="00700DF3" w:rsidRPr="00A9434B">
        <w:fldChar w:fldCharType="separate"/>
      </w:r>
      <w:r w:rsidR="0087315D" w:rsidRPr="00A9434B">
        <w:fldChar w:fldCharType="begin"/>
      </w:r>
      <w:r w:rsidR="0006613E">
        <w:instrText xml:space="preserve"> ADDIN ZOTERO_ITEM CSL_CITATION {"citationID":"alva9n89m","properties":{"formattedCitation":"\\uldash{(OECD, 2019)}","plainCitation":"(OECD, 2019)","dontUpdate":true,"noteIndex":0},"citationItems":[{"id":30941,"uris":["http://zotero.org/groups/2352922/items/YFB3Q6LP"],"itemData":{"id":30941,"type":"report","genre":"November version","title":"The Post-2020 Biodiversity Framework: Targets, indicators and measurability implications at global and national level","URL":"https://www.oecd.org/environment/resources/biodiversity/report-the-post-2020-biodiversity-framework-targets-indicators-and-measurability-implications-at-global-and-national-level.pdf","author":[{"literal":"OECD"}],"accessed":{"date-parts":[["2021",11,10]]},"issued":{"date-parts":[["2019"]]}},"label":"page"}],"schema":"https://github.com/citation-style-language/schema/raw/master/csl-citation.json"} </w:instrText>
      </w:r>
      <w:r w:rsidR="0087315D" w:rsidRPr="00A9434B">
        <w:fldChar w:fldCharType="separate"/>
      </w:r>
      <w:r w:rsidR="00D970D2" w:rsidRPr="00A9434B">
        <w:t>(OECD, 2019</w:t>
      </w:r>
      <w:r w:rsidR="0087315D" w:rsidRPr="00A9434B">
        <w:fldChar w:fldCharType="end"/>
      </w:r>
      <w:r w:rsidR="00700DF3" w:rsidRPr="00A9434B">
        <w:fldChar w:fldCharType="end"/>
      </w:r>
      <w:r w:rsidR="089FDA52" w:rsidRPr="00A9434B">
        <w:t xml:space="preserve">; </w:t>
      </w:r>
      <w:r w:rsidR="00363D20" w:rsidRPr="00673554">
        <w:rPr>
          <w:b/>
          <w:iCs/>
        </w:rPr>
        <w:fldChar w:fldCharType="begin"/>
      </w:r>
      <w:r w:rsidR="00363D20" w:rsidRPr="00673554">
        <w:rPr>
          <w:b/>
          <w:iCs/>
        </w:rPr>
        <w:instrText xml:space="preserve"> REF _Ref104892430 \h  \* MERGEFORMAT </w:instrText>
      </w:r>
      <w:r w:rsidR="00363D20" w:rsidRPr="00673554">
        <w:rPr>
          <w:b/>
          <w:iCs/>
        </w:rPr>
      </w:r>
      <w:r w:rsidR="00363D20" w:rsidRPr="00673554">
        <w:rPr>
          <w:b/>
          <w:iCs/>
        </w:rPr>
        <w:fldChar w:fldCharType="separate"/>
      </w:r>
      <w:r w:rsidR="0011368C" w:rsidRPr="00673554">
        <w:rPr>
          <w:b/>
          <w:iCs/>
        </w:rPr>
        <w:t>Table 6.5</w:t>
      </w:r>
      <w:r w:rsidR="00363D20" w:rsidRPr="00673554">
        <w:rPr>
          <w:b/>
          <w:iCs/>
        </w:rPr>
        <w:fldChar w:fldCharType="end"/>
      </w:r>
      <w:r w:rsidRPr="00A9434B">
        <w:t xml:space="preserve">). This more detailed and specific identification of the types of responses </w:t>
      </w:r>
      <w:r w:rsidR="2E175185" w:rsidRPr="00A9434B">
        <w:t>needed</w:t>
      </w:r>
      <w:r w:rsidRPr="00A9434B">
        <w:t xml:space="preserve"> to bring about urgent positive change is intended to strengthen the power of monitoring, </w:t>
      </w:r>
      <w:r w:rsidR="22C73288" w:rsidRPr="00A9434B">
        <w:t>analysis</w:t>
      </w:r>
      <w:r w:rsidR="00896CEC">
        <w:t xml:space="preserve"> and</w:t>
      </w:r>
      <w:r w:rsidRPr="00A9434B">
        <w:t xml:space="preserve"> reporting </w:t>
      </w:r>
      <w:r w:rsidR="00F806B6" w:rsidRPr="00A9434B">
        <w:t>(</w:t>
      </w:r>
      <w:r w:rsidR="5E0CB0CE" w:rsidRPr="00673554">
        <w:rPr>
          <w:b/>
          <w:iCs/>
        </w:rPr>
        <w:t>s</w:t>
      </w:r>
      <w:r w:rsidR="382B53A9" w:rsidRPr="00673554">
        <w:rPr>
          <w:b/>
          <w:iCs/>
        </w:rPr>
        <w:t>ection 6.6.2</w:t>
      </w:r>
      <w:r w:rsidR="00982C0D" w:rsidRPr="00A9434B">
        <w:t>;</w:t>
      </w:r>
      <w:r w:rsidRPr="00A9434B">
        <w:t xml:space="preserve"> </w:t>
      </w:r>
      <w:r w:rsidR="0087315D" w:rsidRPr="00A9434B">
        <w:fldChar w:fldCharType="begin"/>
      </w:r>
      <w:r w:rsidR="0006613E">
        <w:instrText xml:space="preserve"> ADDIN ZOTERO_ITEM CSL_CITATION {"citationID":"a1hc35fm3gb","properties":{"formattedCitation":"(CBD, 2021b)","plainCitation":"(CBD, 2021b)","dontUpdate":true,"noteIndex":0},"citationItems":[{"id":31927,"uris":["http://zotero.org/groups/2352922/items/VTCP8FLJ"],"itemData":{"id":31927,"type":"document","language":"en","publisher":"Convention on Biodiversity, United Nations Environment Programme","source":"Zotero","title":"CBD/WG2020/3/3: First draft of the post-2020 global biodiversity framework","URL":"https://www.cbd.int/doc/c/abb5/591f/2e46096d3f0330b08ce87a45/wg2020-03-03-en.pdf","author":[{"literal":"CBD"}],"issued":{"date-parts":[["2021",7,5]]}}}],"schema":"https://github.com/citation-style-language/schema/raw/master/csl-citation.json"} </w:instrText>
      </w:r>
      <w:r w:rsidR="0087315D" w:rsidRPr="00A9434B">
        <w:fldChar w:fldCharType="separate"/>
      </w:r>
      <w:r w:rsidR="4248AB7D" w:rsidRPr="00A9434B">
        <w:t>CBD, 2021b)</w:t>
      </w:r>
      <w:r w:rsidR="0087315D" w:rsidRPr="00A9434B">
        <w:fldChar w:fldCharType="end"/>
      </w:r>
      <w:r w:rsidRPr="00A9434B">
        <w:t xml:space="preserve">. In other words, if these four </w:t>
      </w:r>
      <w:r w:rsidRPr="00A9434B">
        <w:lastRenderedPageBreak/>
        <w:t xml:space="preserve">responses are effective, they </w:t>
      </w:r>
      <w:r w:rsidR="5BE60C24" w:rsidRPr="00A9434B">
        <w:t>would</w:t>
      </w:r>
      <w:r w:rsidRPr="00A9434B">
        <w:t xml:space="preserve"> result in a reduction in </w:t>
      </w:r>
      <w:r w:rsidR="00C73655">
        <w:t>invasive alien species</w:t>
      </w:r>
      <w:r w:rsidRPr="00A9434B">
        <w:t xml:space="preserve"> pressure and an improvement in the state of socioecological systems negatively impacted by invasive alien species </w:t>
      </w:r>
      <w:r w:rsidR="00F806B6" w:rsidRPr="00A9434B">
        <w:t>(</w:t>
      </w:r>
      <w:r w:rsidR="67011F92" w:rsidRPr="00673554">
        <w:rPr>
          <w:b/>
          <w:iCs/>
        </w:rPr>
        <w:t>s</w:t>
      </w:r>
      <w:r w:rsidRPr="00673554">
        <w:rPr>
          <w:b/>
          <w:iCs/>
        </w:rPr>
        <w:t xml:space="preserve">ection </w:t>
      </w:r>
      <w:r w:rsidR="32528EEC" w:rsidRPr="00673554">
        <w:rPr>
          <w:b/>
          <w:iCs/>
        </w:rPr>
        <w:t>6.6.2</w:t>
      </w:r>
      <w:r w:rsidR="089FDA52" w:rsidRPr="00A9434B">
        <w:t>;</w:t>
      </w:r>
      <w:r w:rsidR="003E7167">
        <w:t xml:space="preserve"> </w:t>
      </w:r>
      <w:r w:rsidR="00700DF3" w:rsidRPr="00A9434B">
        <w:fldChar w:fldCharType="begin"/>
      </w:r>
      <w:r w:rsidR="00700DF3" w:rsidRPr="00A9434B">
        <w:instrText xml:space="preserve"> ADDIN EN.CITE &lt;EndNote&gt;&lt;Cite&gt;&lt;Author&gt;Essl&lt;/Author&gt;&lt;Year&gt;2020&lt;/Year&gt;&lt;RecNum&gt;51555&lt;/RecNum&gt;&lt;DisplayText&gt;(Essl, Latombe et al. 2020)&lt;/DisplayText&gt;&lt;record&gt;&lt;rec-number&gt;51555&lt;/rec-number&gt;&lt;foreign-keys&gt;&lt;key app="EN" db-id="awx9raddr0xx2hev05rxr0z05weepwpt0fex" timestamp="1621656978"&gt;51555&lt;/key&gt;&lt;/foreign-keys&gt;&lt;ref-type name="Journal Article"&gt;17&lt;/ref-type&gt;&lt;contributors&gt;&lt;authors&gt;&lt;author&gt;Essl, F.&lt;/author&gt;&lt;author&gt;Latombe, G.&lt;/author&gt;&lt;author&gt;Lenzner, B.&lt;/author&gt;&lt;author&gt;Pagad, S.&lt;/author&gt;&lt;author&gt;Seebens, H.&lt;/author&gt;&lt;author&gt;Smith, K.&lt;/author&gt;&lt;author&gt;Wilson, J. R. U.&lt;/author&gt;&lt;author&gt;Genovesi, P.&lt;/author&gt;&lt;/authors&gt;&lt;/contributors&gt;&lt;titles&gt;&lt;title&gt;The Convention on Biological Diversity (CBD)&amp;apos;s Post-2020 target on invasive alien species - what should it include and how should it be monitored?&lt;/title&gt;&lt;secondary-title&gt;Neobiota&lt;/secondary-title&gt;&lt;/titles&gt;&lt;periodical&gt;&lt;full-title&gt;Neobiota&lt;/full-title&gt;&lt;/periodical&gt;&lt;pages&gt;99-121&lt;/pages&gt;&lt;number&gt;62&lt;/number&gt;&lt;dates&gt;&lt;year&gt;2020&lt;/year&gt;&lt;pub-dates&gt;&lt;date&gt;Oct&lt;/date&gt;&lt;/pub-dates&gt;&lt;/dates&gt;&lt;isbn&gt;1619-0033&lt;/isbn&gt;&lt;accession-num&gt;WOS:000582928700005&lt;/accession-num&gt;&lt;urls&gt;&lt;related-urls&gt;&lt;url&gt;&amp;lt;Go to ISI&amp;gt;://WOS:000582928700005&lt;/url&gt;&lt;/related-urls&gt;&lt;/urls&gt;&lt;electronic-resource-num&gt;10.3897/neobiota.62.53972&lt;/electronic-resource-num&gt;&lt;/record&gt;&lt;/Cite&gt;&lt;/EndNote&gt;</w:instrText>
      </w:r>
      <w:r w:rsidR="00700DF3" w:rsidRPr="00A9434B">
        <w:fldChar w:fldCharType="separate"/>
      </w:r>
      <w:r w:rsidR="0087315D" w:rsidRPr="00A9434B">
        <w:fldChar w:fldCharType="begin"/>
      </w:r>
      <w:r w:rsidR="0006613E">
        <w:instrText xml:space="preserve"> ADDIN ZOTERO_ITEM CSL_CITATION {"citationID":"a29lbh44k73","properties":{"formattedCitation":"\\uldash{(Essl et al., 2020)}","plainCitation":"(Essl et al., 2020)","dontUpdate":true,"noteIndex":0},"citationItems":[{"id":24820,"uris":["http://zotero.org/groups/2352922/items/UBMR3V2A"],"itemData":{"id":24820,"type":"article-journal","abstract":"The year 2020 and the next few years are critical for the development of the global biodiversity policy agenda until the mid-21\n              st\n              century, with countries agreeing to a Post-2020 Global Biodiversity Framework under the Convention on Biological Diversity (CBD). Reducing the substantial and still rising impacts of invasive alien species (IAS) on biodiversity will be essential if we are to meet the 2050 Vision where biodiversity is valued, conserved, and restored. A tentative target has been developed by the IUCN Invasive Species Specialist Group (ISSG), and formally submitted to the CBD for consideration in the discussion on the Post-2020 targets. Here, we present properties of this proposal that we regard as essential for an effective Post-2020 Framework. The target should explicitly consider the three main components of biological invasions, i.e. (i) pathways, (ii) species, and (iii) sites; the target should also be (iv) quantitative, (v) supplemented by a set of indicators that can be applied to track progress, and (vi) evaluated at medium- (2030) and long-term (2050) time horizons. We also present a proposed set of indicators to track progress. These properties and indicators are based on the increasing scientific understanding of biological invasions and effectiveness of responses. Achieving an ambitious action-oriented target so that the 2050 Vision can be achieved will require substantial effort and resources, and the cooperation of a wide range of stakeholders.","container-title":"NeoBiota","DOI":"10.3897/neobiota.62.53972","ISSN":"1314-2488, 1619-0033","journalAbbreviation":"NB","page":"99-121","source":"DOI.org (Crossref)","title":"The Convention on Biological Diversity (CBD)’s Post-2020 target on invasive alien species – what should it include and how should it be monitored?","URL":"https://neobiota.pensoft.net/article/53972/","volume":"62","author":[{"family":"Essl","given":"Franz"},{"family":"Latombe","given":"Guillaume"},{"family":"Lenzner","given":"Bernd"},{"family":"Pagad","given":"Shyama"},{"family":"Seebens","given":"Hanno"},{"family":"Smith","given":"Kevin"},{"family":"Wilson","given":"John R. U."},{"family":"Genovesi","given":"Piero"}],"accessed":{"date-parts":[["2021",3,16]]},"issued":{"date-parts":[["2020",10,15]]}},"label":"page"}],"schema":"https://github.com/citation-style-language/schema/raw/master/csl-citation.json"} </w:instrText>
      </w:r>
      <w:r w:rsidR="0087315D" w:rsidRPr="00A9434B">
        <w:fldChar w:fldCharType="separate"/>
      </w:r>
      <w:r w:rsidR="00D970D2" w:rsidRPr="00A9434B">
        <w:t>Essl et al., 2020)</w:t>
      </w:r>
      <w:r w:rsidR="0087315D" w:rsidRPr="00A9434B">
        <w:fldChar w:fldCharType="end"/>
      </w:r>
      <w:r w:rsidR="00700DF3" w:rsidRPr="00A9434B">
        <w:fldChar w:fldCharType="end"/>
      </w:r>
      <w:r w:rsidRPr="00A9434B">
        <w:t xml:space="preserve">. </w:t>
      </w:r>
    </w:p>
    <w:p w14:paraId="66154836" w14:textId="6A5D233D" w:rsidR="00017C04" w:rsidRPr="00C73655" w:rsidRDefault="00B53AEF" w:rsidP="00C73655">
      <w:pPr>
        <w:rPr>
          <w:b/>
          <w:color w:val="000000"/>
        </w:rPr>
      </w:pPr>
      <w:bookmarkStart w:id="92" w:name="_Ref104892430"/>
      <w:bookmarkStart w:id="93" w:name="_Toc147418538"/>
      <w:bookmarkStart w:id="94" w:name="_Toc49506961"/>
      <w:r w:rsidRPr="00C73655">
        <w:rPr>
          <w:b/>
          <w:bCs/>
        </w:rPr>
        <w:t>Table 6.</w:t>
      </w:r>
      <w:r w:rsidRPr="00C73655">
        <w:rPr>
          <w:b/>
          <w:bCs/>
        </w:rPr>
        <w:fldChar w:fldCharType="begin"/>
      </w:r>
      <w:r w:rsidRPr="00C73655">
        <w:rPr>
          <w:b/>
          <w:bCs/>
        </w:rPr>
        <w:instrText xml:space="preserve"> SEQ Table_6. \* ARABIC </w:instrText>
      </w:r>
      <w:r w:rsidRPr="00C73655">
        <w:rPr>
          <w:b/>
          <w:bCs/>
        </w:rPr>
        <w:fldChar w:fldCharType="separate"/>
      </w:r>
      <w:r w:rsidR="0011368C" w:rsidRPr="00C73655">
        <w:rPr>
          <w:b/>
          <w:bCs/>
          <w:noProof/>
        </w:rPr>
        <w:t>5</w:t>
      </w:r>
      <w:r w:rsidRPr="00C73655">
        <w:rPr>
          <w:b/>
          <w:bCs/>
        </w:rPr>
        <w:fldChar w:fldCharType="end"/>
      </w:r>
      <w:bookmarkEnd w:id="92"/>
      <w:r w:rsidR="00585D0E" w:rsidRPr="00C73655">
        <w:rPr>
          <w:b/>
          <w:bCs/>
        </w:rPr>
        <w:t>.</w:t>
      </w:r>
      <w:bookmarkStart w:id="95" w:name="_heading=h.1ci93xb" w:colFirst="0" w:colLast="0"/>
      <w:bookmarkEnd w:id="95"/>
      <w:r w:rsidR="00F50AF9" w:rsidRPr="00C73655">
        <w:rPr>
          <w:b/>
          <w:color w:val="000000"/>
        </w:rPr>
        <w:t xml:space="preserve"> </w:t>
      </w:r>
      <w:r w:rsidR="00F50AF9" w:rsidRPr="00C73655">
        <w:rPr>
          <w:color w:val="000000"/>
        </w:rPr>
        <w:t>Four types of societal responses that can be measured and monitored for the purpose of limiting the spread and reducing the impacts of invasive alien species</w:t>
      </w:r>
      <w:bookmarkEnd w:id="93"/>
    </w:p>
    <w:p w14:paraId="68AD9FC3" w14:textId="4CCDE42C" w:rsidR="00B53AEF" w:rsidRPr="00A9434B" w:rsidRDefault="00D93D6D" w:rsidP="007669C7">
      <w:pPr>
        <w:spacing w:before="0" w:after="0"/>
        <w:rPr>
          <w:iCs/>
        </w:rPr>
      </w:pPr>
      <w:r w:rsidRPr="00A9434B">
        <w:t>The f</w:t>
      </w:r>
      <w:r w:rsidR="00B53AEF" w:rsidRPr="00A9434B">
        <w:t xml:space="preserve">our types of </w:t>
      </w:r>
      <w:r w:rsidR="00096449" w:rsidRPr="00A9434B">
        <w:t>r</w:t>
      </w:r>
      <w:r w:rsidR="00B53AEF" w:rsidRPr="00A9434B">
        <w:t xml:space="preserve">esponses </w:t>
      </w:r>
      <w:r w:rsidRPr="00A9434B">
        <w:t xml:space="preserve">are </w:t>
      </w:r>
      <w:r w:rsidR="00B53AEF" w:rsidRPr="00A9434B">
        <w:t>in the context of a</w:t>
      </w:r>
      <w:r w:rsidR="007745B0" w:rsidRPr="00A9434B">
        <w:t xml:space="preserve"> </w:t>
      </w:r>
      <w:r w:rsidR="006E1EF1" w:rsidRPr="00A9434B">
        <w:t>DPSR</w:t>
      </w:r>
      <w:r w:rsidR="00B53AEF" w:rsidRPr="00A9434B">
        <w:t xml:space="preserve"> </w:t>
      </w:r>
      <w:r w:rsidR="00096449" w:rsidRPr="00A9434B">
        <w:t>f</w:t>
      </w:r>
      <w:r w:rsidR="00B53AEF" w:rsidRPr="00A9434B">
        <w:t>ramework</w:t>
      </w:r>
      <w:bookmarkEnd w:id="94"/>
      <w:r w:rsidR="00434EED" w:rsidRPr="00A9434B">
        <w:t>.</w:t>
      </w:r>
      <w:r w:rsidR="007669C7" w:rsidRPr="00A9434B">
        <w:t xml:space="preserve"> </w:t>
      </w:r>
      <w:r w:rsidR="00434EED" w:rsidRPr="00A9434B">
        <w:rPr>
          <w:iCs/>
        </w:rPr>
        <w:t xml:space="preserve">Adapted </w:t>
      </w:r>
      <w:r w:rsidR="00B53AEF" w:rsidRPr="00A9434B">
        <w:rPr>
          <w:iCs/>
        </w:rPr>
        <w:t xml:space="preserve">from </w:t>
      </w:r>
      <w:r w:rsidR="00450BB7" w:rsidRPr="00A9434B">
        <w:rPr>
          <w:iCs/>
        </w:rPr>
        <w:t xml:space="preserve">OECD </w:t>
      </w:r>
      <w:r w:rsidR="0087315D" w:rsidRPr="00A9434B">
        <w:rPr>
          <w:iCs/>
        </w:rPr>
        <w:fldChar w:fldCharType="begin"/>
      </w:r>
      <w:r w:rsidR="0006613E">
        <w:rPr>
          <w:iCs/>
        </w:rPr>
        <w:instrText xml:space="preserve"> ADDIN ZOTERO_ITEM CSL_CITATION {"citationID":"aniaffb5u3","properties":{"formattedCitation":"(2019)","plainCitation":"(2019)","noteIndex":0},"citationItems":[{"id":30941,"uris":["http://zotero.org/groups/2352922/items/YFB3Q6LP"],"itemData":{"id":30941,"type":"report","genre":"November version","title":"The Post-2020 Biodiversity Framework: Targets, indicators and measurability implications at global and national level","URL":"https://www.oecd.org/environment/resources/biodiversity/report-the-post-2020-biodiversity-framework-targets-indicators-and-measurability-implications-at-global-and-national-level.pdf","author":[{"literal":"OECD"}],"accessed":{"date-parts":[["2021",11,10]]},"issued":{"date-parts":[["2019"]]}},"label":"page","suppress-author":true}],"schema":"https://github.com/citation-style-language/schema/raw/master/csl-citation.json"} </w:instrText>
      </w:r>
      <w:r w:rsidR="0087315D" w:rsidRPr="00A9434B">
        <w:rPr>
          <w:iCs/>
        </w:rPr>
        <w:fldChar w:fldCharType="separate"/>
      </w:r>
      <w:r w:rsidR="00C71E80" w:rsidRPr="00A9434B">
        <w:t>(2019)</w:t>
      </w:r>
      <w:r w:rsidR="0087315D" w:rsidRPr="00A9434B">
        <w:rPr>
          <w:iCs/>
        </w:rPr>
        <w:fldChar w:fldCharType="end"/>
      </w:r>
      <w:r w:rsidR="00434EED" w:rsidRPr="00A9434B">
        <w:rPr>
          <w:iCs/>
        </w:rPr>
        <w:t>,</w:t>
      </w:r>
      <w:r w:rsidR="00B53AEF" w:rsidRPr="00A9434B">
        <w:rPr>
          <w:iCs/>
        </w:rPr>
        <w:t xml:space="preserve"> with the addition of invasive alien species-specific examples.</w:t>
      </w:r>
    </w:p>
    <w:p w14:paraId="2482767A" w14:textId="77777777" w:rsidR="00017C04" w:rsidRDefault="00017C04">
      <w:pPr>
        <w:spacing w:before="0" w:after="0"/>
      </w:pPr>
    </w:p>
    <w:tbl>
      <w:tblPr>
        <w:tblW w:w="901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1398"/>
        <w:gridCol w:w="3486"/>
        <w:gridCol w:w="4126"/>
      </w:tblGrid>
      <w:tr w:rsidR="00017C04" w14:paraId="52775D73" w14:textId="77777777" w:rsidTr="00C73655">
        <w:tc>
          <w:tcPr>
            <w:tcW w:w="1398" w:type="dxa"/>
          </w:tcPr>
          <w:p w14:paraId="3C07EBDB" w14:textId="77777777" w:rsidR="00017C04" w:rsidRDefault="00F50AF9">
            <w:r>
              <w:t xml:space="preserve">Response type </w:t>
            </w:r>
          </w:p>
        </w:tc>
        <w:tc>
          <w:tcPr>
            <w:tcW w:w="3486" w:type="dxa"/>
          </w:tcPr>
          <w:p w14:paraId="16EFF99E" w14:textId="77777777" w:rsidR="00017C04" w:rsidRDefault="00F50AF9">
            <w:r>
              <w:t xml:space="preserve">Definition </w:t>
            </w:r>
          </w:p>
        </w:tc>
        <w:tc>
          <w:tcPr>
            <w:tcW w:w="4126" w:type="dxa"/>
          </w:tcPr>
          <w:p w14:paraId="0F47D9B3" w14:textId="06EEA227" w:rsidR="00017C04" w:rsidRDefault="2F958343">
            <w:r>
              <w:t>Invasive alien species examples</w:t>
            </w:r>
          </w:p>
        </w:tc>
      </w:tr>
      <w:tr w:rsidR="00017C04" w14:paraId="2A1F3313" w14:textId="77777777" w:rsidTr="00C73655">
        <w:trPr>
          <w:trHeight w:val="289"/>
        </w:trPr>
        <w:tc>
          <w:tcPr>
            <w:tcW w:w="1398" w:type="dxa"/>
          </w:tcPr>
          <w:p w14:paraId="4848F22C" w14:textId="77777777" w:rsidR="00017C04" w:rsidRDefault="00F50AF9">
            <w:r>
              <w:t xml:space="preserve">Input </w:t>
            </w:r>
          </w:p>
        </w:tc>
        <w:tc>
          <w:tcPr>
            <w:tcW w:w="3486" w:type="dxa"/>
          </w:tcPr>
          <w:p w14:paraId="317F6351" w14:textId="77777777" w:rsidR="00017C04" w:rsidRDefault="00F50AF9">
            <w:r>
              <w:t xml:space="preserve">Measures the material and immaterial pre-conditions and resources - both human and financial - provided for an activity, project, programme, or intervention </w:t>
            </w:r>
          </w:p>
        </w:tc>
        <w:tc>
          <w:tcPr>
            <w:tcW w:w="4126" w:type="dxa"/>
          </w:tcPr>
          <w:p w14:paraId="7F11F263" w14:textId="2F10B5E4" w:rsidR="00017C04" w:rsidRDefault="00F50AF9">
            <w:r>
              <w:t>● Budget allocated for invasive alien species research, education, monitoring, prevention</w:t>
            </w:r>
            <w:r w:rsidR="00896CEC">
              <w:t xml:space="preserve"> and</w:t>
            </w:r>
            <w:r>
              <w:t xml:space="preserve"> control </w:t>
            </w:r>
          </w:p>
          <w:p w14:paraId="6E8CC99B" w14:textId="2F1EAEBE" w:rsidR="00017C04" w:rsidRDefault="00F50AF9">
            <w:r>
              <w:t>● Number of staff allocated to invasive alien species monitoring, prevention</w:t>
            </w:r>
            <w:r w:rsidR="00896CEC">
              <w:t xml:space="preserve"> and</w:t>
            </w:r>
            <w:r>
              <w:t xml:space="preserve"> control</w:t>
            </w:r>
          </w:p>
        </w:tc>
      </w:tr>
      <w:tr w:rsidR="00017C04" w14:paraId="087B554F" w14:textId="77777777" w:rsidTr="00C73655">
        <w:trPr>
          <w:trHeight w:val="288"/>
        </w:trPr>
        <w:tc>
          <w:tcPr>
            <w:tcW w:w="1398" w:type="dxa"/>
          </w:tcPr>
          <w:p w14:paraId="09F72BCF" w14:textId="77777777" w:rsidR="00017C04" w:rsidRDefault="00F50AF9">
            <w:r>
              <w:t xml:space="preserve">Process </w:t>
            </w:r>
          </w:p>
        </w:tc>
        <w:tc>
          <w:tcPr>
            <w:tcW w:w="3486" w:type="dxa"/>
          </w:tcPr>
          <w:p w14:paraId="6A5857BF" w14:textId="77777777" w:rsidR="00017C04" w:rsidRDefault="00F50AF9">
            <w:r>
              <w:t xml:space="preserve">Measures the progress of processes or actions that use inputs and the ways in which programme services and goods are provided </w:t>
            </w:r>
          </w:p>
          <w:p w14:paraId="5A2B3964" w14:textId="77777777" w:rsidR="00017C04" w:rsidRDefault="00017C04"/>
        </w:tc>
        <w:tc>
          <w:tcPr>
            <w:tcW w:w="4126" w:type="dxa"/>
          </w:tcPr>
          <w:p w14:paraId="47458699" w14:textId="77777777" w:rsidR="00017C04" w:rsidRDefault="00F50AF9">
            <w:r>
              <w:t>● A national inter-Ministerial Committee for biosecurity established</w:t>
            </w:r>
          </w:p>
          <w:p w14:paraId="51496A2E" w14:textId="7DF39AA6" w:rsidR="00017C04" w:rsidRDefault="2F958343" w:rsidP="0B8DB0CC">
            <w:r>
              <w:t xml:space="preserve">● Targeted education programmes for local communities affected by invasive alien species </w:t>
            </w:r>
          </w:p>
        </w:tc>
      </w:tr>
      <w:tr w:rsidR="00017C04" w14:paraId="3D9C7135" w14:textId="77777777" w:rsidTr="00C73655">
        <w:trPr>
          <w:trHeight w:val="410"/>
        </w:trPr>
        <w:tc>
          <w:tcPr>
            <w:tcW w:w="1398" w:type="dxa"/>
          </w:tcPr>
          <w:p w14:paraId="7E846F11" w14:textId="77777777" w:rsidR="00017C04" w:rsidRDefault="00F50AF9">
            <w:r>
              <w:t xml:space="preserve">Output </w:t>
            </w:r>
          </w:p>
        </w:tc>
        <w:tc>
          <w:tcPr>
            <w:tcW w:w="3486" w:type="dxa"/>
          </w:tcPr>
          <w:p w14:paraId="39A5E84C" w14:textId="0E576C99" w:rsidR="00017C04" w:rsidRDefault="00F50AF9">
            <w:r>
              <w:t>Measures the quantity, quality</w:t>
            </w:r>
            <w:r w:rsidR="00896CEC">
              <w:t xml:space="preserve"> and</w:t>
            </w:r>
            <w:r>
              <w:t xml:space="preserve"> efficiency of production of goods or services because of an activity, project, programme or intervention </w:t>
            </w:r>
          </w:p>
        </w:tc>
        <w:tc>
          <w:tcPr>
            <w:tcW w:w="4126" w:type="dxa"/>
          </w:tcPr>
          <w:p w14:paraId="2CCD6EAC" w14:textId="77777777" w:rsidR="00017C04" w:rsidRDefault="00F50AF9">
            <w:r>
              <w:t xml:space="preserve">● New legal or policy instruments </w:t>
            </w:r>
          </w:p>
          <w:p w14:paraId="601B85C3" w14:textId="77777777" w:rsidR="00017C04" w:rsidRDefault="00F50AF9">
            <w:r>
              <w:t>● Studies such as national invasive alien species assessments completed</w:t>
            </w:r>
          </w:p>
          <w:p w14:paraId="1AE77C68" w14:textId="77777777" w:rsidR="00017C04" w:rsidRDefault="00F50AF9">
            <w:r>
              <w:t xml:space="preserve">● The costs of invasive alien species integrated into national accounts </w:t>
            </w:r>
          </w:p>
        </w:tc>
      </w:tr>
      <w:tr w:rsidR="00017C04" w14:paraId="6DE2F560" w14:textId="77777777" w:rsidTr="00C73655">
        <w:trPr>
          <w:trHeight w:val="194"/>
        </w:trPr>
        <w:tc>
          <w:tcPr>
            <w:tcW w:w="1398" w:type="dxa"/>
          </w:tcPr>
          <w:p w14:paraId="35AFC669" w14:textId="77777777" w:rsidR="00017C04" w:rsidRDefault="00F50AF9">
            <w:r>
              <w:t xml:space="preserve">Outcome </w:t>
            </w:r>
          </w:p>
        </w:tc>
        <w:tc>
          <w:tcPr>
            <w:tcW w:w="3486" w:type="dxa"/>
          </w:tcPr>
          <w:p w14:paraId="335B80EA" w14:textId="77777777" w:rsidR="00017C04" w:rsidRDefault="00F50AF9">
            <w:r>
              <w:t xml:space="preserve">Measures the intermediate broader results achieved through the provision of outputs </w:t>
            </w:r>
          </w:p>
        </w:tc>
        <w:tc>
          <w:tcPr>
            <w:tcW w:w="4126" w:type="dxa"/>
          </w:tcPr>
          <w:p w14:paraId="586D5185" w14:textId="77777777" w:rsidR="00017C04" w:rsidRDefault="00F50AF9">
            <w:r>
              <w:t xml:space="preserve">● Increased eradications of invasive alien species </w:t>
            </w:r>
          </w:p>
          <w:p w14:paraId="74DD4437" w14:textId="77777777" w:rsidR="00017C04" w:rsidRDefault="00F50AF9">
            <w:r>
              <w:t>● Reduced ranges of priority invasive alien species</w:t>
            </w:r>
          </w:p>
          <w:p w14:paraId="678ED735" w14:textId="77777777" w:rsidR="00017C04" w:rsidRDefault="00F50AF9">
            <w:r>
              <w:t>● Reduced impacts of invasive alien species</w:t>
            </w:r>
          </w:p>
        </w:tc>
      </w:tr>
    </w:tbl>
    <w:p w14:paraId="204C5D61" w14:textId="062D6C10" w:rsidR="00CA1703" w:rsidRPr="00A9434B" w:rsidRDefault="33147408" w:rsidP="006B3143">
      <w:r w:rsidRPr="00A9434B">
        <w:t xml:space="preserve">The </w:t>
      </w:r>
      <w:r w:rsidR="089FDA52" w:rsidRPr="00A9434B">
        <w:t xml:space="preserve">DPSR </w:t>
      </w:r>
      <w:r w:rsidRPr="00A9434B">
        <w:t xml:space="preserve">and </w:t>
      </w:r>
      <w:r w:rsidR="241F732E" w:rsidRPr="00A9434B">
        <w:t>t</w:t>
      </w:r>
      <w:r w:rsidRPr="00A9434B">
        <w:t xml:space="preserve">heory of </w:t>
      </w:r>
      <w:r w:rsidR="241F732E" w:rsidRPr="00A9434B">
        <w:t>c</w:t>
      </w:r>
      <w:r w:rsidRPr="00A9434B">
        <w:t xml:space="preserve">hange frameworks are valuable </w:t>
      </w:r>
      <w:r w:rsidR="4C723FF0" w:rsidRPr="00A9434B">
        <w:t xml:space="preserve">strategic governance tools for </w:t>
      </w:r>
      <w:r w:rsidR="45312872" w:rsidRPr="00A9434B">
        <w:t>biological invasions</w:t>
      </w:r>
      <w:r w:rsidRPr="00A9434B">
        <w:t xml:space="preserve"> because, by design </w:t>
      </w:r>
      <w:r w:rsidR="0087315D" w:rsidRPr="00A9434B">
        <w:fldChar w:fldCharType="begin"/>
      </w:r>
      <w:r w:rsidR="0006613E">
        <w:instrText xml:space="preserve"> ADDIN ZOTERO_ITEM CSL_CITATION {"citationID":"aknb3fc0a3","properties":{"formattedCitation":"(OECD, 2019)","plainCitation":"(OECD, 2019)","noteIndex":0},"citationItems":[{"id":30941,"uris":["http://zotero.org/groups/2352922/items/YFB3Q6LP"],"itemData":{"id":30941,"type":"report","genre":"November version","title":"The Post-2020 Biodiversity Framework: Targets, indicators and measurability implications at global and national level","URL":"https://www.oecd.org/environment/resources/biodiversity/report-the-post-2020-biodiversity-framework-targets-indicators-and-measurability-implications-at-global-and-national-level.pdf","author":[{"literal":"OECD"}],"accessed":{"date-parts":[["2021",11,10]]},"issued":{"date-parts":[["2019"]]}}}],"schema":"https://github.com/citation-style-language/schema/raw/master/csl-citation.json"} </w:instrText>
      </w:r>
      <w:r w:rsidR="0087315D" w:rsidRPr="00A9434B">
        <w:fldChar w:fldCharType="separate"/>
      </w:r>
      <w:r w:rsidR="00C71E80" w:rsidRPr="00A9434B">
        <w:t>(OECD, 2019)</w:t>
      </w:r>
      <w:r w:rsidR="0087315D" w:rsidRPr="00A9434B">
        <w:fldChar w:fldCharType="end"/>
      </w:r>
      <w:r w:rsidR="00123BD7" w:rsidRPr="00A9434B">
        <w:fldChar w:fldCharType="begin"/>
      </w:r>
      <w:r w:rsidR="00123BD7" w:rsidRPr="00A9434B">
        <w:instrText xml:space="preserve"> ADDIN EN.CITE &lt;EndNote&gt;&lt;Cite&gt;&lt;Author&gt;OECD&lt;/Author&gt;&lt;Year&gt;2019&lt;/Year&gt;&lt;RecNum&gt;50519&lt;/RecNum&gt;&lt;DisplayText&gt;(OECD 2019)&lt;/DisplayText&gt;&lt;record&gt;&lt;rec-number&gt;50519&lt;/rec-number&gt;&lt;foreign-keys&gt;&lt;key app="EN" db-id="awx9raddr0xx2hev05rxr0z05weepwpt0fex" timestamp="1597025687"&gt;50519&lt;/key&gt;&lt;/foreign-keys&gt;&lt;ref-type name="Report"&gt;27&lt;/ref-type&gt;&lt;contributors&gt;&lt;authors&gt;&lt;author&gt;OECD&lt;/author&gt;&lt;/authors&gt;&lt;/contributors&gt;&lt;titles&gt;&lt;title&gt;The Post-2020 Biodiversity Framework: Targets, indicators and measurability implications at global and national level&lt;/title&gt;&lt;/titles&gt;&lt;pages&gt;59&lt;/pages&gt;&lt;edition&gt;November&lt;/edition&gt;&lt;dates&gt;&lt;year&gt;2019&lt;/year&gt;&lt;/dates&gt;&lt;urls&gt;&lt;/urls&gt;&lt;/record&gt;&lt;/Cite&gt;&lt;/EndNote&gt;</w:instrText>
      </w:r>
      <w:r w:rsidR="00123BD7" w:rsidRPr="00A9434B">
        <w:fldChar w:fldCharType="end"/>
      </w:r>
      <w:r w:rsidRPr="00A9434B">
        <w:t xml:space="preserve">, they explicitly </w:t>
      </w:r>
      <w:r w:rsidR="6B96CF7D" w:rsidRPr="00A9434B">
        <w:t>connect</w:t>
      </w:r>
      <w:r w:rsidRPr="00A9434B">
        <w:t xml:space="preserve"> the causes (drivers) </w:t>
      </w:r>
      <w:r w:rsidR="00C73655">
        <w:t xml:space="preserve">facilitating </w:t>
      </w:r>
      <w:r w:rsidR="30962310" w:rsidRPr="00A9434B">
        <w:t xml:space="preserve">biological </w:t>
      </w:r>
      <w:r w:rsidRPr="00A9434B">
        <w:t>invasion</w:t>
      </w:r>
      <w:r w:rsidR="00C73655">
        <w:t>s</w:t>
      </w:r>
      <w:r w:rsidRPr="00A9434B">
        <w:t>, the size of the problem (pressure), its impact (state)</w:t>
      </w:r>
      <w:r w:rsidR="00896CEC">
        <w:t xml:space="preserve"> and</w:t>
      </w:r>
      <w:r w:rsidRPr="00A9434B">
        <w:t xml:space="preserve"> societal responses to dealing with it </w:t>
      </w:r>
      <w:r w:rsidR="00123BD7" w:rsidRPr="00A9434B">
        <w:fldChar w:fldCharType="begin"/>
      </w:r>
      <w:r w:rsidR="00123BD7" w:rsidRPr="00A9434B">
        <w:instrText xml:space="preserve"> ADDIN EN.CITE &lt;EndNote&gt;&lt;Cite&gt;&lt;Author&gt;McGeoch&lt;/Author&gt;&lt;Year&gt;2010&lt;/Year&gt;&lt;RecNum&gt;59&lt;/RecNum&gt;&lt;DisplayText&gt;(McGeoch, Butchart et al. 2010)&lt;/DisplayText&gt;&lt;record&gt;&lt;rec-number&gt;82&lt;/rec-number&gt;&lt;foreign-keys&gt;&lt;key app="EN" db-id="0d55paxdcvwpebe55d1vrz5ne2pattprarta" timestamp="1597992734"&gt;82&lt;/key&gt;&lt;/foreign-keys&gt;&lt;ref-type name="Journal Article"&gt;17&lt;/ref-type&gt;&lt;contributors&gt;&lt;authors&gt;&lt;author&gt;McGeoch, M.A.&lt;/author&gt;&lt;author&gt;Butchart, S.H.M. &lt;/author&gt;&lt;author&gt;Spear, D. &lt;/author&gt;&lt;author&gt;Marais, E. &lt;/author&gt;&lt;author&gt;Kleynhans, E. &lt;/author&gt;&lt;author&gt;Symes, A. &lt;/author&gt;&lt;author&gt;Chanson, J. &lt;/author&gt;&lt;author&gt;Hoffmann, M.&lt;/author&gt;&lt;/authors&gt;&lt;/contributors&gt;&lt;titles&gt;&lt;title&gt;Global indicators of biological invasion: species numbers, biodiversity impact and policy responses&lt;/title&gt;&lt;secondary-title&gt;Diversity and Distributions&lt;/secondary-title&gt;&lt;/titles&gt;&lt;periodical&gt;&lt;full-title&gt;Diversity and Distributions&lt;/full-title&gt;&lt;/periodical&gt;&lt;pages&gt;95 - 108&lt;/pages&gt;&lt;volume&gt;16&lt;/volume&gt;&lt;section&gt;95&lt;/section&gt;&lt;dates&gt;&lt;year&gt;2010&lt;/year&gt;&lt;/dates&gt;&lt;urls&gt;&lt;/urls&gt;&lt;/record&gt;&lt;/Cite&gt;&lt;/EndNote&gt;</w:instrText>
      </w:r>
      <w:r w:rsidR="00123BD7" w:rsidRPr="00A9434B">
        <w:fldChar w:fldCharType="separate"/>
      </w:r>
      <w:r w:rsidR="0087315D" w:rsidRPr="00A9434B">
        <w:fldChar w:fldCharType="begin"/>
      </w:r>
      <w:r w:rsidR="002D2756">
        <w:instrText xml:space="preserve"> ADDIN ZOTERO_ITEM CSL_CITATION {"citationID":"a1nrg548ih6","properties":{"formattedCitation":"\\uldash{(McGeoch et al., 2010)}","plainCitation":"(McGeoch et al., 2010)","dontUpdate":true,"noteIndex":0},"citationItems":[{"id":"SnSXgYY3/WWzzJk3K","uris":["http://zotero.org/groups/2352922/items/TA9WEFBP"],"itemData":{"id":28832,"type":"article-journal","abstract":"Aim Invasive alien species (IAS) pose a significant threat to biodiversity. The Convention on Biological Diversity’s 2010 Biodiversity Target, and the associated indicator for IAS, has stimulated globally coordinated efforts to quantify patterns in the extent of biological invasion, its impact on biodiversity and policy responses. Here, we report on the outcome of indicators of alien invasion at a global scale. Location Global. Methods We developed four indicators in a pressure-state-response framework, i.e. number of documented IAS (pressure), trends in the impact of IAS on biodiversity (state) and trends in international agreements and national policy adoption relevant to reducing IAS threats to biodiversity (response). These measures were considered best suited to providing globally representative, standardized and sustainable indicators by 2010. Results We show that the number of documented IAS is a significant underestimate, because its value is negatively affected by country development status and positively by research effort and information availability. The Red List Index demonstrates that IAS pressure is driving declines in species diversity, with the overall impact apparently increasing. The policy response trend has nonetheless been positive for the last several decades, although only half of countries that are signatory to the Convention on Biological Diversity (CBD) have IAS-relevant national legislation. Although IAS pressure has apparently driven the policy response, this has clearly not been sufficient and/or adequately implemented to reduce biodiversity impact. Main conclusions For this indicator of threat to biodiversity, the 2010 Biodiversity Target has thus not been achieved. The results nonetheless provide clear direction for bridging the current divide between information available on IAS and that needed for policy and management for the prevention and control of IAS. It further highlights the need for measures to ensure that policy is effectively implemented, such that it translates into reduced IAS pressure and impact on biodiversity beyond 2010.","container-title":"Diversity and Distributions","DOI":"10.1111/j.1472-4642.2009.00633.x","ISSN":"1472-4642","issue":"1","language":"en","license":"© 2010 Blackwell Publishing Ltd","page":"95-108","source":"Wiley Online Library","title":"Global indicators of biological invasion: species numbers, biodiversity impact and policy responses","title-short":"Global indicators of biological invasion","URL":"https://doi.org/10.1111/j.1472-4642.2009.00633.x","volume":"16","author":[{"family":"McGeoch","given":"Melodie A."},{"family":"Butchart","given":"Stuart H. M."},{"family":"Spear","given":"Dian"},{"family":"Marais","given":"Elrike"},{"family":"Kleynhans","given":"Elizabeth J."},{"family":"Symes","given":"Andy"},{"family":"Chanson","given":"Janice"},{"family":"Hoffmann","given":"Michael"}],"accessed":{"date-parts":[["2019",4,16]]},"issued":{"date-parts":[["2010"]]}}}],"schema":"https://github.com/citation-style-language/schema/raw/master/csl-citation.json"} </w:instrText>
      </w:r>
      <w:r w:rsidR="0087315D" w:rsidRPr="00A9434B">
        <w:fldChar w:fldCharType="separate"/>
      </w:r>
      <w:r w:rsidR="089FDA52" w:rsidRPr="00A9434B">
        <w:t>(McGeoch et al., 2010</w:t>
      </w:r>
      <w:r w:rsidR="0087315D" w:rsidRPr="00A9434B">
        <w:fldChar w:fldCharType="end"/>
      </w:r>
      <w:r w:rsidR="00123BD7" w:rsidRPr="00A9434B">
        <w:fldChar w:fldCharType="end"/>
      </w:r>
      <w:r w:rsidR="089FDA52" w:rsidRPr="00673554">
        <w:rPr>
          <w:iCs/>
        </w:rPr>
        <w:t>;</w:t>
      </w:r>
      <w:r w:rsidRPr="00A9434B">
        <w:rPr>
          <w:i/>
          <w:iCs/>
        </w:rPr>
        <w:t xml:space="preserve"> </w:t>
      </w:r>
      <w:r w:rsidR="00B9562C" w:rsidRPr="00673554">
        <w:rPr>
          <w:b/>
          <w:iCs/>
        </w:rPr>
        <w:fldChar w:fldCharType="begin"/>
      </w:r>
      <w:r w:rsidR="00B9562C" w:rsidRPr="00673554">
        <w:rPr>
          <w:b/>
          <w:iCs/>
        </w:rPr>
        <w:instrText xml:space="preserve"> REF _Ref104898388 \h  \* MERGEFORMAT </w:instrText>
      </w:r>
      <w:r w:rsidR="00B9562C" w:rsidRPr="00673554">
        <w:rPr>
          <w:b/>
          <w:iCs/>
        </w:rPr>
      </w:r>
      <w:r w:rsidR="00B9562C" w:rsidRPr="00673554">
        <w:rPr>
          <w:b/>
          <w:iCs/>
        </w:rPr>
        <w:fldChar w:fldCharType="separate"/>
      </w:r>
      <w:r w:rsidR="0011368C" w:rsidRPr="00673554">
        <w:rPr>
          <w:b/>
          <w:iCs/>
        </w:rPr>
        <w:t>Box 6.3</w:t>
      </w:r>
      <w:r w:rsidR="00B9562C" w:rsidRPr="00673554">
        <w:rPr>
          <w:b/>
          <w:iCs/>
        </w:rPr>
        <w:fldChar w:fldCharType="end"/>
      </w:r>
      <w:r w:rsidRPr="00A9434B">
        <w:t>)</w:t>
      </w:r>
      <w:r w:rsidR="212F0A9A" w:rsidRPr="00A9434B">
        <w:t xml:space="preserve">, although there are </w:t>
      </w:r>
      <w:r w:rsidR="5CC6BC64" w:rsidRPr="00A9434B">
        <w:t xml:space="preserve">currently </w:t>
      </w:r>
      <w:r w:rsidR="212F0A9A" w:rsidRPr="00A9434B">
        <w:t xml:space="preserve">gaps in </w:t>
      </w:r>
      <w:r w:rsidR="5CC6BC64" w:rsidRPr="00A9434B">
        <w:t xml:space="preserve">its application and implementation </w:t>
      </w:r>
      <w:r w:rsidR="00DD6448" w:rsidRPr="00A9434B">
        <w:fldChar w:fldCharType="begin"/>
      </w:r>
      <w:r w:rsidR="0006613E">
        <w:instrText xml:space="preserve"> ADDIN ZOTERO_ITEM CSL_CITATION {"citationID":"a1k4q8s4ema","properties":{"formattedCitation":"(Vicente et al., 2022)","plainCitation":"(Vicente et al., 2022)","noteIndex":0},"citationItems":[{"id":32784,"uris":["http://zotero.org/groups/2352922/items/QYN838AY"],"itemData":{"id":32784,"type":"article-journal","abstract":"Monitoring the progress parties have made toward meeting global biodiversity targets requires appropriate indicators. The recognition of Invasive alien species (IAS) as a biodiversity threat has led to the development of specific targets aiming at reducing their prevalence and impact. However, indicators for adequately monitoring and reporting on the status of biological invasions have been slow to emerge, with those that exist being arguably insufficient. We performed a systematic review of the peer-reviewed literature to assess the adequacy of existing IAS indicators against a range of policy-relevant and scientifically valid properties. We found that very few indicators have most of the desirable properties, and that existing indicators are unevenly spread across the components of the Driver-Pressure-State-Response and Theory of Change frameworks. We provide three possible reasons for this: i) inadequate attention paid to the requirements of an effective IAS indicator, (ii) insufficient data required to populate and inform policy-relevant, scientifically robust indicators, or (iii) deficient investment in the development and maintenance of IAS indicators. This review includes a gap analysis of where current inadequacies in IAS indicators exist, and provides a roadmap for the future development of indicators capable of measuring progress made toward mitigating and halting biological invasions.","container-title":"Conservation Letters","DOI":"10.1111/conl.12918","issue":"5","language":"en-us","note":"DOI: 10.32942/osf.io/mn52e\ntype: article","page":"e12918","source":"OSF Preprints","title":"Existing indicators do not adequately monitor progress towards meeting invasive alien species targets","URL":"https://ecoevorxiv.org/mn52e/","volume":"15","author":[{"family":"Vicente","given":"Joana Raquel Silva"},{"family":"Vaz","given":"Ana Sofia"},{"family":"Roige","given":"Mariona"},{"family":"Winter","given":"Marten"},{"family":"Clarke","given":"David"},{"family":"Lenzner","given":"Bernd"},{"family":"McGeoch","given":"Melodie A."}],"accessed":{"date-parts":[["2021",12,6]]},"issued":{"date-parts":[["2022"]]}}}],"schema":"https://github.com/citation-style-language/schema/raw/master/csl-citation.json"} </w:instrText>
      </w:r>
      <w:r w:rsidR="00DD6448" w:rsidRPr="00A9434B">
        <w:fldChar w:fldCharType="separate"/>
      </w:r>
      <w:r w:rsidR="00065870" w:rsidRPr="00065870">
        <w:t>(Vicente et al., 2022)</w:t>
      </w:r>
      <w:r w:rsidR="00DD6448" w:rsidRPr="00A9434B">
        <w:fldChar w:fldCharType="end"/>
      </w:r>
      <w:r w:rsidRPr="00A9434B">
        <w:t xml:space="preserve">. By tracking change in each of these components (for </w:t>
      </w:r>
      <w:r w:rsidRPr="00A9434B">
        <w:lastRenderedPageBreak/>
        <w:t>example</w:t>
      </w:r>
      <w:r w:rsidR="2DE7CAC2" w:rsidRPr="00A9434B">
        <w:t>,</w:t>
      </w:r>
      <w:r w:rsidRPr="00A9434B">
        <w:t xml:space="preserve"> using indicators), it becomes possible to design evidence-based, well-motivated</w:t>
      </w:r>
      <w:r w:rsidR="00896CEC">
        <w:t xml:space="preserve"> and</w:t>
      </w:r>
      <w:r w:rsidRPr="00A9434B">
        <w:t xml:space="preserve"> targeted polic</w:t>
      </w:r>
      <w:r w:rsidR="0013A3C8" w:rsidRPr="00A9434B">
        <w:t>ies</w:t>
      </w:r>
      <w:r w:rsidRPr="00A9434B">
        <w:t xml:space="preserve"> for invasive alien species. The framework further makes it clear that the type, size and effectiveness of societal responses will determine the extent to which drivers decline </w:t>
      </w:r>
      <w:r w:rsidR="00F806B6" w:rsidRPr="00A9434B">
        <w:t>(</w:t>
      </w:r>
      <w:r w:rsidRPr="00A9434B">
        <w:t xml:space="preserve">for example </w:t>
      </w:r>
      <w:r w:rsidR="00123BD7" w:rsidRPr="00A9434B">
        <w:fldChar w:fldCharType="begin"/>
      </w:r>
      <w:r w:rsidR="00123BD7" w:rsidRPr="00A9434B">
        <w:instrText xml:space="preserve"> ADDIN EN.CITE &lt;EndNote&gt;&lt;Cite&gt;&lt;Author&gt;McGeoch&lt;/Author&gt;&lt;Year&gt;2015&lt;/Year&gt;&lt;RecNum&gt;60&lt;/RecNum&gt;&lt;DisplayText&gt;(McGeoch, Shaw et al. 2015)&lt;/DisplayText&gt;&lt;record&gt;&lt;rec-number&gt;70&lt;/rec-number&gt;&lt;foreign-keys&gt;&lt;key app="EN" db-id="0d55paxdcvwpebe55d1vrz5ne2pattprarta" timestamp="1597992734"&gt;70&lt;/key&gt;&lt;/foreign-keys&gt;&lt;ref-type name="Journal Article"&gt;17&lt;/ref-type&gt;&lt;contributors&gt;&lt;authors&gt;&lt;author&gt;McGeoch, M. A.&lt;/author&gt;&lt;author&gt;Shaw, J. D.&lt;/author&gt;&lt;author&gt;Terauds, A.&lt;/author&gt;&lt;author&gt;Lee, J. E.&lt;/author&gt;&lt;author&gt;Chown, S. L.&lt;/author&gt;&lt;/authors&gt;&lt;/contributors&gt;&lt;titles&gt;&lt;title&gt;Monitoring biological invasion across the broader Antarctic: A baseline and indicator framework&lt;/title&gt;&lt;secondary-title&gt;Global Environmental Change-Human and Policy Dimensions&lt;/secondary-title&gt;&lt;/titles&gt;&lt;periodical&gt;&lt;full-title&gt;Global Environmental Change-Human and Policy Dimensions&lt;/full-title&gt;&lt;/periodical&gt;&lt;pages&gt;108-125&lt;/pages&gt;&lt;volume&gt;32&lt;/volume&gt;&lt;dates&gt;&lt;year&gt;2015&lt;/year&gt;&lt;pub-dates&gt;&lt;date&gt;May&lt;/date&gt;&lt;/pub-dates&gt;&lt;/dates&gt;&lt;isbn&gt;0959-3780&lt;/isbn&gt;&lt;accession-num&gt;WOS:000355770700011&lt;/accession-num&gt;&lt;urls&gt;&lt;related-urls&gt;&lt;url&gt;&amp;lt;Go to ISI&amp;gt;://WOS:000355770700011&lt;/url&gt;&lt;/related-urls&gt;&lt;/urls&gt;&lt;electronic-resource-num&gt;10.1016/j.gloenvcha.2014.12.012&lt;/electronic-resource-num&gt;&lt;/record&gt;&lt;/Cite&gt;&lt;/EndNote&gt;</w:instrText>
      </w:r>
      <w:r w:rsidR="00123BD7" w:rsidRPr="00A9434B">
        <w:fldChar w:fldCharType="separate"/>
      </w:r>
      <w:r w:rsidR="00BE5580" w:rsidRPr="00A9434B">
        <w:fldChar w:fldCharType="begin"/>
      </w:r>
      <w:r w:rsidR="0006613E">
        <w:instrText xml:space="preserve"> ADDIN ZOTERO_ITEM CSL_CITATION {"citationID":"a8ks3kt9en","properties":{"formattedCitation":"\\uldash{(McGeoch et al., 2015)}","plainCitation":"(McGeoch et al., 2015)","dontUpdate":true,"noteIndex":0},"citationItems":[{"id":28920,"uris":["http://zotero.org/groups/2352922/items/W24H55GQ"],"itemData":{"id":28920,"type":"article-journal","abstract":"Biological invasion is one of the key threats to the conservation of the broader Antarctic region. We provide an evidence-based assessment of the status of biological invasion in the region as a basis for future monitoring and management. We adapted the indicator framework for global biological invasion monitoring by collating information on (i) numbers of alien species and those invasive species impacting biodiversity (ii) trends in the extinction risks of native species impacted by invasive species and (iii) trends in relevant agreements, management intention and species eradications. Drivers of invasion including risk-associated human activities and trends were also evaluated. The number and trends in activities associated with invasion risk are broadly distributed across the region and increasing. Over 560 alien species from a wide range of taxa occupy the region, concentrated largely on the Southern Ocean Islands, with a high proportion of these considered to be invasive and to have negative biodiversity impacts. There has been a decline in the conservation status of species in the region that are impacted by invasives. Although policy responses to deal with the problem have increased since the 1970s, as have the number of successful eradications, management implementation statistics are patchy and progress in this area less apparent. The Antarctic Biological Invasions Indicator (ABII) provides a system for information exchange across the region and a vehicle for targeted monitoring and surveillance. It also enables inclusion of the region in global efforts to track both IAS and interventions for managing the threat. In a region that appears particularly prone to impacts from alien species, substantial further effort is needed to implement and monitor the effectiveness of management responses. (C) 2015 Elsevier Ltd. All rights reserved.","container-title":"Global Environmental Change","DOI":"10.1016/j.gloenvcha.2014.12.012","ISSN":"0959-3780","language":"English","page":"108-125","title":"Monitoring biological invasion across the broader Antarctic: A baseline and indicator framework","URL":"https://doi.org/10.1016/j.gloenvcha.2014.12.012","volume":"32","author":[{"family":"McGeoch","given":"Melodie A."},{"family":"Shaw","given":"Justine D."},{"family":"Terauds","given":"Aleks"},{"family":"Lee","given":"Jennifer E."},{"family":"Chown","given":"Steven L."}],"issued":{"date-parts":[["2015",5]]}},"label":"page"}],"schema":"https://github.com/citation-style-language/schema/raw/master/csl-citation.json"} </w:instrText>
      </w:r>
      <w:r w:rsidR="00BE5580" w:rsidRPr="00A9434B">
        <w:fldChar w:fldCharType="separate"/>
      </w:r>
      <w:r w:rsidR="00450BB7" w:rsidRPr="00A9434B">
        <w:t>McGeoch et al., 2015</w:t>
      </w:r>
      <w:r w:rsidR="00BE5580" w:rsidRPr="00A9434B">
        <w:fldChar w:fldCharType="end"/>
      </w:r>
      <w:r w:rsidR="00123BD7" w:rsidRPr="00A9434B">
        <w:fldChar w:fldCharType="end"/>
      </w:r>
      <w:r w:rsidR="089FDA52" w:rsidRPr="00A9434B">
        <w:t>;</w:t>
      </w:r>
      <w:r w:rsidRPr="00A9434B">
        <w:t xml:space="preserve"> </w:t>
      </w:r>
      <w:r w:rsidR="00B9562C" w:rsidRPr="00673554">
        <w:rPr>
          <w:b/>
          <w:iCs/>
        </w:rPr>
        <w:fldChar w:fldCharType="begin"/>
      </w:r>
      <w:r w:rsidR="00B9562C" w:rsidRPr="00673554">
        <w:rPr>
          <w:b/>
          <w:iCs/>
        </w:rPr>
        <w:instrText xml:space="preserve"> REF _Ref104898388 \h  \* MERGEFORMAT </w:instrText>
      </w:r>
      <w:r w:rsidR="00B9562C" w:rsidRPr="00673554">
        <w:rPr>
          <w:b/>
          <w:iCs/>
        </w:rPr>
      </w:r>
      <w:r w:rsidR="00B9562C" w:rsidRPr="00673554">
        <w:rPr>
          <w:b/>
          <w:iCs/>
        </w:rPr>
        <w:fldChar w:fldCharType="separate"/>
      </w:r>
      <w:r w:rsidR="0011368C" w:rsidRPr="00673554">
        <w:rPr>
          <w:b/>
          <w:iCs/>
        </w:rPr>
        <w:t>Box 6.3</w:t>
      </w:r>
      <w:r w:rsidR="00B9562C" w:rsidRPr="00673554">
        <w:rPr>
          <w:b/>
          <w:iCs/>
        </w:rPr>
        <w:fldChar w:fldCharType="end"/>
      </w:r>
      <w:r w:rsidRPr="00A9434B">
        <w:t xml:space="preserve">). Importantly, the </w:t>
      </w:r>
      <w:r w:rsidR="00C27DCE">
        <w:t>focus of the Kumning-Montreal</w:t>
      </w:r>
      <w:r w:rsidRPr="00A9434B">
        <w:t xml:space="preserve"> </w:t>
      </w:r>
      <w:r w:rsidR="4B71BCAA" w:rsidRPr="00A9434B">
        <w:t xml:space="preserve">Global Biodiversity Framework </w:t>
      </w:r>
      <w:r w:rsidRPr="00A9434B">
        <w:t xml:space="preserve">is on the </w:t>
      </w:r>
      <w:r w:rsidR="006F6E1F" w:rsidRPr="00A9434B">
        <w:t>“</w:t>
      </w:r>
      <w:r w:rsidRPr="00A9434B">
        <w:t>R</w:t>
      </w:r>
      <w:r w:rsidR="089FDA52" w:rsidRPr="00A9434B">
        <w:t>, response</w:t>
      </w:r>
      <w:r w:rsidR="006F6E1F" w:rsidRPr="00A9434B">
        <w:t>”</w:t>
      </w:r>
      <w:r w:rsidRPr="00A9434B">
        <w:t xml:space="preserve"> in </w:t>
      </w:r>
      <w:r w:rsidR="089FDA52" w:rsidRPr="00A9434B">
        <w:t>DPSR</w:t>
      </w:r>
      <w:r w:rsidRPr="00A9434B">
        <w:t xml:space="preserve">, via a </w:t>
      </w:r>
      <w:r w:rsidR="089FDA52" w:rsidRPr="00A9434B">
        <w:t>theory of c</w:t>
      </w:r>
      <w:r w:rsidRPr="00A9434B">
        <w:t xml:space="preserve">hange, so that the slow </w:t>
      </w:r>
      <w:r w:rsidR="2E175185" w:rsidRPr="00A9434B">
        <w:t xml:space="preserve">progress of </w:t>
      </w:r>
      <w:r w:rsidRPr="00A9434B">
        <w:t>implementation can be accelerated.</w:t>
      </w:r>
    </w:p>
    <w:p w14:paraId="10521487" w14:textId="57143E0A" w:rsidR="00C73655" w:rsidRPr="00C73655" w:rsidRDefault="00046C7F" w:rsidP="00C73655">
      <w:pPr>
        <w:pStyle w:val="Caption"/>
        <w:pBdr>
          <w:top w:val="single" w:sz="4" w:space="1" w:color="auto"/>
          <w:left w:val="single" w:sz="4" w:space="1" w:color="auto"/>
          <w:bottom w:val="single" w:sz="4" w:space="1" w:color="auto"/>
          <w:right w:val="single" w:sz="4" w:space="1" w:color="auto"/>
        </w:pBdr>
        <w:shd w:val="clear" w:color="auto" w:fill="E7E6E6" w:themeFill="background2"/>
      </w:pPr>
      <w:bookmarkStart w:id="96" w:name="_Ref104898388"/>
      <w:bookmarkStart w:id="97" w:name="_Toc147418612"/>
      <w:bookmarkStart w:id="98" w:name="_Toc49506832"/>
      <w:r w:rsidRPr="00A9434B">
        <w:t xml:space="preserve">Box </w:t>
      </w:r>
      <w:r w:rsidR="005E3C57" w:rsidRPr="00A9434B">
        <w:t>6.</w:t>
      </w:r>
      <w:r w:rsidR="007C7AC3">
        <w:fldChar w:fldCharType="begin"/>
      </w:r>
      <w:r w:rsidR="007C7AC3">
        <w:instrText xml:space="preserve"> SEQ Box_6. \* ARABIC </w:instrText>
      </w:r>
      <w:r w:rsidR="007C7AC3">
        <w:fldChar w:fldCharType="separate"/>
      </w:r>
      <w:r w:rsidR="0011368C">
        <w:rPr>
          <w:noProof/>
        </w:rPr>
        <w:t>3</w:t>
      </w:r>
      <w:r w:rsidR="007C7AC3">
        <w:rPr>
          <w:noProof/>
        </w:rPr>
        <w:fldChar w:fldCharType="end"/>
      </w:r>
      <w:bookmarkEnd w:id="96"/>
      <w:r w:rsidR="00585D0E" w:rsidRPr="00A9434B">
        <w:t xml:space="preserve">. </w:t>
      </w:r>
      <w:r w:rsidR="0055456C" w:rsidRPr="00A9434B">
        <w:t xml:space="preserve">The Driver-Pressure-State-Response </w:t>
      </w:r>
      <w:r w:rsidR="00096449" w:rsidRPr="00A9434B">
        <w:t>f</w:t>
      </w:r>
      <w:r w:rsidR="0055456C" w:rsidRPr="00A9434B">
        <w:t>ramework for invasive alien species</w:t>
      </w:r>
      <w:bookmarkEnd w:id="97"/>
    </w:p>
    <w:p w14:paraId="77CDA927" w14:textId="102B500A" w:rsidR="00C53EDD" w:rsidRDefault="46608658" w:rsidP="00C73655">
      <w:pPr>
        <w:pBdr>
          <w:top w:val="single" w:sz="4" w:space="1" w:color="auto"/>
          <w:left w:val="single" w:sz="4" w:space="1" w:color="auto"/>
          <w:bottom w:val="single" w:sz="4" w:space="1" w:color="auto"/>
          <w:right w:val="single" w:sz="4" w:space="1" w:color="auto"/>
        </w:pBdr>
        <w:shd w:val="clear" w:color="auto" w:fill="E7E6E6" w:themeFill="background2"/>
      </w:pPr>
      <w:r w:rsidRPr="00A9434B">
        <w:t xml:space="preserve">This </w:t>
      </w:r>
      <w:r w:rsidR="1E5D6E03" w:rsidRPr="00A9434B">
        <w:t>f</w:t>
      </w:r>
      <w:r w:rsidRPr="00A9434B">
        <w:t xml:space="preserve">ramework </w:t>
      </w:r>
      <w:r w:rsidR="382B53A9" w:rsidRPr="00A9434B">
        <w:t>(</w:t>
      </w:r>
      <w:r w:rsidR="00E560BA">
        <w:rPr>
          <w:b/>
          <w:iCs/>
        </w:rPr>
        <w:t>Figure 6.</w:t>
      </w:r>
      <w:r w:rsidR="00E560BA" w:rsidRPr="00E560BA">
        <w:rPr>
          <w:b/>
          <w:iCs/>
        </w:rPr>
        <w:t>6</w:t>
      </w:r>
      <w:r w:rsidR="00E560BA">
        <w:rPr>
          <w:bCs/>
          <w:iCs/>
        </w:rPr>
        <w:t xml:space="preserve">) </w:t>
      </w:r>
      <w:r w:rsidR="00F50AF9" w:rsidRPr="00E560BA">
        <w:rPr>
          <w:bCs/>
        </w:rPr>
        <w:t>is</w:t>
      </w:r>
      <w:r w:rsidR="00F50AF9">
        <w:t xml:space="preserve"> intended to guide investment in monitoring and to enable evidence-based causality to be assigned to the relationships among drivers affecting biological invasions (</w:t>
      </w:r>
      <w:r w:rsidR="00F50AF9">
        <w:rPr>
          <w:b/>
        </w:rPr>
        <w:t>Chapter 3</w:t>
      </w:r>
      <w:r w:rsidR="00F50AF9">
        <w:t>,</w:t>
      </w:r>
      <w:r w:rsidR="00F50AF9">
        <w:rPr>
          <w:b/>
        </w:rPr>
        <w:t xml:space="preserve"> section 3.5</w:t>
      </w:r>
      <w:r w:rsidR="00F50AF9">
        <w:t>), invasive alien species and their impacts (</w:t>
      </w:r>
      <w:r w:rsidR="00F50AF9">
        <w:rPr>
          <w:b/>
        </w:rPr>
        <w:t>Chapter 4</w:t>
      </w:r>
      <w:r w:rsidR="00F50AF9">
        <w:t>)</w:t>
      </w:r>
      <w:r w:rsidR="00896CEC">
        <w:t xml:space="preserve"> and</w:t>
      </w:r>
      <w:r w:rsidR="00F50AF9">
        <w:t xml:space="preserve"> societal responses to dealing with the problem (</w:t>
      </w:r>
      <w:r w:rsidR="00F50AF9">
        <w:rPr>
          <w:b/>
        </w:rPr>
        <w:t>Chapter 5</w:t>
      </w:r>
      <w:r w:rsidR="00F50AF9">
        <w:t xml:space="preserve">). The indicators listed under each part of the framework below are examples from the application of this framework to the Antarctic (for a global example see </w:t>
      </w:r>
      <w:r w:rsidR="00450BB7" w:rsidRPr="00A9434B">
        <w:fldChar w:fldCharType="begin"/>
      </w:r>
      <w:r w:rsidR="002D2756">
        <w:instrText xml:space="preserve"> ADDIN ZOTERO_ITEM CSL_CITATION {"citationID":"a1g50ou6c03","properties":{"formattedCitation":"\\uldash{(McGeoch et al., 2010)}","plainCitation":"(McGeoch et al., 2010)","dontUpdate":true,"noteIndex":0},"citationItems":[{"id":"SnSXgYY3/WWzzJk3K","uris":["http://zotero.org/groups/2352922/items/TA9WEFBP"],"itemData":{"id":28832,"type":"article-journal","abstract":"Aim Invasive alien species (IAS) pose a significant threat to biodiversity. The Convention on Biological Diversity’s 2010 Biodiversity Target, and the associated indicator for IAS, has stimulated globally coordinated efforts to quantify patterns in the extent of biological invasion, its impact on biodiversity and policy responses. Here, we report on the outcome of indicators of alien invasion at a global scale. Location Global. Methods We developed four indicators in a pressure-state-response framework, i.e. number of documented IAS (pressure), trends in the impact of IAS on biodiversity (state) and trends in international agreements and national policy adoption relevant to reducing IAS threats to biodiversity (response). These measures were considered best suited to providing globally representative, standardized and sustainable indicators by 2010. Results We show that the number of documented IAS is a significant underestimate, because its value is negatively affected by country development status and positively by research effort and information availability. The Red List Index demonstrates that IAS pressure is driving declines in species diversity, with the overall impact apparently increasing. The policy response trend has nonetheless been positive for the last several decades, although only half of countries that are signatory to the Convention on Biological Diversity (CBD) have IAS-relevant national legislation. Although IAS pressure has apparently driven the policy response, this has clearly not been sufficient and/or adequately implemented to reduce biodiversity impact. Main conclusions For this indicator of threat to biodiversity, the 2010 Biodiversity Target has thus not been achieved. The results nonetheless provide clear direction for bridging the current divide between information available on IAS and that needed for policy and management for the prevention and control of IAS. It further highlights the need for measures to ensure that policy is effectively implemented, such that it translates into reduced IAS pressure and impact on biodiversity beyond 2010.","container-title":"Diversity and Distributions","DOI":"10.1111/j.1472-4642.2009.00633.x","ISSN":"1472-4642","issue":"1","language":"en","license":"© 2010 Blackwell Publishing Ltd","page":"95-108","source":"Wiley Online Library","title":"Global indicators of biological invasion: species numbers, biodiversity impact and policy responses","title-short":"Global indicators of biological invasion","URL":"https://doi.org/10.1111/j.1472-4642.2009.00633.x","volume":"16","author":[{"family":"McGeoch","given":"Melodie A."},{"family":"Butchart","given":"Stuart H. M."},{"family":"Spear","given":"Dian"},{"family":"Marais","given":"Elrike"},{"family":"Kleynhans","given":"Elizabeth J."},{"family":"Symes","given":"Andy"},{"family":"Chanson","given":"Janice"},{"family":"Hoffmann","given":"Michael"}],"accessed":{"date-parts":[["2019",4,16]]},"issued":{"date-parts":[["2010"]]}}}],"schema":"https://github.com/citation-style-language/schema/raw/master/csl-citation.json"} </w:instrText>
      </w:r>
      <w:r w:rsidR="00450BB7" w:rsidRPr="00A9434B">
        <w:fldChar w:fldCharType="separate"/>
      </w:r>
      <w:r w:rsidR="00450BB7" w:rsidRPr="00A9434B">
        <w:t>McGeoch et al., 2010)</w:t>
      </w:r>
      <w:r w:rsidR="00450BB7" w:rsidRPr="00A9434B">
        <w:fldChar w:fldCharType="end"/>
      </w:r>
      <w:r w:rsidRPr="00A9434B">
        <w:t>.</w:t>
      </w:r>
      <w:bookmarkEnd w:id="98"/>
      <w:r w:rsidR="00F50AF9">
        <w:t xml:space="preserve"> For example, trends in invasive alien species eradication at different scales (response) lead to reduced numbers of alien and invasive alien species (pressure) and reduced extinction risk of species threatened by invasive alien species (state). Trends in the number of tourists in the region (driver - note that the term driver in this context differs from its general use in this assessment) provide the information needed to inform policy (response).</w:t>
      </w:r>
      <w:bookmarkStart w:id="99" w:name="_Ref104894767"/>
      <w:bookmarkStart w:id="100" w:name="_Hlk137724963"/>
      <w:r w:rsidR="00CB5899" w:rsidRPr="00CB5899">
        <w:rPr>
          <w:noProof/>
        </w:rPr>
        <w:t xml:space="preserve"> </w:t>
      </w:r>
      <w:r w:rsidR="00CB5899" w:rsidRPr="00CB5899">
        <w:rPr>
          <w:noProof/>
        </w:rPr>
        <w:drawing>
          <wp:inline distT="0" distB="0" distL="0" distR="0" wp14:anchorId="3EE951A6" wp14:editId="1768D1E7">
            <wp:extent cx="6111240" cy="3975100"/>
            <wp:effectExtent l="0" t="0" r="381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11240" cy="3975100"/>
                    </a:xfrm>
                    <a:prstGeom prst="rect">
                      <a:avLst/>
                    </a:prstGeom>
                  </pic:spPr>
                </pic:pic>
              </a:graphicData>
            </a:graphic>
          </wp:inline>
        </w:drawing>
      </w:r>
    </w:p>
    <w:p w14:paraId="16AFEB9D" w14:textId="2DB6F036" w:rsidR="00DB2048" w:rsidRPr="004E0C12" w:rsidRDefault="004E3F5C" w:rsidP="00C73655">
      <w:pPr>
        <w:pBdr>
          <w:top w:val="single" w:sz="4" w:space="1" w:color="auto"/>
          <w:left w:val="single" w:sz="4" w:space="1" w:color="auto"/>
          <w:bottom w:val="single" w:sz="4" w:space="1" w:color="auto"/>
          <w:right w:val="single" w:sz="4" w:space="1" w:color="auto"/>
        </w:pBdr>
        <w:shd w:val="clear" w:color="auto" w:fill="E7E6E6" w:themeFill="background2"/>
        <w:rPr>
          <w:b/>
          <w:bCs/>
        </w:rPr>
      </w:pPr>
      <w:bookmarkStart w:id="101" w:name="_Toc147418301"/>
      <w:r w:rsidRPr="00C73655">
        <w:rPr>
          <w:b/>
          <w:bCs/>
        </w:rPr>
        <w:t>Figure 6.</w:t>
      </w:r>
      <w:r w:rsidRPr="00C73655">
        <w:rPr>
          <w:b/>
          <w:bCs/>
        </w:rPr>
        <w:fldChar w:fldCharType="begin"/>
      </w:r>
      <w:r w:rsidRPr="00C73655">
        <w:rPr>
          <w:b/>
          <w:bCs/>
        </w:rPr>
        <w:instrText xml:space="preserve"> SEQ Figure_6. \* ARABIC </w:instrText>
      </w:r>
      <w:r w:rsidRPr="00C73655">
        <w:rPr>
          <w:b/>
          <w:bCs/>
        </w:rPr>
        <w:fldChar w:fldCharType="separate"/>
      </w:r>
      <w:r w:rsidR="0011368C" w:rsidRPr="00C73655">
        <w:rPr>
          <w:b/>
          <w:bCs/>
          <w:noProof/>
        </w:rPr>
        <w:t>6</w:t>
      </w:r>
      <w:r w:rsidRPr="00C73655">
        <w:rPr>
          <w:b/>
          <w:bCs/>
        </w:rPr>
        <w:fldChar w:fldCharType="end"/>
      </w:r>
      <w:bookmarkEnd w:id="99"/>
      <w:r w:rsidR="00585D0E" w:rsidRPr="00C73655">
        <w:rPr>
          <w:b/>
          <w:bCs/>
        </w:rPr>
        <w:t>.</w:t>
      </w:r>
      <w:r w:rsidR="00EE79F5" w:rsidRPr="00A9434B">
        <w:t xml:space="preserve"> </w:t>
      </w:r>
      <w:r w:rsidR="00DB2048" w:rsidRPr="00A9434B">
        <w:t>Driver-Pressure-State-Response</w:t>
      </w:r>
      <w:r w:rsidR="00434EED" w:rsidRPr="00A9434B">
        <w:t xml:space="preserve"> (DPSR)</w:t>
      </w:r>
      <w:r w:rsidR="00DB2048" w:rsidRPr="00A9434B">
        <w:t xml:space="preserve"> framework for invasive alien species</w:t>
      </w:r>
      <w:r w:rsidR="00434EED" w:rsidRPr="00A9434B">
        <w:t xml:space="preserve"> in the Antarctic context</w:t>
      </w:r>
      <w:r w:rsidR="007669C7" w:rsidRPr="00A9434B">
        <w:t xml:space="preserve">. </w:t>
      </w:r>
      <w:r w:rsidR="00434EED" w:rsidRPr="00A9434B">
        <w:t>The DPSR applied to the</w:t>
      </w:r>
      <w:r w:rsidR="005862A8" w:rsidRPr="00A9434B">
        <w:t xml:space="preserve"> Antarctic context as </w:t>
      </w:r>
      <w:r w:rsidR="00AB6F15" w:rsidRPr="00A9434B">
        <w:t>an example</w:t>
      </w:r>
      <w:r w:rsidR="0025122D" w:rsidRPr="00A9434B">
        <w:t xml:space="preserve"> (non-bold text)</w:t>
      </w:r>
      <w:r w:rsidR="00FA48CE" w:rsidRPr="00A9434B">
        <w:t>.</w:t>
      </w:r>
      <w:r w:rsidR="007669C7" w:rsidRPr="00A9434B">
        <w:t xml:space="preserve"> </w:t>
      </w:r>
      <w:r w:rsidR="00585D0E" w:rsidRPr="00A9434B">
        <w:rPr>
          <w:iCs/>
        </w:rPr>
        <w:t xml:space="preserve">Adapted </w:t>
      </w:r>
      <w:r w:rsidR="0055456C" w:rsidRPr="00A9434B">
        <w:rPr>
          <w:iCs/>
        </w:rPr>
        <w:t>from</w:t>
      </w:r>
      <w:r w:rsidR="00450BB7" w:rsidRPr="00A9434B">
        <w:t xml:space="preserve"> </w:t>
      </w:r>
      <w:r w:rsidR="00450BB7" w:rsidRPr="00A9434B">
        <w:rPr>
          <w:iCs/>
        </w:rPr>
        <w:t>McGeoch et al.</w:t>
      </w:r>
      <w:r w:rsidR="0055456C" w:rsidRPr="004B7104">
        <w:rPr>
          <w:i/>
        </w:rPr>
        <w:t xml:space="preserve"> </w:t>
      </w:r>
      <w:r w:rsidR="00BE5580" w:rsidRPr="004B7104">
        <w:rPr>
          <w:b/>
          <w:bCs/>
        </w:rPr>
        <w:fldChar w:fldCharType="begin"/>
      </w:r>
      <w:r w:rsidR="00BE5580" w:rsidRPr="004B7104">
        <w:instrText xml:space="preserve"> ADDIN EN.CITE &lt;EndNote&gt;&lt;Cite&gt;&lt;Author&gt;McGeoch&lt;/Author&gt;&lt;Year&gt;2010&lt;/Year&gt;&lt;RecNum&gt;59&lt;/RecNum&gt;&lt;DisplayText&gt;(McGeoch, Butchart et al. 2010)&lt;/DisplayText&gt;&lt;record&gt;&lt;rec-number&gt;82&lt;/rec-number&gt;&lt;foreign-keys&gt;&lt;key app="EN" db-id="0d55paxdcvwpebe55d1vrz5ne2pattprarta" timestamp="1597992734"&gt;82&lt;/key&gt;&lt;/foreign-keys&gt;&lt;ref-type name="Journal Article"&gt;17&lt;/ref-type&gt;&lt;contributors&gt;&lt;authors&gt;&lt;author&gt;McGeoch, M.A.&lt;/author&gt;&lt;author&gt;Butchart, S.H.M. &lt;/author&gt;&lt;author&gt;Spear, D. &lt;/author&gt;&lt;author&gt;Marais, E. &lt;/author&gt;&lt;author&gt;Kleynhans, E. &lt;/author&gt;&lt;author&gt;Symes, A. &lt;/author&gt;&lt;author&gt;Chanson, J. &lt;/author&gt;&lt;author&gt;Hoffmann, M.&lt;/author&gt;&lt;/authors&gt;&lt;/contributors&gt;&lt;titles&gt;&lt;title&gt;Global indicators of biological invasion: species numbers, biodiversity impact and policy responses&lt;/title&gt;&lt;secondary-title&gt;Diversity and Distributions&lt;/secondary-title&gt;&lt;/titles&gt;&lt;periodical&gt;&lt;full-title&gt;Diversity and Distributions&lt;/full-title&gt;&lt;/periodical&gt;&lt;pages&gt;95 - 108&lt;/pages&gt;&lt;volume&gt;16&lt;/volume&gt;&lt;section&gt;95&lt;/section&gt;&lt;dates&gt;&lt;year&gt;2010&lt;/year&gt;&lt;/dates&gt;&lt;urls&gt;&lt;/urls&gt;&lt;/record&gt;&lt;/Cite&gt;&lt;/EndNote&gt;</w:instrText>
      </w:r>
      <w:r w:rsidR="00BE5580" w:rsidRPr="004B7104">
        <w:rPr>
          <w:b/>
          <w:bCs/>
        </w:rPr>
        <w:fldChar w:fldCharType="separate"/>
      </w:r>
      <w:r w:rsidR="00BE5580" w:rsidRPr="004B7104">
        <w:rPr>
          <w:b/>
          <w:bCs/>
        </w:rPr>
        <w:fldChar w:fldCharType="begin"/>
      </w:r>
      <w:r w:rsidR="002D2756">
        <w:instrText xml:space="preserve"> ADDIN ZOTERO_ITEM CSL_CITATION {"citationID":"auqqruh7","properties":{"formattedCitation":"(2010, 2015)","plainCitation":"(2010, 2015)","noteIndex":0},"citationItems":[{"id":"SnSXgYY3/WWzzJk3K","uris":["http://zotero.org/groups/2352922/items/TA9WEFBP"],"itemData":{"id":28832,"type":"article-journal","abstract":"Aim Invasive alien species (IAS) pose a significant threat to biodiversity. The Convention on Biological Diversity’s 2010 Biodiversity Target, and the associated indicator for IAS, has stimulated globally coordinated efforts to quantify patterns in the extent of biological invasion, its impact on biodiversity and policy responses. Here, we report on the outcome of indicators of alien invasion at a global scale. Location Global. Methods We developed four indicators in a pressure-state-response framework, i.e. number of documented IAS (pressure), trends in the impact of IAS on biodiversity (state) and trends in international agreements and national policy adoption relevant to reducing IAS threats to biodiversity (response). These measures were considered best suited to providing globally representative, standardized and sustainable indicators by 2010. Results We show that the number of documented IAS is a significant underestimate, because its value is negatively affected by country development status and positively by research effort and information availability. The Red List Index demonstrates that IAS pressure is driving declines in species diversity, with the overall impact apparently increasing. The policy response trend has nonetheless been positive for the last several decades, although only half of countries that are signatory to the Convention on Biological Diversity (CBD) have IAS-relevant national legislation. Although IAS pressure has apparently driven the policy response, this has clearly not been sufficient and/or adequately implemented to reduce biodiversity impact. Main conclusions For this indicator of threat to biodiversity, the 2010 Biodiversity Target has thus not been achieved. The results nonetheless provide clear direction for bridging the current divide between information available on IAS and that needed for policy and management for the prevention and control of IAS. It further highlights the need for measures to ensure that policy is effectively implemented, such that it translates into reduced IAS pressure and impact on biodiversity beyond 2010.","container-title":"Diversity and Distributions","DOI":"10.1111/j.1472-4642.2009.00633.x","ISSN":"1472-4642","issue":"1","language":"en","license":"© 2010 Blackwell Publishing Ltd","page":"95-108","source":"Wiley Online Library","title":"Global indicators of biological invasion: species numbers, biodiversity impact and policy responses","title-short":"Global indicators of biological invasion","URL":"https://doi.org/10.1111/j.1472-4642.2009.00633.x","volume":"16","author":[{"family":"McGeoch","given":"Melodie A."},{"family":"Butchart","given":"Stuart H. M."},{"family":"Spear","given":"Dian"},{"family":"Marais","given":"Elrike"},{"family":"Kleynhans","given":"Elizabeth J."},{"family":"Symes","given":"Andy"},{"family":"Chanson","given":"Janice"},{"family":"Hoffmann","given":"Michael"}],"accessed":{"date-parts":[["2019",4,16]]},"issued":{"date-parts":[["2010"]]}},"label":"page","suppress-author":true},{"id":28920,"uris":["http://zotero.org/groups/2352922/items/W24H55GQ"],"itemData":{"id":28920,"type":"article-journal","abstract":"Biological invasion is one of the key threats to the conservation of the broader Antarctic region. We provide an evidence-based assessment of the status of biological invasion in the region as a basis for future monitoring and management. We adapted the indicator framework for global biological invasion monitoring by collating information on (i) numbers of alien species and those invasive species impacting biodiversity (ii) trends in the extinction risks of native species impacted by invasive species and (iii) trends in relevant agreements, management intention and species eradications. Drivers of invasion including risk-associated human activities and trends were also evaluated. The number and trends in activities associated with invasion risk are broadly distributed across the region and increasing. Over 560 alien species from a wide range of taxa occupy the region, concentrated largely on the Southern Ocean Islands, with a high proportion of these considered to be invasive and to have negative biodiversity impacts. There has been a decline in the conservation status of species in the region that are impacted by invasives. Although policy responses to deal with the problem have increased since the 1970s, as have the number of successful eradications, management implementation statistics are patchy and progress in this area less apparent. The Antarctic Biological Invasions Indicator (ABII) provides a system for information exchange across the region and a vehicle for targeted monitoring and surveillance. It also enables inclusion of the region in global efforts to track both IAS and interventions for managing the threat. In a region that appears particularly prone to impacts from alien species, substantial further effort is needed to implement and monitor the effectiveness of management responses. (C) 2015 Elsevier Ltd. All rights reserved.","container-title":"Global Environmental Change","DOI":"10.1016/j.gloenvcha.2014.12.012","ISSN":"0959-3780","language":"English","page":"108-125","title":"Monitoring biological invasion across the broader Antarctic: A baseline and indicator framework","URL":"https://doi.org/10.1016/j.gloenvcha.2014.12.012","volume":"32","author":[{"family":"McGeoch","given":"Melodie A."},{"family":"Shaw","given":"Justine D."},{"family":"Terauds","given":"Aleks"},{"family":"Lee","given":"Jennifer E."},{"family":"Chown","given":"Steven L."}],"issued":{"date-parts":[["2015",5]]}},"label":"page","suppress-author":true}],"schema":"https://github.com/citation-style-language/schema/raw/master/csl-citation.json"} </w:instrText>
      </w:r>
      <w:r w:rsidR="00BE5580" w:rsidRPr="004B7104">
        <w:rPr>
          <w:b/>
          <w:bCs/>
        </w:rPr>
        <w:fldChar w:fldCharType="separate"/>
      </w:r>
      <w:r w:rsidR="00F0011F" w:rsidRPr="00F0011F">
        <w:t>(2010, 2015)</w:t>
      </w:r>
      <w:r w:rsidR="00BE5580" w:rsidRPr="004B7104">
        <w:rPr>
          <w:b/>
          <w:bCs/>
        </w:rPr>
        <w:fldChar w:fldCharType="end"/>
      </w:r>
      <w:r w:rsidR="00BE5580" w:rsidRPr="004B7104">
        <w:rPr>
          <w:b/>
          <w:bCs/>
        </w:rPr>
        <w:fldChar w:fldCharType="end"/>
      </w:r>
      <w:r w:rsidR="004E0C12">
        <w:t xml:space="preserve">, </w:t>
      </w:r>
      <w:hyperlink r:id="rId34" w:history="1">
        <w:r w:rsidR="004E0C12" w:rsidRPr="006A0CE1">
          <w:rPr>
            <w:rStyle w:val="Hyperlink"/>
          </w:rPr>
          <w:t>https://doi.org/10.1111/j.1472-4642.2009.00633.x</w:t>
        </w:r>
      </w:hyperlink>
      <w:r w:rsidR="004E0C12">
        <w:t xml:space="preserve">, </w:t>
      </w:r>
      <w:hyperlink r:id="rId35" w:history="1">
        <w:r w:rsidR="004E0C12" w:rsidRPr="006A0CE1">
          <w:rPr>
            <w:rStyle w:val="Hyperlink"/>
          </w:rPr>
          <w:t>https://doi.org/10.1016/j.gloenvcha.2014.12.012</w:t>
        </w:r>
      </w:hyperlink>
      <w:r w:rsidR="004E0C12">
        <w:t>,</w:t>
      </w:r>
      <w:r w:rsidR="007B0A1F">
        <w:t xml:space="preserve"> under license </w:t>
      </w:r>
      <w:r w:rsidR="00D61044">
        <w:t>CC</w:t>
      </w:r>
      <w:r w:rsidR="004E0C12">
        <w:t xml:space="preserve"> </w:t>
      </w:r>
      <w:r w:rsidR="00D61044">
        <w:t xml:space="preserve">BY </w:t>
      </w:r>
      <w:r w:rsidR="004E0C12">
        <w:t xml:space="preserve">4.0 </w:t>
      </w:r>
      <w:r w:rsidR="00D61044">
        <w:t>and Elsevier license 5406200</w:t>
      </w:r>
      <w:r w:rsidR="003339F6">
        <w:t>304811</w:t>
      </w:r>
      <w:r w:rsidR="004E0C12">
        <w:t xml:space="preserve"> respectively</w:t>
      </w:r>
      <w:r w:rsidR="00E61454" w:rsidRPr="00A9434B">
        <w:rPr>
          <w:i/>
        </w:rPr>
        <w:t>.</w:t>
      </w:r>
      <w:bookmarkEnd w:id="101"/>
    </w:p>
    <w:p w14:paraId="0E31CED7" w14:textId="23324AF9" w:rsidR="00017C04" w:rsidRDefault="00F50AF9" w:rsidP="008521D1">
      <w:pPr>
        <w:pStyle w:val="Heading2"/>
      </w:pPr>
      <w:bookmarkStart w:id="102" w:name="_Toc48479718"/>
      <w:bookmarkStart w:id="103" w:name="_Toc48931060"/>
      <w:bookmarkStart w:id="104" w:name="_Toc49506794"/>
      <w:bookmarkStart w:id="105" w:name="_Toc43321258"/>
      <w:bookmarkStart w:id="106" w:name="_Toc75698959"/>
      <w:bookmarkStart w:id="107" w:name="_Toc1206225839"/>
      <w:bookmarkStart w:id="108" w:name="_Toc133428297"/>
      <w:bookmarkStart w:id="109" w:name="_Toc133428783"/>
      <w:bookmarkStart w:id="110" w:name="_Toc147417578"/>
      <w:bookmarkStart w:id="111" w:name="_Hlk46908240"/>
      <w:bookmarkEnd w:id="100"/>
      <w:r>
        <w:lastRenderedPageBreak/>
        <w:t xml:space="preserve">Identifying the challenges of governing </w:t>
      </w:r>
      <w:bookmarkEnd w:id="102"/>
      <w:bookmarkEnd w:id="103"/>
      <w:bookmarkEnd w:id="104"/>
      <w:r>
        <w:t>biological invasions</w:t>
      </w:r>
      <w:bookmarkEnd w:id="105"/>
      <w:bookmarkEnd w:id="106"/>
      <w:bookmarkEnd w:id="107"/>
      <w:bookmarkEnd w:id="108"/>
      <w:bookmarkEnd w:id="109"/>
      <w:bookmarkEnd w:id="110"/>
    </w:p>
    <w:p w14:paraId="1BA352E1" w14:textId="3529659C" w:rsidR="00054BA3" w:rsidRPr="00673554" w:rsidRDefault="326765F3" w:rsidP="006B3143">
      <w:pPr>
        <w:rPr>
          <w:b/>
          <w:iCs/>
        </w:rPr>
      </w:pPr>
      <w:bookmarkStart w:id="112" w:name="_heading=h.3as4poj" w:colFirst="0" w:colLast="0"/>
      <w:bookmarkEnd w:id="112"/>
      <w:r w:rsidRPr="00A9434B">
        <w:t xml:space="preserve">Environmental governance </w:t>
      </w:r>
      <w:r w:rsidR="56E7ABB6" w:rsidRPr="00A9434B">
        <w:t>involves</w:t>
      </w:r>
      <w:r w:rsidRPr="00A9434B">
        <w:t xml:space="preserve"> increasingly complex and interconnected arrangements, and the governance </w:t>
      </w:r>
      <w:r w:rsidR="008C4602" w:rsidRPr="00A9434B">
        <w:t>for biological invasions</w:t>
      </w:r>
      <w:r w:rsidRPr="00A9434B">
        <w:t xml:space="preserve"> is no exception</w:t>
      </w:r>
      <w:r w:rsidR="1185813F" w:rsidRPr="00A9434B">
        <w:t xml:space="preserve"> </w:t>
      </w:r>
      <w:r w:rsidR="00BE5580" w:rsidRPr="00A9434B">
        <w:fldChar w:fldCharType="begin"/>
      </w:r>
      <w:r w:rsidR="0006613E">
        <w:instrText xml:space="preserve"> ADDIN ZOTERO_ITEM CSL_CITATION {"citationID":"aibtir9clo","properties":{"formattedCitation":"(Andonova &amp; Mitchell, 2010; Gilek &amp; Karlsson, 2016)","plainCitation":"(Andonova &amp; Mitchell, 2010; Gilek &amp; Karlsson, 2016)","noteIndex":0},"citationItems":[{"id":11297,"uris":["http://zotero.org/groups/2352922/items/SCEW9H9Y"],"itemData":{"id":11297,"type":"article-journal","abstract":"In the past half-century, the practice and study of global environmental politics and governance have been dramatically rescaled. They have become increasingly complex and interconnected with respect to the level (between local and global) at which they take place, the range of actors engaged in them, and the linkages between them and nominally nonenvironmental issues. Global environmental politics and governance have been rescaled vertically down toward provincial and municipal governments and up toward supranational regimes. They have also been rescaled horizontally across regional and sectoral organizations and networks and across new issues, such as development, security, and trade among others. This rescaling reflects shifts in the magnitude, complexity, and interconnectedness of the global environmental problems humans face as well as epistemological shifts in how humans understand and respond to these problems, and rescaling has implications for both the practice and study of global environmental politics.","container-title":"Annual Review of Environment and Resources","DOI":"10.1146/annurev-environ-100809-125346","issue":"1","note":"_eprint: https://doi.org/10.1146/annurev-environ-100809-125346","page":"255-282","source":"Annual Reviews","title":"The Rescaling of Global Environmental Politics","URL":"https://doi.org/10.1146/annurev-environ-100809-125346","volume":"35","author":[{"family":"Andonova","given":"Liliana B."},{"family":"Mitchell","given":"Ronald B."}],"accessed":{"date-parts":[["2020",8,18]]},"issued":{"date-parts":[["2010"]]}},"label":"page"},{"id":25214,"uris":["http://zotero.org/groups/2352922/items/I6VWZJEU"],"itemData":{"id":25214,"type":"chapter","collection-title":"MARE Publication Series","container-title":"Environmental Governance of the Baltic Sea","event-place":"Cham","ISBN":"978-3-319-27006-7","note":"DOI: 10.1007/978-3-319-27006-7_10","page":"229-246","publisher":"Springer","publisher-place":"Cham","title":"Seeking Pathways Towards Improved Environmental Governance of the Baltic Sea","volume":"10","author":[{"family":"Gilek","given":"Michael"},{"family":"Karlsson","given":"Mikael"}],"editor":[{"family":"Gilek","given":"M"},{"family":"Karlsson","given":"M"},{"family":"Linke","given":"S"},{"family":"Smolarz","given":"K"}],"issued":{"date-parts":[["2016"]]}},"label":"page"}],"schema":"https://github.com/citation-style-language/schema/raw/master/csl-citation.json"} </w:instrText>
      </w:r>
      <w:r w:rsidR="00BE5580" w:rsidRPr="00A9434B">
        <w:fldChar w:fldCharType="separate"/>
      </w:r>
      <w:r w:rsidR="00C71E80" w:rsidRPr="00A9434B">
        <w:t>(Andonova &amp; Mitchell, 2010; Gilek &amp; Karlsson, 2016)</w:t>
      </w:r>
      <w:r w:rsidR="00BE5580" w:rsidRPr="00A9434B">
        <w:fldChar w:fldCharType="end"/>
      </w:r>
      <w:r w:rsidRPr="00A9434B">
        <w:t xml:space="preserve">. </w:t>
      </w:r>
      <w:r w:rsidR="4FD0529D" w:rsidRPr="00A9434B">
        <w:t>D</w:t>
      </w:r>
      <w:r w:rsidRPr="00A9434B">
        <w:t xml:space="preserve">espite notable successes </w:t>
      </w:r>
      <w:r w:rsidR="00F806B6" w:rsidRPr="00A9434B">
        <w:t>(</w:t>
      </w:r>
      <w:r w:rsidR="00F70D52">
        <w:rPr>
          <w:b/>
          <w:iCs/>
        </w:rPr>
        <w:t>C</w:t>
      </w:r>
      <w:r w:rsidR="4FD0529D" w:rsidRPr="00673554">
        <w:rPr>
          <w:b/>
          <w:iCs/>
        </w:rPr>
        <w:t>hapter 5</w:t>
      </w:r>
      <w:r w:rsidR="00F0184C" w:rsidRPr="00F70D52">
        <w:t>,</w:t>
      </w:r>
      <w:r w:rsidR="00F0184C" w:rsidRPr="00673554">
        <w:rPr>
          <w:b/>
        </w:rPr>
        <w:t xml:space="preserve"> </w:t>
      </w:r>
      <w:r w:rsidR="00F0184C" w:rsidRPr="00673554">
        <w:rPr>
          <w:b/>
          <w:iCs/>
        </w:rPr>
        <w:t>section 5.5</w:t>
      </w:r>
      <w:r w:rsidR="4FD0529D" w:rsidRPr="00A9434B">
        <w:t>)</w:t>
      </w:r>
      <w:r w:rsidR="32528EEC" w:rsidRPr="00A9434B">
        <w:t xml:space="preserve">, </w:t>
      </w:r>
      <w:r w:rsidR="4FD0529D" w:rsidRPr="00A9434B">
        <w:t xml:space="preserve">there are </w:t>
      </w:r>
      <w:r w:rsidR="32528EEC" w:rsidRPr="00A9434B">
        <w:t xml:space="preserve">shortcomings in the prevention and control of </w:t>
      </w:r>
      <w:r w:rsidR="00C73655">
        <w:t>invasive alien species</w:t>
      </w:r>
      <w:r w:rsidR="4FD0529D" w:rsidRPr="00A9434B">
        <w:t xml:space="preserve">, leading to a </w:t>
      </w:r>
      <w:r w:rsidR="0AD72B4F" w:rsidRPr="00A9434B">
        <w:t xml:space="preserve">sustained </w:t>
      </w:r>
      <w:r w:rsidR="4FD0529D" w:rsidRPr="00A9434B">
        <w:t>global presence of invasive alien species</w:t>
      </w:r>
      <w:r w:rsidR="32528EEC" w:rsidRPr="00A9434B">
        <w:t xml:space="preserve"> </w:t>
      </w:r>
      <w:r w:rsidR="0AD72B4F" w:rsidRPr="00A9434B">
        <w:t xml:space="preserve">introductions </w:t>
      </w:r>
      <w:r w:rsidR="00F806B6" w:rsidRPr="00A9434B">
        <w:t>(</w:t>
      </w:r>
      <w:r w:rsidR="00F70D52">
        <w:rPr>
          <w:rFonts w:hint="eastAsia"/>
          <w:b/>
          <w:iCs/>
          <w:lang w:eastAsia="ja-JP"/>
        </w:rPr>
        <w:t>C</w:t>
      </w:r>
      <w:r w:rsidR="32528EEC" w:rsidRPr="00673554">
        <w:rPr>
          <w:b/>
          <w:iCs/>
        </w:rPr>
        <w:t>hapt</w:t>
      </w:r>
      <w:r w:rsidR="2A2C3447" w:rsidRPr="00673554">
        <w:rPr>
          <w:b/>
          <w:iCs/>
        </w:rPr>
        <w:t>er 2</w:t>
      </w:r>
      <w:r w:rsidR="6C287E97" w:rsidRPr="00673554">
        <w:rPr>
          <w:iCs/>
        </w:rPr>
        <w:t xml:space="preserve">, </w:t>
      </w:r>
      <w:r w:rsidR="6C287E97" w:rsidRPr="00673554">
        <w:rPr>
          <w:b/>
          <w:iCs/>
        </w:rPr>
        <w:t>section 2.</w:t>
      </w:r>
      <w:r w:rsidR="001901D8" w:rsidRPr="00673554">
        <w:rPr>
          <w:b/>
          <w:iCs/>
        </w:rPr>
        <w:t>2</w:t>
      </w:r>
      <w:r w:rsidR="4FD0529D" w:rsidRPr="00A9434B">
        <w:t>)</w:t>
      </w:r>
      <w:r w:rsidRPr="00A9434B">
        <w:t xml:space="preserve">. Understanding </w:t>
      </w:r>
      <w:r w:rsidR="4FD0529D" w:rsidRPr="00A9434B">
        <w:t xml:space="preserve">the underlying reasons </w:t>
      </w:r>
      <w:r w:rsidR="525B52A9" w:rsidRPr="00A9434B">
        <w:t xml:space="preserve">for </w:t>
      </w:r>
      <w:r w:rsidR="310D4752" w:rsidRPr="00A9434B">
        <w:t xml:space="preserve">governance and </w:t>
      </w:r>
      <w:r w:rsidR="4FD0529D" w:rsidRPr="00A9434B">
        <w:t>management failures</w:t>
      </w:r>
      <w:r w:rsidR="65086D2F" w:rsidRPr="00A9434B">
        <w:t>,</w:t>
      </w:r>
      <w:r w:rsidR="4FD0529D" w:rsidRPr="00A9434B">
        <w:t xml:space="preserve"> </w:t>
      </w:r>
      <w:r w:rsidRPr="00A9434B">
        <w:t xml:space="preserve">across multiple environments, </w:t>
      </w:r>
      <w:r w:rsidR="310D4752" w:rsidRPr="00A9434B">
        <w:t>regions</w:t>
      </w:r>
      <w:r w:rsidR="00896CEC">
        <w:t xml:space="preserve"> and</w:t>
      </w:r>
      <w:r w:rsidR="7AC1BFBA" w:rsidRPr="00A9434B">
        <w:t xml:space="preserve"> </w:t>
      </w:r>
      <w:r w:rsidRPr="00A9434B">
        <w:t xml:space="preserve">taxonomic groups of invasive alien species </w:t>
      </w:r>
      <w:r w:rsidR="310D4752" w:rsidRPr="00A9434B">
        <w:t>helps</w:t>
      </w:r>
      <w:r w:rsidRPr="00A9434B">
        <w:t xml:space="preserve"> </w:t>
      </w:r>
      <w:r w:rsidR="02C3C11E" w:rsidRPr="00A9434B">
        <w:t xml:space="preserve">to </w:t>
      </w:r>
      <w:r w:rsidRPr="00A9434B">
        <w:t xml:space="preserve">design better response options. Ten features emerged from </w:t>
      </w:r>
      <w:r w:rsidR="0AD72B4F" w:rsidRPr="00A9434B">
        <w:t>a</w:t>
      </w:r>
      <w:r w:rsidRPr="00A9434B">
        <w:t xml:space="preserve"> review o</w:t>
      </w:r>
      <w:r w:rsidR="7AC1BFBA" w:rsidRPr="00A9434B">
        <w:t>f</w:t>
      </w:r>
      <w:r w:rsidRPr="00A9434B">
        <w:t xml:space="preserve"> </w:t>
      </w:r>
      <w:r w:rsidR="0AD72B4F" w:rsidRPr="00A9434B">
        <w:t xml:space="preserve">the </w:t>
      </w:r>
      <w:r w:rsidR="5C8F907F" w:rsidRPr="00A9434B">
        <w:t>governance</w:t>
      </w:r>
      <w:bookmarkStart w:id="113" w:name="_Ref104891173"/>
      <w:r w:rsidR="0AD72B4F" w:rsidRPr="00A9434B">
        <w:t xml:space="preserve"> challenges</w:t>
      </w:r>
      <w:bookmarkEnd w:id="113"/>
      <w:r w:rsidRPr="00A9434B">
        <w:t xml:space="preserve"> posed by invasive alien species.</w:t>
      </w:r>
      <w:r w:rsidR="00E0130F" w:rsidRPr="00FD65B1">
        <w:rPr>
          <w:rStyle w:val="FootnoteReference"/>
        </w:rPr>
        <w:footnoteReference w:id="5"/>
      </w:r>
      <w:r w:rsidRPr="00A9434B">
        <w:t xml:space="preserve"> These challenges are often interdependent (one may drive another for example) and jointly undermine effective prevention and control efforts </w:t>
      </w:r>
      <w:r w:rsidR="00C14761" w:rsidRPr="00A9434B">
        <w:fldChar w:fldCharType="begin">
          <w:fldData xml:space="preserve">PEVuZE5vdGU+PENpdGU+PEF1dGhvcj5MaW5rZTwvQXV0aG9yPjxZZWFyPjIwMTY8L1llYXI+PFJl
Y051bT40OTA5ODwvUmVjTnVtPjxEaXNwbGF5VGV4dD4oTGlua2UsIEdpbGVrIGV0IGFsLiAyMDE2
LCBSZWVkLCBWYW4gVmlhbmVuIGV0IGFsLiAyMDE2LCBKYWNvYnMgMjAxNyk8L0Rpc3BsYXlUZXh0
PjxyZWNvcmQ+PHJlYy1udW1iZXI+NDkwOTg8L3JlYy1udW1iZXI+PGZvcmVpZ24ta2V5cz48a2V5
IGFwcD0iRU4iIGRiLWlkPSJhd3g5cmFkZHIweHgyaGV2MDVyeHIwejA1d2VlcHdwdDBmZXgiIHRp
bWVzdGFtcD0iMTU4MTQ5NzMyMCI+NDkwOTg8L2tleT48L2ZvcmVpZ24ta2V5cz48cmVmLXR5cGUg
bmFtZT0iQm9vayBTZWN0aW9uIj41PC9yZWYtdHlwZT48Y29udHJpYnV0b3JzPjxhdXRob3JzPjxh
dXRob3I+TGlua2UsIFNlYmFzdGlhbjwvYXV0aG9yPjxhdXRob3I+R2lsZWssIE1pY2hhZWw8L2F1
dGhvcj48YXV0aG9yPkthcmxzc29uLCBNaWthZWw8L2F1dGhvcj48L2F1dGhvcnM+PHNlY29uZGFy
eS1hdXRob3JzPjxhdXRob3I+R2lsZWssIE0uPC9hdXRob3I+PGF1dGhvcj5LYXJsc3NvbiwgTS48
L2F1dGhvcj48YXV0aG9yPkxpbmtlLCBTLjwvYXV0aG9yPjxhdXRob3I+U21vbGFyeiwgSy48L2F1
dGhvcj48L3NlY29uZGFyeS1hdXRob3JzPjwvY29udHJpYnV0b3JzPjx0aXRsZXM+PHRpdGxlPlNj
aWVuY2UtUG9saWN5IEludGVyZmFjZXMgaW4gQmFsdGljIFNlYSBFbnZpcm9ubWVudGFsIEdvdmVy
bmFuY2U6IFRvd2FyZHMgUmVnaW9uYWwgQ29vcGVyYXRpb24gYW5kIE1hbmFnZW1lbnQgb2YgVW5j
ZXJ0YWludHk/PC90aXRsZT48c2Vjb25kYXJ5LXRpdGxlPkVudmlyb25tZW50YWwgR292ZXJuYW5j
ZSBvZiB0aGUgQmFsdGljIFNlYTwvc2Vjb25kYXJ5LXRpdGxlPjx0ZXJ0aWFyeS10aXRsZT5NQVJF
IFB1YmxpY2F0aW9uIFNlcmllczwvdGVydGlhcnktdGl0bGU+PC90aXRsZXM+PHBlcmlvZGljYWw+
PGZ1bGwtdGl0bGU+RW52aXJvbm1lbnRhbCBnb3Zlcm5hbmNlIG9mIHRoZSBCYWx0aWMgU2VhPC9m
dWxsLXRpdGxlPjwvcGVyaW9kaWNhbD48cGFnZXM+MTczLTIwMzwvcGFnZXM+PHZvbHVtZT4xMDwv
dm9sdW1lPjxkYXRlcz48eWVhcj4yMDE2PC95ZWFyPjwvZGF0ZXM+PGlzYm4+OTc4LTMtMzE5LTI3
MDA2LTc7IDk3OC0zLTMxOS0yNzAwNS0wPC9pc2JuPjxhY2Nlc3Npb24tbnVtPldPUzowMDAzODY2
OTUzMDAwMDk8L2FjY2Vzc2lvbi1udW0+PHVybHM+PHJlbGF0ZWQtdXJscz48dXJsPiZsdDtHbyB0
byBJU0kmZ3Q7Oi8vV09TOjAwMDM4NjY5NTMwMDAwOTwvdXJsPjwvcmVsYXRlZC11cmxzPjwvdXJs
cz48ZWxlY3Ryb25pYy1yZXNvdXJjZS1udW0+MTAuMTAwNy85NzgtMy0zMTktMjcwMDYtN184PC9l
bGVjdHJvbmljLXJlc291cmNlLW51bT48L3JlY29yZD48L0NpdGU+PENpdGU+PEF1dGhvcj5KYWNv
YnM8L0F1dGhvcj48WWVhcj4yMDE3PC9ZZWFyPjxSZWNOdW0+NDkwNjc8L1JlY051bT48cmVjb3Jk
PjxyZWMtbnVtYmVyPjQ5MDY3PC9yZWMtbnVtYmVyPjxmb3JlaWduLWtleXM+PGtleSBhcHA9IkVO
IiBkYi1pZD0iYXd4OXJhZGRyMHh4MmhldjA1cnhyMHowNXdlZXB3cHQwZmV4IiB0aW1lc3RhbXA9
IjE1ODE0OTczMjAiPjQ5MDY3PC9rZXk+PC9mb3JlaWduLWtleXM+PHJlZi10eXBlIG5hbWU9Ikpv
dXJuYWwgQXJ0aWNsZSI+MTc8L3JlZi10eXBlPjxjb250cmlidXRvcnM+PGF1dGhvcnM+PGF1dGhv
cj5KYWNvYnMsIEthc2V5IFIuPC9hdXRob3I+PC9hdXRob3JzPjwvY29udHJpYnV0b3JzPjx0aXRs
ZXM+PHRpdGxlPlRlYW1zIGF0IFRoZWlyIENvcmU6IEltcGxlbWVudGluZyBhbiAmcXVvdDtBbGwg
TEFORFMgQXBwcm9hY2ggdG8gQ29uc2VydmF0aW9uJnF1b3Q7IFJlcXVpcmVzIEZvY3VzaW5nIG9u
IFJlbGF0aW9uc2hpcHMsIFRlYW13b3JrIFByb2Nlc3MsIGFuZCBDb21tdW5pY2F0aW9uczwvdGl0
bGU+PHNlY29uZGFyeS10aXRsZT5Gb3Jlc3RzPC9zZWNvbmRhcnktdGl0bGU+PC90aXRsZXM+PHBl
cmlvZGljYWw+PGZ1bGwtdGl0bGU+Rm9yZXN0czwvZnVsbC10aXRsZT48L3BlcmlvZGljYWw+PHZv
bHVtZT44PC92b2x1bWU+PG51bWJlcj43PC9udW1iZXI+PGRhdGVzPjx5ZWFyPjIwMTc8L3llYXI+
PHB1Yi1kYXRlcz48ZGF0ZT5KdWw8L2RhdGU+PC9wdWItZGF0ZXM+PC9kYXRlcz48aXNibj4xOTk5
LTQ5MDc8L2lzYm4+PGFjY2Vzc2lvbi1udW0+V09TOjAwMDQwNjY5NDQwMDAyNjwvYWNjZXNzaW9u
LW51bT48dXJscz48cmVsYXRlZC11cmxzPjx1cmw+Jmx0O0dvIHRvIElTSSZndDs6Ly9XT1M6MDAw
NDA2Njk0NDAwMDI2PC91cmw+PC9yZWxhdGVkLXVybHM+PC91cmxzPjxjdXN0b203PjI0NjwvY3Vz
dG9tNz48ZWxlY3Ryb25pYy1yZXNvdXJjZS1udW0+MTAuMzM5MC9mODA3MDI0NjwvZWxlY3Ryb25p
Yy1yZXNvdXJjZS1udW0+PC9yZWNvcmQ+PC9DaXRlPjxDaXRlPjxBdXRob3I+UmVlZDwvQXV0aG9y
PjxZZWFyPjIwMTY8L1llYXI+PFJlY051bT41MDQ4MjwvUmVjTnVtPjxyZWNvcmQ+PHJlYy1udW1i
ZXI+NTA0ODI8L3JlYy1udW1iZXI+PGZvcmVpZ24ta2V5cz48a2V5IGFwcD0iRU4iIGRiLWlkPSJh
d3g5cmFkZHIweHgyaGV2MDVyeHIwejA1d2VlcHdwdDBmZXgiIHRpbWVzdGFtcD0iMTU5NjI1MDY1
NyI+NTA0ODI8L2tleT48L2ZvcmVpZ24ta2V5cz48cmVmLXR5cGUgbmFtZT0iSm91cm5hbCBBcnRp
Y2xlIj4xNzwvcmVmLXR5cGU+PGNvbnRyaWJ1dG9ycz48YXV0aG9ycz48YXV0aG9yPlJlZWQsIEph
bWVzPC9hdXRob3I+PGF1dGhvcj5WYW4gVmlhbmVuLCBKb3NoPC9hdXRob3I+PGF1dGhvcj5EZWFr
aW4sIEVsaXphYmV0aCBMPC9hdXRob3I+PGF1dGhvcj5CYXJsb3csIEpvczwvYXV0aG9yPjxhdXRo
b3I+U3VuZGVybGFuZCwgVGVycnk8L2F1dGhvcj48L2F1dGhvcnM+PC9jb250cmlidXRvcnM+PHRp
dGxlcz48dGl0bGU+SW50ZWdyYXRlZCBsYW5kc2NhcGUgYXBwcm9hY2hlcyB0byBtYW5hZ2luZyBz
b2NpYWwgYW5kIGVudmlyb25tZW50YWwgaXNzdWVzIGluIHRoZSB0cm9waWNzOiBsZWFybmluZyBm
cm9tIHRoZSBwYXN0IHRvIGd1aWRlIHRoZSBmdXR1cmU8L3RpdGxlPjxzZWNvbmRhcnktdGl0bGU+
R2xvYmFsIGNoYW5nZSBiaW9sb2d5PC9zZWNvbmRhcnktdGl0bGU+PC90aXRsZXM+PHBlcmlvZGlj
YWw+PGZ1bGwtdGl0bGU+R2xvYmFsIENoYW5nZSBCaW9sb2d5PC9mdWxsLXRpdGxlPjxhYmJyLTE+
R2xvYmFsIENoYW5nZSBCaW9sLjwvYWJici0xPjxhYmJyLTI+R2xvYmFsIENoYW5nZSBCaW9sPC9h
YmJyLTI+PC9wZXJpb2RpY2FsPjxwYWdlcz4yNTQwLTI1NTQ8L3BhZ2VzPjx2b2x1bWU+MjI8L3Zv
bHVtZT48bnVtYmVyPjc8L251bWJlcj48ZGF0ZXM+PHllYXI+MjAxNjwveWVhcj48L2RhdGVzPjxp
c2JuPjEzNTQtMTAxMzwvaXNibj48dXJscz48L3VybHM+PC9yZWNvcmQ+PC9DaXRlPjwvRW5kTm90
ZT5=
</w:fldData>
        </w:fldChar>
      </w:r>
      <w:r w:rsidR="00C14761" w:rsidRPr="00A9434B">
        <w:instrText xml:space="preserve"> ADDIN EN.CITE </w:instrText>
      </w:r>
      <w:r w:rsidR="00C14761" w:rsidRPr="00A9434B">
        <w:fldChar w:fldCharType="begin">
          <w:fldData xml:space="preserve">PEVuZE5vdGU+PENpdGU+PEF1dGhvcj5MaW5rZTwvQXV0aG9yPjxZZWFyPjIwMTY8L1llYXI+PFJl
Y051bT40OTA5ODwvUmVjTnVtPjxEaXNwbGF5VGV4dD4oTGlua2UsIEdpbGVrIGV0IGFsLiAyMDE2
LCBSZWVkLCBWYW4gVmlhbmVuIGV0IGFsLiAyMDE2LCBKYWNvYnMgMjAxNyk8L0Rpc3BsYXlUZXh0
PjxyZWNvcmQ+PHJlYy1udW1iZXI+NDkwOTg8L3JlYy1udW1iZXI+PGZvcmVpZ24ta2V5cz48a2V5
IGFwcD0iRU4iIGRiLWlkPSJhd3g5cmFkZHIweHgyaGV2MDVyeHIwejA1d2VlcHdwdDBmZXgiIHRp
bWVzdGFtcD0iMTU4MTQ5NzMyMCI+NDkwOTg8L2tleT48L2ZvcmVpZ24ta2V5cz48cmVmLXR5cGUg
bmFtZT0iQm9vayBTZWN0aW9uIj41PC9yZWYtdHlwZT48Y29udHJpYnV0b3JzPjxhdXRob3JzPjxh
dXRob3I+TGlua2UsIFNlYmFzdGlhbjwvYXV0aG9yPjxhdXRob3I+R2lsZWssIE1pY2hhZWw8L2F1
dGhvcj48YXV0aG9yPkthcmxzc29uLCBNaWthZWw8L2F1dGhvcj48L2F1dGhvcnM+PHNlY29uZGFy
eS1hdXRob3JzPjxhdXRob3I+R2lsZWssIE0uPC9hdXRob3I+PGF1dGhvcj5LYXJsc3NvbiwgTS48
L2F1dGhvcj48YXV0aG9yPkxpbmtlLCBTLjwvYXV0aG9yPjxhdXRob3I+U21vbGFyeiwgSy48L2F1
dGhvcj48L3NlY29uZGFyeS1hdXRob3JzPjwvY29udHJpYnV0b3JzPjx0aXRsZXM+PHRpdGxlPlNj
aWVuY2UtUG9saWN5IEludGVyZmFjZXMgaW4gQmFsdGljIFNlYSBFbnZpcm9ubWVudGFsIEdvdmVy
bmFuY2U6IFRvd2FyZHMgUmVnaW9uYWwgQ29vcGVyYXRpb24gYW5kIE1hbmFnZW1lbnQgb2YgVW5j
ZXJ0YWludHk/PC90aXRsZT48c2Vjb25kYXJ5LXRpdGxlPkVudmlyb25tZW50YWwgR292ZXJuYW5j
ZSBvZiB0aGUgQmFsdGljIFNlYTwvc2Vjb25kYXJ5LXRpdGxlPjx0ZXJ0aWFyeS10aXRsZT5NQVJF
IFB1YmxpY2F0aW9uIFNlcmllczwvdGVydGlhcnktdGl0bGU+PC90aXRsZXM+PHBlcmlvZGljYWw+
PGZ1bGwtdGl0bGU+RW52aXJvbm1lbnRhbCBnb3Zlcm5hbmNlIG9mIHRoZSBCYWx0aWMgU2VhPC9m
dWxsLXRpdGxlPjwvcGVyaW9kaWNhbD48cGFnZXM+MTczLTIwMzwvcGFnZXM+PHZvbHVtZT4xMDwv
dm9sdW1lPjxkYXRlcz48eWVhcj4yMDE2PC95ZWFyPjwvZGF0ZXM+PGlzYm4+OTc4LTMtMzE5LTI3
MDA2LTc7IDk3OC0zLTMxOS0yNzAwNS0wPC9pc2JuPjxhY2Nlc3Npb24tbnVtPldPUzowMDAzODY2
OTUzMDAwMDk8L2FjY2Vzc2lvbi1udW0+PHVybHM+PHJlbGF0ZWQtdXJscz48dXJsPiZsdDtHbyB0
byBJU0kmZ3Q7Oi8vV09TOjAwMDM4NjY5NTMwMDAwOTwvdXJsPjwvcmVsYXRlZC11cmxzPjwvdXJs
cz48ZWxlY3Ryb25pYy1yZXNvdXJjZS1udW0+MTAuMTAwNy85NzgtMy0zMTktMjcwMDYtN184PC9l
bGVjdHJvbmljLXJlc291cmNlLW51bT48L3JlY29yZD48L0NpdGU+PENpdGU+PEF1dGhvcj5KYWNv
YnM8L0F1dGhvcj48WWVhcj4yMDE3PC9ZZWFyPjxSZWNOdW0+NDkwNjc8L1JlY051bT48cmVjb3Jk
PjxyZWMtbnVtYmVyPjQ5MDY3PC9yZWMtbnVtYmVyPjxmb3JlaWduLWtleXM+PGtleSBhcHA9IkVO
IiBkYi1pZD0iYXd4OXJhZGRyMHh4MmhldjA1cnhyMHowNXdlZXB3cHQwZmV4IiB0aW1lc3RhbXA9
IjE1ODE0OTczMjAiPjQ5MDY3PC9rZXk+PC9mb3JlaWduLWtleXM+PHJlZi10eXBlIG5hbWU9Ikpv
dXJuYWwgQXJ0aWNsZSI+MTc8L3JlZi10eXBlPjxjb250cmlidXRvcnM+PGF1dGhvcnM+PGF1dGhv
cj5KYWNvYnMsIEthc2V5IFIuPC9hdXRob3I+PC9hdXRob3JzPjwvY29udHJpYnV0b3JzPjx0aXRs
ZXM+PHRpdGxlPlRlYW1zIGF0IFRoZWlyIENvcmU6IEltcGxlbWVudGluZyBhbiAmcXVvdDtBbGwg
TEFORFMgQXBwcm9hY2ggdG8gQ29uc2VydmF0aW9uJnF1b3Q7IFJlcXVpcmVzIEZvY3VzaW5nIG9u
IFJlbGF0aW9uc2hpcHMsIFRlYW13b3JrIFByb2Nlc3MsIGFuZCBDb21tdW5pY2F0aW9uczwvdGl0
bGU+PHNlY29uZGFyeS10aXRsZT5Gb3Jlc3RzPC9zZWNvbmRhcnktdGl0bGU+PC90aXRsZXM+PHBl
cmlvZGljYWw+PGZ1bGwtdGl0bGU+Rm9yZXN0czwvZnVsbC10aXRsZT48L3BlcmlvZGljYWw+PHZv
bHVtZT44PC92b2x1bWU+PG51bWJlcj43PC9udW1iZXI+PGRhdGVzPjx5ZWFyPjIwMTc8L3llYXI+
PHB1Yi1kYXRlcz48ZGF0ZT5KdWw8L2RhdGU+PC9wdWItZGF0ZXM+PC9kYXRlcz48aXNibj4xOTk5
LTQ5MDc8L2lzYm4+PGFjY2Vzc2lvbi1udW0+V09TOjAwMDQwNjY5NDQwMDAyNjwvYWNjZXNzaW9u
LW51bT48dXJscz48cmVsYXRlZC11cmxzPjx1cmw+Jmx0O0dvIHRvIElTSSZndDs6Ly9XT1M6MDAw
NDA2Njk0NDAwMDI2PC91cmw+PC9yZWxhdGVkLXVybHM+PC91cmxzPjxjdXN0b203PjI0NjwvY3Vz
dG9tNz48ZWxlY3Ryb25pYy1yZXNvdXJjZS1udW0+MTAuMzM5MC9mODA3MDI0NjwvZWxlY3Ryb25p
Yy1yZXNvdXJjZS1udW0+PC9yZWNvcmQ+PC9DaXRlPjxDaXRlPjxBdXRob3I+UmVlZDwvQXV0aG9y
PjxZZWFyPjIwMTY8L1llYXI+PFJlY051bT41MDQ4MjwvUmVjTnVtPjxyZWNvcmQ+PHJlYy1udW1i
ZXI+NTA0ODI8L3JlYy1udW1iZXI+PGZvcmVpZ24ta2V5cz48a2V5IGFwcD0iRU4iIGRiLWlkPSJh
d3g5cmFkZHIweHgyaGV2MDVyeHIwejA1d2VlcHdwdDBmZXgiIHRpbWVzdGFtcD0iMTU5NjI1MDY1
NyI+NTA0ODI8L2tleT48L2ZvcmVpZ24ta2V5cz48cmVmLXR5cGUgbmFtZT0iSm91cm5hbCBBcnRp
Y2xlIj4xNzwvcmVmLXR5cGU+PGNvbnRyaWJ1dG9ycz48YXV0aG9ycz48YXV0aG9yPlJlZWQsIEph
bWVzPC9hdXRob3I+PGF1dGhvcj5WYW4gVmlhbmVuLCBKb3NoPC9hdXRob3I+PGF1dGhvcj5EZWFr
aW4sIEVsaXphYmV0aCBMPC9hdXRob3I+PGF1dGhvcj5CYXJsb3csIEpvczwvYXV0aG9yPjxhdXRo
b3I+U3VuZGVybGFuZCwgVGVycnk8L2F1dGhvcj48L2F1dGhvcnM+PC9jb250cmlidXRvcnM+PHRp
dGxlcz48dGl0bGU+SW50ZWdyYXRlZCBsYW5kc2NhcGUgYXBwcm9hY2hlcyB0byBtYW5hZ2luZyBz
b2NpYWwgYW5kIGVudmlyb25tZW50YWwgaXNzdWVzIGluIHRoZSB0cm9waWNzOiBsZWFybmluZyBm
cm9tIHRoZSBwYXN0IHRvIGd1aWRlIHRoZSBmdXR1cmU8L3RpdGxlPjxzZWNvbmRhcnktdGl0bGU+
R2xvYmFsIGNoYW5nZSBiaW9sb2d5PC9zZWNvbmRhcnktdGl0bGU+PC90aXRsZXM+PHBlcmlvZGlj
YWw+PGZ1bGwtdGl0bGU+R2xvYmFsIENoYW5nZSBCaW9sb2d5PC9mdWxsLXRpdGxlPjxhYmJyLTE+
R2xvYmFsIENoYW5nZSBCaW9sLjwvYWJici0xPjxhYmJyLTI+R2xvYmFsIENoYW5nZSBCaW9sPC9h
YmJyLTI+PC9wZXJpb2RpY2FsPjxwYWdlcz4yNTQwLTI1NTQ8L3BhZ2VzPjx2b2x1bWU+MjI8L3Zv
bHVtZT48bnVtYmVyPjc8L251bWJlcj48ZGF0ZXM+PHllYXI+MjAxNjwveWVhcj48L2RhdGVzPjxp
c2JuPjEzNTQtMTAxMzwvaXNibj48dXJscz48L3VybHM+PC9yZWNvcmQ+PC9DaXRlPjwvRW5kTm90
ZT5=
</w:fldData>
        </w:fldChar>
      </w:r>
      <w:r w:rsidR="00C14761" w:rsidRPr="00A9434B">
        <w:instrText xml:space="preserve"> ADDIN EN.CITE.DATA </w:instrText>
      </w:r>
      <w:r w:rsidR="00C14761" w:rsidRPr="00A9434B">
        <w:fldChar w:fldCharType="end"/>
      </w:r>
      <w:r w:rsidR="00C14761" w:rsidRPr="00A9434B">
        <w:fldChar w:fldCharType="separate"/>
      </w:r>
      <w:r w:rsidR="006B1C7C" w:rsidRPr="00A9434B">
        <w:fldChar w:fldCharType="begin"/>
      </w:r>
      <w:r w:rsidR="0006613E">
        <w:instrText xml:space="preserve"> ADDIN ZOTERO_ITEM CSL_CITATION {"citationID":"a2li9qidg1i","properties":{"formattedCitation":"(Jacobs, 2017; Linke et al., 2016; J. Reed et al., 2016)","plainCitation":"(Jacobs, 2017; Linke et al., 2016; J. Reed et al., 2016)","noteIndex":0},"citationItems":[{"id":24046,"uris":["http://zotero.org/groups/2352922/items/KCMLAMR5"],"itemData":{"id":24046,"type":"article-journal","container-title":"Forests","DOI":"10.3390/f8070246","ISSN":"1999-4907","issue":"7","page":"246","title":"Teams at Their Core: Implementing an \"All LANDS Approach to Conservation\" Requires Focusing on Relationships, Teamwork Process, and Communications","volume":"8","author":[{"family":"Jacobs","given":"Kasey R."}],"issued":{"date-parts":[["2017",7]]}},"label":"page"},{"id":24019,"uris":["http://zotero.org/groups/2352922/items/XM93LHZS"],"itemData":{"id":24019,"type":"chapter","collection-title":"MARE Publication Series","container-title":"Environmental Governance of the Baltic Sea","event-place":"Cham","ISBN":"978-3-319-27006-7","note":"DOI: 10.1007/978-3-319-27006-7_8","page":"173-203","publisher":"Springer","publisher-place":"Cham","title":"Science-Policy Interfaces in Baltic Sea Environmental Governance: Towards Regional Cooperation and Management of Uncertainty?","URL":"https://link.springer.com/chapter/10.1007/978-3-319-27006-7_8","volume":"10","author":[{"family":"Linke","given":"Sebastian"},{"family":"Gilek","given":"Michael"},{"family":"Karlsson","given":"Mikael"}],"editor":[{"family":"Gilek","given":"M."},{"family":"Karlsson","given":"M."},{"family":"Linke","given":"S."},{"family":"Smolarz","given":"K."}],"issued":{"date-parts":[["2016"]]}},"label":"page"},{"id":23517,"uris":["http://zotero.org/groups/2352922/items/5K4K2FPH"],"itemData":{"id":23517,"type":"article-journal","abstract":"Poverty, food insecurity, climate change and biodiversity loss continue to persist as the primary environmental and social challenges faced by the global community. As such, there is a growing acknowledgement that conventional sectorial approaches to addressing often inter-connected social, environmental, economic and political challenges are proving insufficient. An alternative is to focus on integrated solutions at landscape scales or ‘landscape approaches’. The appeal of landscape approaches has resulted in the production of a significant body of literature in recent decades, yet confusion over terminology, application and utility persists. Focusing on the tropics, we systematically reviewed the literature to: (i) disentangle the historical development and theory behind the framework of the landscape approach and how it has progressed into its current iteration, (ii) establish lessons learned from previous land management strategies, (iii) determine the barriers that currently restrict implementation of the landscape approach and (iv) provide recommendations for how the landscape approach can contribute towards the fulfilment of the goals of international policy processes. This review suggests that, despite some barriers to implementation, a landscape approach has considerable potential to meet social and environmental objectives at local scales while aiding national commitments to addressing ongoing global challenges.","container-title":"Global Change Biology","DOI":"10.1111/gcb.13284","ISSN":"1365-2486","issue":"7","language":"en","license":"© 2016 The Authors. Global Change Biology  Published by John Wiley &amp; Sons Ltd.","note":"_eprint: https://onlinelibrary.wiley.com/doi/pdf/10.1111/gcb.13284","page":"2540-2554","source":"Wiley Online Library","title":"Integrated landscape approaches to managing social and environmental issues in the tropics: learning from the past to guide the future","title-short":"Integrated landscape approaches to managing social and environmental issues in the tropics","URL":"https://onlinelibrary.wiley.com/doi/abs/10.1111/gcb.13284","volume":"22","author":[{"family":"Reed","given":"James"},{"family":"Van Vianen","given":"Josh"},{"family":"Deakin","given":"Elizabeth L."},{"family":"Barlow","given":"Jos"},{"family":"Sunderland","given":"Terry"}],"accessed":{"date-parts":[["2020",5,21]]},"issued":{"date-parts":[["2016"]]}},"label":"page"}],"schema":"https://github.com/citation-style-language/schema/raw/master/csl-citation.json"} </w:instrText>
      </w:r>
      <w:r w:rsidR="006B1C7C" w:rsidRPr="00A9434B">
        <w:fldChar w:fldCharType="separate"/>
      </w:r>
      <w:r w:rsidR="00C71E80" w:rsidRPr="00A9434B">
        <w:t>(Jacobs, 2017; Linke et al., 2016; J. Reed et al., 2016)</w:t>
      </w:r>
      <w:r w:rsidR="006B1C7C" w:rsidRPr="00A9434B">
        <w:fldChar w:fldCharType="end"/>
      </w:r>
      <w:r w:rsidR="00C14761" w:rsidRPr="00A9434B">
        <w:fldChar w:fldCharType="end"/>
      </w:r>
      <w:r w:rsidRPr="00A9434B">
        <w:t>. The</w:t>
      </w:r>
      <w:r w:rsidR="65086D2F" w:rsidRPr="00A9434B">
        <w:t>se</w:t>
      </w:r>
      <w:r w:rsidRPr="00A9434B">
        <w:t xml:space="preserve"> key challenges are outlined below as the foundation fo</w:t>
      </w:r>
      <w:r w:rsidR="5E0CB0CE" w:rsidRPr="00A9434B">
        <w:t xml:space="preserve">r the options discussed in </w:t>
      </w:r>
      <w:r w:rsidR="5E0CB0CE" w:rsidRPr="00673554">
        <w:rPr>
          <w:b/>
          <w:iCs/>
        </w:rPr>
        <w:t>section 6.2.4</w:t>
      </w:r>
      <w:r w:rsidR="65086D2F" w:rsidRPr="00A9434B">
        <w:t xml:space="preserve"> and in the rest of this chapter</w:t>
      </w:r>
      <w:r w:rsidRPr="00A9434B">
        <w:t>.</w:t>
      </w:r>
    </w:p>
    <w:p w14:paraId="63AF45EC" w14:textId="17D758D6" w:rsidR="00C14761" w:rsidRPr="00A9434B" w:rsidRDefault="764100FE">
      <w:pPr>
        <w:pStyle w:val="Heading5"/>
        <w:numPr>
          <w:ilvl w:val="0"/>
          <w:numId w:val="41"/>
        </w:numPr>
      </w:pPr>
      <w:bookmarkStart w:id="114" w:name="_Toc43321259"/>
      <w:bookmarkStart w:id="115" w:name="_Toc75698960"/>
      <w:r w:rsidRPr="00A9434B">
        <w:t xml:space="preserve">(1) </w:t>
      </w:r>
      <w:r w:rsidR="326765F3" w:rsidRPr="00A9434B">
        <w:t>Complexity</w:t>
      </w:r>
      <w:bookmarkEnd w:id="114"/>
      <w:bookmarkEnd w:id="115"/>
      <w:r w:rsidR="326765F3" w:rsidRPr="00A9434B">
        <w:t xml:space="preserve"> </w:t>
      </w:r>
      <w:r w:rsidR="00AC1E3E" w:rsidRPr="00A9434B">
        <w:br/>
      </w:r>
      <w:r w:rsidR="326765F3" w:rsidRPr="00A9434B">
        <w:rPr>
          <w:b w:val="0"/>
          <w:bCs/>
        </w:rPr>
        <w:t xml:space="preserve">The governance </w:t>
      </w:r>
      <w:r w:rsidR="00D6699F" w:rsidRPr="00A9434B">
        <w:rPr>
          <w:b w:val="0"/>
          <w:bCs/>
        </w:rPr>
        <w:t>for</w:t>
      </w:r>
      <w:r w:rsidR="326765F3" w:rsidRPr="00A9434B">
        <w:rPr>
          <w:b w:val="0"/>
          <w:bCs/>
        </w:rPr>
        <w:t xml:space="preserve"> </w:t>
      </w:r>
      <w:r w:rsidR="310D4752" w:rsidRPr="00A9434B">
        <w:rPr>
          <w:b w:val="0"/>
          <w:bCs/>
        </w:rPr>
        <w:t>biological invasions</w:t>
      </w:r>
      <w:r w:rsidR="326765F3" w:rsidRPr="00A9434B">
        <w:rPr>
          <w:b w:val="0"/>
          <w:bCs/>
        </w:rPr>
        <w:t xml:space="preserve"> is considered </w:t>
      </w:r>
      <w:r w:rsidR="45746A91" w:rsidRPr="00A9434B">
        <w:rPr>
          <w:b w:val="0"/>
          <w:bCs/>
        </w:rPr>
        <w:t xml:space="preserve">to be </w:t>
      </w:r>
      <w:r w:rsidR="326765F3" w:rsidRPr="00A9434B">
        <w:rPr>
          <w:b w:val="0"/>
          <w:bCs/>
        </w:rPr>
        <w:t xml:space="preserve">complex because </w:t>
      </w:r>
      <w:r w:rsidR="7B8E3FAE" w:rsidRPr="00A9434B">
        <w:rPr>
          <w:b w:val="0"/>
          <w:bCs/>
        </w:rPr>
        <w:t>the</w:t>
      </w:r>
      <w:r w:rsidR="326765F3" w:rsidRPr="00A9434B">
        <w:rPr>
          <w:b w:val="0"/>
          <w:bCs/>
        </w:rPr>
        <w:t xml:space="preserve"> </w:t>
      </w:r>
      <w:r w:rsidR="06DFB5F8" w:rsidRPr="00A9434B">
        <w:rPr>
          <w:b w:val="0"/>
          <w:bCs/>
        </w:rPr>
        <w:t>process</w:t>
      </w:r>
      <w:r w:rsidR="51509520" w:rsidRPr="00A9434B">
        <w:rPr>
          <w:b w:val="0"/>
          <w:bCs/>
        </w:rPr>
        <w:t xml:space="preserve"> of biological invasions</w:t>
      </w:r>
      <w:r w:rsidR="24C91693" w:rsidRPr="00A9434B">
        <w:rPr>
          <w:b w:val="0"/>
          <w:bCs/>
        </w:rPr>
        <w:t xml:space="preserve"> </w:t>
      </w:r>
      <w:r w:rsidR="326765F3" w:rsidRPr="00A9434B">
        <w:rPr>
          <w:b w:val="0"/>
          <w:bCs/>
        </w:rPr>
        <w:t xml:space="preserve">is naturally dynamic in space and time </w:t>
      </w:r>
      <w:r w:rsidR="00F806B6" w:rsidRPr="00A9434B">
        <w:rPr>
          <w:b w:val="0"/>
          <w:bCs/>
        </w:rPr>
        <w:t>(</w:t>
      </w:r>
      <w:r w:rsidR="00F70D52">
        <w:rPr>
          <w:rFonts w:hint="eastAsia"/>
          <w:lang w:eastAsia="ja-JP"/>
        </w:rPr>
        <w:t>C</w:t>
      </w:r>
      <w:r w:rsidR="310D4752" w:rsidRPr="00673554">
        <w:rPr>
          <w:bCs/>
          <w:iCs/>
        </w:rPr>
        <w:t>hapter 1</w:t>
      </w:r>
      <w:r w:rsidR="310D4752" w:rsidRPr="00673554">
        <w:rPr>
          <w:b w:val="0"/>
          <w:bCs/>
          <w:iCs/>
        </w:rPr>
        <w:t>,</w:t>
      </w:r>
      <w:r w:rsidR="310D4752" w:rsidRPr="00673554">
        <w:rPr>
          <w:bCs/>
          <w:iCs/>
        </w:rPr>
        <w:t xml:space="preserve"> section 1.4</w:t>
      </w:r>
      <w:r w:rsidR="326765F3" w:rsidRPr="00F70D52">
        <w:rPr>
          <w:b w:val="0"/>
          <w:bCs/>
        </w:rPr>
        <w:t>)</w:t>
      </w:r>
      <w:r w:rsidR="65086D2F" w:rsidRPr="00F70D52">
        <w:rPr>
          <w:b w:val="0"/>
          <w:bCs/>
        </w:rPr>
        <w:t>. It</w:t>
      </w:r>
      <w:r w:rsidR="326765F3" w:rsidRPr="00F70D52">
        <w:rPr>
          <w:b w:val="0"/>
          <w:bCs/>
        </w:rPr>
        <w:t xml:space="preserve"> has multiple stages and drivers, involves a large and diverse set of stakeholders</w:t>
      </w:r>
      <w:r w:rsidR="7AC1BFBA" w:rsidRPr="00F70D52">
        <w:rPr>
          <w:b w:val="0"/>
          <w:bCs/>
        </w:rPr>
        <w:t>,</w:t>
      </w:r>
      <w:r w:rsidR="326765F3" w:rsidRPr="00F70D52">
        <w:rPr>
          <w:b w:val="0"/>
          <w:bCs/>
        </w:rPr>
        <w:t xml:space="preserve"> and crosses jurisdictional boundaries </w:t>
      </w:r>
      <w:r w:rsidR="00C14761" w:rsidRPr="0052397B">
        <w:rPr>
          <w:b w:val="0"/>
          <w:bCs/>
        </w:rPr>
        <w:fldChar w:fldCharType="begin">
          <w:fldData xml:space="preserve">PEVuZE5vdGU+PENpdGU+PEF1dGhvcj5MaXU8L0F1dGhvcj48WWVhcj4yMDE4PC9ZZWFyPjxSZWNO
dW0+NDkwMzk8L1JlY051bT48RGlzcGxheVRleHQ+KEJyZW50b24tUnVsZSwgQmFyYmllcmkgZXQg
YWwuIDIwMTYsIExpdSwgRG91IGV0IGFsLiAyMDE4KTwvRGlzcGxheVRleHQ+PHJlY29yZD48cmVj
LW51bWJlcj40OTAzOTwvcmVjLW51bWJlcj48Zm9yZWlnbi1rZXlzPjxrZXkgYXBwPSJFTiIgZGIt
aWQ9ImF3eDlyYWRkcjB4eDJoZXYwNXJ4cjB6MDV3ZWVwd3B0MGZleCIgdGltZXN0YW1wPSIxNTgx
NDk3MzIwIj40OTAzOTwva2V5PjwvZm9yZWlnbi1rZXlzPjxyZWYtdHlwZSBuYW1lPSJKb3VybmFs
IEFydGljbGUiPjE3PC9yZWYtdHlwZT48Y29udHJpYnV0b3JzPjxhdXRob3JzPjxhdXRob3I+TGl1
LCBKaWFuZ3VvPC9hdXRob3I+PGF1dGhvcj5Eb3UsIFl1ZTwvYXV0aG9yPjxhdXRob3I+QmF0aXN0
ZWxsYSwgTWF0ZXVzPC9hdXRob3I+PGF1dGhvcj5DaGFsbGllcywgRWR3YXJkPC9hdXRob3I+PGF1
dGhvcj5Db25ub3IsIFRob21hczwvYXV0aG9yPjxhdXRob3I+RnJpaXMsIENlY2lsaWU8L2F1dGhv
cj48YXV0aG9yPk1pbGxpbmd0b24sIEphbWVzIEQuIEEuPC9hdXRob3I+PGF1dGhvcj5QYXJpc2gs
IEVzdGhlcjwvYXV0aG9yPjxhdXRob3I+Um9tdWxvLCBDaGVsc2llIEwuPC9hdXRob3I+PGF1dGhv
cj5CaWN1ZG8gU2lsdmEsIFJhbW9uIEZlbGlwZTwvYXV0aG9yPjxhdXRob3I+VHJpZXplbmJlcmcs
IEhlYXRoZXI8L2F1dGhvcj48YXV0aG9yPllhbmcsIEhvbmdibzwvYXV0aG9yPjxhdXRob3I+Wmhh
bywgWmhpcWlhbmc8L2F1dGhvcj48YXV0aG9yPlppbW1lcmVyLCBLYXJsIFMuPC9hdXRob3I+PGF1
dGhvcj5IdWV0dG1hbm4sIEZhbGs8L2F1dGhvcj48YXV0aG9yPlRyZWdsaWEsIE1pY2hhZWwgTC48
L2F1dGhvcj48YXV0aG9yPkJhc2hlciwgWmVlbmF0dWw8L2F1dGhvcj48YXV0aG9yPkNodW5nLCBN
aW4gR29uPC9hdXRob3I+PGF1dGhvcj5IZXJ6YmVyZ2VyLCBBbm5hPC9hdXRob3I+PGF1dGhvcj5M
ZW5zY2hvdywgQW5kcmVhPC9hdXRob3I+PGF1dGhvcj5NZWNoaWNoZS1BbGFtaSwgQWx0YWFmPC9h
dXRob3I+PGF1dGhvcj5OZXdpZywgSmVuczwvYXV0aG9yPjxhdXRob3I+Um9jaGUsIEphbWVzPC9h
dXRob3I+PGF1dGhvcj5TdW4sIEppbmc8L2F1dGhvcj48L2F1dGhvcnM+PC9jb250cmlidXRvcnM+
PHRpdGxlcz48dGl0bGU+U3BpbGxvdmVyIHN5c3RlbXMgaW4gYSB0ZWxlY291cGxlZCBBbnRocm9w
b2NlbmU6IHR5cG9sb2d5LCBtZXRob2RzLCBhbmQgZ292ZXJuYW5jZSBmb3IgZ2xvYmFsIHN1c3Rh
aW5hYmlsaXR5PC90aXRsZT48c2Vjb25kYXJ5LXRpdGxlPkN1cnJlbnQgT3BpbmlvbiBpbiBFbnZp
cm9ubWVudGFsIFN1c3RhaW5hYmlsaXR5PC9zZWNvbmRhcnktdGl0bGU+PC90aXRsZXM+PHBlcmlv
ZGljYWw+PGZ1bGwtdGl0bGU+Q3VycmVudCBPcGluaW9uIGluIEVudmlyb25tZW50YWwgU3VzdGFp
bmFiaWxpdHk8L2Z1bGwtdGl0bGU+PC9wZXJpb2RpY2FsPjxwYWdlcz41OC02OTwvcGFnZXM+PHZv
bHVtZT4zMzwvdm9sdW1lPjxkYXRlcz48eWVhcj4yMDE4PC95ZWFyPjxwdWItZGF0ZXM+PGRhdGU+
QXVnPC9kYXRlPjwvcHViLWRhdGVzPjwvZGF0ZXM+PGlzYm4+MTg3Ny0zNDM1PC9pc2JuPjxhY2Nl
c3Npb24tbnVtPldPUzowMDA0NDU2OTU5MDAwMDg8L2FjY2Vzc2lvbi1udW0+PHVybHM+PHJlbGF0
ZWQtdXJscz48dXJsPiZsdDtHbyB0byBJU0kmZ3Q7Oi8vV09TOjAwMDQ0NTY5NTkwMDAwODwvdXJs
PjwvcmVsYXRlZC11cmxzPjwvdXJscz48ZWxlY3Ryb25pYy1yZXNvdXJjZS1udW0+MTAuMTAxNi9q
LmNvc3VzdC4yMDE4LjA0LjAwOTwvZWxlY3Ryb25pYy1yZXNvdXJjZS1udW0+PC9yZWNvcmQ+PC9D
aXRlPjxDaXRlPjxBdXRob3I+QnJlbnRvbi1SdWxlPC9BdXRob3I+PFllYXI+MjAxNjwvWWVhcj48
UmVjTnVtPjQ5MTAyPC9SZWNOdW0+PHJlY29yZD48cmVjLW51bWJlcj40OTEwMjwvcmVjLW51bWJl
cj48Zm9yZWlnbi1rZXlzPjxrZXkgYXBwPSJFTiIgZGItaWQ9ImF3eDlyYWRkcjB4eDJoZXYwNXJ4
cjB6MDV3ZWVwd3B0MGZleCIgdGltZXN0YW1wPSIxNTgxNDk3MzIwIj40OTEwMjwva2V5PjwvZm9y
ZWlnbi1rZXlzPjxyZWYtdHlwZSBuYW1lPSJKb3VybmFsIEFydGljbGUiPjE3PC9yZWYtdHlwZT48
Y29udHJpYnV0b3JzPjxhdXRob3JzPjxhdXRob3I+QnJlbnRvbi1SdWxlLCBFdmFuPC9hdXRob3I+
PGF1dGhvcj5CYXJiaWVyaSwgUmFmYWVsPC9hdXRob3I+PGF1dGhvcj5MZXN0ZXIsIFBoaWw8L2F1
dGhvcj48L2F1dGhvcnM+PC9jb250cmlidXRvcnM+PHRpdGxlcz48dGl0bGU+SW50ZXJjZXB0aW9u
IGRhdGEgZm9yICZxdW90O0NvcnJ1cHRpb24sIGRldmVsb3BtZW50IGFuZCBnb3Zlcm5hbmNlIGlu
ZGljYXRvcnMgcHJlZGljdCBpbnZhc2l2ZSBzcGVjaWVzIHJpc2sgZnJvbSB0cmFkZSZxdW90Ozwv
dGl0bGU+PHNlY29uZGFyeS10aXRsZT5EcnlhZDwvc2Vjb25kYXJ5LXRpdGxlPjwvdGl0bGVzPjxw
ZXJpb2RpY2FsPjxmdWxsLXRpdGxlPkRyeWFkPC9mdWxsLXRpdGxlPjwvcGVyaW9kaWNhbD48ZGF0
ZXM+PHllYXI+MjAxNjwveWVhcj48cHViLWRhdGVzPjxkYXRlPjIwMTYtMDUtMzE8L2RhdGU+PC9w
dWItZGF0ZXM+PC9kYXRlcz48YWNjZXNzaW9uLW51bT5EUkNJOkRBVEEyMDE2MTgzMDA5NzE1MDcy
PC9hY2Nlc3Npb24tbnVtPjx1cmxzPjxyZWxhdGVkLXVybHM+PHVybD4mbHQ7R28gdG8gSVNJJmd0
OzovL0RSQ0k6REFUQTIwMTYxODMwMDk3MTUwNzI8L3VybD48L3JlbGF0ZWQtdXJscz48L3VybHM+
PGVsZWN0cm9uaWMtcmVzb3VyY2UtbnVtPmh0dHA6Ly9keC5kb2kub3JnLzEwLjUwNjEvRFJZQUQu
MVFRNjQvMTwvZWxlY3Ryb25pYy1yZXNvdXJjZS1udW0+PC9yZWNvcmQ+PC9DaXRlPjwvRW5kTm90
ZT4A
</w:fldData>
        </w:fldChar>
      </w:r>
      <w:r w:rsidR="00C14761" w:rsidRPr="00F70D52">
        <w:rPr>
          <w:b w:val="0"/>
          <w:bCs/>
        </w:rPr>
        <w:instrText xml:space="preserve"> ADDIN EN.CITE </w:instrText>
      </w:r>
      <w:r w:rsidR="00C14761" w:rsidRPr="0052397B">
        <w:rPr>
          <w:b w:val="0"/>
          <w:bCs/>
        </w:rPr>
        <w:fldChar w:fldCharType="begin">
          <w:fldData xml:space="preserve">PEVuZE5vdGU+PENpdGU+PEF1dGhvcj5MaXU8L0F1dGhvcj48WWVhcj4yMDE4PC9ZZWFyPjxSZWNO
dW0+NDkwMzk8L1JlY051bT48RGlzcGxheVRleHQ+KEJyZW50b24tUnVsZSwgQmFyYmllcmkgZXQg
YWwuIDIwMTYsIExpdSwgRG91IGV0IGFsLiAyMDE4KTwvRGlzcGxheVRleHQ+PHJlY29yZD48cmVj
LW51bWJlcj40OTAzOTwvcmVjLW51bWJlcj48Zm9yZWlnbi1rZXlzPjxrZXkgYXBwPSJFTiIgZGIt
aWQ9ImF3eDlyYWRkcjB4eDJoZXYwNXJ4cjB6MDV3ZWVwd3B0MGZleCIgdGltZXN0YW1wPSIxNTgx
NDk3MzIwIj40OTAzOTwva2V5PjwvZm9yZWlnbi1rZXlzPjxyZWYtdHlwZSBuYW1lPSJKb3VybmFs
IEFydGljbGUiPjE3PC9yZWYtdHlwZT48Y29udHJpYnV0b3JzPjxhdXRob3JzPjxhdXRob3I+TGl1
LCBKaWFuZ3VvPC9hdXRob3I+PGF1dGhvcj5Eb3UsIFl1ZTwvYXV0aG9yPjxhdXRob3I+QmF0aXN0
ZWxsYSwgTWF0ZXVzPC9hdXRob3I+PGF1dGhvcj5DaGFsbGllcywgRWR3YXJkPC9hdXRob3I+PGF1
dGhvcj5Db25ub3IsIFRob21hczwvYXV0aG9yPjxhdXRob3I+RnJpaXMsIENlY2lsaWU8L2F1dGhv
cj48YXV0aG9yPk1pbGxpbmd0b24sIEphbWVzIEQuIEEuPC9hdXRob3I+PGF1dGhvcj5QYXJpc2gs
IEVzdGhlcjwvYXV0aG9yPjxhdXRob3I+Um9tdWxvLCBDaGVsc2llIEwuPC9hdXRob3I+PGF1dGhv
cj5CaWN1ZG8gU2lsdmEsIFJhbW9uIEZlbGlwZTwvYXV0aG9yPjxhdXRob3I+VHJpZXplbmJlcmcs
IEhlYXRoZXI8L2F1dGhvcj48YXV0aG9yPllhbmcsIEhvbmdibzwvYXV0aG9yPjxhdXRob3I+Wmhh
bywgWmhpcWlhbmc8L2F1dGhvcj48YXV0aG9yPlppbW1lcmVyLCBLYXJsIFMuPC9hdXRob3I+PGF1
dGhvcj5IdWV0dG1hbm4sIEZhbGs8L2F1dGhvcj48YXV0aG9yPlRyZWdsaWEsIE1pY2hhZWwgTC48
L2F1dGhvcj48YXV0aG9yPkJhc2hlciwgWmVlbmF0dWw8L2F1dGhvcj48YXV0aG9yPkNodW5nLCBN
aW4gR29uPC9hdXRob3I+PGF1dGhvcj5IZXJ6YmVyZ2VyLCBBbm5hPC9hdXRob3I+PGF1dGhvcj5M
ZW5zY2hvdywgQW5kcmVhPC9hdXRob3I+PGF1dGhvcj5NZWNoaWNoZS1BbGFtaSwgQWx0YWFmPC9h
dXRob3I+PGF1dGhvcj5OZXdpZywgSmVuczwvYXV0aG9yPjxhdXRob3I+Um9jaGUsIEphbWVzPC9h
dXRob3I+PGF1dGhvcj5TdW4sIEppbmc8L2F1dGhvcj48L2F1dGhvcnM+PC9jb250cmlidXRvcnM+
PHRpdGxlcz48dGl0bGU+U3BpbGxvdmVyIHN5c3RlbXMgaW4gYSB0ZWxlY291cGxlZCBBbnRocm9w
b2NlbmU6IHR5cG9sb2d5LCBtZXRob2RzLCBhbmQgZ292ZXJuYW5jZSBmb3IgZ2xvYmFsIHN1c3Rh
aW5hYmlsaXR5PC90aXRsZT48c2Vjb25kYXJ5LXRpdGxlPkN1cnJlbnQgT3BpbmlvbiBpbiBFbnZp
cm9ubWVudGFsIFN1c3RhaW5hYmlsaXR5PC9zZWNvbmRhcnktdGl0bGU+PC90aXRsZXM+PHBlcmlv
ZGljYWw+PGZ1bGwtdGl0bGU+Q3VycmVudCBPcGluaW9uIGluIEVudmlyb25tZW50YWwgU3VzdGFp
bmFiaWxpdHk8L2Z1bGwtdGl0bGU+PC9wZXJpb2RpY2FsPjxwYWdlcz41OC02OTwvcGFnZXM+PHZv
bHVtZT4zMzwvdm9sdW1lPjxkYXRlcz48eWVhcj4yMDE4PC95ZWFyPjxwdWItZGF0ZXM+PGRhdGU+
QXVnPC9kYXRlPjwvcHViLWRhdGVzPjwvZGF0ZXM+PGlzYm4+MTg3Ny0zNDM1PC9pc2JuPjxhY2Nl
c3Npb24tbnVtPldPUzowMDA0NDU2OTU5MDAwMDg8L2FjY2Vzc2lvbi1udW0+PHVybHM+PHJlbGF0
ZWQtdXJscz48dXJsPiZsdDtHbyB0byBJU0kmZ3Q7Oi8vV09TOjAwMDQ0NTY5NTkwMDAwODwvdXJs
PjwvcmVsYXRlZC11cmxzPjwvdXJscz48ZWxlY3Ryb25pYy1yZXNvdXJjZS1udW0+MTAuMTAxNi9q
LmNvc3VzdC4yMDE4LjA0LjAwOTwvZWxlY3Ryb25pYy1yZXNvdXJjZS1udW0+PC9yZWNvcmQ+PC9D
aXRlPjxDaXRlPjxBdXRob3I+QnJlbnRvbi1SdWxlPC9BdXRob3I+PFllYXI+MjAxNjwvWWVhcj48
UmVjTnVtPjQ5MTAyPC9SZWNOdW0+PHJlY29yZD48cmVjLW51bWJlcj40OTEwMjwvcmVjLW51bWJl
cj48Zm9yZWlnbi1rZXlzPjxrZXkgYXBwPSJFTiIgZGItaWQ9ImF3eDlyYWRkcjB4eDJoZXYwNXJ4
cjB6MDV3ZWVwd3B0MGZleCIgdGltZXN0YW1wPSIxNTgxNDk3MzIwIj40OTEwMjwva2V5PjwvZm9y
ZWlnbi1rZXlzPjxyZWYtdHlwZSBuYW1lPSJKb3VybmFsIEFydGljbGUiPjE3PC9yZWYtdHlwZT48
Y29udHJpYnV0b3JzPjxhdXRob3JzPjxhdXRob3I+QnJlbnRvbi1SdWxlLCBFdmFuPC9hdXRob3I+
PGF1dGhvcj5CYXJiaWVyaSwgUmFmYWVsPC9hdXRob3I+PGF1dGhvcj5MZXN0ZXIsIFBoaWw8L2F1
dGhvcj48L2F1dGhvcnM+PC9jb250cmlidXRvcnM+PHRpdGxlcz48dGl0bGU+SW50ZXJjZXB0aW9u
IGRhdGEgZm9yICZxdW90O0NvcnJ1cHRpb24sIGRldmVsb3BtZW50IGFuZCBnb3Zlcm5hbmNlIGlu
ZGljYXRvcnMgcHJlZGljdCBpbnZhc2l2ZSBzcGVjaWVzIHJpc2sgZnJvbSB0cmFkZSZxdW90Ozwv
dGl0bGU+PHNlY29uZGFyeS10aXRsZT5EcnlhZDwvc2Vjb25kYXJ5LXRpdGxlPjwvdGl0bGVzPjxw
ZXJpb2RpY2FsPjxmdWxsLXRpdGxlPkRyeWFkPC9mdWxsLXRpdGxlPjwvcGVyaW9kaWNhbD48ZGF0
ZXM+PHllYXI+MjAxNjwveWVhcj48cHViLWRhdGVzPjxkYXRlPjIwMTYtMDUtMzE8L2RhdGU+PC9w
dWItZGF0ZXM+PC9kYXRlcz48YWNjZXNzaW9uLW51bT5EUkNJOkRBVEEyMDE2MTgzMDA5NzE1MDcy
PC9hY2Nlc3Npb24tbnVtPjx1cmxzPjxyZWxhdGVkLXVybHM+PHVybD4mbHQ7R28gdG8gSVNJJmd0
OzovL0RSQ0k6REFUQTIwMTYxODMwMDk3MTUwNzI8L3VybD48L3JlbGF0ZWQtdXJscz48L3VybHM+
PGVsZWN0cm9uaWMtcmVzb3VyY2UtbnVtPmh0dHA6Ly9keC5kb2kub3JnLzEwLjUwNjEvRFJZQUQu
MVFRNjQvMTwvZWxlY3Ryb25pYy1yZXNvdXJjZS1udW0+PC9yZWNvcmQ+PC9DaXRlPjwvRW5kTm90
ZT4A
</w:fldData>
        </w:fldChar>
      </w:r>
      <w:r w:rsidR="00C14761" w:rsidRPr="00F70D52">
        <w:rPr>
          <w:b w:val="0"/>
          <w:bCs/>
        </w:rPr>
        <w:instrText xml:space="preserve"> ADDIN EN.CITE.DATA </w:instrText>
      </w:r>
      <w:r w:rsidR="00C14761" w:rsidRPr="0052397B">
        <w:rPr>
          <w:b w:val="0"/>
          <w:bCs/>
        </w:rPr>
      </w:r>
      <w:r w:rsidR="00C14761" w:rsidRPr="0052397B">
        <w:rPr>
          <w:b w:val="0"/>
          <w:bCs/>
        </w:rPr>
        <w:fldChar w:fldCharType="end"/>
      </w:r>
      <w:r w:rsidR="00C14761" w:rsidRPr="0052397B">
        <w:rPr>
          <w:b w:val="0"/>
          <w:bCs/>
        </w:rPr>
      </w:r>
      <w:r w:rsidR="00C14761" w:rsidRPr="0052397B">
        <w:rPr>
          <w:b w:val="0"/>
          <w:bCs/>
        </w:rPr>
        <w:fldChar w:fldCharType="separate"/>
      </w:r>
      <w:r w:rsidR="00BE5580" w:rsidRPr="0052397B">
        <w:rPr>
          <w:b w:val="0"/>
          <w:bCs/>
        </w:rPr>
        <w:fldChar w:fldCharType="begin"/>
      </w:r>
      <w:r w:rsidR="0006613E">
        <w:rPr>
          <w:b w:val="0"/>
          <w:bCs/>
        </w:rPr>
        <w:instrText xml:space="preserve"> ADDIN ZOTERO_ITEM CSL_CITATION {"citationID":"a1ndqudlnp0","properties":{"formattedCitation":"\\uldash{(Brenton-Rule et al., 2016; Liu et al., 2018)}","plainCitation":"(Brenton-Rule et al., 2016; Liu et al., 2018)","dontUpdate":true,"noteIndex":0},"citationItems":[{"id":23848,"uris":["http://zotero.org/groups/2352922/items/RHL9NQPR"],"itemData":{"id":23848,"type":"dataset","DOI":"10.5061/dryad.1qq64","note":"publisher: Dryad","title":"Data from: Corruption, development and governance indicators predict invasive species risk from trade","author":[{"family":"Brenton-Rule","given":"Evan C."},{"family":"Barbieri","given":"Rafael F."},{"family":"Lester","given":"Phil J."}],"issued":{"date-parts":[["2016",5,31]]}},"label":"page"},{"id":24033,"uris":["http://zotero.org/groups/2352922/items/BG76YHBC"],"itemData":{"id":24033,"type":"article-journal","container-title":"Current Opinion in Environmental Sustainability","DOI":"10.1016/j.cosust.2018.04.009","ISSN":"1877-3435","page":"58-69","title":"Spillover systems in a telecoupled Anthropocene: typology, methods, and governance for global sustainability","volume":"33","author":[{"family":"Liu","given":"Jianguo"},{"family":"Dou","given":"Yue"},{"family":"Batistella","given":"Mateus"},{"family":"Challies","given":"Edward"},{"family":"Connor","given":"Thomas"},{"family":"Friis","given":"Cecilie"},{"family":"Millington","given":"James D. A."},{"family":"Parish","given":"Esther"},{"family":"Romulo","given":"Chelsie L."},{"family":"Bicudo Silva","given":"Ramon Felipe"},{"family":"Triezenberg","given":"Heather"},{"family":"Yang","given":"Hongbo"},{"family":"Zhao","given":"Zhiqiang"},{"family":"Zimmerer","given":"Karl S."},{"family":"Huettmann","given":"Falk"},{"family":"Treglia","given":"Michael L."},{"family":"Basher","given":"Zeenatul"},{"family":"Chung","given":"Min Gon"},{"family":"Herzberger","given":"Anna"},{"family":"Lenschow","given":"Andrea"},{"family":"Mechiche-Alami","given":"Altaaf"},{"family":"Newig","given":"Jens"},{"family":"Roche","given":"James"},{"family":"Sun","given":"Jing"}],"issued":{"date-parts":[["2018",8]]}},"label":"page"}],"schema":"https://github.com/citation-style-language/schema/raw/master/csl-citation.json"} </w:instrText>
      </w:r>
      <w:r w:rsidR="00BE5580" w:rsidRPr="0052397B">
        <w:rPr>
          <w:b w:val="0"/>
          <w:bCs/>
        </w:rPr>
        <w:fldChar w:fldCharType="separate"/>
      </w:r>
      <w:r w:rsidR="00450BB7" w:rsidRPr="00F70D52">
        <w:rPr>
          <w:b w:val="0"/>
        </w:rPr>
        <w:t>(Brenton-Rule et al., 2016; Liu et al., 2018</w:t>
      </w:r>
      <w:r w:rsidR="00BE5580" w:rsidRPr="0052397B">
        <w:rPr>
          <w:b w:val="0"/>
          <w:bCs/>
        </w:rPr>
        <w:fldChar w:fldCharType="end"/>
      </w:r>
      <w:r w:rsidR="00C14761" w:rsidRPr="0052397B">
        <w:rPr>
          <w:b w:val="0"/>
          <w:bCs/>
        </w:rPr>
        <w:fldChar w:fldCharType="end"/>
      </w:r>
      <w:r w:rsidR="00450BB7" w:rsidRPr="00F70D52">
        <w:rPr>
          <w:b w:val="0"/>
          <w:bCs/>
        </w:rPr>
        <w:t>;</w:t>
      </w:r>
      <w:r w:rsidR="00114690" w:rsidRPr="00F70D52">
        <w:rPr>
          <w:b w:val="0"/>
          <w:bCs/>
        </w:rPr>
        <w:t xml:space="preserve"> </w:t>
      </w:r>
      <w:r w:rsidR="004155A5" w:rsidRPr="00673554">
        <w:rPr>
          <w:bCs/>
          <w:iCs/>
        </w:rPr>
        <w:fldChar w:fldCharType="begin"/>
      </w:r>
      <w:r w:rsidR="004155A5" w:rsidRPr="00673554">
        <w:rPr>
          <w:bCs/>
          <w:iCs/>
        </w:rPr>
        <w:instrText xml:space="preserve"> REF _Ref104895003 \h  \* MERGEFORMAT </w:instrText>
      </w:r>
      <w:r w:rsidR="004155A5" w:rsidRPr="00673554">
        <w:rPr>
          <w:bCs/>
          <w:iCs/>
        </w:rPr>
      </w:r>
      <w:r w:rsidR="004155A5" w:rsidRPr="00673554">
        <w:rPr>
          <w:bCs/>
          <w:iCs/>
        </w:rPr>
        <w:fldChar w:fldCharType="separate"/>
      </w:r>
      <w:r w:rsidR="0011368C" w:rsidRPr="00673554">
        <w:rPr>
          <w:bCs/>
          <w:iCs/>
        </w:rPr>
        <w:t>Figure 6.7</w:t>
      </w:r>
      <w:r w:rsidR="004155A5" w:rsidRPr="00673554">
        <w:rPr>
          <w:bCs/>
          <w:iCs/>
        </w:rPr>
        <w:fldChar w:fldCharType="end"/>
      </w:r>
      <w:r w:rsidR="27C86145" w:rsidRPr="00F70D52">
        <w:rPr>
          <w:b w:val="0"/>
          <w:bCs/>
        </w:rPr>
        <w:t>;</w:t>
      </w:r>
      <w:r w:rsidR="5E0CB0CE" w:rsidRPr="00673554">
        <w:rPr>
          <w:bCs/>
        </w:rPr>
        <w:t xml:space="preserve"> </w:t>
      </w:r>
      <w:r w:rsidR="00F70D52">
        <w:rPr>
          <w:bCs/>
          <w:iCs/>
        </w:rPr>
        <w:t>C</w:t>
      </w:r>
      <w:r w:rsidR="7E59C770" w:rsidRPr="00673554">
        <w:rPr>
          <w:bCs/>
          <w:iCs/>
        </w:rPr>
        <w:t>hapter 1</w:t>
      </w:r>
      <w:r w:rsidR="5E0CB0CE" w:rsidRPr="00673554">
        <w:rPr>
          <w:b w:val="0"/>
          <w:bCs/>
          <w:iCs/>
        </w:rPr>
        <w:t>,</w:t>
      </w:r>
      <w:r w:rsidR="5E0CB0CE" w:rsidRPr="00673554">
        <w:rPr>
          <w:bCs/>
          <w:iCs/>
        </w:rPr>
        <w:t xml:space="preserve"> s</w:t>
      </w:r>
      <w:r w:rsidR="27C86145" w:rsidRPr="00673554">
        <w:rPr>
          <w:bCs/>
          <w:iCs/>
        </w:rPr>
        <w:t>ection 1.5.</w:t>
      </w:r>
      <w:r w:rsidR="310D4752" w:rsidRPr="00673554">
        <w:rPr>
          <w:bCs/>
          <w:iCs/>
        </w:rPr>
        <w:t>1</w:t>
      </w:r>
      <w:r w:rsidR="326765F3" w:rsidRPr="00F70D52">
        <w:rPr>
          <w:b w:val="0"/>
          <w:bCs/>
        </w:rPr>
        <w:t>). The dynamic and difficult</w:t>
      </w:r>
      <w:r w:rsidR="1FDAA5A1" w:rsidRPr="00F70D52">
        <w:rPr>
          <w:b w:val="0"/>
          <w:bCs/>
        </w:rPr>
        <w:t>-</w:t>
      </w:r>
      <w:r w:rsidR="326765F3" w:rsidRPr="00F70D52">
        <w:rPr>
          <w:b w:val="0"/>
          <w:bCs/>
        </w:rPr>
        <w:t>to</w:t>
      </w:r>
      <w:r w:rsidR="79AA03BA" w:rsidRPr="00F70D52">
        <w:rPr>
          <w:b w:val="0"/>
          <w:bCs/>
        </w:rPr>
        <w:t>-</w:t>
      </w:r>
      <w:r w:rsidR="326765F3" w:rsidRPr="00F70D52">
        <w:rPr>
          <w:b w:val="0"/>
          <w:bCs/>
        </w:rPr>
        <w:t xml:space="preserve">predict behaviour of new technological </w:t>
      </w:r>
      <w:r w:rsidR="5F6026D0" w:rsidRPr="00F70D52">
        <w:rPr>
          <w:b w:val="0"/>
          <w:bCs/>
        </w:rPr>
        <w:t>options</w:t>
      </w:r>
      <w:r w:rsidR="326765F3" w:rsidRPr="00F70D52">
        <w:rPr>
          <w:b w:val="0"/>
          <w:bCs/>
        </w:rPr>
        <w:t xml:space="preserve"> (such as </w:t>
      </w:r>
      <w:r w:rsidR="25D8A6C0" w:rsidRPr="00F70D52">
        <w:rPr>
          <w:b w:val="0"/>
          <w:bCs/>
        </w:rPr>
        <w:t xml:space="preserve">the potential use of </w:t>
      </w:r>
      <w:r w:rsidR="326765F3" w:rsidRPr="00F70D52">
        <w:rPr>
          <w:b w:val="0"/>
          <w:bCs/>
        </w:rPr>
        <w:t>gene drives</w:t>
      </w:r>
      <w:r w:rsidR="000B14E6" w:rsidRPr="00F70D52">
        <w:rPr>
          <w:b w:val="0"/>
          <w:bCs/>
        </w:rPr>
        <w:t xml:space="preserve">; </w:t>
      </w:r>
      <w:r w:rsidR="00F70D52">
        <w:rPr>
          <w:bCs/>
          <w:iCs/>
        </w:rPr>
        <w:t>C</w:t>
      </w:r>
      <w:r w:rsidR="00BF0446" w:rsidRPr="00673554">
        <w:rPr>
          <w:bCs/>
          <w:iCs/>
        </w:rPr>
        <w:t>hapter 5</w:t>
      </w:r>
      <w:r w:rsidR="00BF0446" w:rsidRPr="00673554">
        <w:rPr>
          <w:b w:val="0"/>
          <w:bCs/>
          <w:iCs/>
        </w:rPr>
        <w:t>,</w:t>
      </w:r>
      <w:r w:rsidR="00BF0446" w:rsidRPr="00673554">
        <w:rPr>
          <w:bCs/>
          <w:iCs/>
        </w:rPr>
        <w:t xml:space="preserve"> section 5.4.4.2</w:t>
      </w:r>
      <w:r w:rsidR="00F0184C" w:rsidRPr="00673554">
        <w:rPr>
          <w:bCs/>
          <w:iCs/>
        </w:rPr>
        <w:t>.j</w:t>
      </w:r>
      <w:r w:rsidR="326765F3" w:rsidRPr="00F70D52">
        <w:rPr>
          <w:b w:val="0"/>
          <w:bCs/>
        </w:rPr>
        <w:t xml:space="preserve">) adds another level of complexity </w:t>
      </w:r>
      <w:r w:rsidR="00C14761" w:rsidRPr="0052397B">
        <w:rPr>
          <w:b w:val="0"/>
          <w:bCs/>
        </w:rPr>
        <w:fldChar w:fldCharType="begin"/>
      </w:r>
      <w:r w:rsidR="00C14761" w:rsidRPr="00F70D52">
        <w:rPr>
          <w:b w:val="0"/>
          <w:bCs/>
        </w:rPr>
        <w:instrText xml:space="preserve"> ADDIN EN.CITE &lt;EndNote&gt;&lt;Cite&gt;&lt;Author&gt;Mitchell&lt;/Author&gt;&lt;Year&gt;2018&lt;/Year&gt;&lt;RecNum&gt;49050&lt;/RecNum&gt;&lt;DisplayText&gt;(Mitchell, Brown et al. 2018)&lt;/DisplayText&gt;&lt;record&gt;&lt;rec-number&gt;49050&lt;/rec-number&gt;&lt;foreign-keys&gt;&lt;key app="EN" db-id="awx9raddr0xx2hev05rxr0z05weepwpt0fex" timestamp="1581497320"&gt;49050&lt;/key&gt;&lt;/foreign-keys&gt;&lt;ref-type name="Journal Article"&gt;17&lt;/ref-type&gt;&lt;contributors&gt;&lt;authors&gt;&lt;author&gt;Mitchell, Paul D.&lt;/author&gt;&lt;author&gt;Brown, Zachary&lt;/author&gt;&lt;author&gt;McRoberts, Neil&lt;/author&gt;&lt;/authors&gt;&lt;/contributors&gt;&lt;titles&gt;&lt;title&gt;Economic issues to consider for gene drives&lt;/title&gt;&lt;secondary-title&gt;Journal of Responsible Innovation&lt;/secondary-title&gt;&lt;/titles&gt;&lt;periodical&gt;&lt;full-title&gt;Journal of Responsible Innovation&lt;/full-title&gt;&lt;/periodical&gt;&lt;pages&gt;S180-S202&lt;/pages&gt;&lt;volume&gt;5&lt;/volume&gt;&lt;dates&gt;&lt;year&gt;2018&lt;/year&gt;&lt;pub-dates&gt;&lt;date&gt;2018&lt;/date&gt;&lt;/pub-dates&gt;&lt;/dates&gt;&lt;isbn&gt;2329-9460&lt;/isbn&gt;&lt;accession-num&gt;WOS:000434459000011&lt;/accession-num&gt;&lt;urls&gt;&lt;related-urls&gt;&lt;url&gt;&amp;lt;Go to ISI&amp;gt;://WOS:000434459000011&lt;/url&gt;&lt;/related-urls&gt;&lt;/urls&gt;&lt;electronic-resource-num&gt;10.1080/23299460.2017.1407914&lt;/electronic-resource-num&gt;&lt;/record&gt;&lt;/Cite&gt;&lt;/EndNote&gt;</w:instrText>
      </w:r>
      <w:r w:rsidR="00C14761" w:rsidRPr="0052397B">
        <w:rPr>
          <w:b w:val="0"/>
          <w:bCs/>
        </w:rPr>
        <w:fldChar w:fldCharType="separate"/>
      </w:r>
      <w:r w:rsidR="00DA3438" w:rsidRPr="0052397B">
        <w:rPr>
          <w:b w:val="0"/>
          <w:bCs/>
        </w:rPr>
        <w:fldChar w:fldCharType="begin"/>
      </w:r>
      <w:r w:rsidR="0006613E">
        <w:rPr>
          <w:b w:val="0"/>
          <w:bCs/>
        </w:rPr>
        <w:instrText xml:space="preserve"> ADDIN ZOTERO_ITEM CSL_CITATION {"citationID":"a2d1csoleps","properties":{"formattedCitation":"(Mitchell et al., 2018)","plainCitation":"(Mitchell et al., 2018)","noteIndex":0},"citationItems":[{"id":11358,"uris":["http://zotero.org/groups/2352922/items/5JUVBPFT"],"itemData":{"id":11358,"type":"article-journal","container-title":"Journal of Responsible Innovation","DOI":"10.1080/23299460.2017.1407914","ISSN":"2329-9460","issue":"sup1","page":"S180-S202","title":"Economic issues to consider for gene drives","volume":"5","author":[{"family":"Mitchell","given":"Paul D."},{"family":"Brown","given":"Zachary"},{"family":"McRoberts","given":"Neil"}],"issued":{"date-parts":[["2018"]]}},"label":"page"}],"schema":"https://github.com/citation-style-language/schema/raw/master/csl-citation.json"} </w:instrText>
      </w:r>
      <w:r w:rsidR="00DA3438" w:rsidRPr="0052397B">
        <w:rPr>
          <w:b w:val="0"/>
          <w:bCs/>
        </w:rPr>
        <w:fldChar w:fldCharType="separate"/>
      </w:r>
      <w:r w:rsidR="00C71E80" w:rsidRPr="00F70D52">
        <w:rPr>
          <w:b w:val="0"/>
          <w:bCs/>
        </w:rPr>
        <w:t>(Mitchell et al., 2018)</w:t>
      </w:r>
      <w:r w:rsidR="00DA3438" w:rsidRPr="0052397B">
        <w:rPr>
          <w:b w:val="0"/>
          <w:bCs/>
        </w:rPr>
        <w:fldChar w:fldCharType="end"/>
      </w:r>
      <w:r w:rsidR="00C14761" w:rsidRPr="0052397B">
        <w:rPr>
          <w:b w:val="0"/>
          <w:bCs/>
        </w:rPr>
        <w:fldChar w:fldCharType="end"/>
      </w:r>
      <w:r w:rsidR="326765F3" w:rsidRPr="00F70D52">
        <w:rPr>
          <w:b w:val="0"/>
          <w:bCs/>
        </w:rPr>
        <w:t xml:space="preserve">. </w:t>
      </w:r>
      <w:r w:rsidR="00C73655">
        <w:rPr>
          <w:b w:val="0"/>
        </w:rPr>
        <w:t>Context-specific application of integrated</w:t>
      </w:r>
      <w:r w:rsidR="28813BB3" w:rsidRPr="00F70D52">
        <w:rPr>
          <w:b w:val="0"/>
          <w:bCs/>
        </w:rPr>
        <w:t xml:space="preserve"> governance for biological invasions </w:t>
      </w:r>
      <w:r w:rsidR="00F806B6" w:rsidRPr="00F70D52">
        <w:rPr>
          <w:b w:val="0"/>
          <w:bCs/>
        </w:rPr>
        <w:t>(</w:t>
      </w:r>
      <w:r w:rsidR="00F70D52">
        <w:rPr>
          <w:bCs/>
          <w:iCs/>
        </w:rPr>
        <w:t>G</w:t>
      </w:r>
      <w:r w:rsidR="003E5A54" w:rsidRPr="00673554">
        <w:rPr>
          <w:bCs/>
          <w:iCs/>
        </w:rPr>
        <w:t>lossary</w:t>
      </w:r>
      <w:r w:rsidR="003E5A54" w:rsidRPr="00F70D52">
        <w:rPr>
          <w:b w:val="0"/>
          <w:bCs/>
        </w:rPr>
        <w:t xml:space="preserve">) </w:t>
      </w:r>
      <w:r w:rsidR="326765F3" w:rsidRPr="00F70D52">
        <w:rPr>
          <w:b w:val="0"/>
          <w:bCs/>
        </w:rPr>
        <w:t xml:space="preserve">thus </w:t>
      </w:r>
      <w:r w:rsidR="73F78DF5" w:rsidRPr="00F70D52">
        <w:rPr>
          <w:b w:val="0"/>
          <w:bCs/>
        </w:rPr>
        <w:t>involves</w:t>
      </w:r>
      <w:r w:rsidR="326765F3" w:rsidRPr="00F70D52">
        <w:rPr>
          <w:b w:val="0"/>
          <w:bCs/>
        </w:rPr>
        <w:t xml:space="preserve"> </w:t>
      </w:r>
      <w:r w:rsidR="5322E679" w:rsidRPr="00F70D52">
        <w:rPr>
          <w:b w:val="0"/>
          <w:bCs/>
        </w:rPr>
        <w:t xml:space="preserve">multiple trade-offs </w:t>
      </w:r>
      <w:r w:rsidR="6B226298" w:rsidRPr="00F70D52">
        <w:rPr>
          <w:b w:val="0"/>
          <w:bCs/>
        </w:rPr>
        <w:t xml:space="preserve">and </w:t>
      </w:r>
      <w:r w:rsidR="0AD72B4F" w:rsidRPr="00F70D52">
        <w:rPr>
          <w:b w:val="0"/>
          <w:bCs/>
        </w:rPr>
        <w:t xml:space="preserve">the </w:t>
      </w:r>
      <w:r w:rsidR="326765F3" w:rsidRPr="00F70D52">
        <w:rPr>
          <w:b w:val="0"/>
          <w:bCs/>
        </w:rPr>
        <w:t>consider</w:t>
      </w:r>
      <w:r w:rsidR="0AD72B4F" w:rsidRPr="00F70D52">
        <w:rPr>
          <w:b w:val="0"/>
          <w:bCs/>
        </w:rPr>
        <w:t>ation of</w:t>
      </w:r>
      <w:r w:rsidR="326765F3" w:rsidRPr="00F70D52">
        <w:rPr>
          <w:b w:val="0"/>
          <w:bCs/>
        </w:rPr>
        <w:t xml:space="preserve"> social</w:t>
      </w:r>
      <w:r w:rsidR="4859769F" w:rsidRPr="00F70D52">
        <w:rPr>
          <w:b w:val="0"/>
          <w:bCs/>
        </w:rPr>
        <w:t>, technological</w:t>
      </w:r>
      <w:r w:rsidR="00896CEC">
        <w:rPr>
          <w:b w:val="0"/>
          <w:bCs/>
        </w:rPr>
        <w:t xml:space="preserve"> and</w:t>
      </w:r>
      <w:r w:rsidR="326765F3" w:rsidRPr="00F70D52">
        <w:rPr>
          <w:b w:val="0"/>
          <w:bCs/>
        </w:rPr>
        <w:t xml:space="preserve"> ecological contexts and risks </w:t>
      </w:r>
      <w:r w:rsidR="00C14761" w:rsidRPr="00EA1CE6">
        <w:rPr>
          <w:b w:val="0"/>
          <w:bCs/>
        </w:rPr>
        <w:fldChar w:fldCharType="begin"/>
      </w:r>
      <w:r w:rsidR="00C14761" w:rsidRPr="00EA1CE6">
        <w:rPr>
          <w:b w:val="0"/>
          <w:bCs/>
        </w:rPr>
        <w:instrText xml:space="preserve"> ADDIN EN.CITE &lt;EndNote&gt;&lt;Cite&gt;&lt;Author&gt;Lubell&lt;/Author&gt;&lt;Year&gt;2017&lt;/Year&gt;&lt;RecNum&gt;15&lt;/RecNum&gt;&lt;DisplayText&gt;(Lubell, Jasny et al. 2017)&lt;/DisplayText&gt;&lt;record&gt;&lt;rec-number&gt;27&lt;/rec-number&gt;&lt;foreign-keys&gt;&lt;key app="EN" db-id="0d55paxdcvwpebe55d1vrz5ne2pattprarta" timestamp="1597992733"&gt;27&lt;/key&gt;&lt;/foreign-keys&gt;&lt;ref-type name="Journal Article"&gt;17&lt;/ref-type&gt;&lt;contributors&gt;&lt;authors&gt;&lt;author&gt;Lubell, Mark&lt;/author&gt;&lt;author&gt;Jasny, Lorien&lt;/author&gt;&lt;author&gt;Hastings, Alan&lt;/author&gt;&lt;/authors&gt;&lt;/contributors&gt;&lt;titles&gt;&lt;title&gt;Network Governance for Invasive Species Management&lt;/title&gt;&lt;secondary-title&gt;Conservation Letters&lt;/secondary-title&gt;&lt;/titles&gt;&lt;periodical&gt;&lt;full-title&gt;Conservation Letters&lt;/full-title&gt;&lt;/periodical&gt;&lt;pages&gt;699-707&lt;/pages&gt;&lt;volume&gt;10&lt;/volume&gt;&lt;number&gt;6&lt;/number&gt;&lt;dates&gt;&lt;year&gt;2017&lt;/year&gt;&lt;pub-dates&gt;&lt;date&gt;Nov-Dec&lt;/date&gt;&lt;/pub-dates&gt;&lt;/dates&gt;&lt;isbn&gt;1755-263X&lt;/isbn&gt;&lt;accession-num&gt;WOS:000417917800006&lt;/accession-num&gt;&lt;urls&gt;&lt;related-urls&gt;&lt;url&gt;&amp;lt;Go to ISI&amp;gt;://WOS:000417917800006&lt;/url&gt;&lt;/related-urls&gt;&lt;/urls&gt;&lt;electronic-resource-num&gt;10.1111/conl.12311&lt;/electronic-resource-num&gt;&lt;/record&gt;&lt;/Cite&gt;&lt;/EndNote&gt;</w:instrText>
      </w:r>
      <w:r w:rsidR="00C14761" w:rsidRPr="00EA1CE6">
        <w:rPr>
          <w:b w:val="0"/>
          <w:bCs/>
        </w:rPr>
        <w:fldChar w:fldCharType="separate"/>
      </w:r>
      <w:r w:rsidR="00DA3438" w:rsidRPr="00EA1CE6">
        <w:rPr>
          <w:b w:val="0"/>
          <w:bCs/>
        </w:rPr>
        <w:fldChar w:fldCharType="begin"/>
      </w:r>
      <w:r w:rsidR="0006613E">
        <w:rPr>
          <w:b w:val="0"/>
          <w:bCs/>
        </w:rPr>
        <w:instrText xml:space="preserve"> ADDIN ZOTERO_ITEM CSL_CITATION {"citationID":"a17eao23ssh","properties":{"formattedCitation":"(Lubell et al., 2017)","plainCitation":"(Lubell et al., 2017)","noteIndex":0},"citationItems":[{"id":29543,"uris":["http://zotero.org/groups/2352922/items/ZEAPGNJU"],"itemData":{"id":29543,"type":"article-journal","container-title":"Conservation Letters","DOI":"10.1111/conl.12311","ISSN":"1755-263X, 1755-263X","issue":"6","journalAbbreviation":"CONSERVATION LETTERS","language":"en","page":"699-707","source":"DOI.org (Crossref)","title":"Network Governance for Invasive Species Management","URL":"https://onlinelibrary.wiley.com/doi/10.1111/conl.12311","volume":"10","author":[{"family":"Lubell","given":"Mark"},{"family":"Jasny","given":"Lorien"},{"family":"Hastings","given":"Alan"}],"accessed":{"date-parts":[["2021",8,3]]},"issued":{"date-parts":[["2017",11]]}},"label":"page"}],"schema":"https://github.com/citation-style-language/schema/raw/master/csl-citation.json"} </w:instrText>
      </w:r>
      <w:r w:rsidR="00DA3438" w:rsidRPr="00EA1CE6">
        <w:rPr>
          <w:b w:val="0"/>
          <w:bCs/>
        </w:rPr>
        <w:fldChar w:fldCharType="separate"/>
      </w:r>
      <w:r w:rsidR="00EA1CE6" w:rsidRPr="00F32369">
        <w:rPr>
          <w:b w:val="0"/>
        </w:rPr>
        <w:t>(Lubell et al., 2017)</w:t>
      </w:r>
      <w:r w:rsidR="00DA3438" w:rsidRPr="00EA1CE6">
        <w:rPr>
          <w:b w:val="0"/>
          <w:bCs/>
        </w:rPr>
        <w:fldChar w:fldCharType="end"/>
      </w:r>
      <w:r w:rsidR="00C14761" w:rsidRPr="00EA1CE6">
        <w:rPr>
          <w:b w:val="0"/>
          <w:bCs/>
        </w:rPr>
        <w:fldChar w:fldCharType="end"/>
      </w:r>
      <w:r w:rsidR="326765F3" w:rsidRPr="00EA1CE6">
        <w:rPr>
          <w:b w:val="0"/>
          <w:bCs/>
        </w:rPr>
        <w:t xml:space="preserve"> </w:t>
      </w:r>
      <w:r w:rsidR="326765F3" w:rsidRPr="00F70D52">
        <w:rPr>
          <w:b w:val="0"/>
          <w:bCs/>
        </w:rPr>
        <w:t xml:space="preserve">across all levels of governance </w:t>
      </w:r>
      <w:r w:rsidR="00C14761" w:rsidRPr="0052397B">
        <w:rPr>
          <w:b w:val="0"/>
          <w:bCs/>
        </w:rPr>
        <w:fldChar w:fldCharType="begin">
          <w:fldData xml:space="preserve">PEVuZE5vdGU+PENpdGU+PEF1dGhvcj5SaWxleTwvQXV0aG9yPjxZZWFyPjIwMTI8L1llYXI+PFJl
Y051bT40OTE1NjwvUmVjTnVtPjxEaXNwbGF5VGV4dD4oUmlsZXkgMjAxMiwgTGFuc2luaywgU2No
dXQgZXQgYWwuIDIwMTgpPC9EaXNwbGF5VGV4dD48cmVjb3JkPjxyZWMtbnVtYmVyPjQ5MTU2PC9y
ZWMtbnVtYmVyPjxmb3JlaWduLWtleXM+PGtleSBhcHA9IkVOIiBkYi1pZD0iYXd4OXJhZGRyMHh4
MmhldjA1cnhyMHowNXdlZXB3cHQwZmV4IiB0aW1lc3RhbXA9IjE1ODE0OTczMjAiPjQ5MTU2PC9r
ZXk+PC9mb3JlaWduLWtleXM+PHJlZi10eXBlIG5hbWU9IkpvdXJuYWwgQXJ0aWNsZSI+MTc8L3Jl
Zi10eXBlPjxjb250cmlidXRvcnM+PGF1dGhvcnM+PGF1dGhvcj5SaWxleSwgU29waGllPC9hdXRo
b3I+PC9hdXRob3JzPjwvY29udHJpYnV0b3JzPjx0aXRsZXM+PHRpdGxlPkxhdyBpcyBvcmRlciwg
YW5kIGdvb2QgbGF3IGlzIGdvb2Qgb3JkZXI6IFRoZSByb2xlIG9mIGdvdmVybmFuY2UgaW4gdGhl
IHJlZ3VsYXRpb24gb2YgaW52YXNpdmUgYWxpZW4gc3BlY2llczwvdGl0bGU+PHNlY29uZGFyeS10
aXRsZT5FbnZpcm9ubWVudGFsIGFuZCBQbGFubmluZyBMYXcgSm91cm5hbDwvc2Vjb25kYXJ5LXRp
dGxlPjwvdGl0bGVzPjxwZXJpb2RpY2FsPjxmdWxsLXRpdGxlPkVudmlyb25tZW50YWwgYW5kIHBs
YW5uaW5nIGxhdyBqb3VybmFsPC9mdWxsLXRpdGxlPjxhYmJyLTE+RW52aXJvbi4gUGxhbi4gTGF3
IEouPC9hYmJyLTE+PGFiYnItMj5FbnZpcm9uIFBsYW4gTGF3IEo8L2FiYnItMj48L3BlcmlvZGlj
YWw+PHZvbHVtZT4yOTwvdm9sdW1lPjxudW1iZXI+MTwvbnVtYmVyPjxkYXRlcz48eWVhcj4yMDEy
PC95ZWFyPjxwdWItZGF0ZXM+PGRhdGU+MjAxMjwvZGF0ZT48L3B1Yi1kYXRlcz48L2RhdGVzPjxp
c2JuPjA4MTMtMzAwWDwvaXNibj48YWNjZXNzaW9uLW51bT5XT1M6MDAwMjEzNzI1MjAwMDAyPC9h
Y2Nlc3Npb24tbnVtPjx1cmxzPjxyZWxhdGVkLXVybHM+PHVybD4mbHQ7R28gdG8gSVNJJmd0Ozov
L1dPUzowMDAyMTM3MjUyMDAwMDI8L3VybD48L3JlbGF0ZWQtdXJscz48L3VybHM+PGN1c3RvbTc+
VW5zcCAxNjwvY3VzdG9tNz48L3JlY29yZD48L0NpdGU+PENpdGU+PEF1dGhvcj5MYW5zaW5rPC9B
dXRob3I+PFllYXI+MjAxODwvWWVhcj48UmVjTnVtPjQ5MDU0PC9SZWNOdW0+PHJlY29yZD48cmVj
LW51bWJlcj40OTA1NDwvcmVjLW51bWJlcj48Zm9yZWlnbi1rZXlzPjxrZXkgYXBwPSJFTiIgZGIt
aWQ9ImF3eDlyYWRkcjB4eDJoZXYwNXJ4cjB6MDV3ZWVwd3B0MGZleCIgdGltZXN0YW1wPSIxNTgx
NDk3MzIwIj40OTA1NDwva2V5PjwvZm9yZWlnbi1rZXlzPjxyZWYtdHlwZSBuYW1lPSJKb3VybmFs
IEFydGljbGUiPjE3PC9yZWYtdHlwZT48Y29udHJpYnV0b3JzPjxhdXRob3JzPjxhdXRob3I+TGFu
c2luaywgQWxmb25zIE91ZGU8L2F1dGhvcj48YXV0aG9yPlNjaHV0LCBNYXJjPC9hdXRob3I+PGF1
dGhvcj5LYW1hbmRhLCBKb3NleTwvYXV0aG9yPjxhdXRob3I+S2xlcmt4LCBMYXVyZW5zPC9hdXRo
b3I+PC9hdXRob3JzPjwvY29udHJpYnV0b3JzPjx0aXRsZXM+PHRpdGxlPkEgbXVsdGktbGV2ZWwg
YW5kIG11bHRpLWFjdG9yIGFwcHJvYWNoIHRvIHJpc2sgZ292ZXJuYW5jZTogYSBjb25jZXB0dWFs
IGZyYW1ld29yayB0byBzdXBwb3J0IHBvbGljeSBkZXZlbG9wbWVudCBmb3IgQW1icm9zaWEgd2Vl
ZCBjb250cm9sPC90aXRsZT48c2Vjb25kYXJ5LXRpdGxlPkpvdXJuYWwgb2YgUmlzayBSZXNlYXJj
aDwvc2Vjb25kYXJ5LXRpdGxlPjwvdGl0bGVzPjxwZXJpb2RpY2FsPjxmdWxsLXRpdGxlPkpvdXJu
YWwgb2YgUmlzayBSZXNlYXJjaDwvZnVsbC10aXRsZT48YWJici0xPkouIFJpc2sgUmVzLjwvYWJi
ci0xPjxhYmJyLTI+SiBSaXNrIFJlczwvYWJici0yPjwvcGVyaW9kaWNhbD48cGFnZXM+NzgwLTc5
OTwvcGFnZXM+PHZvbHVtZT4yMTwvdm9sdW1lPjxudW1iZXI+NjwvbnVtYmVyPjxkYXRlcz48eWVh
cj4yMDE4PC95ZWFyPjxwdWItZGF0ZXM+PGRhdGU+MjAxODwvZGF0ZT48L3B1Yi1kYXRlcz48L2Rh
dGVzPjxpc2JuPjEzNjYtOTg3NzwvaXNibj48YWNjZXNzaW9uLW51bT5XT1M6MDAwNDMzOTg3MzAw
MDA3PC9hY2Nlc3Npb24tbnVtPjx1cmxzPjxyZWxhdGVkLXVybHM+PHVybD4mbHQ7R28gdG8gSVNJ
Jmd0OzovL1dPUzowMDA0MzM5ODczMDAwMDc8L3VybD48L3JlbGF0ZWQtdXJscz48L3VybHM+PGVs
ZWN0cm9uaWMtcmVzb3VyY2UtbnVtPjEwLjEwODAvMTM2Njk4NzcuMjAxNi4xMjQ3Mzc2PC9lbGVj
dHJvbmljLXJlc291cmNlLW51bT48L3JlY29yZD48L0NpdGU+PC9FbmROb3RlPn==
</w:fldData>
        </w:fldChar>
      </w:r>
      <w:r w:rsidR="00C14761" w:rsidRPr="00F70D52">
        <w:rPr>
          <w:b w:val="0"/>
          <w:bCs/>
        </w:rPr>
        <w:instrText xml:space="preserve"> ADDIN EN.CITE </w:instrText>
      </w:r>
      <w:r w:rsidR="00C14761" w:rsidRPr="0052397B">
        <w:rPr>
          <w:b w:val="0"/>
          <w:bCs/>
        </w:rPr>
        <w:fldChar w:fldCharType="begin">
          <w:fldData xml:space="preserve">PEVuZE5vdGU+PENpdGU+PEF1dGhvcj5SaWxleTwvQXV0aG9yPjxZZWFyPjIwMTI8L1llYXI+PFJl
Y051bT40OTE1NjwvUmVjTnVtPjxEaXNwbGF5VGV4dD4oUmlsZXkgMjAxMiwgTGFuc2luaywgU2No
dXQgZXQgYWwuIDIwMTgpPC9EaXNwbGF5VGV4dD48cmVjb3JkPjxyZWMtbnVtYmVyPjQ5MTU2PC9y
ZWMtbnVtYmVyPjxmb3JlaWduLWtleXM+PGtleSBhcHA9IkVOIiBkYi1pZD0iYXd4OXJhZGRyMHh4
MmhldjA1cnhyMHowNXdlZXB3cHQwZmV4IiB0aW1lc3RhbXA9IjE1ODE0OTczMjAiPjQ5MTU2PC9r
ZXk+PC9mb3JlaWduLWtleXM+PHJlZi10eXBlIG5hbWU9IkpvdXJuYWwgQXJ0aWNsZSI+MTc8L3Jl
Zi10eXBlPjxjb250cmlidXRvcnM+PGF1dGhvcnM+PGF1dGhvcj5SaWxleSwgU29waGllPC9hdXRo
b3I+PC9hdXRob3JzPjwvY29udHJpYnV0b3JzPjx0aXRsZXM+PHRpdGxlPkxhdyBpcyBvcmRlciwg
YW5kIGdvb2QgbGF3IGlzIGdvb2Qgb3JkZXI6IFRoZSByb2xlIG9mIGdvdmVybmFuY2UgaW4gdGhl
IHJlZ3VsYXRpb24gb2YgaW52YXNpdmUgYWxpZW4gc3BlY2llczwvdGl0bGU+PHNlY29uZGFyeS10
aXRsZT5FbnZpcm9ubWVudGFsIGFuZCBQbGFubmluZyBMYXcgSm91cm5hbDwvc2Vjb25kYXJ5LXRp
dGxlPjwvdGl0bGVzPjxwZXJpb2RpY2FsPjxmdWxsLXRpdGxlPkVudmlyb25tZW50YWwgYW5kIHBs
YW5uaW5nIGxhdyBqb3VybmFsPC9mdWxsLXRpdGxlPjxhYmJyLTE+RW52aXJvbi4gUGxhbi4gTGF3
IEouPC9hYmJyLTE+PGFiYnItMj5FbnZpcm9uIFBsYW4gTGF3IEo8L2FiYnItMj48L3BlcmlvZGlj
YWw+PHZvbHVtZT4yOTwvdm9sdW1lPjxudW1iZXI+MTwvbnVtYmVyPjxkYXRlcz48eWVhcj4yMDEy
PC95ZWFyPjxwdWItZGF0ZXM+PGRhdGU+MjAxMjwvZGF0ZT48L3B1Yi1kYXRlcz48L2RhdGVzPjxp
c2JuPjA4MTMtMzAwWDwvaXNibj48YWNjZXNzaW9uLW51bT5XT1M6MDAwMjEzNzI1MjAwMDAyPC9h
Y2Nlc3Npb24tbnVtPjx1cmxzPjxyZWxhdGVkLXVybHM+PHVybD4mbHQ7R28gdG8gSVNJJmd0Ozov
L1dPUzowMDAyMTM3MjUyMDAwMDI8L3VybD48L3JlbGF0ZWQtdXJscz48L3VybHM+PGN1c3RvbTc+
VW5zcCAxNjwvY3VzdG9tNz48L3JlY29yZD48L0NpdGU+PENpdGU+PEF1dGhvcj5MYW5zaW5rPC9B
dXRob3I+PFllYXI+MjAxODwvWWVhcj48UmVjTnVtPjQ5MDU0PC9SZWNOdW0+PHJlY29yZD48cmVj
LW51bWJlcj40OTA1NDwvcmVjLW51bWJlcj48Zm9yZWlnbi1rZXlzPjxrZXkgYXBwPSJFTiIgZGIt
aWQ9ImF3eDlyYWRkcjB4eDJoZXYwNXJ4cjB6MDV3ZWVwd3B0MGZleCIgdGltZXN0YW1wPSIxNTgx
NDk3MzIwIj40OTA1NDwva2V5PjwvZm9yZWlnbi1rZXlzPjxyZWYtdHlwZSBuYW1lPSJKb3VybmFs
IEFydGljbGUiPjE3PC9yZWYtdHlwZT48Y29udHJpYnV0b3JzPjxhdXRob3JzPjxhdXRob3I+TGFu
c2luaywgQWxmb25zIE91ZGU8L2F1dGhvcj48YXV0aG9yPlNjaHV0LCBNYXJjPC9hdXRob3I+PGF1
dGhvcj5LYW1hbmRhLCBKb3NleTwvYXV0aG9yPjxhdXRob3I+S2xlcmt4LCBMYXVyZW5zPC9hdXRo
b3I+PC9hdXRob3JzPjwvY29udHJpYnV0b3JzPjx0aXRsZXM+PHRpdGxlPkEgbXVsdGktbGV2ZWwg
YW5kIG11bHRpLWFjdG9yIGFwcHJvYWNoIHRvIHJpc2sgZ292ZXJuYW5jZTogYSBjb25jZXB0dWFs
IGZyYW1ld29yayB0byBzdXBwb3J0IHBvbGljeSBkZXZlbG9wbWVudCBmb3IgQW1icm9zaWEgd2Vl
ZCBjb250cm9sPC90aXRsZT48c2Vjb25kYXJ5LXRpdGxlPkpvdXJuYWwgb2YgUmlzayBSZXNlYXJj
aDwvc2Vjb25kYXJ5LXRpdGxlPjwvdGl0bGVzPjxwZXJpb2RpY2FsPjxmdWxsLXRpdGxlPkpvdXJu
YWwgb2YgUmlzayBSZXNlYXJjaDwvZnVsbC10aXRsZT48YWJici0xPkouIFJpc2sgUmVzLjwvYWJi
ci0xPjxhYmJyLTI+SiBSaXNrIFJlczwvYWJici0yPjwvcGVyaW9kaWNhbD48cGFnZXM+NzgwLTc5
OTwvcGFnZXM+PHZvbHVtZT4yMTwvdm9sdW1lPjxudW1iZXI+NjwvbnVtYmVyPjxkYXRlcz48eWVh
cj4yMDE4PC95ZWFyPjxwdWItZGF0ZXM+PGRhdGU+MjAxODwvZGF0ZT48L3B1Yi1kYXRlcz48L2Rh
dGVzPjxpc2JuPjEzNjYtOTg3NzwvaXNibj48YWNjZXNzaW9uLW51bT5XT1M6MDAwNDMzOTg3MzAw
MDA3PC9hY2Nlc3Npb24tbnVtPjx1cmxzPjxyZWxhdGVkLXVybHM+PHVybD4mbHQ7R28gdG8gSVNJ
Jmd0OzovL1dPUzowMDA0MzM5ODczMDAwMDc8L3VybD48L3JlbGF0ZWQtdXJscz48L3VybHM+PGVs
ZWN0cm9uaWMtcmVzb3VyY2UtbnVtPjEwLjEwODAvMTM2Njk4NzcuMjAxNi4xMjQ3Mzc2PC9lbGVj
dHJvbmljLXJlc291cmNlLW51bT48L3JlY29yZD48L0NpdGU+PC9FbmROb3RlPn==
</w:fldData>
        </w:fldChar>
      </w:r>
      <w:r w:rsidR="00C14761" w:rsidRPr="00F70D52">
        <w:rPr>
          <w:b w:val="0"/>
          <w:bCs/>
        </w:rPr>
        <w:instrText xml:space="preserve"> ADDIN EN.CITE.DATA </w:instrText>
      </w:r>
      <w:r w:rsidR="00C14761" w:rsidRPr="0052397B">
        <w:rPr>
          <w:b w:val="0"/>
          <w:bCs/>
        </w:rPr>
      </w:r>
      <w:r w:rsidR="00C14761" w:rsidRPr="0052397B">
        <w:rPr>
          <w:b w:val="0"/>
          <w:bCs/>
        </w:rPr>
        <w:fldChar w:fldCharType="end"/>
      </w:r>
      <w:r w:rsidR="00C14761" w:rsidRPr="0052397B">
        <w:rPr>
          <w:b w:val="0"/>
          <w:bCs/>
        </w:rPr>
      </w:r>
      <w:r w:rsidR="00C14761" w:rsidRPr="0052397B">
        <w:rPr>
          <w:b w:val="0"/>
          <w:bCs/>
        </w:rPr>
        <w:fldChar w:fldCharType="separate"/>
      </w:r>
      <w:r w:rsidR="00DA3438" w:rsidRPr="0052397B">
        <w:rPr>
          <w:b w:val="0"/>
          <w:bCs/>
        </w:rPr>
        <w:fldChar w:fldCharType="begin"/>
      </w:r>
      <w:r w:rsidR="0006613E">
        <w:rPr>
          <w:b w:val="0"/>
          <w:bCs/>
        </w:rPr>
        <w:instrText xml:space="preserve"> ADDIN ZOTERO_ITEM CSL_CITATION {"citationID":"a1ic5jt5me9","properties":{"formattedCitation":"\\uldash{(Lansink et al., 2018; Riley, 2012)}","plainCitation":"(Lansink et al., 2018; Riley, 2012)","dontUpdate":true,"noteIndex":0},"citationItems":[{"id":53409,"uris":["http://zotero.org/groups/2352922/items/XS3NCSK5"],"itemData":{"id":53409,"type":"article-journal","abstract":"Invasive species such as Ambrosia (an annual weed) pose a biosecurity risk whose management depends on the knowledge, attitudes and practices of many stakeholders. It can therefore be considered a complex policy and risk governance problem. Complex policy problems are characterised by high uncertainty, multiple dimensions, interactions across different spatial and policy levels, and the involvement of a multitude of actors and organisations. This paper provides a conceptual framework for analysing the multi-level and multi-actor dimensions of Ambrosia management. Potential and existing public, private and public–private management strategies are identified to address the interests and needs of different actor groups across different levels. We conclude that policies that promote a mix of public and private Ambrosia management strategies may respond better to the needs and interests of different actor groups across different levels than a one-size-fits-all approach. However, multiple policy strategies need to be aligned in order to lead to synergies and spreading coherent messages to the public. Collaboration may enhance the likelihood of biosecurity management and risk governance of Ambrosia being adequately implemented and enforced.","container-title":"Journal of Risk Research","DOI":"10.1080/13669877.2016.1247376","ISSN":"1366-9877","issue":"6","journalAbbreviation":"Journal of Risk Research","language":"en","page":"780-799","title":"A multi-level and multi-actor approach to risk governance: a conceptual framework to support policy development for Ambrosia weed control","URL":"https://doi.org/10.1080/13669877.2016.1247376","volume":"21","author":[{"family":"Lansink","given":"Alfons Oude"},{"family":"Schut","given":"Marc"},{"family":"Kamanda","given":"Josey"},{"family":"Klerkx","given":"Laurens"}],"issued":{"date-parts":[["2018"]]}},"label":"page"},{"id":24138,"uris":["http://zotero.org/groups/2352922/items/3MLHJ4IF"],"itemData":{"id":24138,"type":"article-journal","abstract":"In Australia, invasive alien species (IAS) are the second largest threat to biodiversity after loss of habitat. International obligations provide that Australia should prevent the introduction of, or control or eradicate those alien species that threaten ecosystems, habitats or species. Yet, designing and implementing effective IAS regimes remains elusive. It is a multidimensional exercise that engages a variety of actors across all levels of government. The purpose of this paper is to examine complications stemming from governance of IAS regimes in federal systems where law-making power is shared.","container-title":"Environmental and planning law journal","DOI":"10.3316/agispt.20121130","ISSN":"0813-300X","issue":"1","journalAbbreviation":"Environ. Plan. Law J.","language":"en","page":"16–44","title":"Law is order, and good law is good order: The role of governance in the regulation of invasive alien species","URL":"https://search.informit.org/doi/10.3316/agispt.20121130","volume":"29","author":[{"family":"Riley","given":"Sophie"}],"issued":{"date-parts":[["2012"]]}},"label":"page"}],"schema":"https://github.com/citation-style-language/schema/raw/master/csl-citation.json"} </w:instrText>
      </w:r>
      <w:r w:rsidR="00DA3438" w:rsidRPr="0052397B">
        <w:rPr>
          <w:b w:val="0"/>
          <w:bCs/>
        </w:rPr>
        <w:fldChar w:fldCharType="separate"/>
      </w:r>
      <w:r w:rsidR="00450BB7" w:rsidRPr="00F70D52">
        <w:rPr>
          <w:b w:val="0"/>
        </w:rPr>
        <w:t>(Lansink et al., 2018; Riley, 2012</w:t>
      </w:r>
      <w:r w:rsidR="00DA3438" w:rsidRPr="0052397B">
        <w:rPr>
          <w:b w:val="0"/>
          <w:bCs/>
        </w:rPr>
        <w:fldChar w:fldCharType="end"/>
      </w:r>
      <w:r w:rsidR="00C14761" w:rsidRPr="0052397B">
        <w:rPr>
          <w:b w:val="0"/>
          <w:bCs/>
        </w:rPr>
        <w:fldChar w:fldCharType="end"/>
      </w:r>
      <w:r w:rsidR="00450BB7" w:rsidRPr="00F70D52">
        <w:rPr>
          <w:b w:val="0"/>
          <w:bCs/>
        </w:rPr>
        <w:t>;</w:t>
      </w:r>
      <w:r w:rsidR="65086D2F" w:rsidRPr="00F70D52">
        <w:rPr>
          <w:b w:val="0"/>
          <w:bCs/>
        </w:rPr>
        <w:t xml:space="preserve"> </w:t>
      </w:r>
      <w:r w:rsidR="65086D2F" w:rsidRPr="00673554">
        <w:rPr>
          <w:bCs/>
          <w:iCs/>
        </w:rPr>
        <w:t>Figure 6.7</w:t>
      </w:r>
      <w:r w:rsidR="65086D2F" w:rsidRPr="00F70D52">
        <w:rPr>
          <w:b w:val="0"/>
          <w:bCs/>
        </w:rPr>
        <w:t>)</w:t>
      </w:r>
      <w:r w:rsidR="326765F3" w:rsidRPr="00F70D52">
        <w:rPr>
          <w:b w:val="0"/>
          <w:bCs/>
        </w:rPr>
        <w:t>.</w:t>
      </w:r>
    </w:p>
    <w:p w14:paraId="561A53D0" w14:textId="3B77B607" w:rsidR="00AE0C88" w:rsidRPr="00673554" w:rsidRDefault="5FE6B580" w:rsidP="00585D0E">
      <w:pPr>
        <w:pStyle w:val="Heading5"/>
        <w:rPr>
          <w:bCs/>
          <w:iCs/>
        </w:rPr>
      </w:pPr>
      <w:bookmarkStart w:id="116" w:name="_Toc43321260"/>
      <w:r w:rsidRPr="00A9434B">
        <w:t xml:space="preserve">(2) </w:t>
      </w:r>
      <w:bookmarkStart w:id="117" w:name="_Toc75698962"/>
      <w:r w:rsidRPr="00A9434B">
        <w:t>Uncertainty</w:t>
      </w:r>
      <w:bookmarkEnd w:id="116"/>
      <w:bookmarkEnd w:id="117"/>
      <w:r w:rsidRPr="00A9434B">
        <w:t xml:space="preserve"> </w:t>
      </w:r>
      <w:bookmarkStart w:id="118" w:name="_Hlk43217625"/>
      <w:r w:rsidR="00AC1E3E" w:rsidRPr="00A9434B">
        <w:br/>
      </w:r>
      <w:r w:rsidRPr="00A9434B">
        <w:rPr>
          <w:b w:val="0"/>
          <w:bCs/>
        </w:rPr>
        <w:t xml:space="preserve">A high degree of uncertainty is associated with the </w:t>
      </w:r>
      <w:r w:rsidR="7247CCB2" w:rsidRPr="00A9434B">
        <w:rPr>
          <w:b w:val="0"/>
          <w:bCs/>
        </w:rPr>
        <w:t xml:space="preserve">biological </w:t>
      </w:r>
      <w:r w:rsidRPr="00A9434B">
        <w:rPr>
          <w:b w:val="0"/>
          <w:bCs/>
        </w:rPr>
        <w:t>invasion process because many species are involved and the likelihood of any species invading is determined by a combination of multiple biological, driver</w:t>
      </w:r>
      <w:r w:rsidR="00896CEC">
        <w:rPr>
          <w:b w:val="0"/>
          <w:bCs/>
        </w:rPr>
        <w:t xml:space="preserve"> and</w:t>
      </w:r>
      <w:r w:rsidRPr="00A9434B">
        <w:rPr>
          <w:b w:val="0"/>
          <w:bCs/>
        </w:rPr>
        <w:t xml:space="preserve"> pathway characteristics </w:t>
      </w:r>
      <w:r w:rsidR="00AE0C88" w:rsidRPr="00A9434B">
        <w:rPr>
          <w:b w:val="0"/>
          <w:bCs/>
          <w:i/>
          <w:iCs/>
        </w:rPr>
        <w:fldChar w:fldCharType="begin">
          <w:fldData xml:space="preserve">PEVuZE5vdGU+PENpdGU+PEF1dGhvcj5Db29uZXk8L0F1dGhvcj48WWVhcj4yMDA3PC9ZZWFyPjxS
ZWNOdW0+NDkxODQ8L1JlY051bT48RGlzcGxheVRleHQ+KENvb25leSBhbmQgTGFuZyAyMDA3LCBV
ZG92eWsgYW5kIEdpbGVrIDIwMTMpPC9EaXNwbGF5VGV4dD48cmVjb3JkPjxyZWMtbnVtYmVyPjQ5
MTg0PC9yZWMtbnVtYmVyPjxmb3JlaWduLWtleXM+PGtleSBhcHA9IkVOIiBkYi1pZD0iYXd4OXJh
ZGRyMHh4MmhldjA1cnhyMHowNXdlZXB3cHQwZmV4IiB0aW1lc3RhbXA9IjE1ODE0OTczMjAiPjQ5
MTg0PC9rZXk+PC9mb3JlaWduLWtleXM+PHJlZi10eXBlIG5hbWU9IkpvdXJuYWwgQXJ0aWNsZSI+
MTc8L3JlZi10eXBlPjxjb250cmlidXRvcnM+PGF1dGhvcnM+PGF1dGhvcj5Db29uZXksIFJvc2ll
PC9hdXRob3I+PGF1dGhvcj5MYW5nLCBBbmRyZXcgVC4gRi48L2F1dGhvcj48L2F1dGhvcnM+PC9j
b250cmlidXRvcnM+PHRpdGxlcz48dGl0bGU+VGFraW5nIHVuY2VydGFpbnR5IHNlcmlvdXNseTog
QWRhcHRpdmUgZ292ZXJuYW5jZSBhbmQgaW50ZXJuYXRpb25hbCB0cmFkZTwvdGl0bGU+PHNlY29u
ZGFyeS10aXRsZT5FdXJvcGVhbiBKb3VybmFsIG9mIEludGVybmF0aW9uYWwgTGF3PC9zZWNvbmRh
cnktdGl0bGU+PC90aXRsZXM+PHBlcmlvZGljYWw+PGZ1bGwtdGl0bGU+RXVyb3BlYW4gam91cm5h
bCBvZiBpbnRlcm5hdGlvbmFsIGxhdzwvZnVsbC10aXRsZT48YWJici0xPkV1ci4gSi4gSW50LiBM
YXc8L2FiYnItMT48YWJici0yPkV1ciBKIEludCBMYXc8L2FiYnItMj48L3BlcmlvZGljYWw+PHBh
Z2VzPjUyMy01NTE8L3BhZ2VzPjx2b2x1bWU+MTg8L3ZvbHVtZT48bnVtYmVyPjM8L251bWJlcj48
ZGF0ZXM+PHllYXI+MjAwNzwveWVhcj48cHViLWRhdGVzPjxkYXRlPkp1bjwvZGF0ZT48L3B1Yi1k
YXRlcz48L2RhdGVzPjxpc2JuPjA5MzgtNTQyODwvaXNibj48YWNjZXNzaW9uLW51bT5XT1M6MDAw
MjUxMTY2ODAwMDA2PC9hY2Nlc3Npb24tbnVtPjx1cmxzPjxyZWxhdGVkLXVybHM+PHVybD4mbHQ7
R28gdG8gSVNJJmd0OzovL1dPUzowMDAyNTExNjY4MDAwMDY8L3VybD48L3JlbGF0ZWQtdXJscz48
L3VybHM+PGVsZWN0cm9uaWMtcmVzb3VyY2UtbnVtPjEwLjEwOTMvZWppbC9jaG0wMzA8L2VsZWN0
cm9uaWMtcmVzb3VyY2UtbnVtPjwvcmVjb3JkPjwvQ2l0ZT48Q2l0ZT48QXV0aG9yPlVkb3Z5azwv
QXV0aG9yPjxZZWFyPjIwMTM8L1llYXI+PFJlY051bT40OTE0MTwvUmVjTnVtPjxyZWNvcmQ+PHJl
Yy1udW1iZXI+NDkxNDE8L3JlYy1udW1iZXI+PGZvcmVpZ24ta2V5cz48a2V5IGFwcD0iRU4iIGRi
LWlkPSJhd3g5cmFkZHIweHgyaGV2MDVyeHIwejA1d2VlcHdwdDBmZXgiIHRpbWVzdGFtcD0iMTU4
MTQ5NzMyMCI+NDkxNDE8L2tleT48L2ZvcmVpZ24ta2V5cz48cmVmLXR5cGUgbmFtZT0iSm91cm5h
bCBBcnRpY2xlIj4xNzwvcmVmLXR5cGU+PGNvbnRyaWJ1dG9ycz48YXV0aG9ycz48YXV0aG9yPlVk
b3Z5aywgT2tzYW5hPC9hdXRob3I+PGF1dGhvcj5HaWxlaywgTWljaGFlbDwvYXV0aG9yPjwvYXV0
aG9ycz48L2NvbnRyaWJ1dG9ycz48dGl0bGVzPjx0aXRsZT5Db3Bpbmcgd2l0aCB1bmNlcnRhaW50
aWVzIGluIHNjaWVuY2UtYmFzZWQgYWR2aWNlIGluZm9ybWluZyBlbnZpcm9ubWVudGFsIG1hbmFn
ZW1lbnQgb2YgdGhlIEJhbHRpYyBTZWE8L3RpdGxlPjxzZWNvbmRhcnktdGl0bGU+RW52aXJvbm1l
bnRhbCBTY2llbmNlICZhbXA7IFBvbGljeTwvc2Vjb25kYXJ5LXRpdGxlPjwvdGl0bGVzPjxwZXJp
b2RpY2FsPjxmdWxsLXRpdGxlPkVudmlyb25tZW50YWwgU2NpZW5jZSAmYW1wOyBQb2xpY3k8L2Z1
bGwtdGl0bGU+PC9wZXJpb2RpY2FsPjxwYWdlcz4xMi0yMzwvcGFnZXM+PHZvbHVtZT4yOTwvdm9s
dW1lPjxkYXRlcz48eWVhcj4yMDEzPC95ZWFyPjxwdWItZGF0ZXM+PGRhdGU+TWF5PC9kYXRlPjwv
cHViLWRhdGVzPjwvZGF0ZXM+PGlzYm4+MTQ2Mi05MDExPC9pc2JuPjxhY2Nlc3Npb24tbnVtPldP
UzowMDAzMTg3NTQ5MDAwMDI8L2FjY2Vzc2lvbi1udW0+PHVybHM+PHJlbGF0ZWQtdXJscz48dXJs
PiZsdDtHbyB0byBJU0kmZ3Q7Oi8vV09TOjAwMDMxODc1NDkwMDAwMjwvdXJsPjwvcmVsYXRlZC11
cmxzPjwvdXJscz48ZWxlY3Ryb25pYy1yZXNvdXJjZS1udW0+MTAuMTAxNi9qLmVudnNjaS4yMDEz
LjAxLjAxNTwvZWxlY3Ryb25pYy1yZXNvdXJjZS1udW0+PC9yZWNvcmQ+PC9DaXRlPjwvRW5kTm90
ZT4A
</w:fldData>
        </w:fldChar>
      </w:r>
      <w:r w:rsidR="00AE0C88" w:rsidRPr="00A9434B">
        <w:rPr>
          <w:b w:val="0"/>
          <w:bCs/>
        </w:rPr>
        <w:instrText xml:space="preserve"> ADDIN EN.CITE </w:instrText>
      </w:r>
      <w:r w:rsidR="00AE0C88" w:rsidRPr="00A9434B">
        <w:rPr>
          <w:b w:val="0"/>
          <w:bCs/>
          <w:i/>
          <w:iCs/>
        </w:rPr>
        <w:fldChar w:fldCharType="begin">
          <w:fldData xml:space="preserve">PEVuZE5vdGU+PENpdGU+PEF1dGhvcj5Db29uZXk8L0F1dGhvcj48WWVhcj4yMDA3PC9ZZWFyPjxS
ZWNOdW0+NDkxODQ8L1JlY051bT48RGlzcGxheVRleHQ+KENvb25leSBhbmQgTGFuZyAyMDA3LCBV
ZG92eWsgYW5kIEdpbGVrIDIwMTMpPC9EaXNwbGF5VGV4dD48cmVjb3JkPjxyZWMtbnVtYmVyPjQ5
MTg0PC9yZWMtbnVtYmVyPjxmb3JlaWduLWtleXM+PGtleSBhcHA9IkVOIiBkYi1pZD0iYXd4OXJh
ZGRyMHh4MmhldjA1cnhyMHowNXdlZXB3cHQwZmV4IiB0aW1lc3RhbXA9IjE1ODE0OTczMjAiPjQ5
MTg0PC9rZXk+PC9mb3JlaWduLWtleXM+PHJlZi10eXBlIG5hbWU9IkpvdXJuYWwgQXJ0aWNsZSI+
MTc8L3JlZi10eXBlPjxjb250cmlidXRvcnM+PGF1dGhvcnM+PGF1dGhvcj5Db29uZXksIFJvc2ll
PC9hdXRob3I+PGF1dGhvcj5MYW5nLCBBbmRyZXcgVC4gRi48L2F1dGhvcj48L2F1dGhvcnM+PC9j
b250cmlidXRvcnM+PHRpdGxlcz48dGl0bGU+VGFraW5nIHVuY2VydGFpbnR5IHNlcmlvdXNseTog
QWRhcHRpdmUgZ292ZXJuYW5jZSBhbmQgaW50ZXJuYXRpb25hbCB0cmFkZTwvdGl0bGU+PHNlY29u
ZGFyeS10aXRsZT5FdXJvcGVhbiBKb3VybmFsIG9mIEludGVybmF0aW9uYWwgTGF3PC9zZWNvbmRh
cnktdGl0bGU+PC90aXRsZXM+PHBlcmlvZGljYWw+PGZ1bGwtdGl0bGU+RXVyb3BlYW4gam91cm5h
bCBvZiBpbnRlcm5hdGlvbmFsIGxhdzwvZnVsbC10aXRsZT48YWJici0xPkV1ci4gSi4gSW50LiBM
YXc8L2FiYnItMT48YWJici0yPkV1ciBKIEludCBMYXc8L2FiYnItMj48L3BlcmlvZGljYWw+PHBh
Z2VzPjUyMy01NTE8L3BhZ2VzPjx2b2x1bWU+MTg8L3ZvbHVtZT48bnVtYmVyPjM8L251bWJlcj48
ZGF0ZXM+PHllYXI+MjAwNzwveWVhcj48cHViLWRhdGVzPjxkYXRlPkp1bjwvZGF0ZT48L3B1Yi1k
YXRlcz48L2RhdGVzPjxpc2JuPjA5MzgtNTQyODwvaXNibj48YWNjZXNzaW9uLW51bT5XT1M6MDAw
MjUxMTY2ODAwMDA2PC9hY2Nlc3Npb24tbnVtPjx1cmxzPjxyZWxhdGVkLXVybHM+PHVybD4mbHQ7
R28gdG8gSVNJJmd0OzovL1dPUzowMDAyNTExNjY4MDAwMDY8L3VybD48L3JlbGF0ZWQtdXJscz48
L3VybHM+PGVsZWN0cm9uaWMtcmVzb3VyY2UtbnVtPjEwLjEwOTMvZWppbC9jaG0wMzA8L2VsZWN0
cm9uaWMtcmVzb3VyY2UtbnVtPjwvcmVjb3JkPjwvQ2l0ZT48Q2l0ZT48QXV0aG9yPlVkb3Z5azwv
QXV0aG9yPjxZZWFyPjIwMTM8L1llYXI+PFJlY051bT40OTE0MTwvUmVjTnVtPjxyZWNvcmQ+PHJl
Yy1udW1iZXI+NDkxNDE8L3JlYy1udW1iZXI+PGZvcmVpZ24ta2V5cz48a2V5IGFwcD0iRU4iIGRi
LWlkPSJhd3g5cmFkZHIweHgyaGV2MDVyeHIwejA1d2VlcHdwdDBmZXgiIHRpbWVzdGFtcD0iMTU4
MTQ5NzMyMCI+NDkxNDE8L2tleT48L2ZvcmVpZ24ta2V5cz48cmVmLXR5cGUgbmFtZT0iSm91cm5h
bCBBcnRpY2xlIj4xNzwvcmVmLXR5cGU+PGNvbnRyaWJ1dG9ycz48YXV0aG9ycz48YXV0aG9yPlVk
b3Z5aywgT2tzYW5hPC9hdXRob3I+PGF1dGhvcj5HaWxlaywgTWljaGFlbDwvYXV0aG9yPjwvYXV0
aG9ycz48L2NvbnRyaWJ1dG9ycz48dGl0bGVzPjx0aXRsZT5Db3Bpbmcgd2l0aCB1bmNlcnRhaW50
aWVzIGluIHNjaWVuY2UtYmFzZWQgYWR2aWNlIGluZm9ybWluZyBlbnZpcm9ubWVudGFsIG1hbmFn
ZW1lbnQgb2YgdGhlIEJhbHRpYyBTZWE8L3RpdGxlPjxzZWNvbmRhcnktdGl0bGU+RW52aXJvbm1l
bnRhbCBTY2llbmNlICZhbXA7IFBvbGljeTwvc2Vjb25kYXJ5LXRpdGxlPjwvdGl0bGVzPjxwZXJp
b2RpY2FsPjxmdWxsLXRpdGxlPkVudmlyb25tZW50YWwgU2NpZW5jZSAmYW1wOyBQb2xpY3k8L2Z1
bGwtdGl0bGU+PC9wZXJpb2RpY2FsPjxwYWdlcz4xMi0yMzwvcGFnZXM+PHZvbHVtZT4yOTwvdm9s
dW1lPjxkYXRlcz48eWVhcj4yMDEzPC95ZWFyPjxwdWItZGF0ZXM+PGRhdGU+TWF5PC9kYXRlPjwv
cHViLWRhdGVzPjwvZGF0ZXM+PGlzYm4+MTQ2Mi05MDExPC9pc2JuPjxhY2Nlc3Npb24tbnVtPldP
UzowMDAzMTg3NTQ5MDAwMDI8L2FjY2Vzc2lvbi1udW0+PHVybHM+PHJlbGF0ZWQtdXJscz48dXJs
PiZsdDtHbyB0byBJU0kmZ3Q7Oi8vV09TOjAwMDMxODc1NDkwMDAwMjwvdXJsPjwvcmVsYXRlZC11
cmxzPjwvdXJscz48ZWxlY3Ryb25pYy1yZXNvdXJjZS1udW0+MTAuMTAxNi9qLmVudnNjaS4yMDEz
LjAxLjAxNTwvZWxlY3Ryb25pYy1yZXNvdXJjZS1udW0+PC9yZWNvcmQ+PC9DaXRlPjwvRW5kTm90
ZT4A
</w:fldData>
        </w:fldChar>
      </w:r>
      <w:r w:rsidR="00AE0C88" w:rsidRPr="00A9434B">
        <w:rPr>
          <w:b w:val="0"/>
          <w:bCs/>
        </w:rPr>
        <w:instrText xml:space="preserve"> ADDIN EN.CITE.DATA </w:instrText>
      </w:r>
      <w:r w:rsidR="00AE0C88" w:rsidRPr="00A9434B">
        <w:rPr>
          <w:b w:val="0"/>
          <w:bCs/>
          <w:i/>
          <w:iCs/>
        </w:rPr>
      </w:r>
      <w:r w:rsidR="00AE0C88" w:rsidRPr="00A9434B">
        <w:rPr>
          <w:b w:val="0"/>
          <w:bCs/>
          <w:i/>
          <w:iCs/>
        </w:rPr>
        <w:fldChar w:fldCharType="end"/>
      </w:r>
      <w:r w:rsidR="00AE0C88" w:rsidRPr="00A9434B">
        <w:rPr>
          <w:b w:val="0"/>
          <w:bCs/>
          <w:i/>
          <w:iCs/>
        </w:rPr>
      </w:r>
      <w:r w:rsidR="00AE0C88" w:rsidRPr="00A9434B">
        <w:rPr>
          <w:b w:val="0"/>
          <w:bCs/>
          <w:i/>
          <w:iCs/>
        </w:rPr>
        <w:fldChar w:fldCharType="separate"/>
      </w:r>
      <w:r w:rsidR="00AE0C88" w:rsidRPr="00A9434B">
        <w:rPr>
          <w:b w:val="0"/>
          <w:bCs/>
          <w:i/>
          <w:iCs/>
        </w:rPr>
        <w:fldChar w:fldCharType="begin"/>
      </w:r>
      <w:r w:rsidR="0006613E">
        <w:rPr>
          <w:b w:val="0"/>
          <w:bCs/>
        </w:rPr>
        <w:instrText xml:space="preserve"> ADDIN ZOTERO_ITEM CSL_CITATION {"citationID":"a18u168bvm5","properties":{"formattedCitation":"\\uldash{(Cooney &amp; Lang, 2007; Udovyk &amp; Gilek, 2013)}","plainCitation":"(Cooney &amp; Lang, 2007; Udovyk &amp; Gilek, 2013)","dontUpdate":true,"noteIndex":0},"citationItems":[{"id":23953,"uris":["http://zotero.org/groups/2352922/items/LNEIC2ZH"],"itemData":{"id":23953,"type":"article-journal","abstract":"Abstract.  The problem of uncertainty presents a major challenge for institutions of international governance. In this article we draw lessons from a variety of","container-title":"European journal of international law","DOI":"10.1093/ejil/chm030","ISSN":"0938-5428","issue":"3","journalAbbreviation":"Eur. J. Int. Law","language":"en","page":"523-551","source":"academic.oup.com","title":"Taking uncertainty seriously: Adaptive governance and international trade","title-short":"Taking Uncertainty Seriously","URL":"https://academic.oup.com/ejil/article/18/3/523/363613","volume":"18","author":[{"family":"Cooney","given":"Rosie"},{"family":"Lang","given":"Andrew T. F."}],"accessed":{"date-parts":[["2019",10,21]]},"issued":{"date-parts":[["2007",6]]}},"label":"page"},{"id":23855,"uris":["http://zotero.org/groups/2352922/items/HW248ETK"],"itemData":{"id":23855,"type":"article-journal","container-title":"Environmental Science &amp; Policy","DOI":"10.1016/j.envsci.2013.01.015","ISSN":"1462-9011","page":"12-23","title":"Coping with uncertainties in science-based advice informing environmental management of the Baltic Sea","volume":"29","author":[{"family":"Udovyk","given":"Oksana"},{"family":"Gilek","given":"Michael"}],"issued":{"date-parts":[["2013",5]]}},"label":"page"}],"schema":"https://github.com/citation-style-language/schema/raw/master/csl-citation.json"} </w:instrText>
      </w:r>
      <w:r w:rsidR="00AE0C88" w:rsidRPr="00A9434B">
        <w:rPr>
          <w:b w:val="0"/>
          <w:bCs/>
          <w:i/>
          <w:iCs/>
        </w:rPr>
        <w:fldChar w:fldCharType="separate"/>
      </w:r>
      <w:r w:rsidR="00450BB7" w:rsidRPr="00A9434B">
        <w:rPr>
          <w:b w:val="0"/>
        </w:rPr>
        <w:t>(Cooney &amp; Lang, 2007; Udovyk &amp; Gilek, 2013</w:t>
      </w:r>
      <w:r w:rsidR="00AE0C88" w:rsidRPr="00A9434B">
        <w:rPr>
          <w:b w:val="0"/>
          <w:bCs/>
          <w:i/>
          <w:iCs/>
        </w:rPr>
        <w:fldChar w:fldCharType="end"/>
      </w:r>
      <w:r w:rsidR="00AE0C88" w:rsidRPr="00A9434B">
        <w:rPr>
          <w:b w:val="0"/>
          <w:bCs/>
          <w:i/>
          <w:iCs/>
        </w:rPr>
        <w:fldChar w:fldCharType="end"/>
      </w:r>
      <w:r w:rsidR="003A7C3E" w:rsidRPr="00A9434B">
        <w:rPr>
          <w:b w:val="0"/>
          <w:bCs/>
          <w:i/>
          <w:iCs/>
        </w:rPr>
        <w:t>;</w:t>
      </w:r>
      <w:r w:rsidRPr="00A9434B">
        <w:rPr>
          <w:b w:val="0"/>
          <w:bCs/>
        </w:rPr>
        <w:t xml:space="preserve"> </w:t>
      </w:r>
      <w:r w:rsidR="0037768C">
        <w:rPr>
          <w:bCs/>
          <w:iCs/>
        </w:rPr>
        <w:t>C</w:t>
      </w:r>
      <w:r w:rsidRPr="00673554">
        <w:rPr>
          <w:bCs/>
          <w:iCs/>
        </w:rPr>
        <w:t>hapters 1</w:t>
      </w:r>
      <w:r w:rsidR="000B14E6" w:rsidRPr="0037768C">
        <w:rPr>
          <w:b w:val="0"/>
          <w:bCs/>
        </w:rPr>
        <w:t>;</w:t>
      </w:r>
      <w:r w:rsidRPr="00673554">
        <w:rPr>
          <w:bCs/>
          <w:iCs/>
        </w:rPr>
        <w:t xml:space="preserve"> </w:t>
      </w:r>
      <w:r w:rsidR="0037768C">
        <w:rPr>
          <w:bCs/>
          <w:iCs/>
        </w:rPr>
        <w:t>C</w:t>
      </w:r>
      <w:r w:rsidR="000B14E6" w:rsidRPr="00673554">
        <w:rPr>
          <w:bCs/>
          <w:iCs/>
        </w:rPr>
        <w:t xml:space="preserve">hapter </w:t>
      </w:r>
      <w:r w:rsidRPr="00673554">
        <w:rPr>
          <w:bCs/>
          <w:iCs/>
        </w:rPr>
        <w:t>3</w:t>
      </w:r>
      <w:r w:rsidRPr="0037768C">
        <w:rPr>
          <w:b w:val="0"/>
          <w:bCs/>
        </w:rPr>
        <w:t>;</w:t>
      </w:r>
      <w:r w:rsidRPr="00673554">
        <w:rPr>
          <w:bCs/>
        </w:rPr>
        <w:t xml:space="preserve"> </w:t>
      </w:r>
      <w:r w:rsidR="0037768C">
        <w:rPr>
          <w:bCs/>
          <w:iCs/>
        </w:rPr>
        <w:t>C</w:t>
      </w:r>
      <w:r w:rsidRPr="00673554">
        <w:rPr>
          <w:bCs/>
          <w:iCs/>
        </w:rPr>
        <w:t>hapter 5</w:t>
      </w:r>
      <w:r w:rsidRPr="00673554">
        <w:rPr>
          <w:b w:val="0"/>
          <w:bCs/>
          <w:iCs/>
        </w:rPr>
        <w:t>,</w:t>
      </w:r>
      <w:r w:rsidRPr="00673554">
        <w:rPr>
          <w:bCs/>
          <w:iCs/>
        </w:rPr>
        <w:t xml:space="preserve"> section 5.2.2.3</w:t>
      </w:r>
      <w:r w:rsidRPr="0037768C">
        <w:rPr>
          <w:b w:val="0"/>
          <w:bCs/>
        </w:rPr>
        <w:t>;</w:t>
      </w:r>
      <w:r w:rsidRPr="00673554">
        <w:rPr>
          <w:bCs/>
        </w:rPr>
        <w:t xml:space="preserve"> </w:t>
      </w:r>
      <w:r w:rsidR="00AE0C88" w:rsidRPr="00673554">
        <w:rPr>
          <w:bCs/>
          <w:iCs/>
        </w:rPr>
        <w:fldChar w:fldCharType="begin"/>
      </w:r>
      <w:r w:rsidR="00AE0C88" w:rsidRPr="00673554">
        <w:rPr>
          <w:bCs/>
          <w:iCs/>
        </w:rPr>
        <w:instrText xml:space="preserve"> REF _Ref104895003 \h  \* MERGEFORMAT </w:instrText>
      </w:r>
      <w:r w:rsidR="00AE0C88" w:rsidRPr="00673554">
        <w:rPr>
          <w:bCs/>
          <w:iCs/>
        </w:rPr>
      </w:r>
      <w:r w:rsidR="00AE0C88" w:rsidRPr="00673554">
        <w:rPr>
          <w:bCs/>
          <w:iCs/>
        </w:rPr>
        <w:fldChar w:fldCharType="separate"/>
      </w:r>
      <w:r w:rsidR="0011368C" w:rsidRPr="00673554">
        <w:rPr>
          <w:bCs/>
          <w:iCs/>
        </w:rPr>
        <w:t>Figure 6.7</w:t>
      </w:r>
      <w:r w:rsidR="00AE0C88" w:rsidRPr="00673554">
        <w:rPr>
          <w:bCs/>
          <w:iCs/>
        </w:rPr>
        <w:fldChar w:fldCharType="end"/>
      </w:r>
      <w:r w:rsidRPr="00A9434B">
        <w:rPr>
          <w:b w:val="0"/>
          <w:bCs/>
        </w:rPr>
        <w:t xml:space="preserve">). </w:t>
      </w:r>
      <w:r w:rsidR="7F35B7C2" w:rsidRPr="00A9434B">
        <w:rPr>
          <w:b w:val="0"/>
          <w:bCs/>
        </w:rPr>
        <w:t xml:space="preserve">Biological </w:t>
      </w:r>
      <w:r w:rsidR="2D7EE909" w:rsidRPr="00A9434B">
        <w:rPr>
          <w:b w:val="0"/>
          <w:bCs/>
        </w:rPr>
        <w:t>i</w:t>
      </w:r>
      <w:r w:rsidRPr="00A9434B">
        <w:rPr>
          <w:b w:val="0"/>
          <w:bCs/>
        </w:rPr>
        <w:t xml:space="preserve">nvasion processes are non-linear and the uncertainty is “inherent, fundamental and persistent” </w:t>
      </w:r>
      <w:r w:rsidR="00AE0C88" w:rsidRPr="00A9434B">
        <w:rPr>
          <w:b w:val="0"/>
          <w:bCs/>
          <w:i/>
          <w:iCs/>
        </w:rPr>
        <w:fldChar w:fldCharType="begin">
          <w:fldData xml:space="preserve">PEVuZE5vdGU+PENpdGU+PEF1dGhvcj5Db29uZXk8L0F1dGhvcj48WWVhcj4yMDA3PC9ZZWFyPjxS
ZWNOdW0+NDkxODQ8L1JlY051bT48RGlzcGxheVRleHQ+KENvb25leSBhbmQgTGFuZyAyMDA3LCBD
b29rLCBMaXUgZXQgYWwuIDIwMTApPC9EaXNwbGF5VGV4dD48cmVjb3JkPjxyZWMtbnVtYmVyPjQ5
MTg0PC9yZWMtbnVtYmVyPjxmb3JlaWduLWtleXM+PGtleSBhcHA9IkVOIiBkYi1pZD0iYXd4OXJh
ZGRyMHh4MmhldjA1cnhyMHowNXdlZXB3cHQwZmV4IiB0aW1lc3RhbXA9IjE1ODE0OTczMjAiPjQ5
MTg0PC9rZXk+PC9mb3JlaWduLWtleXM+PHJlZi10eXBlIG5hbWU9IkpvdXJuYWwgQXJ0aWNsZSI+
MTc8L3JlZi10eXBlPjxjb250cmlidXRvcnM+PGF1dGhvcnM+PGF1dGhvcj5Db29uZXksIFJvc2ll
PC9hdXRob3I+PGF1dGhvcj5MYW5nLCBBbmRyZXcgVC4gRi48L2F1dGhvcj48L2F1dGhvcnM+PC9j
b250cmlidXRvcnM+PHRpdGxlcz48dGl0bGU+VGFraW5nIHVuY2VydGFpbnR5IHNlcmlvdXNseTog
QWRhcHRpdmUgZ292ZXJuYW5jZSBhbmQgaW50ZXJuYXRpb25hbCB0cmFkZTwvdGl0bGU+PHNlY29u
ZGFyeS10aXRsZT5FdXJvcGVhbiBKb3VybmFsIG9mIEludGVybmF0aW9uYWwgTGF3PC9zZWNvbmRh
cnktdGl0bGU+PC90aXRsZXM+PHBlcmlvZGljYWw+PGZ1bGwtdGl0bGU+RXVyb3BlYW4gam91cm5h
bCBvZiBpbnRlcm5hdGlvbmFsIGxhdzwvZnVsbC10aXRsZT48YWJici0xPkV1ci4gSi4gSW50LiBM
YXc8L2FiYnItMT48YWJici0yPkV1ciBKIEludCBMYXc8L2FiYnItMj48L3BlcmlvZGljYWw+PHBh
Z2VzPjUyMy01NTE8L3BhZ2VzPjx2b2x1bWU+MTg8L3ZvbHVtZT48bnVtYmVyPjM8L251bWJlcj48
ZGF0ZXM+PHllYXI+MjAwNzwveWVhcj48cHViLWRhdGVzPjxkYXRlPkp1bjwvZGF0ZT48L3B1Yi1k
YXRlcz48L2RhdGVzPjxpc2JuPjA5MzgtNTQyODwvaXNibj48YWNjZXNzaW9uLW51bT5XT1M6MDAw
MjUxMTY2ODAwMDA2PC9hY2Nlc3Npb24tbnVtPjx1cmxzPjxyZWxhdGVkLXVybHM+PHVybD4mbHQ7
R28gdG8gSVNJJmd0OzovL1dPUzowMDAyNTExNjY4MDAwMDY8L3VybD48L3JlbGF0ZWQtdXJscz48
L3VybHM+PGVsZWN0cm9uaWMtcmVzb3VyY2UtbnVtPjEwLjEwOTMvZWppbC9jaG0wMzA8L2VsZWN0
cm9uaWMtcmVzb3VyY2UtbnVtPjwvcmVjb3JkPjwvQ2l0ZT48Q2l0ZT48QXV0aG9yPkNvb2s8L0F1
dGhvcj48WWVhcj4yMDEwPC9ZZWFyPjxSZWNOdW0+NDkxNzA8L1JlY051bT48cmVjb3JkPjxyZWMt
bnVtYmVyPjQ5MTcwPC9yZWMtbnVtYmVyPjxmb3JlaWduLWtleXM+PGtleSBhcHA9IkVOIiBkYi1p
ZD0iYXd4OXJhZGRyMHh4MmhldjA1cnhyMHowNXdlZXB3cHQwZmV4IiB0aW1lc3RhbXA9IjE1ODE0
OTczMjAiPjQ5MTcwPC9rZXk+PC9mb3JlaWduLWtleXM+PHJlZi10eXBlIG5hbWU9IkpvdXJuYWwg
QXJ0aWNsZSI+MTc8L3JlZi10eXBlPjxjb250cmlidXRvcnM+PGF1dGhvcnM+PGF1dGhvcj5Db29r
LCBEYXZpZCBDLjwvYXV0aG9yPjxhdXRob3I+TGl1LCBTaHVhbmc8L2F1dGhvcj48YXV0aG9yPk11
cnBoeSwgQnJlbmRhbjwvYXV0aG9yPjxhdXRob3I+TG9uc2RhbGUsIFcuIE1hcms8L2F1dGhvcj48
L2F1dGhvcnM+PC9jb250cmlidXRvcnM+PHRpdGxlcz48dGl0bGU+QWRhcHRpdmUgQXBwcm9hY2hl
cyB0byBCaW9zZWN1cml0eSBHb3Zlcm5hbmNlPC90aXRsZT48c2Vjb25kYXJ5LXRpdGxlPlJpc2sg
QW5hbHlzaXM8L3NlY29uZGFyeS10aXRsZT48L3RpdGxlcz48cGVyaW9kaWNhbD48ZnVsbC10aXRs
ZT5SaXNrIEFuYWx5c2lzPC9mdWxsLXRpdGxlPjxhYmJyLTE+UmlzayBBbmFsLjwvYWJici0xPjxh
YmJyLTI+UmlzayBBbmFsPC9hYmJyLTI+PC9wZXJpb2RpY2FsPjxwYWdlcz4xMzAzLTEzMTQ8L3Bh
Z2VzPjx2b2x1bWU+MzA8L3ZvbHVtZT48bnVtYmVyPjk8L251bWJlcj48ZGF0ZXM+PHllYXI+MjAx
MDwveWVhcj48cHViLWRhdGVzPjxkYXRlPlNlcDwvZGF0ZT48L3B1Yi1kYXRlcz48L2RhdGVzPjxp
c2JuPjAyNzItNDMzMjwvaXNibj48YWNjZXNzaW9uLW51bT5XT1M6MDAwMjgxODM0NjAwMDAyPC9h
Y2Nlc3Npb24tbnVtPjx1cmxzPjxyZWxhdGVkLXVybHM+PHVybD4mbHQ7R28gdG8gSVNJJmd0Ozov
L1dPUzowMDAyODE4MzQ2MDAwMDI8L3VybD48L3JlbGF0ZWQtdXJscz48L3VybHM+PGVsZWN0cm9u
aWMtcmVzb3VyY2UtbnVtPjEwLjExMTEvai4xNTM5LTY5MjQuMjAxMC4wMTQzOS54PC9lbGVjdHJv
bmljLXJlc291cmNlLW51bT48L3JlY29yZD48L0NpdGU+PC9FbmROb3RlPn==
</w:fldData>
        </w:fldChar>
      </w:r>
      <w:r w:rsidR="00AE0C88" w:rsidRPr="00A9434B">
        <w:rPr>
          <w:b w:val="0"/>
          <w:bCs/>
        </w:rPr>
        <w:instrText xml:space="preserve"> ADDIN EN.CITE </w:instrText>
      </w:r>
      <w:r w:rsidR="00AE0C88" w:rsidRPr="00A9434B">
        <w:rPr>
          <w:b w:val="0"/>
          <w:bCs/>
          <w:i/>
          <w:iCs/>
        </w:rPr>
        <w:fldChar w:fldCharType="begin">
          <w:fldData xml:space="preserve">PEVuZE5vdGU+PENpdGU+PEF1dGhvcj5Db29uZXk8L0F1dGhvcj48WWVhcj4yMDA3PC9ZZWFyPjxS
ZWNOdW0+NDkxODQ8L1JlY051bT48RGlzcGxheVRleHQ+KENvb25leSBhbmQgTGFuZyAyMDA3LCBD
b29rLCBMaXUgZXQgYWwuIDIwMTApPC9EaXNwbGF5VGV4dD48cmVjb3JkPjxyZWMtbnVtYmVyPjQ5
MTg0PC9yZWMtbnVtYmVyPjxmb3JlaWduLWtleXM+PGtleSBhcHA9IkVOIiBkYi1pZD0iYXd4OXJh
ZGRyMHh4MmhldjA1cnhyMHowNXdlZXB3cHQwZmV4IiB0aW1lc3RhbXA9IjE1ODE0OTczMjAiPjQ5
MTg0PC9rZXk+PC9mb3JlaWduLWtleXM+PHJlZi10eXBlIG5hbWU9IkpvdXJuYWwgQXJ0aWNsZSI+
MTc8L3JlZi10eXBlPjxjb250cmlidXRvcnM+PGF1dGhvcnM+PGF1dGhvcj5Db29uZXksIFJvc2ll
PC9hdXRob3I+PGF1dGhvcj5MYW5nLCBBbmRyZXcgVC4gRi48L2F1dGhvcj48L2F1dGhvcnM+PC9j
b250cmlidXRvcnM+PHRpdGxlcz48dGl0bGU+VGFraW5nIHVuY2VydGFpbnR5IHNlcmlvdXNseTog
QWRhcHRpdmUgZ292ZXJuYW5jZSBhbmQgaW50ZXJuYXRpb25hbCB0cmFkZTwvdGl0bGU+PHNlY29u
ZGFyeS10aXRsZT5FdXJvcGVhbiBKb3VybmFsIG9mIEludGVybmF0aW9uYWwgTGF3PC9zZWNvbmRh
cnktdGl0bGU+PC90aXRsZXM+PHBlcmlvZGljYWw+PGZ1bGwtdGl0bGU+RXVyb3BlYW4gam91cm5h
bCBvZiBpbnRlcm5hdGlvbmFsIGxhdzwvZnVsbC10aXRsZT48YWJici0xPkV1ci4gSi4gSW50LiBM
YXc8L2FiYnItMT48YWJici0yPkV1ciBKIEludCBMYXc8L2FiYnItMj48L3BlcmlvZGljYWw+PHBh
Z2VzPjUyMy01NTE8L3BhZ2VzPjx2b2x1bWU+MTg8L3ZvbHVtZT48bnVtYmVyPjM8L251bWJlcj48
ZGF0ZXM+PHllYXI+MjAwNzwveWVhcj48cHViLWRhdGVzPjxkYXRlPkp1bjwvZGF0ZT48L3B1Yi1k
YXRlcz48L2RhdGVzPjxpc2JuPjA5MzgtNTQyODwvaXNibj48YWNjZXNzaW9uLW51bT5XT1M6MDAw
MjUxMTY2ODAwMDA2PC9hY2Nlc3Npb24tbnVtPjx1cmxzPjxyZWxhdGVkLXVybHM+PHVybD4mbHQ7
R28gdG8gSVNJJmd0OzovL1dPUzowMDAyNTExNjY4MDAwMDY8L3VybD48L3JlbGF0ZWQtdXJscz48
L3VybHM+PGVsZWN0cm9uaWMtcmVzb3VyY2UtbnVtPjEwLjEwOTMvZWppbC9jaG0wMzA8L2VsZWN0
cm9uaWMtcmVzb3VyY2UtbnVtPjwvcmVjb3JkPjwvQ2l0ZT48Q2l0ZT48QXV0aG9yPkNvb2s8L0F1
dGhvcj48WWVhcj4yMDEwPC9ZZWFyPjxSZWNOdW0+NDkxNzA8L1JlY051bT48cmVjb3JkPjxyZWMt
bnVtYmVyPjQ5MTcwPC9yZWMtbnVtYmVyPjxmb3JlaWduLWtleXM+PGtleSBhcHA9IkVOIiBkYi1p
ZD0iYXd4OXJhZGRyMHh4MmhldjA1cnhyMHowNXdlZXB3cHQwZmV4IiB0aW1lc3RhbXA9IjE1ODE0
OTczMjAiPjQ5MTcwPC9rZXk+PC9mb3JlaWduLWtleXM+PHJlZi10eXBlIG5hbWU9IkpvdXJuYWwg
QXJ0aWNsZSI+MTc8L3JlZi10eXBlPjxjb250cmlidXRvcnM+PGF1dGhvcnM+PGF1dGhvcj5Db29r
LCBEYXZpZCBDLjwvYXV0aG9yPjxhdXRob3I+TGl1LCBTaHVhbmc8L2F1dGhvcj48YXV0aG9yPk11
cnBoeSwgQnJlbmRhbjwvYXV0aG9yPjxhdXRob3I+TG9uc2RhbGUsIFcuIE1hcms8L2F1dGhvcj48
L2F1dGhvcnM+PC9jb250cmlidXRvcnM+PHRpdGxlcz48dGl0bGU+QWRhcHRpdmUgQXBwcm9hY2hl
cyB0byBCaW9zZWN1cml0eSBHb3Zlcm5hbmNlPC90aXRsZT48c2Vjb25kYXJ5LXRpdGxlPlJpc2sg
QW5hbHlzaXM8L3NlY29uZGFyeS10aXRsZT48L3RpdGxlcz48cGVyaW9kaWNhbD48ZnVsbC10aXRs
ZT5SaXNrIEFuYWx5c2lzPC9mdWxsLXRpdGxlPjxhYmJyLTE+UmlzayBBbmFsLjwvYWJici0xPjxh
YmJyLTI+UmlzayBBbmFsPC9hYmJyLTI+PC9wZXJpb2RpY2FsPjxwYWdlcz4xMzAzLTEzMTQ8L3Bh
Z2VzPjx2b2x1bWU+MzA8L3ZvbHVtZT48bnVtYmVyPjk8L251bWJlcj48ZGF0ZXM+PHllYXI+MjAx
MDwveWVhcj48cHViLWRhdGVzPjxkYXRlPlNlcDwvZGF0ZT48L3B1Yi1kYXRlcz48L2RhdGVzPjxp
c2JuPjAyNzItNDMzMjwvaXNibj48YWNjZXNzaW9uLW51bT5XT1M6MDAwMjgxODM0NjAwMDAyPC9h
Y2Nlc3Npb24tbnVtPjx1cmxzPjxyZWxhdGVkLXVybHM+PHVybD4mbHQ7R28gdG8gSVNJJmd0Ozov
L1dPUzowMDAyODE4MzQ2MDAwMDI8L3VybD48L3JlbGF0ZWQtdXJscz48L3VybHM+PGVsZWN0cm9u
aWMtcmVzb3VyY2UtbnVtPjEwLjExMTEvai4xNTM5LTY5MjQuMjAxMC4wMTQzOS54PC9lbGVjdHJv
bmljLXJlc291cmNlLW51bT48L3JlY29yZD48L0NpdGU+PC9FbmROb3RlPn==
</w:fldData>
        </w:fldChar>
      </w:r>
      <w:r w:rsidR="00AE0C88" w:rsidRPr="00A9434B">
        <w:rPr>
          <w:b w:val="0"/>
          <w:bCs/>
        </w:rPr>
        <w:instrText xml:space="preserve"> ADDIN EN.CITE.DATA </w:instrText>
      </w:r>
      <w:r w:rsidR="00AE0C88" w:rsidRPr="00A9434B">
        <w:rPr>
          <w:b w:val="0"/>
          <w:bCs/>
          <w:i/>
          <w:iCs/>
        </w:rPr>
      </w:r>
      <w:r w:rsidR="00AE0C88" w:rsidRPr="00A9434B">
        <w:rPr>
          <w:b w:val="0"/>
          <w:bCs/>
          <w:i/>
          <w:iCs/>
        </w:rPr>
        <w:fldChar w:fldCharType="end"/>
      </w:r>
      <w:r w:rsidR="00AE0C88" w:rsidRPr="00A9434B">
        <w:rPr>
          <w:b w:val="0"/>
          <w:bCs/>
          <w:i/>
          <w:iCs/>
        </w:rPr>
      </w:r>
      <w:r w:rsidR="00AE0C88" w:rsidRPr="00A9434B">
        <w:rPr>
          <w:b w:val="0"/>
          <w:bCs/>
          <w:i/>
          <w:iCs/>
        </w:rPr>
        <w:fldChar w:fldCharType="separate"/>
      </w:r>
      <w:r w:rsidR="00AE0C88" w:rsidRPr="00A9434B">
        <w:rPr>
          <w:b w:val="0"/>
          <w:bCs/>
          <w:i/>
          <w:iCs/>
        </w:rPr>
        <w:fldChar w:fldCharType="begin"/>
      </w:r>
      <w:r w:rsidR="0006613E">
        <w:rPr>
          <w:b w:val="0"/>
          <w:bCs/>
        </w:rPr>
        <w:instrText xml:space="preserve"> ADDIN ZOTERO_ITEM CSL_CITATION {"citationID":"a2b29kq40qv","properties":{"formattedCitation":"(D. C. Cook et al., 2010; Cooney &amp; Lang, 2007)","plainCitation":"(D. C. Cook et al., 2010; Cooney &amp; Lang, 2007)","noteIndex":0},"citationItems":[{"id":10809,"uris":["http://zotero.org/groups/2352922/items/WCG8AH7V"],"itemData":{"id":10809,"type":"article-journal","container-title":"Risk Analysis","DOI":"10.1111/j.1539-6924.2010.01439.x","ISSN":"02724332","issue":"9","language":"en","page":"1303-1314","source":"DOI.org (Crossref)","title":"Adaptive Approaches to Biosecurity Governance","title-short":"Adaptive Approaches to Biosecurity Governance","URL":"http://doi.wiley.com/10.1111/j.1539-6924.2010.01439.x","volume":"30","author":[{"family":"Cook","given":"David C."},{"family":"Liu","given":"Shuang"},{"family":"Murphy","given":"Brendan"},{"family":"Lonsdale","given":"W. Mark"}],"accessed":{"date-parts":[["2021",5,27]]},"issued":{"date-parts":[["2010",9]]}},"label":"page"},{"id":23953,"uris":["http://zotero.org/groups/2352922/items/LNEIC2ZH"],"itemData":{"id":23953,"type":"article-journal","abstract":"Abstract.  The problem of uncertainty presents a major challenge for institutions of international governance. In this article we draw lessons from a variety of","container-title":"European journal of international law","DOI":"10.1093/ejil/chm030","ISSN":"0938-5428","issue":"3","journalAbbreviation":"Eur. J. Int. Law","language":"en","page":"523-551","source":"academic.oup.com","title":"Taking uncertainty seriously: Adaptive governance and international trade","title-short":"Taking Uncertainty Seriously","URL":"https://academic.oup.com/ejil/article/18/3/523/363613","volume":"18","author":[{"family":"Cooney","given":"Rosie"},{"family":"Lang","given":"Andrew T. F."}],"accessed":{"date-parts":[["2019",10,21]]},"issued":{"date-parts":[["2007",6]]}},"label":"page"}],"schema":"https://github.com/citation-style-language/schema/raw/master/csl-citation.json"} </w:instrText>
      </w:r>
      <w:r w:rsidR="00AE0C88" w:rsidRPr="00A9434B">
        <w:rPr>
          <w:b w:val="0"/>
          <w:bCs/>
          <w:i/>
          <w:iCs/>
        </w:rPr>
        <w:fldChar w:fldCharType="separate"/>
      </w:r>
      <w:r w:rsidR="00C71E80" w:rsidRPr="00A9434B">
        <w:rPr>
          <w:b w:val="0"/>
          <w:bCs/>
        </w:rPr>
        <w:t>(D. C. Cook et al., 2010; Cooney &amp; Lang, 2007)</w:t>
      </w:r>
      <w:r w:rsidR="00AE0C88" w:rsidRPr="00A9434B">
        <w:rPr>
          <w:b w:val="0"/>
          <w:bCs/>
          <w:i/>
          <w:iCs/>
        </w:rPr>
        <w:fldChar w:fldCharType="end"/>
      </w:r>
      <w:r w:rsidR="00AE0C88" w:rsidRPr="00A9434B">
        <w:rPr>
          <w:b w:val="0"/>
          <w:bCs/>
          <w:i/>
          <w:iCs/>
        </w:rPr>
        <w:fldChar w:fldCharType="end"/>
      </w:r>
      <w:r w:rsidRPr="00A9434B">
        <w:rPr>
          <w:b w:val="0"/>
          <w:bCs/>
        </w:rPr>
        <w:t xml:space="preserve">. The outcomes of this complexity are difficult to predict within specific, narrow contexts, and therefore understanding the likely success of interventions is also difficult </w:t>
      </w:r>
      <w:r w:rsidR="00AE0C88" w:rsidRPr="00A9434B">
        <w:rPr>
          <w:b w:val="0"/>
          <w:bCs/>
          <w:i/>
          <w:iCs/>
        </w:rPr>
        <w:fldChar w:fldCharType="begin">
          <w:fldData xml:space="preserve">PEVuZE5vdGU+PENpdGU+PEF1dGhvcj5TbW9sYXJ6PC9BdXRob3I+PFllYXI+MjAxNjwvWWVhcj48
UmVjTnVtPjQ5MDk2PC9SZWNOdW0+PERpc3BsYXlUZXh0PihTbW9sYXJ6LCBCaXNrdXAgZXQgYWwu
IDIwMTYsIE1vb24sIEJsYWNrbWFuIGV0IGFsLiAyMDE3KTwvRGlzcGxheVRleHQ+PHJlY29yZD48
cmVjLW51bWJlcj40OTA5NjwvcmVjLW51bWJlcj48Zm9yZWlnbi1rZXlzPjxrZXkgYXBwPSJFTiIg
ZGItaWQ9ImF3eDlyYWRkcjB4eDJoZXYwNXJ4cjB6MDV3ZWVwd3B0MGZleCIgdGltZXN0YW1wPSIx
NTgxNDk3MzIwIj40OTA5Njwva2V5PjwvZm9yZWlnbi1rZXlzPjxyZWYtdHlwZSBuYW1lPSJCb29r
IFNlY3Rpb24iPjU8L3JlZi10eXBlPjxjb250cmlidXRvcnM+PGF1dGhvcnM+PGF1dGhvcj5TbW9s
YXJ6LCBLYXRhcnp5bmE8L2F1dGhvcj48YXV0aG9yPkJpc2t1cCwgUGF1bGluYTwvYXV0aG9yPjxh
dXRob3I+WmdydW5kbywgQWxla3NhbmRyYTwvYXV0aG9yPjwvYXV0aG9ycz48c2Vjb25kYXJ5LWF1
dGhvcnM+PGF1dGhvcj5HaWxlaywgTS48L2F1dGhvcj48YXV0aG9yPkthcmxzc29uLCBNLjwvYXV0
aG9yPjxhdXRob3I+TGlua2UsIFMuPC9hdXRob3I+PGF1dGhvcj5TbW9sYXJ6LCBLLjwvYXV0aG9y
Pjwvc2Vjb25kYXJ5LWF1dGhvcnM+PC9jb250cmlidXRvcnM+PHRpdGxlcz48dGl0bGU+QmlvbG9n
aWNhbCBJbnZhc2lvbnM6IEEgQ2FzZSBTdHVkeSBvZiBCYWx0aWMgU2VhIEVudmlyb25tZW50YWwg
R292ZXJuYW5jZTwvdGl0bGU+PHNlY29uZGFyeS10aXRsZT5FbnZpcm9ubWVudGFsIEdvdmVybmFu
Y2Ugb2YgdGhlIEJhbHRpYyBTZWE8L3NlY29uZGFyeS10aXRsZT48dGVydGlhcnktdGl0bGU+TUFS
RSBQdWJsaWNhdGlvbiBTZXJpZXM8L3RlcnRpYXJ5LXRpdGxlPjwvdGl0bGVzPjxwZXJpb2RpY2Fs
PjxmdWxsLXRpdGxlPkVudmlyb25tZW50YWwgZ292ZXJuYW5jZSBvZiB0aGUgQmFsdGljIFNlYTwv
ZnVsbC10aXRsZT48L3BlcmlvZGljYWw+PHBhZ2VzPjczLTk1PC9wYWdlcz48dm9sdW1lPjEwPC92
b2x1bWU+PGRhdGVzPjx5ZWFyPjIwMTY8L3llYXI+PC9kYXRlcz48aXNibj45NzgtMy0zMTktMjcw
MDYtNzsgOTc4LTMtMzE5LTI3MDA1LTA8L2lzYm4+PGFjY2Vzc2lvbi1udW0+V09TOjAwMDM4NjY5
NTMwMDAwNTwvYWNjZXNzaW9uLW51bT48dXJscz48cmVsYXRlZC11cmxzPjx1cmw+Jmx0O0dvIHRv
IElTSSZndDs6Ly9XT1M6MDAwMzg2Njk1MzAwMDA1PC91cmw+PC9yZWxhdGVkLXVybHM+PC91cmxz
PjxlbGVjdHJvbmljLXJlc291cmNlLW51bT4xMC4xMDA3Lzk3OC0zLTMxOS0yNzAwNi03XzQ8L2Vs
ZWN0cm9uaWMtcmVzb3VyY2UtbnVtPjwvcmVjb3JkPjwvQ2l0ZT48Q2l0ZT48QXV0aG9yPk1vb248
L0F1dGhvcj48WWVhcj4yMDE3PC9ZZWFyPjxSZWNOdW0+NDkwNzM8L1JlY051bT48cmVjb3JkPjxy
ZWMtbnVtYmVyPjQ5MDczPC9yZWMtbnVtYmVyPjxmb3JlaWduLWtleXM+PGtleSBhcHA9IkVOIiBk
Yi1pZD0iYXd4OXJhZGRyMHh4MmhldjA1cnhyMHowNXdlZXB3cHQwZmV4IiB0aW1lc3RhbXA9IjE1
ODE0OTczMjAiPjQ5MDczPC9rZXk+PC9mb3JlaWduLWtleXM+PHJlZi10eXBlIG5hbWU9IkpvdXJu
YWwgQXJ0aWNsZSI+MTc8L3JlZi10eXBlPjxjb250cmlidXRvcnM+PGF1dGhvcnM+PGF1dGhvcj5N
b29uLCBLYXRpZTwvYXV0aG9yPjxhdXRob3I+QmxhY2ttYW4sIERlYm9yYWg8L2F1dGhvcj48YXV0
aG9yPkJyZXdlciwgVG9tIEQuPC9hdXRob3I+PGF1dGhvcj5TYXJyZSwgU3RlcGhlbiBELjwvYXV0
aG9yPjwvYXV0aG9ycz48L2NvbnRyaWJ1dG9ycz48dGl0bGVzPjx0aXRsZT5FbnZpcm9ubWVudGFs
IGdvdmVybmFuY2UgZm9yIHVyZ2VudCBhbmQgdW5jZXJ0YWluIHByb2JsZW1zPC90aXRsZT48c2Vj
b25kYXJ5LXRpdGxlPkJpb2xvZ2ljYWwgSW52YXNpb25zPC9zZWNvbmRhcnktdGl0bGU+PC90aXRs
ZXM+PHBlcmlvZGljYWw+PGZ1bGwtdGl0bGU+QmlvbG9naWNhbCBJbnZhc2lvbnM8L2Z1bGwtdGl0
bGU+PGFiYnItMT5CaW9sLiBJbnZhc2lvbnM8L2FiYnItMT48YWJici0yPkJpb2wgSW52YXNpb25z
PC9hYmJyLTI+PC9wZXJpb2RpY2FsPjxwYWdlcz43ODUtNzk3PC9wYWdlcz48dm9sdW1lPjE5PC92
b2x1bWU+PG51bWJlcj4zPC9udW1iZXI+PGRhdGVzPjx5ZWFyPjIwMTc8L3llYXI+PHB1Yi1kYXRl
cz48ZGF0ZT5NYXI8L2RhdGU+PC9wdWItZGF0ZXM+PC9kYXRlcz48aXNibj4xMzg3LTM1NDc8L2lz
Ym4+PGFjY2Vzc2lvbi1udW0+V09TOjAwMDM5NDE1MjcwMDAwNTwvYWNjZXNzaW9uLW51bT48dXJs
cz48cmVsYXRlZC11cmxzPjx1cmw+Jmx0O0dvIHRvIElTSSZndDs6Ly9XT1M6MDAwMzk0MTUyNzAw
MDA1PC91cmw+PC9yZWxhdGVkLXVybHM+PC91cmxzPjxlbGVjdHJvbmljLXJlc291cmNlLW51bT4x
MC4xMDA3L3MxMDUzMC0wMTYtMTM1MS03PC9lbGVjdHJvbmljLXJlc291cmNlLW51bT48L3JlY29y
ZD48L0NpdGU+PC9FbmROb3RlPn==
</w:fldData>
        </w:fldChar>
      </w:r>
      <w:r w:rsidR="00AE0C88" w:rsidRPr="00A9434B">
        <w:rPr>
          <w:b w:val="0"/>
          <w:bCs/>
        </w:rPr>
        <w:instrText xml:space="preserve"> ADDIN EN.CITE </w:instrText>
      </w:r>
      <w:r w:rsidR="00AE0C88" w:rsidRPr="00A9434B">
        <w:rPr>
          <w:b w:val="0"/>
          <w:bCs/>
          <w:i/>
          <w:iCs/>
        </w:rPr>
        <w:fldChar w:fldCharType="begin">
          <w:fldData xml:space="preserve">PEVuZE5vdGU+PENpdGU+PEF1dGhvcj5TbW9sYXJ6PC9BdXRob3I+PFllYXI+MjAxNjwvWWVhcj48
UmVjTnVtPjQ5MDk2PC9SZWNOdW0+PERpc3BsYXlUZXh0PihTbW9sYXJ6LCBCaXNrdXAgZXQgYWwu
IDIwMTYsIE1vb24sIEJsYWNrbWFuIGV0IGFsLiAyMDE3KTwvRGlzcGxheVRleHQ+PHJlY29yZD48
cmVjLW51bWJlcj40OTA5NjwvcmVjLW51bWJlcj48Zm9yZWlnbi1rZXlzPjxrZXkgYXBwPSJFTiIg
ZGItaWQ9ImF3eDlyYWRkcjB4eDJoZXYwNXJ4cjB6MDV3ZWVwd3B0MGZleCIgdGltZXN0YW1wPSIx
NTgxNDk3MzIwIj40OTA5Njwva2V5PjwvZm9yZWlnbi1rZXlzPjxyZWYtdHlwZSBuYW1lPSJCb29r
IFNlY3Rpb24iPjU8L3JlZi10eXBlPjxjb250cmlidXRvcnM+PGF1dGhvcnM+PGF1dGhvcj5TbW9s
YXJ6LCBLYXRhcnp5bmE8L2F1dGhvcj48YXV0aG9yPkJpc2t1cCwgUGF1bGluYTwvYXV0aG9yPjxh
dXRob3I+WmdydW5kbywgQWxla3NhbmRyYTwvYXV0aG9yPjwvYXV0aG9ycz48c2Vjb25kYXJ5LWF1
dGhvcnM+PGF1dGhvcj5HaWxlaywgTS48L2F1dGhvcj48YXV0aG9yPkthcmxzc29uLCBNLjwvYXV0
aG9yPjxhdXRob3I+TGlua2UsIFMuPC9hdXRob3I+PGF1dGhvcj5TbW9sYXJ6LCBLLjwvYXV0aG9y
Pjwvc2Vjb25kYXJ5LWF1dGhvcnM+PC9jb250cmlidXRvcnM+PHRpdGxlcz48dGl0bGU+QmlvbG9n
aWNhbCBJbnZhc2lvbnM6IEEgQ2FzZSBTdHVkeSBvZiBCYWx0aWMgU2VhIEVudmlyb25tZW50YWwg
R292ZXJuYW5jZTwvdGl0bGU+PHNlY29uZGFyeS10aXRsZT5FbnZpcm9ubWVudGFsIEdvdmVybmFu
Y2Ugb2YgdGhlIEJhbHRpYyBTZWE8L3NlY29uZGFyeS10aXRsZT48dGVydGlhcnktdGl0bGU+TUFS
RSBQdWJsaWNhdGlvbiBTZXJpZXM8L3RlcnRpYXJ5LXRpdGxlPjwvdGl0bGVzPjxwZXJpb2RpY2Fs
PjxmdWxsLXRpdGxlPkVudmlyb25tZW50YWwgZ292ZXJuYW5jZSBvZiB0aGUgQmFsdGljIFNlYTwv
ZnVsbC10aXRsZT48L3BlcmlvZGljYWw+PHBhZ2VzPjczLTk1PC9wYWdlcz48dm9sdW1lPjEwPC92
b2x1bWU+PGRhdGVzPjx5ZWFyPjIwMTY8L3llYXI+PC9kYXRlcz48aXNibj45NzgtMy0zMTktMjcw
MDYtNzsgOTc4LTMtMzE5LTI3MDA1LTA8L2lzYm4+PGFjY2Vzc2lvbi1udW0+V09TOjAwMDM4NjY5
NTMwMDAwNTwvYWNjZXNzaW9uLW51bT48dXJscz48cmVsYXRlZC11cmxzPjx1cmw+Jmx0O0dvIHRv
IElTSSZndDs6Ly9XT1M6MDAwMzg2Njk1MzAwMDA1PC91cmw+PC9yZWxhdGVkLXVybHM+PC91cmxz
PjxlbGVjdHJvbmljLXJlc291cmNlLW51bT4xMC4xMDA3Lzk3OC0zLTMxOS0yNzAwNi03XzQ8L2Vs
ZWN0cm9uaWMtcmVzb3VyY2UtbnVtPjwvcmVjb3JkPjwvQ2l0ZT48Q2l0ZT48QXV0aG9yPk1vb248
L0F1dGhvcj48WWVhcj4yMDE3PC9ZZWFyPjxSZWNOdW0+NDkwNzM8L1JlY051bT48cmVjb3JkPjxy
ZWMtbnVtYmVyPjQ5MDczPC9yZWMtbnVtYmVyPjxmb3JlaWduLWtleXM+PGtleSBhcHA9IkVOIiBk
Yi1pZD0iYXd4OXJhZGRyMHh4MmhldjA1cnhyMHowNXdlZXB3cHQwZmV4IiB0aW1lc3RhbXA9IjE1
ODE0OTczMjAiPjQ5MDczPC9rZXk+PC9mb3JlaWduLWtleXM+PHJlZi10eXBlIG5hbWU9IkpvdXJu
YWwgQXJ0aWNsZSI+MTc8L3JlZi10eXBlPjxjb250cmlidXRvcnM+PGF1dGhvcnM+PGF1dGhvcj5N
b29uLCBLYXRpZTwvYXV0aG9yPjxhdXRob3I+QmxhY2ttYW4sIERlYm9yYWg8L2F1dGhvcj48YXV0
aG9yPkJyZXdlciwgVG9tIEQuPC9hdXRob3I+PGF1dGhvcj5TYXJyZSwgU3RlcGhlbiBELjwvYXV0
aG9yPjwvYXV0aG9ycz48L2NvbnRyaWJ1dG9ycz48dGl0bGVzPjx0aXRsZT5FbnZpcm9ubWVudGFs
IGdvdmVybmFuY2UgZm9yIHVyZ2VudCBhbmQgdW5jZXJ0YWluIHByb2JsZW1zPC90aXRsZT48c2Vj
b25kYXJ5LXRpdGxlPkJpb2xvZ2ljYWwgSW52YXNpb25zPC9zZWNvbmRhcnktdGl0bGU+PC90aXRs
ZXM+PHBlcmlvZGljYWw+PGZ1bGwtdGl0bGU+QmlvbG9naWNhbCBJbnZhc2lvbnM8L2Z1bGwtdGl0
bGU+PGFiYnItMT5CaW9sLiBJbnZhc2lvbnM8L2FiYnItMT48YWJici0yPkJpb2wgSW52YXNpb25z
PC9hYmJyLTI+PC9wZXJpb2RpY2FsPjxwYWdlcz43ODUtNzk3PC9wYWdlcz48dm9sdW1lPjE5PC92
b2x1bWU+PG51bWJlcj4zPC9udW1iZXI+PGRhdGVzPjx5ZWFyPjIwMTc8L3llYXI+PHB1Yi1kYXRl
cz48ZGF0ZT5NYXI8L2RhdGU+PC9wdWItZGF0ZXM+PC9kYXRlcz48aXNibj4xMzg3LTM1NDc8L2lz
Ym4+PGFjY2Vzc2lvbi1udW0+V09TOjAwMDM5NDE1MjcwMDAwNTwvYWNjZXNzaW9uLW51bT48dXJs
cz48cmVsYXRlZC11cmxzPjx1cmw+Jmx0O0dvIHRvIElTSSZndDs6Ly9XT1M6MDAwMzk0MTUyNzAw
MDA1PC91cmw+PC9yZWxhdGVkLXVybHM+PC91cmxzPjxlbGVjdHJvbmljLXJlc291cmNlLW51bT4x
MC4xMDA3L3MxMDUzMC0wMTYtMTM1MS03PC9lbGVjdHJvbmljLXJlc291cmNlLW51bT48L3JlY29y
ZD48L0NpdGU+PC9FbmROb3RlPn==
</w:fldData>
        </w:fldChar>
      </w:r>
      <w:r w:rsidR="00AE0C88" w:rsidRPr="00A9434B">
        <w:rPr>
          <w:b w:val="0"/>
          <w:bCs/>
        </w:rPr>
        <w:instrText xml:space="preserve"> ADDIN EN.CITE.DATA </w:instrText>
      </w:r>
      <w:r w:rsidR="00AE0C88" w:rsidRPr="00A9434B">
        <w:rPr>
          <w:b w:val="0"/>
          <w:bCs/>
          <w:i/>
          <w:iCs/>
        </w:rPr>
      </w:r>
      <w:r w:rsidR="00AE0C88" w:rsidRPr="00A9434B">
        <w:rPr>
          <w:b w:val="0"/>
          <w:bCs/>
          <w:i/>
          <w:iCs/>
        </w:rPr>
        <w:fldChar w:fldCharType="end"/>
      </w:r>
      <w:r w:rsidR="00AE0C88" w:rsidRPr="00A9434B">
        <w:rPr>
          <w:b w:val="0"/>
          <w:bCs/>
          <w:i/>
          <w:iCs/>
        </w:rPr>
      </w:r>
      <w:r w:rsidR="00AE0C88" w:rsidRPr="00A9434B">
        <w:rPr>
          <w:b w:val="0"/>
          <w:bCs/>
          <w:i/>
          <w:iCs/>
        </w:rPr>
        <w:fldChar w:fldCharType="separate"/>
      </w:r>
      <w:r w:rsidR="00AE0C88" w:rsidRPr="00A9434B">
        <w:rPr>
          <w:b w:val="0"/>
          <w:bCs/>
          <w:i/>
          <w:iCs/>
        </w:rPr>
        <w:fldChar w:fldCharType="begin"/>
      </w:r>
      <w:r w:rsidR="0006613E">
        <w:rPr>
          <w:b w:val="0"/>
          <w:bCs/>
        </w:rPr>
        <w:instrText xml:space="preserve"> ADDIN ZOTERO_ITEM CSL_CITATION {"citationID":"avi1ke1hv6","properties":{"formattedCitation":"(Moon et al., 2017; Smolarz et al., 2016)","plainCitation":"(Moon et al., 2017; Smolarz et al., 2016)","noteIndex":0},"citationItems":[{"id":11270,"uris":["http://zotero.org/groups/2352922/items/M4V4ZWXW"],"itemData":{"id":11270,"type":"article-journal","container-title":"Biological Invasions","DOI":"10.1007/s10530-016-1351-7","ISSN":"1387-3547, 1573-1464","issue":"3","journalAbbreviation":"Biol Invasions","language":"en","page":"785-797","source":"DOI.org (Crossref)","title":"Environmental governance for urgent and uncertain problems","URL":"http://link.springer.com/10.1007/s10530-016-1351-7","volume":"19","author":[{"family":"Moon","given":"Katie"},{"family":"Blackman","given":"Deborah"},{"family":"Brewer","given":"Tom D."},{"family":"Sarre","given":"Stephen D."}],"accessed":{"date-parts":[["2020",12,3]]},"issued":{"date-parts":[["2017",3]]}},"label":"page"},{"id":11449,"uris":["http://zotero.org/groups/2352922/items/K5CN724I"],"itemData":{"id":11449,"type":"chapter","collection-title":"MARE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label":"page"}],"schema":"https://github.com/citation-style-language/schema/raw/master/csl-citation.json"} </w:instrText>
      </w:r>
      <w:r w:rsidR="00AE0C88" w:rsidRPr="00A9434B">
        <w:rPr>
          <w:b w:val="0"/>
          <w:bCs/>
          <w:i/>
          <w:iCs/>
        </w:rPr>
        <w:fldChar w:fldCharType="separate"/>
      </w:r>
      <w:r w:rsidR="00C71E80" w:rsidRPr="00A9434B">
        <w:rPr>
          <w:b w:val="0"/>
          <w:bCs/>
        </w:rPr>
        <w:t>(Moon et al., 2017; Smolarz et al., 2016)</w:t>
      </w:r>
      <w:r w:rsidR="00AE0C88" w:rsidRPr="00A9434B">
        <w:rPr>
          <w:b w:val="0"/>
          <w:bCs/>
          <w:i/>
          <w:iCs/>
        </w:rPr>
        <w:fldChar w:fldCharType="end"/>
      </w:r>
      <w:r w:rsidR="00AE0C88" w:rsidRPr="00A9434B">
        <w:rPr>
          <w:b w:val="0"/>
          <w:bCs/>
          <w:i/>
          <w:iCs/>
        </w:rPr>
        <w:fldChar w:fldCharType="end"/>
      </w:r>
      <w:r w:rsidRPr="00A9434B">
        <w:rPr>
          <w:b w:val="0"/>
          <w:bCs/>
        </w:rPr>
        <w:t xml:space="preserve">. Time lags </w:t>
      </w:r>
      <w:r w:rsidR="00F806B6" w:rsidRPr="00A9434B">
        <w:rPr>
          <w:b w:val="0"/>
          <w:bCs/>
        </w:rPr>
        <w:t>(</w:t>
      </w:r>
      <w:r w:rsidR="0037768C">
        <w:rPr>
          <w:bCs/>
          <w:iCs/>
        </w:rPr>
        <w:t>G</w:t>
      </w:r>
      <w:r w:rsidR="00F54B7D" w:rsidRPr="00673554">
        <w:rPr>
          <w:bCs/>
          <w:iCs/>
        </w:rPr>
        <w:t>lossary</w:t>
      </w:r>
      <w:r w:rsidR="00F54B7D" w:rsidRPr="00A9434B">
        <w:rPr>
          <w:b w:val="0"/>
          <w:bCs/>
        </w:rPr>
        <w:t xml:space="preserve">) </w:t>
      </w:r>
      <w:r w:rsidRPr="00A9434B">
        <w:rPr>
          <w:b w:val="0"/>
          <w:bCs/>
        </w:rPr>
        <w:t xml:space="preserve">between different parts of the invasion process, and in policy and management responses to invasive alien species, add to this uncertainty </w:t>
      </w:r>
      <w:r w:rsidR="00F806B6" w:rsidRPr="00A9434B">
        <w:rPr>
          <w:b w:val="0"/>
          <w:bCs/>
        </w:rPr>
        <w:t>(</w:t>
      </w:r>
      <w:r w:rsidR="0037768C">
        <w:rPr>
          <w:bCs/>
          <w:iCs/>
        </w:rPr>
        <w:t>C</w:t>
      </w:r>
      <w:r w:rsidR="00974627" w:rsidRPr="00673554">
        <w:rPr>
          <w:bCs/>
          <w:iCs/>
        </w:rPr>
        <w:t>hapter 1</w:t>
      </w:r>
      <w:r w:rsidR="00974627" w:rsidRPr="00673554">
        <w:rPr>
          <w:b w:val="0"/>
          <w:bCs/>
          <w:iCs/>
        </w:rPr>
        <w:t>,</w:t>
      </w:r>
      <w:r w:rsidR="00974627" w:rsidRPr="00673554">
        <w:rPr>
          <w:bCs/>
          <w:iCs/>
        </w:rPr>
        <w:t xml:space="preserve"> section 1.4.4</w:t>
      </w:r>
      <w:r w:rsidR="00974627" w:rsidRPr="00673554">
        <w:rPr>
          <w:b w:val="0"/>
          <w:bCs/>
          <w:iCs/>
        </w:rPr>
        <w:t>;</w:t>
      </w:r>
      <w:r w:rsidR="00974627" w:rsidRPr="00673554">
        <w:rPr>
          <w:bCs/>
          <w:iCs/>
        </w:rPr>
        <w:t xml:space="preserve"> </w:t>
      </w:r>
      <w:r w:rsidR="0037768C">
        <w:rPr>
          <w:bCs/>
          <w:iCs/>
        </w:rPr>
        <w:t>C</w:t>
      </w:r>
      <w:r w:rsidR="00974627" w:rsidRPr="00673554">
        <w:rPr>
          <w:bCs/>
          <w:iCs/>
        </w:rPr>
        <w:t>hapter 2</w:t>
      </w:r>
      <w:r w:rsidR="00974627" w:rsidRPr="00673554">
        <w:rPr>
          <w:b w:val="0"/>
          <w:bCs/>
          <w:iCs/>
        </w:rPr>
        <w:t>,</w:t>
      </w:r>
      <w:r w:rsidR="00974627" w:rsidRPr="00673554">
        <w:rPr>
          <w:bCs/>
          <w:iCs/>
        </w:rPr>
        <w:t xml:space="preserve"> section</w:t>
      </w:r>
      <w:r w:rsidR="00927555" w:rsidRPr="00673554">
        <w:rPr>
          <w:bCs/>
          <w:iCs/>
        </w:rPr>
        <w:t xml:space="preserve"> 2.2</w:t>
      </w:r>
      <w:r w:rsidR="00AE0C88" w:rsidRPr="00A9434B">
        <w:rPr>
          <w:b w:val="0"/>
          <w:bCs/>
          <w:i/>
          <w:iCs/>
        </w:rPr>
        <w:fldChar w:fldCharType="begin">
          <w:fldData xml:space="preserve">PEVuZE5vdGU+PENpdGU+PEF1dGhvcj5KYWNvYnM8L0F1dGhvcj48WWVhcj4yMDE3PC9ZZWFyPjxS
ZWNOdW0+NDkwNjc8L1JlY051bT48RGlzcGxheVRleHQ+KFJlZWQsIFZhbiBWaWFuZW4gZXQgYWwu
IDIwMTYsIEphY29icyAyMDE3KTwvRGlzcGxheVRleHQ+PHJlY29yZD48cmVjLW51bWJlcj40OTA2
NzwvcmVjLW51bWJlcj48Zm9yZWlnbi1rZXlzPjxrZXkgYXBwPSJFTiIgZGItaWQ9ImF3eDlyYWRk
cjB4eDJoZXYwNXJ4cjB6MDV3ZWVwd3B0MGZleCIgdGltZXN0YW1wPSIxNTgxNDk3MzIwIj40OTA2
Nzwva2V5PjwvZm9yZWlnbi1rZXlzPjxyZWYtdHlwZSBuYW1lPSJKb3VybmFsIEFydGljbGUiPjE3
PC9yZWYtdHlwZT48Y29udHJpYnV0b3JzPjxhdXRob3JzPjxhdXRob3I+SmFjb2JzLCBLYXNleSBS
LjwvYXV0aG9yPjwvYXV0aG9ycz48L2NvbnRyaWJ1dG9ycz48dGl0bGVzPjx0aXRsZT5UZWFtcyBh
dCBUaGVpciBDb3JlOiBJbXBsZW1lbnRpbmcgYW4gJnF1b3Q7QWxsIExBTkRTIEFwcHJvYWNoIHRv
IENvbnNlcnZhdGlvbiZxdW90OyBSZXF1aXJlcyBGb2N1c2luZyBvbiBSZWxhdGlvbnNoaXBzLCBU
ZWFtd29yayBQcm9jZXNzLCBhbmQgQ29tbXVuaWNhdGlvbnM8L3RpdGxlPjxzZWNvbmRhcnktdGl0
bGU+Rm9yZXN0czwvc2Vjb25kYXJ5LXRpdGxlPjwvdGl0bGVzPjxwZXJpb2RpY2FsPjxmdWxsLXRp
dGxlPkZvcmVzdHM8L2Z1bGwtdGl0bGU+PC9wZXJpb2RpY2FsPjx2b2x1bWU+ODwvdm9sdW1lPjxu
dW1iZXI+NzwvbnVtYmVyPjxkYXRlcz48eWVhcj4yMDE3PC95ZWFyPjxwdWItZGF0ZXM+PGRhdGU+
SnVsPC9kYXRlPjwvcHViLWRhdGVzPjwvZGF0ZXM+PGlzYm4+MTk5OS00OTA3PC9pc2JuPjxhY2Nl
c3Npb24tbnVtPldPUzowMDA0MDY2OTQ0MDAwMjY8L2FjY2Vzc2lvbi1udW0+PHVybHM+PHJlbGF0
ZWQtdXJscz48dXJsPiZsdDtHbyB0byBJU0kmZ3Q7Oi8vV09TOjAwMDQwNjY5NDQwMDAyNjwvdXJs
PjwvcmVsYXRlZC11cmxzPjwvdXJscz48Y3VzdG9tNz4yNDY8L2N1c3RvbTc+PGVsZWN0cm9uaWMt
cmVzb3VyY2UtbnVtPjEwLjMzOTAvZjgwNzAyNDY8L2VsZWN0cm9uaWMtcmVzb3VyY2UtbnVtPjwv
cmVjb3JkPjwvQ2l0ZT48Q2l0ZT48QXV0aG9yPlJlZWQ8L0F1dGhvcj48WWVhcj4yMDE2PC9ZZWFy
PjxSZWNOdW0+NTA0ODI8L1JlY051bT48cmVjb3JkPjxyZWMtbnVtYmVyPjUwNDgyPC9yZWMtbnVt
YmVyPjxmb3JlaWduLWtleXM+PGtleSBhcHA9IkVOIiBkYi1pZD0iYXd4OXJhZGRyMHh4MmhldjA1
cnhyMHowNXdlZXB3cHQwZmV4IiB0aW1lc3RhbXA9IjE1OTYyNTA2NTciPjUwNDgyPC9rZXk+PC9m
b3JlaWduLWtleXM+PHJlZi10eXBlIG5hbWU9IkpvdXJuYWwgQXJ0aWNsZSI+MTc8L3JlZi10eXBl
Pjxjb250cmlidXRvcnM+PGF1dGhvcnM+PGF1dGhvcj5SZWVkLCBKYW1lczwvYXV0aG9yPjxhdXRo
b3I+VmFuIFZpYW5lbiwgSm9zaDwvYXV0aG9yPjxhdXRob3I+RGVha2luLCBFbGl6YWJldGggTDwv
YXV0aG9yPjxhdXRob3I+QmFybG93LCBKb3M8L2F1dGhvcj48YXV0aG9yPlN1bmRlcmxhbmQsIFRl
cnJ5PC9hdXRob3I+PC9hdXRob3JzPjwvY29udHJpYnV0b3JzPjx0aXRsZXM+PHRpdGxlPkludGVn
cmF0ZWQgbGFuZHNjYXBlIGFwcHJvYWNoZXMgdG8gbWFuYWdpbmcgc29jaWFsIGFuZCBlbnZpcm9u
bWVudGFsIGlzc3VlcyBpbiB0aGUgdHJvcGljczogbGVhcm5pbmcgZnJvbSB0aGUgcGFzdCB0byBn
dWlkZSB0aGUgZnV0dXJlPC90aXRsZT48c2Vjb25kYXJ5LXRpdGxlPkdsb2JhbCBjaGFuZ2UgYmlv
bG9neTwvc2Vjb25kYXJ5LXRpdGxlPjwvdGl0bGVzPjxwZXJpb2RpY2FsPjxmdWxsLXRpdGxlPkds
b2JhbCBDaGFuZ2UgQmlvbG9neTwvZnVsbC10aXRsZT48YWJici0xPkdsb2JhbCBDaGFuZ2UgQmlv
bC48L2FiYnItMT48YWJici0yPkdsb2JhbCBDaGFuZ2UgQmlvbDwvYWJici0yPjwvcGVyaW9kaWNh
bD48cGFnZXM+MjU0MC0yNTU0PC9wYWdlcz48dm9sdW1lPjIyPC92b2x1bWU+PG51bWJlcj43PC9u
dW1iZXI+PGRhdGVzPjx5ZWFyPjIwMTY8L3llYXI+PC9kYXRlcz48aXNibj4xMzU0LTEwMTM8L2lz
Ym4+PHVybHM+PC91cmxzPjwvcmVjb3JkPjwvQ2l0ZT48L0VuZE5vdGU+
</w:fldData>
        </w:fldChar>
      </w:r>
      <w:r w:rsidR="00AE0C88" w:rsidRPr="00A9434B">
        <w:rPr>
          <w:b w:val="0"/>
          <w:bCs/>
        </w:rPr>
        <w:instrText xml:space="preserve"> ADDIN EN.CITE </w:instrText>
      </w:r>
      <w:r w:rsidR="00AE0C88" w:rsidRPr="00A9434B">
        <w:rPr>
          <w:b w:val="0"/>
          <w:bCs/>
          <w:i/>
          <w:iCs/>
        </w:rPr>
        <w:fldChar w:fldCharType="begin">
          <w:fldData xml:space="preserve">PEVuZE5vdGU+PENpdGU+PEF1dGhvcj5KYWNvYnM8L0F1dGhvcj48WWVhcj4yMDE3PC9ZZWFyPjxS
ZWNOdW0+NDkwNjc8L1JlY051bT48RGlzcGxheVRleHQ+KFJlZWQsIFZhbiBWaWFuZW4gZXQgYWwu
IDIwMTYsIEphY29icyAyMDE3KTwvRGlzcGxheVRleHQ+PHJlY29yZD48cmVjLW51bWJlcj40OTA2
NzwvcmVjLW51bWJlcj48Zm9yZWlnbi1rZXlzPjxrZXkgYXBwPSJFTiIgZGItaWQ9ImF3eDlyYWRk
cjB4eDJoZXYwNXJ4cjB6MDV3ZWVwd3B0MGZleCIgdGltZXN0YW1wPSIxNTgxNDk3MzIwIj40OTA2
Nzwva2V5PjwvZm9yZWlnbi1rZXlzPjxyZWYtdHlwZSBuYW1lPSJKb3VybmFsIEFydGljbGUiPjE3
PC9yZWYtdHlwZT48Y29udHJpYnV0b3JzPjxhdXRob3JzPjxhdXRob3I+SmFjb2JzLCBLYXNleSBS
LjwvYXV0aG9yPjwvYXV0aG9ycz48L2NvbnRyaWJ1dG9ycz48dGl0bGVzPjx0aXRsZT5UZWFtcyBh
dCBUaGVpciBDb3JlOiBJbXBsZW1lbnRpbmcgYW4gJnF1b3Q7QWxsIExBTkRTIEFwcHJvYWNoIHRv
IENvbnNlcnZhdGlvbiZxdW90OyBSZXF1aXJlcyBGb2N1c2luZyBvbiBSZWxhdGlvbnNoaXBzLCBU
ZWFtd29yayBQcm9jZXNzLCBhbmQgQ29tbXVuaWNhdGlvbnM8L3RpdGxlPjxzZWNvbmRhcnktdGl0
bGU+Rm9yZXN0czwvc2Vjb25kYXJ5LXRpdGxlPjwvdGl0bGVzPjxwZXJpb2RpY2FsPjxmdWxsLXRp
dGxlPkZvcmVzdHM8L2Z1bGwtdGl0bGU+PC9wZXJpb2RpY2FsPjx2b2x1bWU+ODwvdm9sdW1lPjxu
dW1iZXI+NzwvbnVtYmVyPjxkYXRlcz48eWVhcj4yMDE3PC95ZWFyPjxwdWItZGF0ZXM+PGRhdGU+
SnVsPC9kYXRlPjwvcHViLWRhdGVzPjwvZGF0ZXM+PGlzYm4+MTk5OS00OTA3PC9pc2JuPjxhY2Nl
c3Npb24tbnVtPldPUzowMDA0MDY2OTQ0MDAwMjY8L2FjY2Vzc2lvbi1udW0+PHVybHM+PHJlbGF0
ZWQtdXJscz48dXJsPiZsdDtHbyB0byBJU0kmZ3Q7Oi8vV09TOjAwMDQwNjY5NDQwMDAyNjwvdXJs
PjwvcmVsYXRlZC11cmxzPjwvdXJscz48Y3VzdG9tNz4yNDY8L2N1c3RvbTc+PGVsZWN0cm9uaWMt
cmVzb3VyY2UtbnVtPjEwLjMzOTAvZjgwNzAyNDY8L2VsZWN0cm9uaWMtcmVzb3VyY2UtbnVtPjwv
cmVjb3JkPjwvQ2l0ZT48Q2l0ZT48QXV0aG9yPlJlZWQ8L0F1dGhvcj48WWVhcj4yMDE2PC9ZZWFy
PjxSZWNOdW0+NTA0ODI8L1JlY051bT48cmVjb3JkPjxyZWMtbnVtYmVyPjUwNDgyPC9yZWMtbnVt
YmVyPjxmb3JlaWduLWtleXM+PGtleSBhcHA9IkVOIiBkYi1pZD0iYXd4OXJhZGRyMHh4MmhldjA1
cnhyMHowNXdlZXB3cHQwZmV4IiB0aW1lc3RhbXA9IjE1OTYyNTA2NTciPjUwNDgyPC9rZXk+PC9m
b3JlaWduLWtleXM+PHJlZi10eXBlIG5hbWU9IkpvdXJuYWwgQXJ0aWNsZSI+MTc8L3JlZi10eXBl
Pjxjb250cmlidXRvcnM+PGF1dGhvcnM+PGF1dGhvcj5SZWVkLCBKYW1lczwvYXV0aG9yPjxhdXRo
b3I+VmFuIFZpYW5lbiwgSm9zaDwvYXV0aG9yPjxhdXRob3I+RGVha2luLCBFbGl6YWJldGggTDwv
YXV0aG9yPjxhdXRob3I+QmFybG93LCBKb3M8L2F1dGhvcj48YXV0aG9yPlN1bmRlcmxhbmQsIFRl
cnJ5PC9hdXRob3I+PC9hdXRob3JzPjwvY29udHJpYnV0b3JzPjx0aXRsZXM+PHRpdGxlPkludGVn
cmF0ZWQgbGFuZHNjYXBlIGFwcHJvYWNoZXMgdG8gbWFuYWdpbmcgc29jaWFsIGFuZCBlbnZpcm9u
bWVudGFsIGlzc3VlcyBpbiB0aGUgdHJvcGljczogbGVhcm5pbmcgZnJvbSB0aGUgcGFzdCB0byBn
dWlkZSB0aGUgZnV0dXJlPC90aXRsZT48c2Vjb25kYXJ5LXRpdGxlPkdsb2JhbCBjaGFuZ2UgYmlv
bG9neTwvc2Vjb25kYXJ5LXRpdGxlPjwvdGl0bGVzPjxwZXJpb2RpY2FsPjxmdWxsLXRpdGxlPkds
b2JhbCBDaGFuZ2UgQmlvbG9neTwvZnVsbC10aXRsZT48YWJici0xPkdsb2JhbCBDaGFuZ2UgQmlv
bC48L2FiYnItMT48YWJici0yPkdsb2JhbCBDaGFuZ2UgQmlvbDwvYWJici0yPjwvcGVyaW9kaWNh
bD48cGFnZXM+MjU0MC0yNTU0PC9wYWdlcz48dm9sdW1lPjIyPC92b2x1bWU+PG51bWJlcj43PC9u
dW1iZXI+PGRhdGVzPjx5ZWFyPjIwMTY8L3llYXI+PC9kYXRlcz48aXNibj4xMzU0LTEwMTM8L2lz
Ym4+PHVybHM+PC91cmxzPjwvcmVjb3JkPjwvQ2l0ZT48L0VuZE5vdGU+
</w:fldData>
        </w:fldChar>
      </w:r>
      <w:r w:rsidR="00AE0C88" w:rsidRPr="00A9434B">
        <w:rPr>
          <w:b w:val="0"/>
          <w:bCs/>
        </w:rPr>
        <w:instrText xml:space="preserve"> ADDIN EN.CITE.DATA </w:instrText>
      </w:r>
      <w:r w:rsidR="00AE0C88" w:rsidRPr="00A9434B">
        <w:rPr>
          <w:b w:val="0"/>
          <w:bCs/>
          <w:i/>
          <w:iCs/>
        </w:rPr>
      </w:r>
      <w:r w:rsidR="00AE0C88" w:rsidRPr="00A9434B">
        <w:rPr>
          <w:b w:val="0"/>
          <w:bCs/>
          <w:i/>
          <w:iCs/>
        </w:rPr>
        <w:fldChar w:fldCharType="end"/>
      </w:r>
      <w:r w:rsidR="00AE0C88" w:rsidRPr="00A9434B">
        <w:rPr>
          <w:b w:val="0"/>
          <w:bCs/>
          <w:i/>
          <w:iCs/>
        </w:rPr>
      </w:r>
      <w:r w:rsidR="00AE0C88" w:rsidRPr="00A9434B">
        <w:rPr>
          <w:b w:val="0"/>
          <w:bCs/>
          <w:i/>
          <w:iCs/>
        </w:rPr>
        <w:fldChar w:fldCharType="separate"/>
      </w:r>
      <w:r w:rsidR="00AE0C88" w:rsidRPr="00A9434B">
        <w:rPr>
          <w:b w:val="0"/>
          <w:bCs/>
          <w:i/>
          <w:iCs/>
        </w:rPr>
        <w:fldChar w:fldCharType="begin"/>
      </w:r>
      <w:r w:rsidR="0006613E">
        <w:rPr>
          <w:b w:val="0"/>
          <w:bCs/>
        </w:rPr>
        <w:instrText xml:space="preserve"> ADDIN ZOTERO_ITEM CSL_CITATION {"citationID":"a1a2s2jf7ko","properties":{"formattedCitation":"(Jacobs, 2017; J. Reed et al., 2016)","plainCitation":"(Jacobs, 2017; J. Reed et al., 2016)","dontUpdate":true,"noteIndex":0},"citationItems":[{"id":24046,"uris":["http://zotero.org/groups/2352922/items/KCMLAMR5"],"itemData":{"id":24046,"type":"article-journal","container-title":"Forests","DOI":"10.3390/f8070246","ISSN":"1999-4907","issue":"7","page":"246","title":"Teams at Their Core: Implementing an \"All LANDS Approach to Conservation\" Requires Focusing on Relationships, Teamwork Process, and Communications","volume":"8","author":[{"family":"Jacobs","given":"Kasey R."}],"issued":{"date-parts":[["2017",7]]}}},{"id":23517,"uris":["http://zotero.org/groups/2352922/items/5K4K2FPH"],"itemData":{"id":23517,"type":"article-journal","abstract":"Poverty, food insecurity, climate change and biodiversity loss continue to persist as the primary environmental and social challenges faced by the global community. As such, there is a growing acknowledgement that conventional sectorial approaches to addressing often inter-connected social, environmental, economic and political challenges are proving insufficient. An alternative is to focus on integrated solutions at landscape scales or ‘landscape approaches’. The appeal of landscape approaches has resulted in the production of a significant body of literature in recent decades, yet confusion over terminology, application and utility persists. Focusing on the tropics, we systematically reviewed the literature to: (i) disentangle the historical development and theory behind the framework of the landscape approach and how it has progressed into its current iteration, (ii) establish lessons learned from previous land management strategies, (iii) determine the barriers that currently restrict implementation of the landscape approach and (iv) provide recommendations for how the landscape approach can contribute towards the fulfilment of the goals of international policy processes. This review suggests that, despite some barriers to implementation, a landscape approach has considerable potential to meet social and environmental objectives at local scales while aiding national commitments to addressing ongoing global challenges.","container-title":"Global Change Biology","DOI":"10.1111/gcb.13284","ISSN":"1365-2486","issue":"7","language":"en","license":"© 2016 The Authors. Global Change Biology  Published by John Wiley &amp; Sons Ltd.","note":"_eprint: https://onlinelibrary.wiley.com/doi/pdf/10.1111/gcb.13284","page":"2540-2554","source":"Wiley Online Library","title":"Integrated landscape approaches to managing social and environmental issues in the tropics: learning from the past to guide the future","title-short":"Integrated landscape approaches to managing social and environmental issues in the tropics","URL":"https://onlinelibrary.wiley.com/doi/abs/10.1111/gcb.13284","volume":"22","author":[{"family":"Reed","given":"James"},{"family":"Van Vianen","given":"Josh"},{"family":"Deakin","given":"Elizabeth L."},{"family":"Barlow","given":"Jos"},{"family":"Sunderland","given":"Terry"}],"accessed":{"date-parts":[["2020",5,21]]},"issued":{"date-parts":[["2016"]]}}}],"schema":"https://github.com/citation-style-language/schema/raw/master/csl-citation.json"} </w:instrText>
      </w:r>
      <w:r w:rsidR="00AE0C88" w:rsidRPr="00A9434B">
        <w:rPr>
          <w:b w:val="0"/>
          <w:bCs/>
          <w:i/>
          <w:iCs/>
        </w:rPr>
        <w:fldChar w:fldCharType="separate"/>
      </w:r>
      <w:r w:rsidR="00974627" w:rsidRPr="00A9434B">
        <w:rPr>
          <w:b w:val="0"/>
          <w:bCs/>
        </w:rPr>
        <w:t>;</w:t>
      </w:r>
      <w:r w:rsidR="00927555" w:rsidRPr="00A9434B">
        <w:rPr>
          <w:b w:val="0"/>
          <w:bCs/>
        </w:rPr>
        <w:t xml:space="preserve"> </w:t>
      </w:r>
      <w:r w:rsidRPr="00A9434B">
        <w:rPr>
          <w:b w:val="0"/>
          <w:bCs/>
        </w:rPr>
        <w:t>Jacobs, 2017; J. Reed et al., 2016)</w:t>
      </w:r>
      <w:r w:rsidR="00AE0C88" w:rsidRPr="00A9434B">
        <w:rPr>
          <w:b w:val="0"/>
          <w:bCs/>
          <w:i/>
          <w:iCs/>
        </w:rPr>
        <w:fldChar w:fldCharType="end"/>
      </w:r>
      <w:r w:rsidR="00AE0C88" w:rsidRPr="00A9434B">
        <w:rPr>
          <w:b w:val="0"/>
          <w:bCs/>
          <w:i/>
          <w:iCs/>
        </w:rPr>
        <w:fldChar w:fldCharType="end"/>
      </w:r>
      <w:r w:rsidRPr="00A9434B">
        <w:rPr>
          <w:b w:val="0"/>
          <w:bCs/>
        </w:rPr>
        <w:t>.</w:t>
      </w:r>
      <w:bookmarkEnd w:id="118"/>
    </w:p>
    <w:p w14:paraId="4B0E2DAD" w14:textId="7A8EEB6D" w:rsidR="00DB4D9C" w:rsidRPr="00A9434B" w:rsidRDefault="2ECFA492" w:rsidP="00585D0E">
      <w:pPr>
        <w:pStyle w:val="Heading5"/>
        <w:rPr>
          <w:b w:val="0"/>
          <w:bCs/>
        </w:rPr>
      </w:pPr>
      <w:bookmarkStart w:id="119" w:name="_Toc43321261"/>
      <w:r w:rsidRPr="00A9434B">
        <w:t>(3) Information availability, flow</w:t>
      </w:r>
      <w:r w:rsidR="00896CEC">
        <w:t xml:space="preserve"> and</w:t>
      </w:r>
      <w:r w:rsidRPr="00A9434B">
        <w:t xml:space="preserve"> access</w:t>
      </w:r>
      <w:r w:rsidR="00DB4D9C" w:rsidRPr="00A9434B">
        <w:br/>
      </w:r>
      <w:r w:rsidRPr="00A9434B">
        <w:rPr>
          <w:b w:val="0"/>
          <w:bCs/>
        </w:rPr>
        <w:t xml:space="preserve">Information silos </w:t>
      </w:r>
      <w:r w:rsidR="00941AD8" w:rsidRPr="00A9434B">
        <w:rPr>
          <w:b w:val="0"/>
          <w:bCs/>
        </w:rPr>
        <w:t>across</w:t>
      </w:r>
      <w:r w:rsidRPr="00A9434B">
        <w:rPr>
          <w:b w:val="0"/>
          <w:bCs/>
        </w:rPr>
        <w:t xml:space="preserve"> stakeholder</w:t>
      </w:r>
      <w:r w:rsidR="00941AD8" w:rsidRPr="00A9434B">
        <w:rPr>
          <w:b w:val="0"/>
          <w:bCs/>
        </w:rPr>
        <w:t xml:space="preserve"> group</w:t>
      </w:r>
      <w:r w:rsidRPr="00A9434B">
        <w:rPr>
          <w:b w:val="0"/>
          <w:bCs/>
        </w:rPr>
        <w:t xml:space="preserve">s hinder effective governance </w:t>
      </w:r>
      <w:r w:rsidR="00DB4D9C" w:rsidRPr="00A9434B">
        <w:rPr>
          <w:b w:val="0"/>
          <w:bCs/>
          <w:i/>
          <w:iCs/>
        </w:rPr>
        <w:fldChar w:fldCharType="begin">
          <w:fldData xml:space="preserve">PEVuZE5vdGU+PENpdGU+PEF1dGhvcj5Ob3VyYW5pPC9BdXRob3I+PFllYXI+MjAxODwvWWVhcj48
UmVjTnVtPjQ5MDUxPC9SZWNOdW0+PERpc3BsYXlUZXh0PihDb2xsaW5zIDIwMTgsIE5vdXJhbmks
IEtyYXNueSBldCBhbC4gMjAxOCwgUGVsdHplciwgQmVsbGluZ2hhbSBldCBhbC4gMjAxOSk8L0Rp
c3BsYXlUZXh0PjxyZWNvcmQ+PHJlYy1udW1iZXI+NDkwNTE8L3JlYy1udW1iZXI+PGZvcmVpZ24t
a2V5cz48a2V5IGFwcD0iRU4iIGRiLWlkPSJhd3g5cmFkZHIweHgyaGV2MDVyeHIwejA1d2VlcHdw
dDBmZXgiIHRpbWVzdGFtcD0iMTU4MTQ5NzMyMCI+NDkwNTE8L2tleT48L2ZvcmVpZ24ta2V5cz48
cmVmLXR5cGUgbmFtZT0iSm91cm5hbCBBcnRpY2xlIj4xNzwvcmVmLXR5cGU+PGNvbnRyaWJ1dG9y
cz48YXV0aG9ycz48YXV0aG9yPk5vdXJhbmksIFNhbGx5IFcuPC9hdXRob3I+PGF1dGhvcj5LcmFz
bnksIE1hcmlhbm5lIEUuPC9hdXRob3I+PGF1dGhvcj5EZWNrZXIsIERhbmllbCBKLjwvYXV0aG9y
PjwvYXV0aG9ycz48L2NvbnRyaWJ1dG9ycz48dGl0bGVzPjx0aXRsZT5MZWFybmluZyBhbmQgbGlu
a2luZyBmb3IgaW52YXNpdmUgc3BlY2llcyBtYW5hZ2VtZW50PC90aXRsZT48c2Vjb25kYXJ5LXRp
dGxlPkVjb2xvZ3kgYW5kIFNvY2lldHk8L3NlY29uZGFyeS10aXRsZT48L3RpdGxlcz48cGVyaW9k
aWNhbD48ZnVsbC10aXRsZT5FY29sb2d5IGFuZCBTb2NpZXR5PC9mdWxsLXRpdGxlPjxhYmJyLTE+
RWNvbC4gU29jLjwvYWJici0xPjxhYmJyLTI+RWNvbCBTb2M8L2FiYnItMj48L3BlcmlvZGljYWw+
PHZvbHVtZT4yMzwvdm9sdW1lPjxudW1iZXI+MzwvbnVtYmVyPjxkYXRlcz48eWVhcj4yMDE4PC95
ZWFyPjxwdWItZGF0ZXM+PGRhdGU+MjAxODwvZGF0ZT48L3B1Yi1kYXRlcz48L2RhdGVzPjxpc2Ju
PjE3MDgtMzA4NzwvaXNibj48YWNjZXNzaW9uLW51bT5XT1M6MDAwNDQ2MzIxMDAwMDMzPC9hY2Nl
c3Npb24tbnVtPjx1cmxzPjxyZWxhdGVkLXVybHM+PHVybD4mbHQ7R28gdG8gSVNJJmd0OzovL1dP
UzowMDA0NDYzMjEwMDAwMzM8L3VybD48L3JlbGF0ZWQtdXJscz48L3VybHM+PGN1c3RvbTc+Mjk8
L2N1c3RvbTc+PGVsZWN0cm9uaWMtcmVzb3VyY2UtbnVtPjEwLjU3NTEvZXMtMTAzMjctMjMwMzI5
PC9lbGVjdHJvbmljLXJlc291cmNlLW51bT48L3JlY29yZD48L0NpdGU+PENpdGU+PEF1dGhvcj5Q
ZWx0emVyPC9BdXRob3I+PFllYXI+MjAxOTwvWWVhcj48UmVjTnVtPjQ5MDA4PC9SZWNOdW0+PHJl
Y29yZD48cmVjLW51bWJlcj40OTAwODwvcmVjLW51bWJlcj48Zm9yZWlnbi1rZXlzPjxrZXkgYXBw
PSJFTiIgZGItaWQ9ImF3eDlyYWRkcjB4eDJoZXYwNXJ4cjB6MDV3ZWVwd3B0MGZleCIgdGltZXN0
YW1wPSIxNTgxNDk3MzIwIj40OTAwODwva2V5PjwvZm9yZWlnbi1rZXlzPjxyZWYtdHlwZSBuYW1l
PSJKb3VybmFsIEFydGljbGUiPjE3PC9yZWYtdHlwZT48Y29udHJpYnV0b3JzPjxhdXRob3JzPjxh
dXRob3I+UGVsdHplciwgRHVhbmUgQS48L2F1dGhvcj48YXV0aG9yPkJlbGxpbmdoYW0sIFBldGVy
IEouPC9hdXRob3I+PGF1dGhvcj5EaWNraWUsIElhbiBBLjwvYXV0aG9yPjxhdXRob3I+SG91bGlz
dG9uLCBHYXJ5PC9hdXRob3I+PGF1dGhvcj5IdWxtZSwgUGhpbGlwIEUuPC9hdXRob3I+PGF1dGhv
cj5MeXZlciwgUGhpbCBPJmFwb3M7QjwvYXV0aG9yPjxhdXRob3I+TWNHbG9uZSwgTWF0dGhldzwv
YXV0aG9yPjxhdXRob3I+UmljaGFyZHNvbiwgU2FyYWggSi48L2F1dGhvcj48YXV0aG9yPldvb2Qs
IEphbWllPC9hdXRob3I+PC9hdXRob3JzPjwvY29udHJpYnV0b3JzPjx0aXRsZXM+PHRpdGxlPlNj
YWxlIGFuZCBjb21wbGV4aXR5IGltcGxpY2F0aW9ucyBvZiBtYWtpbmcgTmV3IFplYWxhbmQgcHJl
ZGF0b3ItZnJlZSBieSAyMDUwPC90aXRsZT48c2Vjb25kYXJ5LXRpdGxlPkpvdXJuYWwgb2YgdGhl
IFJveWFsIFNvY2lldHkgb2YgTmV3IFplYWxhbmQ8L3NlY29uZGFyeS10aXRsZT48L3RpdGxlcz48
cGVyaW9kaWNhbD48ZnVsbC10aXRsZT5Kb3VybmFsIG9mIHRoZSBSb3lhbCBTb2NpZXR5IG9mIE5l
dyBaZWFsYW5kPC9mdWxsLXRpdGxlPjxhYmJyLTE+Si4gUi4gU29jLiBOLiBaLjwvYWJici0xPjxh
YmJyLTI+SiBSIFNvYyBOIFo8L2FiYnItMj48L3BlcmlvZGljYWw+PHBhZ2VzPjQxMi00Mzk8L3Bh
Z2VzPjx2b2x1bWU+NDk8L3ZvbHVtZT48bnVtYmVyPjM8L251bWJlcj48ZGF0ZXM+PHllYXI+MjAx
OTwveWVhcj48cHViLWRhdGVzPjxkYXRlPkp1bCAzPC9kYXRlPjwvcHViLWRhdGVzPjwvZGF0ZXM+
PGlzYm4+MDMwMy02NzU4PC9pc2JuPjxhY2Nlc3Npb24tbnVtPldPUzowMDA0ODM1Mjg1MDAwMDE8
L2FjY2Vzc2lvbi1udW0+PHVybHM+PHJlbGF0ZWQtdXJscz48dXJsPiZsdDtHbyB0byBJU0kmZ3Q7
Oi8vV09TOjAwMDQ4MzUyODUwMDAwMTwvdXJsPjwvcmVsYXRlZC11cmxzPjwvdXJscz48ZWxlY3Ry
b25pYy1yZXNvdXJjZS1udW0+MTAuMTA4MC8wMzAzNjc1OC4yMDE5LjE2NTM5NDA8L2VsZWN0cm9u
aWMtcmVzb3VyY2UtbnVtPjwvcmVjb3JkPjwvQ2l0ZT48Q2l0ZT48QXV0aG9yPkNvbGxpbnM8L0F1
dGhvcj48WWVhcj4yMDE4PC9ZZWFyPjxSZWNOdW0+NDkwNTI8L1JlY051bT48cmVjb3JkPjxyZWMt
bnVtYmVyPjQ5MDUyPC9yZWMtbnVtYmVyPjxmb3JlaWduLWtleXM+PGtleSBhcHA9IkVOIiBkYi1p
ZD0iYXd4OXJhZGRyMHh4MmhldjA1cnhyMHowNXdlZXB3cHQwZmV4IiB0aW1lc3RhbXA9IjE1ODE0
OTczMjAiPjQ5MDUyPC9rZXk+PC9mb3JlaWduLWtleXM+PHJlZi10eXBlIG5hbWU9IkpvdXJuYWwg
QXJ0aWNsZSI+MTc8L3JlZi10eXBlPjxjb250cmlidXRvcnM+PGF1dGhvcnM+PGF1dGhvcj5Db2xs
aW5zLCBKYW1lcyBQLjwvYXV0aG9yPjwvYXV0aG9ycz48L2NvbnRyaWJ1dG9ycz48dGl0bGVzPjx0
aXRsZT5HZW5lIGRyaXZlcyBpbiBvdXIgZnV0dXJlOiBjaGFsbGVuZ2VzIG9mIGFuZCBvcHBvcnR1
bml0aWVzIGZvciB1c2luZyBhIHNlbGYtc3VzdGFpbmluZyB0ZWNobm9sb2d5IGluIHBlc3QgYW5k
IHZlY3RvciBtYW5hZ2VtZW50PC90aXRsZT48c2Vjb25kYXJ5LXRpdGxlPkJNQyBwcm9jZWVkaW5n
czwvc2Vjb25kYXJ5LXRpdGxlPjwvdGl0bGVzPjxwZXJpb2RpY2FsPjxmdWxsLXRpdGxlPkJNQyBw
cm9jZWVkaW5nczwvZnVsbC10aXRsZT48L3BlcmlvZGljYWw+PHBhZ2VzPjktOTwvcGFnZXM+PHZv
bHVtZT4xMjwvdm9sdW1lPjxudW1iZXI+U3VwcGwgODwvbnVtYmVyPjxkYXRlcz48eWVhcj4yMDE4
PC95ZWFyPjxwdWItZGF0ZXM+PGRhdGU+MjAxODwvZGF0ZT48L3B1Yi1kYXRlcz48L2RhdGVzPjxp
c2JuPjE3NTMtNjU2MTwvaXNibj48YWNjZXNzaW9uLW51bT5NRURMSU5FOjMwMDc5MTAxPC9hY2Nl
c3Npb24tbnVtPjx1cmxzPjxyZWxhdGVkLXVybHM+PHVybD4mbHQ7R28gdG8gSVNJJmd0OzovL01F
RExJTkU6MzAwNzkxMDE8L3VybD48L3JlbGF0ZWQtdXJscz48L3VybHM+PGVsZWN0cm9uaWMtcmVz
b3VyY2UtbnVtPjEwLjExODYvczEyOTE5LTAxOC0wMTEwLTQ8L2VsZWN0cm9uaWMtcmVzb3VyY2Ut
bnVtPjwvcmVjb3JkPjwvQ2l0ZT48L0VuZE5vdGU+
</w:fldData>
        </w:fldChar>
      </w:r>
      <w:r w:rsidR="00DB4D9C" w:rsidRPr="00A9434B">
        <w:rPr>
          <w:b w:val="0"/>
          <w:bCs/>
        </w:rPr>
        <w:instrText xml:space="preserve"> ADDIN EN.CITE </w:instrText>
      </w:r>
      <w:r w:rsidR="00DB4D9C" w:rsidRPr="00A9434B">
        <w:rPr>
          <w:b w:val="0"/>
          <w:bCs/>
          <w:i/>
          <w:iCs/>
        </w:rPr>
        <w:fldChar w:fldCharType="begin">
          <w:fldData xml:space="preserve">PEVuZE5vdGU+PENpdGU+PEF1dGhvcj5Ob3VyYW5pPC9BdXRob3I+PFllYXI+MjAxODwvWWVhcj48
UmVjTnVtPjQ5MDUxPC9SZWNOdW0+PERpc3BsYXlUZXh0PihDb2xsaW5zIDIwMTgsIE5vdXJhbmks
IEtyYXNueSBldCBhbC4gMjAxOCwgUGVsdHplciwgQmVsbGluZ2hhbSBldCBhbC4gMjAxOSk8L0Rp
c3BsYXlUZXh0PjxyZWNvcmQ+PHJlYy1udW1iZXI+NDkwNTE8L3JlYy1udW1iZXI+PGZvcmVpZ24t
a2V5cz48a2V5IGFwcD0iRU4iIGRiLWlkPSJhd3g5cmFkZHIweHgyaGV2MDVyeHIwejA1d2VlcHdw
dDBmZXgiIHRpbWVzdGFtcD0iMTU4MTQ5NzMyMCI+NDkwNTE8L2tleT48L2ZvcmVpZ24ta2V5cz48
cmVmLXR5cGUgbmFtZT0iSm91cm5hbCBBcnRpY2xlIj4xNzwvcmVmLXR5cGU+PGNvbnRyaWJ1dG9y
cz48YXV0aG9ycz48YXV0aG9yPk5vdXJhbmksIFNhbGx5IFcuPC9hdXRob3I+PGF1dGhvcj5LcmFz
bnksIE1hcmlhbm5lIEUuPC9hdXRob3I+PGF1dGhvcj5EZWNrZXIsIERhbmllbCBKLjwvYXV0aG9y
PjwvYXV0aG9ycz48L2NvbnRyaWJ1dG9ycz48dGl0bGVzPjx0aXRsZT5MZWFybmluZyBhbmQgbGlu
a2luZyBmb3IgaW52YXNpdmUgc3BlY2llcyBtYW5hZ2VtZW50PC90aXRsZT48c2Vjb25kYXJ5LXRp
dGxlPkVjb2xvZ3kgYW5kIFNvY2lldHk8L3NlY29uZGFyeS10aXRsZT48L3RpdGxlcz48cGVyaW9k
aWNhbD48ZnVsbC10aXRsZT5FY29sb2d5IGFuZCBTb2NpZXR5PC9mdWxsLXRpdGxlPjxhYmJyLTE+
RWNvbC4gU29jLjwvYWJici0xPjxhYmJyLTI+RWNvbCBTb2M8L2FiYnItMj48L3BlcmlvZGljYWw+
PHZvbHVtZT4yMzwvdm9sdW1lPjxudW1iZXI+MzwvbnVtYmVyPjxkYXRlcz48eWVhcj4yMDE4PC95
ZWFyPjxwdWItZGF0ZXM+PGRhdGU+MjAxODwvZGF0ZT48L3B1Yi1kYXRlcz48L2RhdGVzPjxpc2Ju
PjE3MDgtMzA4NzwvaXNibj48YWNjZXNzaW9uLW51bT5XT1M6MDAwNDQ2MzIxMDAwMDMzPC9hY2Nl
c3Npb24tbnVtPjx1cmxzPjxyZWxhdGVkLXVybHM+PHVybD4mbHQ7R28gdG8gSVNJJmd0OzovL1dP
UzowMDA0NDYzMjEwMDAwMzM8L3VybD48L3JlbGF0ZWQtdXJscz48L3VybHM+PGN1c3RvbTc+Mjk8
L2N1c3RvbTc+PGVsZWN0cm9uaWMtcmVzb3VyY2UtbnVtPjEwLjU3NTEvZXMtMTAzMjctMjMwMzI5
PC9lbGVjdHJvbmljLXJlc291cmNlLW51bT48L3JlY29yZD48L0NpdGU+PENpdGU+PEF1dGhvcj5Q
ZWx0emVyPC9BdXRob3I+PFllYXI+MjAxOTwvWWVhcj48UmVjTnVtPjQ5MDA4PC9SZWNOdW0+PHJl
Y29yZD48cmVjLW51bWJlcj40OTAwODwvcmVjLW51bWJlcj48Zm9yZWlnbi1rZXlzPjxrZXkgYXBw
PSJFTiIgZGItaWQ9ImF3eDlyYWRkcjB4eDJoZXYwNXJ4cjB6MDV3ZWVwd3B0MGZleCIgdGltZXN0
YW1wPSIxNTgxNDk3MzIwIj40OTAwODwva2V5PjwvZm9yZWlnbi1rZXlzPjxyZWYtdHlwZSBuYW1l
PSJKb3VybmFsIEFydGljbGUiPjE3PC9yZWYtdHlwZT48Y29udHJpYnV0b3JzPjxhdXRob3JzPjxh
dXRob3I+UGVsdHplciwgRHVhbmUgQS48L2F1dGhvcj48YXV0aG9yPkJlbGxpbmdoYW0sIFBldGVy
IEouPC9hdXRob3I+PGF1dGhvcj5EaWNraWUsIElhbiBBLjwvYXV0aG9yPjxhdXRob3I+SG91bGlz
dG9uLCBHYXJ5PC9hdXRob3I+PGF1dGhvcj5IdWxtZSwgUGhpbGlwIEUuPC9hdXRob3I+PGF1dGhv
cj5MeXZlciwgUGhpbCBPJmFwb3M7QjwvYXV0aG9yPjxhdXRob3I+TWNHbG9uZSwgTWF0dGhldzwv
YXV0aG9yPjxhdXRob3I+UmljaGFyZHNvbiwgU2FyYWggSi48L2F1dGhvcj48YXV0aG9yPldvb2Qs
IEphbWllPC9hdXRob3I+PC9hdXRob3JzPjwvY29udHJpYnV0b3JzPjx0aXRsZXM+PHRpdGxlPlNj
YWxlIGFuZCBjb21wbGV4aXR5IGltcGxpY2F0aW9ucyBvZiBtYWtpbmcgTmV3IFplYWxhbmQgcHJl
ZGF0b3ItZnJlZSBieSAyMDUwPC90aXRsZT48c2Vjb25kYXJ5LXRpdGxlPkpvdXJuYWwgb2YgdGhl
IFJveWFsIFNvY2lldHkgb2YgTmV3IFplYWxhbmQ8L3NlY29uZGFyeS10aXRsZT48L3RpdGxlcz48
cGVyaW9kaWNhbD48ZnVsbC10aXRsZT5Kb3VybmFsIG9mIHRoZSBSb3lhbCBTb2NpZXR5IG9mIE5l
dyBaZWFsYW5kPC9mdWxsLXRpdGxlPjxhYmJyLTE+Si4gUi4gU29jLiBOLiBaLjwvYWJici0xPjxh
YmJyLTI+SiBSIFNvYyBOIFo8L2FiYnItMj48L3BlcmlvZGljYWw+PHBhZ2VzPjQxMi00Mzk8L3Bh
Z2VzPjx2b2x1bWU+NDk8L3ZvbHVtZT48bnVtYmVyPjM8L251bWJlcj48ZGF0ZXM+PHllYXI+MjAx
OTwveWVhcj48cHViLWRhdGVzPjxkYXRlPkp1bCAzPC9kYXRlPjwvcHViLWRhdGVzPjwvZGF0ZXM+
PGlzYm4+MDMwMy02NzU4PC9pc2JuPjxhY2Nlc3Npb24tbnVtPldPUzowMDA0ODM1Mjg1MDAwMDE8
L2FjY2Vzc2lvbi1udW0+PHVybHM+PHJlbGF0ZWQtdXJscz48dXJsPiZsdDtHbyB0byBJU0kmZ3Q7
Oi8vV09TOjAwMDQ4MzUyODUwMDAwMTwvdXJsPjwvcmVsYXRlZC11cmxzPjwvdXJscz48ZWxlY3Ry
b25pYy1yZXNvdXJjZS1udW0+MTAuMTA4MC8wMzAzNjc1OC4yMDE5LjE2NTM5NDA8L2VsZWN0cm9u
aWMtcmVzb3VyY2UtbnVtPjwvcmVjb3JkPjwvQ2l0ZT48Q2l0ZT48QXV0aG9yPkNvbGxpbnM8L0F1
dGhvcj48WWVhcj4yMDE4PC9ZZWFyPjxSZWNOdW0+NDkwNTI8L1JlY051bT48cmVjb3JkPjxyZWMt
bnVtYmVyPjQ5MDUyPC9yZWMtbnVtYmVyPjxmb3JlaWduLWtleXM+PGtleSBhcHA9IkVOIiBkYi1p
ZD0iYXd4OXJhZGRyMHh4MmhldjA1cnhyMHowNXdlZXB3cHQwZmV4IiB0aW1lc3RhbXA9IjE1ODE0
OTczMjAiPjQ5MDUyPC9rZXk+PC9mb3JlaWduLWtleXM+PHJlZi10eXBlIG5hbWU9IkpvdXJuYWwg
QXJ0aWNsZSI+MTc8L3JlZi10eXBlPjxjb250cmlidXRvcnM+PGF1dGhvcnM+PGF1dGhvcj5Db2xs
aW5zLCBKYW1lcyBQLjwvYXV0aG9yPjwvYXV0aG9ycz48L2NvbnRyaWJ1dG9ycz48dGl0bGVzPjx0
aXRsZT5HZW5lIGRyaXZlcyBpbiBvdXIgZnV0dXJlOiBjaGFsbGVuZ2VzIG9mIGFuZCBvcHBvcnR1
bml0aWVzIGZvciB1c2luZyBhIHNlbGYtc3VzdGFpbmluZyB0ZWNobm9sb2d5IGluIHBlc3QgYW5k
IHZlY3RvciBtYW5hZ2VtZW50PC90aXRsZT48c2Vjb25kYXJ5LXRpdGxlPkJNQyBwcm9jZWVkaW5n
czwvc2Vjb25kYXJ5LXRpdGxlPjwvdGl0bGVzPjxwZXJpb2RpY2FsPjxmdWxsLXRpdGxlPkJNQyBw
cm9jZWVkaW5nczwvZnVsbC10aXRsZT48L3BlcmlvZGljYWw+PHBhZ2VzPjktOTwvcGFnZXM+PHZv
bHVtZT4xMjwvdm9sdW1lPjxudW1iZXI+U3VwcGwgODwvbnVtYmVyPjxkYXRlcz48eWVhcj4yMDE4
PC95ZWFyPjxwdWItZGF0ZXM+PGRhdGU+MjAxODwvZGF0ZT48L3B1Yi1kYXRlcz48L2RhdGVzPjxp
c2JuPjE3NTMtNjU2MTwvaXNibj48YWNjZXNzaW9uLW51bT5NRURMSU5FOjMwMDc5MTAxPC9hY2Nl
c3Npb24tbnVtPjx1cmxzPjxyZWxhdGVkLXVybHM+PHVybD4mbHQ7R28gdG8gSVNJJmd0OzovL01F
RExJTkU6MzAwNzkxMDE8L3VybD48L3JlbGF0ZWQtdXJscz48L3VybHM+PGVsZWN0cm9uaWMtcmVz
b3VyY2UtbnVtPjEwLjExODYvczEyOTE5LTAxOC0wMTEwLTQ8L2VsZWN0cm9uaWMtcmVzb3VyY2Ut
bnVtPjwvcmVjb3JkPjwvQ2l0ZT48L0VuZE5vdGU+
</w:fldData>
        </w:fldChar>
      </w:r>
      <w:r w:rsidR="00DB4D9C" w:rsidRPr="00A9434B">
        <w:rPr>
          <w:b w:val="0"/>
          <w:bCs/>
        </w:rPr>
        <w:instrText xml:space="preserve"> ADDIN EN.CITE.DATA </w:instrText>
      </w:r>
      <w:r w:rsidR="00DB4D9C" w:rsidRPr="00A9434B">
        <w:rPr>
          <w:b w:val="0"/>
          <w:bCs/>
          <w:i/>
          <w:iCs/>
        </w:rPr>
      </w:r>
      <w:r w:rsidR="00DB4D9C" w:rsidRPr="00A9434B">
        <w:rPr>
          <w:b w:val="0"/>
          <w:bCs/>
          <w:i/>
          <w:iCs/>
        </w:rPr>
        <w:fldChar w:fldCharType="end"/>
      </w:r>
      <w:r w:rsidR="00DB4D9C" w:rsidRPr="00A9434B">
        <w:rPr>
          <w:b w:val="0"/>
          <w:bCs/>
          <w:i/>
          <w:iCs/>
        </w:rPr>
      </w:r>
      <w:r w:rsidR="00DB4D9C" w:rsidRPr="00A9434B">
        <w:rPr>
          <w:b w:val="0"/>
          <w:bCs/>
          <w:i/>
          <w:iCs/>
        </w:rPr>
        <w:fldChar w:fldCharType="separate"/>
      </w:r>
      <w:r w:rsidR="00DB4D9C" w:rsidRPr="00A9434B">
        <w:rPr>
          <w:b w:val="0"/>
          <w:bCs/>
          <w:i/>
          <w:iCs/>
        </w:rPr>
        <w:fldChar w:fldCharType="begin"/>
      </w:r>
      <w:r w:rsidR="0006613E">
        <w:rPr>
          <w:b w:val="0"/>
          <w:bCs/>
        </w:rPr>
        <w:instrText xml:space="preserve"> ADDIN ZOTERO_ITEM CSL_CITATION {"citationID":"amrbp5tkod","properties":{"formattedCitation":"(Collins, 2018; Nourani et al., 2018; Peltzer et al., 2019)","plainCitation":"(Collins, 2018; Nourani et al., 2018; Peltzer et al., 2019)","noteIndex":0},"citationItems":[{"id":23978,"uris":["http://zotero.org/groups/2352922/items/I5YY6P3Z"],"itemData":{"id":23978,"type":"article-journal","container-title":"BMC proceedings","DOI":"10.1186/s12919-018-0110-4","ISSN":"1753-6561","issue":"Suppl 8","page":"9","title":"Gene drives in our future: challenges of and opportunities for using a self-sustaining technology in pest and vector management","volume":"12","author":[{"family":"Collins","given":"James P."}],"issued":{"date-parts":[["2018"]]}},"label":"page"},{"id":10793,"uris":["http://zotero.org/groups/2352922/items/HHBPHS6N"],"itemData":{"id":10793,"type":"article-journal","abstract":"Invasive species can create economic and safety concerns. Responding to invasive species requires communication of research, localized management, and collaboration across jurisdictional boundaries. We examined the use of adaptive comanagement in three New York counties to mitigate the impacts of emerald ash borer, a wood-boring beetle that causes widespread death of ash trees. We assessed learning along three typologies (cognitive, normative, and relational), linking (through network analysis), and connections of learning and linking to management outcomes. Findings indicate that knowledge networks were built through task forces that brought together local and state government, university, and private stakeholders. In addition, this study suggests types of learning that are needed for stakeholders to respond to invasive species management.","container-title":"Ecology and Society","DOI":"10.5751/ES-10327-230329","ISSN":"1708-3087","issue":"3","journalAbbreviation":"E&amp;S","language":"en","page":"29","source":"DOI.org (Crossref)","title":"Learning and linking for invasive species management","URL":"https://www.ecologyandsociety.org/vol23/iss3/art29/","volume":"23","author":[{"family":"Nourani","given":"Sally W."},{"family":"Krasny","given":"Marianne E."},{"family":"Decker","given":"Daniel J."}],"accessed":{"date-parts":[["2019",11,28]]},"issued":{"date-parts":[["2018"]]}},"label":"page"},{"id":56552,"uris":["http://zotero.org/groups/2352922/items/WGE4W9R8","http://zotero.org/groups/2352922/items/9NHCBRXF"],"itemData":{"id":56552,"type":"article-journal","container-title":"Journal of the Royal Society of New Zealand","DOI":"10.1080/03036758.2019.1653940","ISSN":"0303-6758, 1175-8899","issue":"3","journalAbbreviation":"Journal of the Royal Society of New Zealand","language":"en","page":"412-439","source":"DOI.org (Crossref)","title":"Scale and complexity implications of making New Zealand predator-free by 2050","URL":"https://www.tandfonline.com/doi/full/10.1080/03036758.2019.1653940","volume":"49","author":[{"family":"Peltzer","given":"Duane A."},{"family":"Bellingham","given":"Peter J."},{"family":"Dickie","given":"Ian A."},{"family":"Houliston","given":"Gary"},{"family":"Hulme","given":"Philip E."},{"family":"Lyver","given":"Phil O’B."},{"family":"McGlone","given":"Matthew"},{"family":"Richardson","given":"Sarah J."},{"family":"Wood","given":"Jamie"}],"accessed":{"date-parts":[["2023",6,8]]},"issued":{"date-parts":[["2019",7,3]]}},"label":"page"}],"schema":"https://github.com/citation-style-language/schema/raw/master/csl-citation.json"} </w:instrText>
      </w:r>
      <w:r w:rsidR="00DB4D9C" w:rsidRPr="00A9434B">
        <w:rPr>
          <w:b w:val="0"/>
          <w:bCs/>
          <w:i/>
          <w:iCs/>
        </w:rPr>
        <w:fldChar w:fldCharType="separate"/>
      </w:r>
      <w:r w:rsidR="00C71E80" w:rsidRPr="00A9434B">
        <w:rPr>
          <w:b w:val="0"/>
          <w:bCs/>
        </w:rPr>
        <w:t>(Collins, 2018; Nourani et al., 2018; Peltzer et al., 2019)</w:t>
      </w:r>
      <w:r w:rsidR="00DB4D9C" w:rsidRPr="00A9434B">
        <w:rPr>
          <w:b w:val="0"/>
          <w:bCs/>
          <w:i/>
          <w:iCs/>
        </w:rPr>
        <w:fldChar w:fldCharType="end"/>
      </w:r>
      <w:r w:rsidR="00DB4D9C" w:rsidRPr="00A9434B">
        <w:rPr>
          <w:b w:val="0"/>
          <w:bCs/>
          <w:i/>
          <w:iCs/>
        </w:rPr>
        <w:fldChar w:fldCharType="end"/>
      </w:r>
      <w:r w:rsidRPr="00A9434B">
        <w:rPr>
          <w:b w:val="0"/>
          <w:bCs/>
        </w:rPr>
        <w:t xml:space="preserve">. Effective, sustained communication and collaboration across large, multi-layered networks is however difficult to achieve and has a high transaction cost </w:t>
      </w:r>
      <w:r w:rsidR="00DB4D9C" w:rsidRPr="003E334B">
        <w:rPr>
          <w:b w:val="0"/>
          <w:bCs/>
          <w:i/>
          <w:iCs/>
        </w:rPr>
        <w:fldChar w:fldCharType="begin">
          <w:fldData xml:space="preserve">PEVuZE5vdGU+PENpdGU+PEF1dGhvcj5MdWJlbGw8L0F1dGhvcj48WWVhcj4yMDE3PC9ZZWFyPjxS
ZWNOdW0+MTU8L1JlY051bT48RGlzcGxheVRleHQ+KEx1YmVsbCwgSmFzbnkgZXQgYWwuIDIwMTcs
IE5vdXJhbmksIERlY2tlciBldCBhbC4gMjAxOSk8L0Rpc3BsYXlUZXh0PjxyZWNvcmQ+PHJlYy1u
dW1iZXI+Mjc8L3JlYy1udW1iZXI+PGZvcmVpZ24ta2V5cz48a2V5IGFwcD0iRU4iIGRiLWlkPSIw
ZDU1cGF4ZGN2d3BlYmU1NWQxdnJ6NW5lMnBhdHRwcmFydGEiIHRpbWVzdGFtcD0iMTU5Nzk5Mjcz
MyI+Mjc8L2tleT48L2ZvcmVpZ24ta2V5cz48cmVmLXR5cGUgbmFtZT0iSm91cm5hbCBBcnRpY2xl
Ij4xNzwvcmVmLXR5cGU+PGNvbnRyaWJ1dG9ycz48YXV0aG9ycz48YXV0aG9yPkx1YmVsbCwgTWFy
azwvYXV0aG9yPjxhdXRob3I+SmFzbnksIExvcmllbjwvYXV0aG9yPjxhdXRob3I+SGFzdGluZ3Ms
IEFsYW48L2F1dGhvcj48L2F1dGhvcnM+PC9jb250cmlidXRvcnM+PHRpdGxlcz48dGl0bGU+TmV0
d29yayBHb3Zlcm5hbmNlIGZvciBJbnZhc2l2ZSBTcGVjaWVzIE1hbmFnZW1lbnQ8L3RpdGxlPjxz
ZWNvbmRhcnktdGl0bGU+Q29uc2VydmF0aW9uIExldHRlcnM8L3NlY29uZGFyeS10aXRsZT48L3Rp
dGxlcz48cGVyaW9kaWNhbD48ZnVsbC10aXRsZT5Db25zZXJ2YXRpb24gTGV0dGVyczwvZnVsbC10
aXRsZT48L3BlcmlvZGljYWw+PHBhZ2VzPjY5OS03MDc8L3BhZ2VzPjx2b2x1bWU+MTA8L3ZvbHVt
ZT48bnVtYmVyPjY8L251bWJlcj48ZGF0ZXM+PHllYXI+MjAxNzwveWVhcj48cHViLWRhdGVzPjxk
YXRlPk5vdi1EZWM8L2RhdGU+PC9wdWItZGF0ZXM+PC9kYXRlcz48aXNibj4xNzU1LTI2M1g8L2lz
Ym4+PGFjY2Vzc2lvbi1udW0+V09TOjAwMDQxNzkxNzgwMDAwNjwvYWNjZXNzaW9uLW51bT48dXJs
cz48cmVsYXRlZC11cmxzPjx1cmw+Jmx0O0dvIHRvIElTSSZndDs6Ly9XT1M6MDAwNDE3OTE3ODAw
MDA2PC91cmw+PC9yZWxhdGVkLXVybHM+PC91cmxzPjxlbGVjdHJvbmljLXJlc291cmNlLW51bT4x
MC4xMTExL2NvbmwuMTIzMTE8L2VsZWN0cm9uaWMtcmVzb3VyY2UtbnVtPjwvcmVjb3JkPjwvQ2l0
ZT48Q2l0ZT48QXV0aG9yPk5vdXJhbmk8L0F1dGhvcj48WWVhcj4yMDE5PC9ZZWFyPjxSZWNOdW0+
NDkwMDQ8L1JlY051bT48cmVjb3JkPjxyZWMtbnVtYmVyPjQ5MDA0PC9yZWMtbnVtYmVyPjxmb3Jl
aWduLWtleXM+PGtleSBhcHA9IkVOIiBkYi1pZD0iYXd4OXJhZGRyMHh4MmhldjA1cnhyMHowNXdl
ZXB3cHQwZmV4IiB0aW1lc3RhbXA9IjE1ODE0OTczMjAiPjQ5MDA0PC9rZXk+PC9mb3JlaWduLWtl
eXM+PHJlZi10eXBlIG5hbWU9IkpvdXJuYWwgQXJ0aWNsZSI+MTc8L3JlZi10eXBlPjxjb250cmli
dXRvcnM+PGF1dGhvcnM+PGF1dGhvcj5Ob3VyYW5pLCBTYWxseSBXLjwvYXV0aG9yPjxhdXRob3I+
RGVja2VyLCBEYW5pZWwgSi48L2F1dGhvcj48YXV0aG9yPktyYXNueSwgTWFyaWFubmUgRS48L2F1
dGhvcj48L2F1dGhvcnM+PC9jb250cmlidXRvcnM+PHRpdGxlcz48dGl0bGU+RXh0ZW5zaW9uIGFz
IGEgTXVsdGlsZXZlbCBCcmlkZ2luZyBPcmdhbml6YXRpb246IFN1cHBvcnRpbmcgTmV0d29ya2Vk
IEVudmlyb25tZW50YWwgR292ZXJuYW5jZTwvdGl0bGU+PHNlY29uZGFyeS10aXRsZT5Kb3VybmFs
IG9mIEV4dGVuc2lvbjwvc2Vjb25kYXJ5LXRpdGxlPjwvdGl0bGVzPjxwZXJpb2RpY2FsPjxmdWxs
LXRpdGxlPkpvdXJuYWwgb2YgRXh0ZW5zaW9uPC9mdWxsLXRpdGxlPjwvcGVyaW9kaWNhbD48dm9s
dW1lPjU3PC92b2x1bWU+PG51bWJlcj41PC9udW1iZXI+PGRhdGVzPjx5ZWFyPjIwMTk8L3llYXI+
PHB1Yi1kYXRlcz48ZGF0ZT5PY3Q8L2RhdGU+PC9wdWItZGF0ZXM+PC9kYXRlcz48aXNibj4wMDIy
LTAxNDA8L2lzYm4+PGFjY2Vzc2lvbi1udW0+V09TOjAwMDQ5MDc2NTgwMDAwMjwvYWNjZXNzaW9u
LW51bT48dXJscz48cmVsYXRlZC11cmxzPjx1cmw+Jmx0O0dvIHRvIElTSSZndDs6Ly9XT1M6MDAw
NDkwNzY1ODAwMDAyPC91cmw+PC9yZWxhdGVkLXVybHM+PC91cmxzPjxjdXN0b203PjVmZWEyPC9j
dXN0b203PjwvcmVjb3JkPjwvQ2l0ZT48L0VuZE5vdGU+AG==
</w:fldData>
        </w:fldChar>
      </w:r>
      <w:r w:rsidR="00DB4D9C" w:rsidRPr="00EA1CE6">
        <w:rPr>
          <w:b w:val="0"/>
          <w:bCs/>
        </w:rPr>
        <w:instrText xml:space="preserve"> ADDIN EN.CITE </w:instrText>
      </w:r>
      <w:r w:rsidR="00DB4D9C" w:rsidRPr="003E334B">
        <w:rPr>
          <w:b w:val="0"/>
          <w:bCs/>
          <w:i/>
          <w:iCs/>
        </w:rPr>
        <w:fldChar w:fldCharType="begin">
          <w:fldData xml:space="preserve">PEVuZE5vdGU+PENpdGU+PEF1dGhvcj5MdWJlbGw8L0F1dGhvcj48WWVhcj4yMDE3PC9ZZWFyPjxS
ZWNOdW0+MTU8L1JlY051bT48RGlzcGxheVRleHQ+KEx1YmVsbCwgSmFzbnkgZXQgYWwuIDIwMTcs
IE5vdXJhbmksIERlY2tlciBldCBhbC4gMjAxOSk8L0Rpc3BsYXlUZXh0PjxyZWNvcmQ+PHJlYy1u
dW1iZXI+Mjc8L3JlYy1udW1iZXI+PGZvcmVpZ24ta2V5cz48a2V5IGFwcD0iRU4iIGRiLWlkPSIw
ZDU1cGF4ZGN2d3BlYmU1NWQxdnJ6NW5lMnBhdHRwcmFydGEiIHRpbWVzdGFtcD0iMTU5Nzk5Mjcz
MyI+Mjc8L2tleT48L2ZvcmVpZ24ta2V5cz48cmVmLXR5cGUgbmFtZT0iSm91cm5hbCBBcnRpY2xl
Ij4xNzwvcmVmLXR5cGU+PGNvbnRyaWJ1dG9ycz48YXV0aG9ycz48YXV0aG9yPkx1YmVsbCwgTWFy
azwvYXV0aG9yPjxhdXRob3I+SmFzbnksIExvcmllbjwvYXV0aG9yPjxhdXRob3I+SGFzdGluZ3Ms
IEFsYW48L2F1dGhvcj48L2F1dGhvcnM+PC9jb250cmlidXRvcnM+PHRpdGxlcz48dGl0bGU+TmV0
d29yayBHb3Zlcm5hbmNlIGZvciBJbnZhc2l2ZSBTcGVjaWVzIE1hbmFnZW1lbnQ8L3RpdGxlPjxz
ZWNvbmRhcnktdGl0bGU+Q29uc2VydmF0aW9uIExldHRlcnM8L3NlY29uZGFyeS10aXRsZT48L3Rp
dGxlcz48cGVyaW9kaWNhbD48ZnVsbC10aXRsZT5Db25zZXJ2YXRpb24gTGV0dGVyczwvZnVsbC10
aXRsZT48L3BlcmlvZGljYWw+PHBhZ2VzPjY5OS03MDc8L3BhZ2VzPjx2b2x1bWU+MTA8L3ZvbHVt
ZT48bnVtYmVyPjY8L251bWJlcj48ZGF0ZXM+PHllYXI+MjAxNzwveWVhcj48cHViLWRhdGVzPjxk
YXRlPk5vdi1EZWM8L2RhdGU+PC9wdWItZGF0ZXM+PC9kYXRlcz48aXNibj4xNzU1LTI2M1g8L2lz
Ym4+PGFjY2Vzc2lvbi1udW0+V09TOjAwMDQxNzkxNzgwMDAwNjwvYWNjZXNzaW9uLW51bT48dXJs
cz48cmVsYXRlZC11cmxzPjx1cmw+Jmx0O0dvIHRvIElTSSZndDs6Ly9XT1M6MDAwNDE3OTE3ODAw
MDA2PC91cmw+PC9yZWxhdGVkLXVybHM+PC91cmxzPjxlbGVjdHJvbmljLXJlc291cmNlLW51bT4x
MC4xMTExL2NvbmwuMTIzMTE8L2VsZWN0cm9uaWMtcmVzb3VyY2UtbnVtPjwvcmVjb3JkPjwvQ2l0
ZT48Q2l0ZT48QXV0aG9yPk5vdXJhbmk8L0F1dGhvcj48WWVhcj4yMDE5PC9ZZWFyPjxSZWNOdW0+
NDkwMDQ8L1JlY051bT48cmVjb3JkPjxyZWMtbnVtYmVyPjQ5MDA0PC9yZWMtbnVtYmVyPjxmb3Jl
aWduLWtleXM+PGtleSBhcHA9IkVOIiBkYi1pZD0iYXd4OXJhZGRyMHh4MmhldjA1cnhyMHowNXdl
ZXB3cHQwZmV4IiB0aW1lc3RhbXA9IjE1ODE0OTczMjAiPjQ5MDA0PC9rZXk+PC9mb3JlaWduLWtl
eXM+PHJlZi10eXBlIG5hbWU9IkpvdXJuYWwgQXJ0aWNsZSI+MTc8L3JlZi10eXBlPjxjb250cmli
dXRvcnM+PGF1dGhvcnM+PGF1dGhvcj5Ob3VyYW5pLCBTYWxseSBXLjwvYXV0aG9yPjxhdXRob3I+
RGVja2VyLCBEYW5pZWwgSi48L2F1dGhvcj48YXV0aG9yPktyYXNueSwgTWFyaWFubmUgRS48L2F1
dGhvcj48L2F1dGhvcnM+PC9jb250cmlidXRvcnM+PHRpdGxlcz48dGl0bGU+RXh0ZW5zaW9uIGFz
IGEgTXVsdGlsZXZlbCBCcmlkZ2luZyBPcmdhbml6YXRpb246IFN1cHBvcnRpbmcgTmV0d29ya2Vk
IEVudmlyb25tZW50YWwgR292ZXJuYW5jZTwvdGl0bGU+PHNlY29uZGFyeS10aXRsZT5Kb3VybmFs
IG9mIEV4dGVuc2lvbjwvc2Vjb25kYXJ5LXRpdGxlPjwvdGl0bGVzPjxwZXJpb2RpY2FsPjxmdWxs
LXRpdGxlPkpvdXJuYWwgb2YgRXh0ZW5zaW9uPC9mdWxsLXRpdGxlPjwvcGVyaW9kaWNhbD48dm9s
dW1lPjU3PC92b2x1bWU+PG51bWJlcj41PC9udW1iZXI+PGRhdGVzPjx5ZWFyPjIwMTk8L3llYXI+
PHB1Yi1kYXRlcz48ZGF0ZT5PY3Q8L2RhdGU+PC9wdWItZGF0ZXM+PC9kYXRlcz48aXNibj4wMDIy
LTAxNDA8L2lzYm4+PGFjY2Vzc2lvbi1udW0+V09TOjAwMDQ5MDc2NTgwMDAwMjwvYWNjZXNzaW9u
LW51bT48dXJscz48cmVsYXRlZC11cmxzPjx1cmw+Jmx0O0dvIHRvIElTSSZndDs6Ly9XT1M6MDAw
NDkwNzY1ODAwMDAyPC91cmw+PC9yZWxhdGVkLXVybHM+PC91cmxzPjxjdXN0b203PjVmZWEyPC9j
dXN0b203PjwvcmVjb3JkPjwvQ2l0ZT48L0VuZE5vdGU+AG==
</w:fldData>
        </w:fldChar>
      </w:r>
      <w:r w:rsidR="00DB4D9C" w:rsidRPr="00EA1CE6">
        <w:rPr>
          <w:b w:val="0"/>
          <w:bCs/>
        </w:rPr>
        <w:instrText xml:space="preserve"> ADDIN EN.CITE.DATA </w:instrText>
      </w:r>
      <w:r w:rsidR="00DB4D9C" w:rsidRPr="003E334B">
        <w:rPr>
          <w:b w:val="0"/>
          <w:bCs/>
          <w:i/>
          <w:iCs/>
        </w:rPr>
      </w:r>
      <w:r w:rsidR="00DB4D9C" w:rsidRPr="003E334B">
        <w:rPr>
          <w:b w:val="0"/>
          <w:bCs/>
          <w:i/>
          <w:iCs/>
        </w:rPr>
        <w:fldChar w:fldCharType="end"/>
      </w:r>
      <w:r w:rsidR="00DB4D9C" w:rsidRPr="003E334B">
        <w:rPr>
          <w:b w:val="0"/>
          <w:bCs/>
          <w:i/>
          <w:iCs/>
        </w:rPr>
      </w:r>
      <w:r w:rsidR="00DB4D9C" w:rsidRPr="003E334B">
        <w:rPr>
          <w:b w:val="0"/>
          <w:bCs/>
          <w:i/>
          <w:iCs/>
        </w:rPr>
        <w:fldChar w:fldCharType="separate"/>
      </w:r>
      <w:r w:rsidR="00DB4D9C" w:rsidRPr="003E334B">
        <w:rPr>
          <w:b w:val="0"/>
          <w:bCs/>
          <w:i/>
          <w:iCs/>
        </w:rPr>
        <w:fldChar w:fldCharType="begin"/>
      </w:r>
      <w:r w:rsidR="0006613E">
        <w:rPr>
          <w:b w:val="0"/>
          <w:bCs/>
        </w:rPr>
        <w:instrText xml:space="preserve"> ADDIN ZOTERO_ITEM CSL_CITATION {"citationID":"a1uddskj50b","properties":{"formattedCitation":"(Lubell et al., 2017; Nourani et al., 2019)","plainCitation":"(Lubell et al., 2017; Nourani et al., 2019)","noteIndex":0},"citationItems":[{"id":29543,"uris":["http://zotero.org/groups/2352922/items/ZEAPGNJU"],"itemData":{"id":29543,"type":"article-journal","container-title":"Conservation Letters","DOI":"10.1111/conl.12311","ISSN":"1755-263X, 1755-263X","issue":"6","journalAbbreviation":"CONSERVATION LETTERS","language":"en","page":"699-707","source":"DOI.org (Crossref)","title":"Network Governance for Invasive Species Management","URL":"https://onlinelibrary.wiley.com/doi/10.1111/conl.12311","volume":"10","author":[{"family":"Lubell","given":"Mark"},{"family":"Jasny","given":"Lorien"},{"family":"Hastings","given":"Alan"}],"accessed":{"date-parts":[["2021",8,3]]},"issued":{"date-parts":[["2017",11]]}},"label":"page"},{"id":23792,"uris":["http://zotero.org/groups/2352922/items/7MKNKPM5"],"itemData":{"id":23792,"type":"article-journal","container-title":"Journal of Extension","ISSN":"0022-0140","issue":"5","title":"Extension as a Multilevel Bridging Organization: Supporting Networked Environmental Governance","URL":"https://archives.joe.org/joe/2019october/a2.php","volume":"57","author":[{"family":"Nourani","given":"Sally W."},{"family":"Decker","given":"Daniel J."},{"family":"Krasny","given":"Marianne E."}],"issued":{"date-parts":[["2019",10]]}},"label":"page"}],"schema":"https://github.com/citation-style-language/schema/raw/master/csl-citation.json"} </w:instrText>
      </w:r>
      <w:r w:rsidR="00DB4D9C" w:rsidRPr="003E334B">
        <w:rPr>
          <w:b w:val="0"/>
          <w:bCs/>
          <w:i/>
          <w:iCs/>
        </w:rPr>
        <w:fldChar w:fldCharType="separate"/>
      </w:r>
      <w:r w:rsidR="00EA1CE6" w:rsidRPr="00F32369">
        <w:rPr>
          <w:b w:val="0"/>
        </w:rPr>
        <w:t>(Lubell et al., 2017; Nourani et al., 2019)</w:t>
      </w:r>
      <w:r w:rsidR="00DB4D9C" w:rsidRPr="003E334B">
        <w:rPr>
          <w:b w:val="0"/>
          <w:bCs/>
          <w:i/>
          <w:iCs/>
        </w:rPr>
        <w:fldChar w:fldCharType="end"/>
      </w:r>
      <w:r w:rsidR="00DB4D9C" w:rsidRPr="003E334B">
        <w:rPr>
          <w:b w:val="0"/>
          <w:bCs/>
          <w:i/>
          <w:iCs/>
        </w:rPr>
        <w:fldChar w:fldCharType="end"/>
      </w:r>
      <w:r w:rsidRPr="00A9434B">
        <w:rPr>
          <w:b w:val="0"/>
          <w:bCs/>
        </w:rPr>
        <w:t>. The flow of</w:t>
      </w:r>
      <w:r w:rsidR="009D4056" w:rsidRPr="00A9434B">
        <w:rPr>
          <w:b w:val="0"/>
          <w:bCs/>
        </w:rPr>
        <w:t xml:space="preserve"> </w:t>
      </w:r>
      <w:r w:rsidRPr="00A9434B">
        <w:rPr>
          <w:b w:val="0"/>
          <w:bCs/>
        </w:rPr>
        <w:t xml:space="preserve">information </w:t>
      </w:r>
      <w:r w:rsidR="24143372" w:rsidRPr="00A9434B">
        <w:rPr>
          <w:b w:val="0"/>
          <w:bCs/>
        </w:rPr>
        <w:t xml:space="preserve">relevant to biosecurity </w:t>
      </w:r>
      <w:r w:rsidRPr="00A9434B">
        <w:rPr>
          <w:b w:val="0"/>
          <w:bCs/>
        </w:rPr>
        <w:t xml:space="preserve">within and across countries and trading partners is also limited </w:t>
      </w:r>
      <w:r w:rsidR="00DB4D9C" w:rsidRPr="00A9434B">
        <w:rPr>
          <w:b w:val="0"/>
          <w:bCs/>
          <w:i/>
          <w:iCs/>
        </w:rPr>
        <w:fldChar w:fldCharType="begin"/>
      </w:r>
      <w:r w:rsidR="00DB4D9C" w:rsidRPr="00A9434B">
        <w:rPr>
          <w:b w:val="0"/>
          <w:bCs/>
        </w:rPr>
        <w:instrText xml:space="preserve"> ADDIN EN.CITE </w:instrText>
      </w:r>
      <w:r w:rsidR="00DB4D9C" w:rsidRPr="00A9434B">
        <w:rPr>
          <w:b w:val="0"/>
          <w:bCs/>
          <w:i/>
          <w:iCs/>
        </w:rPr>
        <w:fldChar w:fldCharType="begin"/>
      </w:r>
      <w:r w:rsidR="00DB4D9C" w:rsidRPr="00A9434B">
        <w:rPr>
          <w:b w:val="0"/>
          <w:bCs/>
        </w:rPr>
        <w:instrText xml:space="preserve"> ADDIN EN.CITE.DATA </w:instrText>
      </w:r>
      <w:r w:rsidR="00DB4D9C" w:rsidRPr="00A9434B">
        <w:rPr>
          <w:b w:val="0"/>
          <w:bCs/>
          <w:i/>
          <w:iCs/>
        </w:rPr>
        <w:fldChar w:fldCharType="end"/>
      </w:r>
      <w:r w:rsidR="00DB4D9C" w:rsidRPr="00A9434B">
        <w:rPr>
          <w:b w:val="0"/>
          <w:bCs/>
          <w:i/>
          <w:iCs/>
        </w:rPr>
        <w:fldChar w:fldCharType="separate"/>
      </w:r>
      <w:r w:rsidR="00DB4D9C" w:rsidRPr="00A9434B">
        <w:rPr>
          <w:b w:val="0"/>
          <w:bCs/>
          <w:i/>
          <w:iCs/>
        </w:rPr>
        <w:fldChar w:fldCharType="begin"/>
      </w:r>
      <w:r w:rsidR="0006613E">
        <w:rPr>
          <w:b w:val="0"/>
          <w:bCs/>
        </w:rPr>
        <w:instrText xml:space="preserve"> ADDIN ZOTERO_ITEM CSL_CITATION {"citationID":"a1oeqqkav6e","properties":{"formattedCitation":"(D. C. Cook et al., 2010)","plainCitation":"(D. C. Cook et al., 2010)","noteIndex":0},"citationItems":[{"id":10809,"uris":["http://zotero.org/groups/2352922/items/WCG8AH7V"],"itemData":{"id":10809,"type":"article-journal","container-title":"Risk Analysis","DOI":"10.1111/j.1539-6924.2010.01439.x","ISSN":"02724332","issue":"9","language":"en","page":"1303-1314","source":"DOI.org (Crossref)","title":"Adaptive Approaches to Biosecurity Governance","title-short":"Adaptive Approaches to Biosecurity Governance","URL":"http://doi.wiley.com/10.1111/j.1539-6924.2010.01439.x","volume":"30","author":[{"family":"Cook","given":"David C."},{"family":"Liu","given":"Shuang"},{"family":"Murphy","given":"Brendan"},{"family":"Lonsdale","given":"W. Mark"}],"accessed":{"date-parts":[["2021",5,27]]},"issued":{"date-parts":[["2010",9]]}},"label":"page"}],"schema":"https://github.com/citation-style-language/schema/raw/master/csl-citation.json"} </w:instrText>
      </w:r>
      <w:r w:rsidR="00DB4D9C" w:rsidRPr="00A9434B">
        <w:rPr>
          <w:b w:val="0"/>
          <w:bCs/>
          <w:i/>
          <w:iCs/>
        </w:rPr>
        <w:fldChar w:fldCharType="separate"/>
      </w:r>
      <w:r w:rsidR="00C71E80" w:rsidRPr="00A9434B">
        <w:rPr>
          <w:b w:val="0"/>
          <w:bCs/>
        </w:rPr>
        <w:t>(D. C. Cook et al., 2010)</w:t>
      </w:r>
      <w:r w:rsidR="00DB4D9C" w:rsidRPr="00A9434B">
        <w:rPr>
          <w:b w:val="0"/>
          <w:bCs/>
          <w:i/>
          <w:iCs/>
        </w:rPr>
        <w:fldChar w:fldCharType="end"/>
      </w:r>
      <w:r w:rsidR="00DB4D9C" w:rsidRPr="00A9434B">
        <w:rPr>
          <w:b w:val="0"/>
          <w:bCs/>
          <w:i/>
          <w:iCs/>
        </w:rPr>
        <w:fldChar w:fldCharType="end"/>
      </w:r>
      <w:r w:rsidRPr="00A9434B">
        <w:rPr>
          <w:b w:val="0"/>
          <w:bCs/>
        </w:rPr>
        <w:t xml:space="preserve">. Actors involved at different scales and levels of governance tend to have access to different types of knowledge </w:t>
      </w:r>
      <w:r w:rsidR="00DB4D9C" w:rsidRPr="00A9434B">
        <w:rPr>
          <w:b w:val="0"/>
          <w:bCs/>
          <w:i/>
          <w:iCs/>
        </w:rPr>
        <w:fldChar w:fldCharType="begin"/>
      </w:r>
      <w:r w:rsidR="0006613E">
        <w:rPr>
          <w:b w:val="0"/>
          <w:bCs/>
        </w:rPr>
        <w:instrText xml:space="preserve"> ADDIN ZOTERO_ITEM CSL_CITATION {"citationID":"a1lqsvtrnfh","properties":{"formattedCitation":"(Omondiagbe et al., 2017)","plainCitation":"(Omondiagbe et al., 2017)","noteIndex":0},"citationItems":[{"id":53179,"uris":["http://zotero.org/groups/2352922/items/PMJL8QJR"],"itemData":{"id":53179,"type":"article-journal","abstract":"Identifying stakeholders and analysing the pattern of relationships among them are important steps toward collaborating with individuals and groups for collective action. The process of stakeholders’ communication can be understood by interpreting the structure of the network in which stakeholders operate. Our study attempted to identify stakeholders, determine the structure of their relationships through a social network analysis and examine how network structure could aid collaborative efforts towards invasive species management. We used organizational network analysis, a web-based program, to collect network data for conservation groups on Waiheke Island, New Zealand. Response rate was 47% of the 103 contacts made and thirty-five conservation groups were identified. Results revealed low density, high non-reciprocity, and high centrality among a few stakeholders in the network suggesting a non-cohesive network. We identify how influential stakeholders could carefully initiate and strengthen collaborations that might lead to collective invasive species management action after a thorough examination of mandated, funded or shared interest relationships.","container-title":"Biological Invasions","DOI":"10.1007/s10530-017-1506-1","ISSN":"1573-1464","issue":"10","journalAbbreviation":"Biol Invasions","language":"en","page":"3037-3049","source":"Springer Link","title":"Stakeholders and social networks identify potential roles of communities in sustainable management of invasive species","URL":"https://doi.org/10.1007/s10530-017-1506-1","volume":"19","author":[{"family":"Omondiagbe","given":"Harriet A."},{"family":"Towns","given":"David R."},{"family":"Wood","given":"Jay K."},{"family":"Bollard-Breen","given":"Barbara"}],"accessed":{"date-parts":[["2022",9,6]]},"issued":{"date-parts":[["2017",10,1]]}},"label":"page"}],"schema":"https://github.com/citation-style-language/schema/raw/master/csl-citation.json"} </w:instrText>
      </w:r>
      <w:r w:rsidR="00DB4D9C" w:rsidRPr="00A9434B">
        <w:rPr>
          <w:b w:val="0"/>
          <w:bCs/>
          <w:i/>
          <w:iCs/>
        </w:rPr>
        <w:fldChar w:fldCharType="separate"/>
      </w:r>
      <w:r w:rsidR="00C71E80" w:rsidRPr="00A9434B">
        <w:rPr>
          <w:b w:val="0"/>
          <w:bCs/>
        </w:rPr>
        <w:t>(Omondiagbe et al., 2017)</w:t>
      </w:r>
      <w:r w:rsidR="00DB4D9C" w:rsidRPr="00A9434B">
        <w:rPr>
          <w:b w:val="0"/>
          <w:bCs/>
          <w:i/>
          <w:iCs/>
        </w:rPr>
        <w:fldChar w:fldCharType="end"/>
      </w:r>
      <w:r w:rsidR="00DB4D9C" w:rsidRPr="00A9434B">
        <w:rPr>
          <w:b w:val="0"/>
          <w:bCs/>
          <w:i/>
          <w:iCs/>
        </w:rPr>
        <w:fldChar w:fldCharType="begin"/>
      </w:r>
      <w:r w:rsidR="00DB4D9C" w:rsidRPr="00A9434B">
        <w:rPr>
          <w:b w:val="0"/>
          <w:bCs/>
        </w:rPr>
        <w:instrText xml:space="preserve"> ADDIN EN.CITE &lt;EndNote&gt;&lt;Cite&gt;&lt;Author&gt;Omondiagbe&lt;/Author&gt;&lt;Year&gt;2017&lt;/Year&gt;&lt;RecNum&gt;49063&lt;/RecNum&gt;&lt;DisplayText&gt;(Omondiagbe, Towns et al. 2017)&lt;/DisplayText&gt;&lt;record&gt;&lt;rec-number&gt;49063&lt;/rec-number&gt;&lt;foreign-keys&gt;&lt;key app="EN" db-id="awx9raddr0xx2hev05rxr0z05weepwpt0fex" timestamp="1581497320"&gt;49063&lt;/key&gt;&lt;/foreign-keys&gt;&lt;ref-type name="Journal Article"&gt;17&lt;/ref-type&gt;&lt;contributors&gt;&lt;authors&gt;&lt;author&gt;Omondiagbe, Harriet A.&lt;/author&gt;&lt;author&gt;Towns, David R.&lt;/author&gt;&lt;author&gt;Wood, Jay K.&lt;/author&gt;&lt;author&gt;Bollard-Breen, Barbara&lt;/author&gt;&lt;/authors&gt;&lt;/contributors&gt;&lt;titles&gt;&lt;title&gt;Stakeholders and social networks identify potential roles of communities in sustainable management of invasive species&lt;/title&gt;&lt;secondary-title&gt;Biological Invasions&lt;/secondary-title&gt;&lt;/titles&gt;&lt;periodical&gt;&lt;full-title&gt;Biological Invasions&lt;/full-title&gt;&lt;abbr-1&gt;Biol. Invasions&lt;/abbr-1&gt;&lt;abbr-2&gt;Biol Invasions&lt;/abbr-2&gt;&lt;/periodical&gt;&lt;pages&gt;3037-3049&lt;/pages&gt;&lt;volume&gt;19&lt;/volume&gt;&lt;number&gt;10&lt;/number&gt;&lt;dates&gt;&lt;year&gt;2017&lt;/year&gt;&lt;pub-dates&gt;&lt;date&gt;Oct&lt;/date&gt;&lt;/pub-dates&gt;&lt;/dates&gt;&lt;isbn&gt;1387-3547&lt;/isbn&gt;&lt;accession-num&gt;WOS:000411148400017&lt;/accession-num&gt;&lt;urls&gt;&lt;related-urls&gt;&lt;url&gt;&amp;lt;Go to ISI&amp;gt;://WOS:000411148400017&lt;/url&gt;&lt;/related-urls&gt;&lt;/urls&gt;&lt;electronic-resource-num&gt;10.1007/s10530-017-1506-1&lt;/electronic-resource-num&gt;&lt;/record&gt;&lt;/Cite&gt;&lt;/EndNote&gt;</w:instrText>
      </w:r>
      <w:r w:rsidR="00DB4D9C" w:rsidRPr="00A9434B">
        <w:rPr>
          <w:b w:val="0"/>
          <w:bCs/>
          <w:i/>
          <w:iCs/>
        </w:rPr>
        <w:fldChar w:fldCharType="end"/>
      </w:r>
      <w:r w:rsidRPr="00A9434B">
        <w:rPr>
          <w:b w:val="0"/>
          <w:bCs/>
        </w:rPr>
        <w:t xml:space="preserve">. This includes the gap between science and practice </w:t>
      </w:r>
      <w:r w:rsidR="00DB4D9C" w:rsidRPr="00A9434B">
        <w:rPr>
          <w:b w:val="0"/>
          <w:bCs/>
          <w:i/>
          <w:iCs/>
        </w:rPr>
        <w:fldChar w:fldCharType="begin">
          <w:fldData xml:space="preserve">PEVuZE5vdGU+PENpdGU+PEF1dGhvcj5Bc2xhbjwvQXV0aG9yPjxZZWFyPjIwMDk8L1llYXI+PFJl
Y051bT40OTE3OTwvUmVjTnVtPjxEaXNwbGF5VGV4dD4oQXNsYW4sIEh1ZmZvcmQgZXQgYWwuIDIw
MDksIEVzbGVyLCBQcm96ZXNreSBldCBhbC4gMjAxMCk8L0Rpc3BsYXlUZXh0PjxyZWNvcmQ+PHJl
Yy1udW1iZXI+NDkxNzk8L3JlYy1udW1iZXI+PGZvcmVpZ24ta2V5cz48a2V5IGFwcD0iRU4iIGRi
LWlkPSJhd3g5cmFkZHIweHgyaGV2MDVyeHIwejA1d2VlcHdwdDBmZXgiIHRpbWVzdGFtcD0iMTU4
MTQ5NzMyMCI+NDkxNzk8L2tleT48L2ZvcmVpZ24ta2V5cz48cmVmLXR5cGUgbmFtZT0iSm91cm5h
bCBBcnRpY2xlIj4xNzwvcmVmLXR5cGU+PGNvbnRyaWJ1dG9ycz48YXV0aG9ycz48YXV0aG9yPkFz
bGFuLCBDbGFyZSBFLjwvYXV0aG9yPjxhdXRob3I+SHVmZm9yZCwgTWF0dGhldyBCLjwvYXV0aG9y
PjxhdXRob3I+RXBhbmNoaW4tTmllbGwsIFJlYmVjY2EgUy48L2F1dGhvcj48YXV0aG9yPlBvcnQs
IEplZmZyZXkgRC48L2F1dGhvcj48YXV0aG9yPlNleHRvbiwgSmFzb24gUC48L2F1dGhvcj48YXV0
aG9yPldhcmluZywgVGltb3RoeSBNLjwvYXV0aG9yPjwvYXV0aG9ycz48L2NvbnRyaWJ1dG9ycz48
dGl0bGVzPjx0aXRsZT5QcmFjdGljYWwgQ2hhbGxlbmdlcyBpbiBQcml2YXRlIFN0ZXdhcmRzaGlw
IG9mIFJhbmdlbGFuZCBFY29zeXN0ZW1zOiBZZWxsb3cgU3RhcnRoaXN0bGUgQ29udHJvbCBpbiBT
aWVycmEgTmV2YWRhbiBGb290aGlsbHM8L3RpdGxlPjxzZWNvbmRhcnktdGl0bGU+UmFuZ2VsYW5k
IEVjb2xvZ3kgJmFtcDsgTWFuYWdlbWVudDwvc2Vjb25kYXJ5LXRpdGxlPjwvdGl0bGVzPjxwZXJp
b2RpY2FsPjxmdWxsLXRpdGxlPlJhbmdlbGFuZCBFY29sb2d5ICZhbXA7IE1hbmFnZW1lbnQ8L2Z1
bGwtdGl0bGU+PGFiYnItMT5SYW5nZWxhbmQgRWNvbC4gTWFuYWdlLjwvYWJici0xPjxhYmJyLTI+
UmFuZ2VsYW5kIEVjb2wgTWFuYWdlPC9hYmJyLTI+PC9wZXJpb2RpY2FsPjxwYWdlcz4yOC0zNzwv
cGFnZXM+PHZvbHVtZT42Mjwvdm9sdW1lPjxudW1iZXI+MTwvbnVtYmVyPjxkYXRlcz48eWVhcj4y
MDA5PC95ZWFyPjxwdWItZGF0ZXM+PGRhdGU+SmFuPC9kYXRlPjwvcHViLWRhdGVzPjwvZGF0ZXM+
PGlzYm4+MTU1MC03NDI0PC9pc2JuPjxhY2Nlc3Npb24tbnVtPldPUzowMDAyNjI4MzkzMDAwMDM8
L2FjY2Vzc2lvbi1udW0+PHVybHM+PHJlbGF0ZWQtdXJscz48dXJsPiZsdDtHbyB0byBJU0kmZ3Q7
Oi8vV09TOjAwMDI2MjgzOTMwMDAwMzwvdXJsPjwvcmVsYXRlZC11cmxzPjwvdXJscz48ZWxlY3Ry
b25pYy1yZXNvdXJjZS1udW0+MTAuMjExMS8wNy0xMjM8L2VsZWN0cm9uaWMtcmVzb3VyY2UtbnVt
PjwvcmVjb3JkPjwvQ2l0ZT48Q2l0ZT48QXV0aG9yPkVzbGVyPC9BdXRob3I+PFllYXI+MjAxMDwv
WWVhcj48UmVjTnVtPjQ2NzA4PC9SZWNOdW0+PHJlY29yZD48cmVjLW51bWJlcj40NjcwODwvcmVj
LW51bWJlcj48Zm9yZWlnbi1rZXlzPjxrZXkgYXBwPSJFTiIgZGItaWQ9ImF3eDlyYWRkcjB4eDJo
ZXYwNXJ4cjB6MDV3ZWVwd3B0MGZleCIgdGltZXN0YW1wPSIxNDk2MjcyODA1Ij40NjcwODwva2V5
PjwvZm9yZWlnbi1rZXlzPjxyZWYtdHlwZSBuYW1lPSJKb3VybmFsIEFydGljbGUiPjE3PC9yZWYt
dHlwZT48Y29udHJpYnV0b3JzPjxhdXRob3JzPjxhdXRob3I+RXNsZXIsIEsuIEouPC9hdXRob3I+
PGF1dGhvcj5Qcm96ZXNreSwgSC48L2F1dGhvcj48YXV0aG9yPlNoYXJtYSwgRy4gUC48L2F1dGhv
cj48YXV0aG9yPk1jR2VvY2gsIE0uPC9hdXRob3I+PC9hdXRob3JzPjwvY29udHJpYnV0b3JzPjx0
aXRsZXM+PHRpdGxlPkhvdyB3aWRlIGlzIHRoZSAmcXVvdDtrbm93aW5nLWRvaW5nJnF1b3Q7IGdh
cCBpbiBpbnZhc2lvbiBiaW9sb2d5PzwvdGl0bGU+PHNlY29uZGFyeS10aXRsZT5CaW9sb2dpY2Fs
IEludmFzaW9uczwvc2Vjb25kYXJ5LXRpdGxlPjwvdGl0bGVzPjxwZXJpb2RpY2FsPjxmdWxsLXRp
dGxlPkJpb2xvZ2ljYWwgSW52YXNpb25zPC9mdWxsLXRpdGxlPjxhYmJyLTE+QmlvbC4gSW52YXNp
b25zPC9hYmJyLTE+PGFiYnItMj5CaW9sIEludmFzaW9uczwvYWJici0yPjwvcGVyaW9kaWNhbD48
cGFnZXM+NDA2NS00MDc1PC9wYWdlcz48dm9sdW1lPjEyPC92b2x1bWU+PG51bWJlcj4xMjwvbnVt
YmVyPjxkYXRlcz48eWVhcj4yMDEwPC95ZWFyPjwvZGF0ZXM+PHdvcmstdHlwZT5BcnRpY2xlPC93
b3JrLXR5cGU+PHVybHM+PHJlbGF0ZWQtdXJscz48dXJsPmh0dHBzOi8vd3d3LnNjb3B1cy5jb20v
aW53YXJkL3JlY29yZC51cmk/ZWlkPTItczIuMC03ODE0OTQxMTAwNiZhbXA7ZG9pPTEwLjEwMDcl
MmZzMTA1MzAtMDEwLTk4MTIteCZhbXA7cGFydG5lcklEPTQwJmFtcDttZDU9M2U4NGM3MmQ1NzFh
OWQ0YWNlNzg5Y2EzYjAyZDFlNjE8L3VybD48L3JlbGF0ZWQtdXJscz48L3VybHM+PGVsZWN0cm9u
aWMtcmVzb3VyY2UtbnVtPjEwLjEwMDcvczEwNTMwLTAxMC05ODEyLXg8L2VsZWN0cm9uaWMtcmVz
b3VyY2UtbnVtPjxyZW1vdGUtZGF0YWJhc2UtbmFtZT5TY29wdXM8L3JlbW90ZS1kYXRhYmFzZS1u
YW1lPjwvcmVjb3JkPjwvQ2l0ZT48L0VuZE5vdGU+AG==
</w:fldData>
        </w:fldChar>
      </w:r>
      <w:r w:rsidR="00DB4D9C" w:rsidRPr="00A9434B">
        <w:rPr>
          <w:b w:val="0"/>
          <w:bCs/>
        </w:rPr>
        <w:instrText xml:space="preserve"> ADDIN EN.CITE </w:instrText>
      </w:r>
      <w:r w:rsidR="00DB4D9C" w:rsidRPr="00A9434B">
        <w:rPr>
          <w:b w:val="0"/>
          <w:bCs/>
          <w:i/>
          <w:iCs/>
        </w:rPr>
        <w:fldChar w:fldCharType="begin">
          <w:fldData xml:space="preserve">PEVuZE5vdGU+PENpdGU+PEF1dGhvcj5Bc2xhbjwvQXV0aG9yPjxZZWFyPjIwMDk8L1llYXI+PFJl
Y051bT40OTE3OTwvUmVjTnVtPjxEaXNwbGF5VGV4dD4oQXNsYW4sIEh1ZmZvcmQgZXQgYWwuIDIw
MDksIEVzbGVyLCBQcm96ZXNreSBldCBhbC4gMjAxMCk8L0Rpc3BsYXlUZXh0PjxyZWNvcmQ+PHJl
Yy1udW1iZXI+NDkxNzk8L3JlYy1udW1iZXI+PGZvcmVpZ24ta2V5cz48a2V5IGFwcD0iRU4iIGRi
LWlkPSJhd3g5cmFkZHIweHgyaGV2MDVyeHIwejA1d2VlcHdwdDBmZXgiIHRpbWVzdGFtcD0iMTU4
MTQ5NzMyMCI+NDkxNzk8L2tleT48L2ZvcmVpZ24ta2V5cz48cmVmLXR5cGUgbmFtZT0iSm91cm5h
bCBBcnRpY2xlIj4xNzwvcmVmLXR5cGU+PGNvbnRyaWJ1dG9ycz48YXV0aG9ycz48YXV0aG9yPkFz
bGFuLCBDbGFyZSBFLjwvYXV0aG9yPjxhdXRob3I+SHVmZm9yZCwgTWF0dGhldyBCLjwvYXV0aG9y
PjxhdXRob3I+RXBhbmNoaW4tTmllbGwsIFJlYmVjY2EgUy48L2F1dGhvcj48YXV0aG9yPlBvcnQs
IEplZmZyZXkgRC48L2F1dGhvcj48YXV0aG9yPlNleHRvbiwgSmFzb24gUC48L2F1dGhvcj48YXV0
aG9yPldhcmluZywgVGltb3RoeSBNLjwvYXV0aG9yPjwvYXV0aG9ycz48L2NvbnRyaWJ1dG9ycz48
dGl0bGVzPjx0aXRsZT5QcmFjdGljYWwgQ2hhbGxlbmdlcyBpbiBQcml2YXRlIFN0ZXdhcmRzaGlw
IG9mIFJhbmdlbGFuZCBFY29zeXN0ZW1zOiBZZWxsb3cgU3RhcnRoaXN0bGUgQ29udHJvbCBpbiBT
aWVycmEgTmV2YWRhbiBGb290aGlsbHM8L3RpdGxlPjxzZWNvbmRhcnktdGl0bGU+UmFuZ2VsYW5k
IEVjb2xvZ3kgJmFtcDsgTWFuYWdlbWVudDwvc2Vjb25kYXJ5LXRpdGxlPjwvdGl0bGVzPjxwZXJp
b2RpY2FsPjxmdWxsLXRpdGxlPlJhbmdlbGFuZCBFY29sb2d5ICZhbXA7IE1hbmFnZW1lbnQ8L2Z1
bGwtdGl0bGU+PGFiYnItMT5SYW5nZWxhbmQgRWNvbC4gTWFuYWdlLjwvYWJici0xPjxhYmJyLTI+
UmFuZ2VsYW5kIEVjb2wgTWFuYWdlPC9hYmJyLTI+PC9wZXJpb2RpY2FsPjxwYWdlcz4yOC0zNzwv
cGFnZXM+PHZvbHVtZT42Mjwvdm9sdW1lPjxudW1iZXI+MTwvbnVtYmVyPjxkYXRlcz48eWVhcj4y
MDA5PC95ZWFyPjxwdWItZGF0ZXM+PGRhdGU+SmFuPC9kYXRlPjwvcHViLWRhdGVzPjwvZGF0ZXM+
PGlzYm4+MTU1MC03NDI0PC9pc2JuPjxhY2Nlc3Npb24tbnVtPldPUzowMDAyNjI4MzkzMDAwMDM8
L2FjY2Vzc2lvbi1udW0+PHVybHM+PHJlbGF0ZWQtdXJscz48dXJsPiZsdDtHbyB0byBJU0kmZ3Q7
Oi8vV09TOjAwMDI2MjgzOTMwMDAwMzwvdXJsPjwvcmVsYXRlZC11cmxzPjwvdXJscz48ZWxlY3Ry
b25pYy1yZXNvdXJjZS1udW0+MTAuMjExMS8wNy0xMjM8L2VsZWN0cm9uaWMtcmVzb3VyY2UtbnVt
PjwvcmVjb3JkPjwvQ2l0ZT48Q2l0ZT48QXV0aG9yPkVzbGVyPC9BdXRob3I+PFllYXI+MjAxMDwv
WWVhcj48UmVjTnVtPjQ2NzA4PC9SZWNOdW0+PHJlY29yZD48cmVjLW51bWJlcj40NjcwODwvcmVj
LW51bWJlcj48Zm9yZWlnbi1rZXlzPjxrZXkgYXBwPSJFTiIgZGItaWQ9ImF3eDlyYWRkcjB4eDJo
ZXYwNXJ4cjB6MDV3ZWVwd3B0MGZleCIgdGltZXN0YW1wPSIxNDk2MjcyODA1Ij40NjcwODwva2V5
PjwvZm9yZWlnbi1rZXlzPjxyZWYtdHlwZSBuYW1lPSJKb3VybmFsIEFydGljbGUiPjE3PC9yZWYt
dHlwZT48Y29udHJpYnV0b3JzPjxhdXRob3JzPjxhdXRob3I+RXNsZXIsIEsuIEouPC9hdXRob3I+
PGF1dGhvcj5Qcm96ZXNreSwgSC48L2F1dGhvcj48YXV0aG9yPlNoYXJtYSwgRy4gUC48L2F1dGhv
cj48YXV0aG9yPk1jR2VvY2gsIE0uPC9hdXRob3I+PC9hdXRob3JzPjwvY29udHJpYnV0b3JzPjx0
aXRsZXM+PHRpdGxlPkhvdyB3aWRlIGlzIHRoZSAmcXVvdDtrbm93aW5nLWRvaW5nJnF1b3Q7IGdh
cCBpbiBpbnZhc2lvbiBiaW9sb2d5PzwvdGl0bGU+PHNlY29uZGFyeS10aXRsZT5CaW9sb2dpY2Fs
IEludmFzaW9uczwvc2Vjb25kYXJ5LXRpdGxlPjwvdGl0bGVzPjxwZXJpb2RpY2FsPjxmdWxsLXRp
dGxlPkJpb2xvZ2ljYWwgSW52YXNpb25zPC9mdWxsLXRpdGxlPjxhYmJyLTE+QmlvbC4gSW52YXNp
b25zPC9hYmJyLTE+PGFiYnItMj5CaW9sIEludmFzaW9uczwvYWJici0yPjwvcGVyaW9kaWNhbD48
cGFnZXM+NDA2NS00MDc1PC9wYWdlcz48dm9sdW1lPjEyPC92b2x1bWU+PG51bWJlcj4xMjwvbnVt
YmVyPjxkYXRlcz48eWVhcj4yMDEwPC95ZWFyPjwvZGF0ZXM+PHdvcmstdHlwZT5BcnRpY2xlPC93
b3JrLXR5cGU+PHVybHM+PHJlbGF0ZWQtdXJscz48dXJsPmh0dHBzOi8vd3d3LnNjb3B1cy5jb20v
aW53YXJkL3JlY29yZC51cmk/ZWlkPTItczIuMC03ODE0OTQxMTAwNiZhbXA7ZG9pPTEwLjEwMDcl
MmZzMTA1MzAtMDEwLTk4MTIteCZhbXA7cGFydG5lcklEPTQwJmFtcDttZDU9M2U4NGM3MmQ1NzFh
OWQ0YWNlNzg5Y2EzYjAyZDFlNjE8L3VybD48L3JlbGF0ZWQtdXJscz48L3VybHM+PGVsZWN0cm9u
aWMtcmVzb3VyY2UtbnVtPjEwLjEwMDcvczEwNTMwLTAxMC05ODEyLXg8L2VsZWN0cm9uaWMtcmVz
b3VyY2UtbnVtPjxyZW1vdGUtZGF0YWJhc2UtbmFtZT5TY29wdXM8L3JlbW90ZS1kYXRhYmFzZS1u
YW1lPjwvcmVjb3JkPjwvQ2l0ZT48L0VuZE5vdGU+AG==
</w:fldData>
        </w:fldChar>
      </w:r>
      <w:r w:rsidR="00DB4D9C" w:rsidRPr="00A9434B">
        <w:rPr>
          <w:b w:val="0"/>
          <w:bCs/>
        </w:rPr>
        <w:instrText xml:space="preserve"> ADDIN EN.CITE.DATA </w:instrText>
      </w:r>
      <w:r w:rsidR="00DB4D9C" w:rsidRPr="00A9434B">
        <w:rPr>
          <w:b w:val="0"/>
          <w:bCs/>
          <w:i/>
          <w:iCs/>
        </w:rPr>
      </w:r>
      <w:r w:rsidR="00DB4D9C" w:rsidRPr="00A9434B">
        <w:rPr>
          <w:b w:val="0"/>
          <w:bCs/>
          <w:i/>
          <w:iCs/>
        </w:rPr>
        <w:fldChar w:fldCharType="end"/>
      </w:r>
      <w:r w:rsidR="00DB4D9C" w:rsidRPr="00A9434B">
        <w:rPr>
          <w:b w:val="0"/>
          <w:bCs/>
          <w:i/>
          <w:iCs/>
        </w:rPr>
      </w:r>
      <w:r w:rsidR="00DB4D9C" w:rsidRPr="00A9434B">
        <w:rPr>
          <w:b w:val="0"/>
          <w:bCs/>
          <w:i/>
          <w:iCs/>
        </w:rPr>
        <w:fldChar w:fldCharType="separate"/>
      </w:r>
      <w:r w:rsidR="00DB4D9C" w:rsidRPr="00A9434B">
        <w:rPr>
          <w:b w:val="0"/>
          <w:bCs/>
          <w:i/>
          <w:iCs/>
        </w:rPr>
        <w:fldChar w:fldCharType="begin"/>
      </w:r>
      <w:r w:rsidR="0006613E">
        <w:rPr>
          <w:b w:val="0"/>
          <w:bCs/>
        </w:rPr>
        <w:instrText xml:space="preserve"> ADDIN ZOTERO_ITEM CSL_CITATION {"citationID":"a10ajiu52q2","properties":{"formattedCitation":"(Aslan et al., 2009; Esler et al., 2010)","plainCitation":"(Aslan et al., 2009; Esler et al., 2010)","noteIndex":0},"citationItems":[{"id":11529,"uris":["http://zotero.org/groups/2352922/items/ZJLDSR8K"],"itemData":{"id":11529,"type":"article-journal","abstract":"Private landowners are often de facto stewards of biodiversity and ecosystem services. In California’s Sierra Nevada foothills, ranchers frequently present the only defense against biological invasions in private rangelands. Although ranchers’ land management goals (e.g., the desire to control invasive species) can be consistent with ecosystem protection, practical constraints often limit their success. Considerable research on the invasive weed, yellow starthistle (Centaurea solstitialis L.), has produced numerous control strategies. Nevertheless, the range of this noxious weed continues to increase. We used surveys and interviews to document the weed control efforts of 202 ranchers and to identify practical limitations to their efficacy. Overall, 86% of ranchers who had experienced yellow starthistle infestation had attempted control, using one or more of 19 methods. Early response reduced negative effects from yellow starthistle. Control methods learned from agricultural advisors were reported more effective than those learned elsewhere. Limitations to yellow starthistle control in our study population resulted from incomplete information regarding control methods, complexity of weed control in heterogeneous landscapes, inconsistent application of methods, and lack of long-term planning for weed control. Such hindrances make it difficult for landowners to implement control methods promoted by researchers. This gap between science and practice contributes to the continued increase of yellow starthistle within the study region. To shrink this gap, researchers and agricultural advisors can incorporate environmental heterogeneity into applied agricultural research, use land stewards’ knowledge and experience, and increase public education.","container-title":"Rangeland Ecology &amp; Management","DOI":"10.2111/07-123","ISSN":"15507424","issue":"1","journalAbbreviation":"Rangeland Ecology &amp; Management","language":"en","page":"28-37","source":"DOI.org (Crossref)","title":"Practical Challenges in Private Stewardship of Rangeland Ecosystems: Yellow Starthistle Control in Sierra Nevadan Foothills","title-short":"Practical Challenges in Private Stewardship of Rangeland Ecosystems","URL":"https://linkinghub.elsevier.com/retrieve/pii/S1550742409500024","volume":"62","author":[{"family":"Aslan","given":"Clare E."},{"family":"Hufford","given":"Matthew B."},{"family":"Epanchin-Niell","given":"Rebecca S."},{"family":"Port","given":"Jeffrey D."},{"family":"Sexton","given":"Jason P."},{"family":"Waring","given":"Timothy M."}],"accessed":{"date-parts":[["2019",11,10]]},"issued":{"date-parts":[["2009",1]]}},"label":"page"},{"id":10808,"uris":["http://zotero.org/groups/2352922/items/NNIG5QBT"],"itemData":{"id":10808,"type":"article-journal","abstract":"Invasion biology is a growing discipline with clear ecological, social and economic implications. A wide range of research effort is thus required to address the invasion problem, and literature on the topic is extensive. However, the extent to which the invasion biology research is addressing the challenges associated with management and mitigation of the impacts of invasions has been questioned. Using bibliometric analysis, we investigated the extent to which the literature on the subject contributes to implementation of knowledge generated, by addressing aspects of management, policy, and/or implementation; the impact of these papers as indicated by the number of citations they attract; and the geopolitical scale of focus of invasion ecology papers, particularly those that attempt to bridge the knowingdoing gap. We then compared these ﬁndings with the information needs of conservation practitioners. We ﬁrst looked globally at popular search engines and then narrowed our focus to South Africa—one of three regions outside USA where researchers producing highly cited papers in invasion ecology are well represented. At this level, we conducted a content analysis of invasion ecology-related papers, of which at least one author was afﬁliated to a South African institution. The knowledge base in the ﬁeld of invasion biology is comprised largely of research oriented towards ‘‘knowing’’, while research aimed at strategically applying or implementing that knowledge is poorly represented in the scientiﬁc literature, and the scale of its emphasis is not local. Conservation practitioners clearly indicate a need for basic knowledge. However, invasion science must develop channels for effective engagement to ensure that the research is contextualised, and will deal with the complex ecological, social and economic challenges posed by invasions.","container-title":"Biological Invasions","DOI":"10.1007/s10530-010-9812-x","ISSN":"1387-3547, 1573-1464","issue":"12","journalAbbreviation":"Biol Invasions","language":"English","page":"4065–4075","title":"How wide is the “knowing-doing” gap in invasion biology?","URL":"http://link.springer.com/10.1007/s10530-010-9812-x","volume":"12","author":[{"family":"Esler","given":"Karen J"},{"family":"Prozesky","given":"Heidi"},{"family":"Sharma","given":"Gyan P."},{"family":"McGeoch","given":"Melodie A."}],"issued":{"date-parts":[["2010"]]}},"label":"page"}],"schema":"https://github.com/citation-style-language/schema/raw/master/csl-citation.json"} </w:instrText>
      </w:r>
      <w:r w:rsidR="00DB4D9C" w:rsidRPr="00A9434B">
        <w:rPr>
          <w:b w:val="0"/>
          <w:bCs/>
          <w:i/>
          <w:iCs/>
        </w:rPr>
        <w:fldChar w:fldCharType="separate"/>
      </w:r>
      <w:r w:rsidR="00C71E80" w:rsidRPr="00A9434B">
        <w:rPr>
          <w:b w:val="0"/>
          <w:bCs/>
        </w:rPr>
        <w:t>(Aslan et al., 2009; Esler et al., 2010)</w:t>
      </w:r>
      <w:r w:rsidR="00DB4D9C" w:rsidRPr="00A9434B">
        <w:rPr>
          <w:b w:val="0"/>
          <w:bCs/>
          <w:i/>
          <w:iCs/>
        </w:rPr>
        <w:fldChar w:fldCharType="end"/>
      </w:r>
      <w:r w:rsidR="00DB4D9C" w:rsidRPr="00A9434B">
        <w:rPr>
          <w:b w:val="0"/>
          <w:bCs/>
          <w:i/>
          <w:iCs/>
        </w:rPr>
        <w:fldChar w:fldCharType="end"/>
      </w:r>
      <w:r w:rsidRPr="00A9434B">
        <w:rPr>
          <w:b w:val="0"/>
          <w:bCs/>
        </w:rPr>
        <w:t xml:space="preserve">. There is also an imbalance of information between those who bear the costs of invasive alien species (affected actors; those who tend to have good knowledge of invasive alien species), and the </w:t>
      </w:r>
      <w:r w:rsidRPr="00A9434B">
        <w:rPr>
          <w:b w:val="0"/>
          <w:bCs/>
        </w:rPr>
        <w:lastRenderedPageBreak/>
        <w:t xml:space="preserve">actors responsible for exacerbating </w:t>
      </w:r>
      <w:r w:rsidR="12C9C27F" w:rsidRPr="00A9434B">
        <w:rPr>
          <w:b w:val="0"/>
          <w:bCs/>
        </w:rPr>
        <w:t xml:space="preserve">biological </w:t>
      </w:r>
      <w:r w:rsidRPr="00A9434B">
        <w:rPr>
          <w:b w:val="0"/>
          <w:bCs/>
        </w:rPr>
        <w:t>invasion risk (causal actors</w:t>
      </w:r>
      <w:r w:rsidR="0085609A">
        <w:rPr>
          <w:b w:val="0"/>
          <w:bCs/>
        </w:rPr>
        <w:t xml:space="preserve">; </w:t>
      </w:r>
      <w:r w:rsidR="0037768C">
        <w:rPr>
          <w:bCs/>
          <w:iCs/>
        </w:rPr>
        <w:t>G</w:t>
      </w:r>
      <w:r w:rsidR="00431E4A" w:rsidRPr="00673554">
        <w:rPr>
          <w:bCs/>
          <w:iCs/>
        </w:rPr>
        <w:t>lossary</w:t>
      </w:r>
      <w:r w:rsidR="0085609A" w:rsidRPr="0037768C">
        <w:rPr>
          <w:b w:val="0"/>
          <w:bCs/>
        </w:rPr>
        <w:t>;</w:t>
      </w:r>
      <w:r w:rsidR="0085609A" w:rsidRPr="00673554">
        <w:rPr>
          <w:bCs/>
        </w:rPr>
        <w:t xml:space="preserve"> </w:t>
      </w:r>
      <w:r w:rsidR="00982C0D" w:rsidRPr="00673554">
        <w:rPr>
          <w:bCs/>
          <w:iCs/>
        </w:rPr>
        <w:t>section 6.6</w:t>
      </w:r>
      <w:r w:rsidR="00982C0D" w:rsidRPr="00A9434B">
        <w:rPr>
          <w:b w:val="0"/>
          <w:bCs/>
        </w:rPr>
        <w:t>;</w:t>
      </w:r>
      <w:r w:rsidRPr="00A9434B">
        <w:rPr>
          <w:b w:val="0"/>
          <w:bCs/>
        </w:rPr>
        <w:t xml:space="preserve"> </w:t>
      </w:r>
      <w:r w:rsidR="003D7437" w:rsidRPr="00A9434B">
        <w:rPr>
          <w:b w:val="0"/>
          <w:bCs/>
          <w:i/>
          <w:iCs/>
        </w:rPr>
        <w:fldChar w:fldCharType="begin"/>
      </w:r>
      <w:r w:rsidR="003D7437" w:rsidRPr="00A9434B">
        <w:rPr>
          <w:b w:val="0"/>
          <w:bCs/>
        </w:rPr>
        <w:instrText xml:space="preserve"> ADDIN EN.CITE </w:instrText>
      </w:r>
      <w:r w:rsidR="003D7437" w:rsidRPr="00A9434B">
        <w:rPr>
          <w:b w:val="0"/>
          <w:bCs/>
          <w:i/>
          <w:iCs/>
        </w:rPr>
        <w:fldChar w:fldCharType="begin"/>
      </w:r>
      <w:r w:rsidR="003D7437" w:rsidRPr="00A9434B">
        <w:rPr>
          <w:b w:val="0"/>
          <w:bCs/>
        </w:rPr>
        <w:instrText xml:space="preserve"> ADDIN EN.CITE.DATA </w:instrText>
      </w:r>
      <w:r w:rsidR="003D7437" w:rsidRPr="00A9434B">
        <w:rPr>
          <w:b w:val="0"/>
          <w:bCs/>
          <w:i/>
          <w:iCs/>
        </w:rPr>
        <w:fldChar w:fldCharType="end"/>
      </w:r>
      <w:r w:rsidR="003D7437" w:rsidRPr="00A9434B">
        <w:rPr>
          <w:b w:val="0"/>
          <w:bCs/>
          <w:i/>
          <w:iCs/>
        </w:rPr>
        <w:fldChar w:fldCharType="separate"/>
      </w:r>
      <w:r w:rsidR="003D7437" w:rsidRPr="00A9434B">
        <w:rPr>
          <w:b w:val="0"/>
          <w:bCs/>
          <w:i/>
          <w:iCs/>
        </w:rPr>
        <w:fldChar w:fldCharType="begin"/>
      </w:r>
      <w:r w:rsidR="0006613E">
        <w:rPr>
          <w:b w:val="0"/>
          <w:bCs/>
        </w:rPr>
        <w:instrText xml:space="preserve"> ADDIN ZOTERO_ITEM CSL_CITATION {"citationID":"YcZeBjsn","properties":{"formattedCitation":"\\uldash{(Cook et al., 2010)}","plainCitation":"(Cook et al., 2010)","dontUpdate":true,"noteIndex":0},"citationItems":[{"id":10809,"uris":["http://zotero.org/groups/2352922/items/WCG8AH7V"],"itemData":{"id":10809,"type":"article-journal","container-title":"Risk Analysis","DOI":"10.1111/j.1539-6924.2010.01439.x","ISSN":"02724332","issue":"9","language":"en","page":"1303-1314","source":"DOI.org (Crossref)","title":"Adaptive Approaches to Biosecurity Governance","title-short":"Adaptive Approaches to Biosecurity Governance","URL":"http://doi.wiley.com/10.1111/j.1539-6924.2010.01439.x","volume":"30","author":[{"family":"Cook","given":"David C."},{"family":"Liu","given":"Shuang"},{"family":"Murphy","given":"Brendan"},{"family":"Lonsdale","given":"W. Mark"}],"accessed":{"date-parts":[["2021",5,27]]},"issued":{"date-parts":[["2010",9]]}},"label":"page"}],"schema":"https://github.com/citation-style-language/schema/raw/master/csl-citation.json"} </w:instrText>
      </w:r>
      <w:r w:rsidR="003D7437" w:rsidRPr="00A9434B">
        <w:rPr>
          <w:b w:val="0"/>
          <w:bCs/>
          <w:i/>
          <w:iCs/>
        </w:rPr>
        <w:fldChar w:fldCharType="separate"/>
      </w:r>
      <w:r w:rsidR="003D7437" w:rsidRPr="00A9434B">
        <w:rPr>
          <w:b w:val="0"/>
        </w:rPr>
        <w:t>Cook et al., 2010)</w:t>
      </w:r>
      <w:r w:rsidR="003D7437" w:rsidRPr="00A9434B">
        <w:rPr>
          <w:b w:val="0"/>
          <w:bCs/>
          <w:i/>
          <w:iCs/>
        </w:rPr>
        <w:fldChar w:fldCharType="end"/>
      </w:r>
      <w:r w:rsidR="003D7437" w:rsidRPr="00A9434B">
        <w:rPr>
          <w:b w:val="0"/>
          <w:bCs/>
          <w:i/>
          <w:iCs/>
        </w:rPr>
        <w:fldChar w:fldCharType="end"/>
      </w:r>
      <w:bookmarkEnd w:id="119"/>
      <w:r w:rsidR="003D7437" w:rsidRPr="00A9434B">
        <w:rPr>
          <w:b w:val="0"/>
          <w:bCs/>
        </w:rPr>
        <w:t>.</w:t>
      </w:r>
    </w:p>
    <w:p w14:paraId="31437CE3" w14:textId="21C80CBB" w:rsidR="008D2DC7" w:rsidRPr="00C73655" w:rsidRDefault="00C73655" w:rsidP="00C73655">
      <w:pPr>
        <w:rPr>
          <w:b/>
          <w:bCs/>
        </w:rPr>
      </w:pPr>
      <w:r>
        <w:rPr>
          <w:noProof/>
        </w:rPr>
        <w:drawing>
          <wp:inline distT="0" distB="0" distL="0" distR="0" wp14:anchorId="625A5025" wp14:editId="4C51FEA8">
            <wp:extent cx="6111240" cy="3610610"/>
            <wp:effectExtent l="0" t="0" r="0" b="0"/>
            <wp:docPr id="1868808428" name="image160.png" descr="A diagram of a variety of issue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60.png" descr="A diagram of a variety of issues&#10;&#10;Description automatically generated with medium confidence"/>
                    <pic:cNvPicPr preferRelativeResize="0"/>
                  </pic:nvPicPr>
                  <pic:blipFill>
                    <a:blip r:embed="rId36"/>
                    <a:srcRect/>
                    <a:stretch>
                      <a:fillRect/>
                    </a:stretch>
                  </pic:blipFill>
                  <pic:spPr>
                    <a:xfrm>
                      <a:off x="0" y="0"/>
                      <a:ext cx="6111240" cy="3610610"/>
                    </a:xfrm>
                    <a:prstGeom prst="rect">
                      <a:avLst/>
                    </a:prstGeom>
                    <a:ln/>
                  </pic:spPr>
                </pic:pic>
              </a:graphicData>
            </a:graphic>
          </wp:inline>
        </w:drawing>
      </w:r>
    </w:p>
    <w:p w14:paraId="722C0C26" w14:textId="60E96DDD" w:rsidR="00017C04" w:rsidRPr="00C73655" w:rsidRDefault="14AF23C7" w:rsidP="00C73655">
      <w:pPr>
        <w:rPr>
          <w:rStyle w:val="apple-converted-space"/>
        </w:rPr>
      </w:pPr>
      <w:bookmarkStart w:id="120" w:name="_Ref104895003"/>
      <w:bookmarkStart w:id="121" w:name="_Toc147418302"/>
      <w:r w:rsidRPr="00C73655">
        <w:rPr>
          <w:b/>
          <w:bCs/>
        </w:rPr>
        <w:t>Figure 6.</w:t>
      </w:r>
      <w:r w:rsidR="00E94159" w:rsidRPr="00C73655">
        <w:rPr>
          <w:b/>
          <w:bCs/>
        </w:rPr>
        <w:fldChar w:fldCharType="begin"/>
      </w:r>
      <w:r w:rsidR="00E94159" w:rsidRPr="00C73655">
        <w:rPr>
          <w:b/>
          <w:bCs/>
        </w:rPr>
        <w:instrText xml:space="preserve"> SEQ Figure_6. \* ARABIC </w:instrText>
      </w:r>
      <w:r w:rsidR="00E94159" w:rsidRPr="00C73655">
        <w:rPr>
          <w:b/>
          <w:bCs/>
        </w:rPr>
        <w:fldChar w:fldCharType="separate"/>
      </w:r>
      <w:r w:rsidR="0011368C" w:rsidRPr="00C73655">
        <w:rPr>
          <w:b/>
          <w:bCs/>
          <w:noProof/>
        </w:rPr>
        <w:t>7</w:t>
      </w:r>
      <w:r w:rsidR="00E94159" w:rsidRPr="00C73655">
        <w:rPr>
          <w:b/>
          <w:bCs/>
        </w:rPr>
        <w:fldChar w:fldCharType="end"/>
      </w:r>
      <w:bookmarkEnd w:id="120"/>
      <w:r w:rsidR="00585D0E" w:rsidRPr="00C73655">
        <w:rPr>
          <w:b/>
          <w:bCs/>
        </w:rPr>
        <w:t>.</w:t>
      </w:r>
      <w:r w:rsidR="00C73655" w:rsidRPr="00C73655">
        <w:rPr>
          <w:b/>
          <w:bCs/>
        </w:rPr>
        <w:t xml:space="preserve"> </w:t>
      </w:r>
      <w:r w:rsidR="00C73655" w:rsidRPr="00C73655">
        <w:rPr>
          <w:color w:val="000000"/>
        </w:rPr>
        <w:t>The complex socioecological system characterizing biological invasions. The complex socioecological system (</w:t>
      </w:r>
      <w:r w:rsidR="00273868">
        <w:rPr>
          <w:color w:val="000000"/>
        </w:rPr>
        <w:t>vertical boxes</w:t>
      </w:r>
      <w:r w:rsidR="00C73655" w:rsidRPr="00C73655">
        <w:rPr>
          <w:color w:val="000000"/>
        </w:rPr>
        <w:t>) that characterizes biological invasions and their management, and the four, complementary governance models (horizontal boxes) needed to enable successful policy implementation through integration within and across these components of the system (</w:t>
      </w:r>
      <w:r w:rsidR="00C73655" w:rsidRPr="00C73655">
        <w:rPr>
          <w:b/>
          <w:color w:val="000000"/>
        </w:rPr>
        <w:t>section 6.2.4</w:t>
      </w:r>
      <w:r w:rsidR="00C73655" w:rsidRPr="00C73655">
        <w:rPr>
          <w:color w:val="000000"/>
        </w:rPr>
        <w:t xml:space="preserve">). </w:t>
      </w:r>
      <w:r w:rsidR="00C73655" w:rsidRPr="00A9434B">
        <w:rPr>
          <w:rStyle w:val="apple-converted-space"/>
        </w:rPr>
        <w:t xml:space="preserve">Data from: IPBES-PEG </w:t>
      </w:r>
      <w:r w:rsidR="00C73655" w:rsidRPr="00A9434B">
        <w:rPr>
          <w:rStyle w:val="apple-converted-space"/>
          <w:b/>
          <w:bCs/>
        </w:rPr>
        <w:fldChar w:fldCharType="begin"/>
      </w:r>
      <w:r w:rsidR="00C73655" w:rsidRPr="00A9434B">
        <w:rPr>
          <w:rStyle w:val="apple-converted-space"/>
        </w:rPr>
        <w:instrText xml:space="preserve"> ADDIN EN.CITE &lt;EndNote&gt;&lt;Cite&gt;&lt;Author&gt;IPBES-PEG&lt;/Author&gt;&lt;Year&gt;2020&lt;/Year&gt;&lt;RecNum&gt;49253&lt;/RecNum&gt;&lt;DisplayText&gt;(IPBES-PEG 2020)&lt;/DisplayText&gt;&lt;record&gt;&lt;rec-number&gt;49253&lt;/rec-number&gt;&lt;foreign-keys&gt;&lt;key app="EN" db-id="awx9raddr0xx2hev05rxr0z05weepwpt0fex" timestamp="1592108914"&gt;49253&lt;/key&gt;&lt;/foreign-keys&gt;&lt;ref-type name="Report"&gt;27&lt;/ref-type&gt;&lt;contributors&gt;&lt;authors&gt;&lt;author&gt;IPBES-PEG&lt;/author&gt;&lt;/authors&gt;&lt;secondary-authors&gt;&lt;author&gt;Policy Expert Group&lt;/author&gt;&lt;/secondary-authors&gt;&lt;tertiary-authors&gt;&lt;author&gt;IPBES&lt;/author&gt;&lt;/tertiary-authors&gt;&lt;/contributors&gt;&lt;titles&gt;&lt;title&gt;Methodological guidance for assessing policy instruments and facilitating the use fo policy support tools adn methodologies through IPBES assessments&lt;/title&gt;&lt;/titles&gt;&lt;pages&gt;18&lt;/pages&gt;&lt;edition&gt;Draft&lt;/edition&gt;&lt;dates&gt;&lt;year&gt;2020&lt;/year&gt;&lt;/dates&gt;&lt;urls&gt;&lt;related-urls&gt;&lt;url&gt;https://ipbes.net/policy-tools-methodologies&lt;/url&gt;&lt;/related-urls&gt;&lt;/urls&gt;&lt;/record&gt;&lt;/Cite&gt;&lt;/EndNote&gt;</w:instrText>
      </w:r>
      <w:r w:rsidR="00C73655" w:rsidRPr="00A9434B">
        <w:rPr>
          <w:rStyle w:val="apple-converted-space"/>
          <w:b/>
          <w:bCs/>
        </w:rPr>
        <w:fldChar w:fldCharType="separate"/>
      </w:r>
      <w:r w:rsidR="00C73655" w:rsidRPr="00A9434B">
        <w:rPr>
          <w:rStyle w:val="apple-converted-space"/>
          <w:b/>
          <w:bCs/>
        </w:rPr>
        <w:fldChar w:fldCharType="begin"/>
      </w:r>
      <w:r w:rsidR="0006613E">
        <w:rPr>
          <w:rStyle w:val="apple-converted-space"/>
        </w:rPr>
        <w:instrText xml:space="preserve"> ADDIN ZOTERO_ITEM CSL_CITATION {"citationID":"a4r5gsnk4b","properties":{"formattedCitation":"(2019b)","plainCitation":"(2019b)","noteIndex":0},"citationItems":[{"id":30735,"uris":["http://zotero.org/groups/2352922/items/LQWMAXBV","http://zotero.org/groups/2352922/items/PN6IMK2B"],"itemData":{"id":30735,"type":"paper-conference","container-title":"Information on work related to policy support tools and methodologies","event-place":"Paris, France","event-title":"Plenary of the Intergovernmental Science-Policy Platform on Biodiversity and Ecosystem Services Seventh session","page":"Appendix 1","publisher":"IPBES","publisher-place":"Paris, France","title":"Methodological guidance for assessing policy instruments and facilitating the use for policy support tools and methodologies through IPBES assessments","volume":"IPBES/7/INF/13","author":[{"literal":"IPBES"}],"issued":{"date-parts":[["2019"]]}},"label":"page","suppress-author":true}],"schema":"https://github.com/citation-style-language/schema/raw/master/csl-citation.json"} </w:instrText>
      </w:r>
      <w:r w:rsidR="00C73655" w:rsidRPr="00A9434B">
        <w:rPr>
          <w:rStyle w:val="apple-converted-space"/>
          <w:b/>
          <w:bCs/>
        </w:rPr>
        <w:fldChar w:fldCharType="separate"/>
      </w:r>
      <w:r w:rsidR="00C73655" w:rsidRPr="009020A3">
        <w:t>(2019b)</w:t>
      </w:r>
      <w:r w:rsidR="00C73655" w:rsidRPr="00A9434B">
        <w:rPr>
          <w:rStyle w:val="apple-converted-space"/>
          <w:b/>
          <w:bCs/>
        </w:rPr>
        <w:fldChar w:fldCharType="end"/>
      </w:r>
      <w:r w:rsidR="00C73655" w:rsidRPr="00A9434B">
        <w:rPr>
          <w:rStyle w:val="apple-converted-space"/>
          <w:b/>
          <w:bCs/>
        </w:rPr>
        <w:fldChar w:fldCharType="end"/>
      </w:r>
      <w:r w:rsidR="00C73655" w:rsidRPr="00A9434B">
        <w:rPr>
          <w:rStyle w:val="apple-converted-space"/>
        </w:rPr>
        <w:t>.</w:t>
      </w:r>
      <w:bookmarkStart w:id="122" w:name="_heading=h.1pxezwc" w:colFirst="0" w:colLast="0"/>
      <w:bookmarkStart w:id="123" w:name="_heading=h.49x2ik5" w:colFirst="0" w:colLast="0"/>
      <w:bookmarkStart w:id="124" w:name="_heading=h.2p2csry"/>
      <w:bookmarkStart w:id="125" w:name="_heading=h.147n2zr" w:colFirst="0" w:colLast="0"/>
      <w:bookmarkEnd w:id="121"/>
      <w:bookmarkEnd w:id="122"/>
      <w:bookmarkEnd w:id="123"/>
      <w:bookmarkEnd w:id="124"/>
      <w:bookmarkEnd w:id="125"/>
    </w:p>
    <w:p w14:paraId="1EDB138E" w14:textId="65197918" w:rsidR="00017C04" w:rsidRDefault="2F958343">
      <w:pPr>
        <w:pStyle w:val="Heading5"/>
      </w:pPr>
      <w:bookmarkStart w:id="126" w:name="_heading=h.3o7alnk"/>
      <w:bookmarkStart w:id="127" w:name="_Toc75698885"/>
      <w:bookmarkStart w:id="128" w:name="_Toc75698961"/>
      <w:bookmarkStart w:id="129" w:name="_Hlk43225172"/>
      <w:bookmarkEnd w:id="126"/>
      <w:bookmarkEnd w:id="127"/>
      <w:bookmarkEnd w:id="128"/>
      <w:r>
        <w:t>(4) Over-reliance on h</w:t>
      </w:r>
      <w:bookmarkStart w:id="130" w:name="_Toc43321262"/>
      <w:bookmarkStart w:id="131" w:name="_Toc75698964"/>
      <w:r>
        <w:t>ierarchical governance</w:t>
      </w:r>
      <w:bookmarkEnd w:id="130"/>
      <w:bookmarkEnd w:id="131"/>
      <w:r w:rsidR="00F50AF9">
        <w:br/>
      </w:r>
      <w:r>
        <w:rPr>
          <w:b w:val="0"/>
        </w:rPr>
        <w:t>The currently dominant, hierarchical forms of governance for biological invasions tend to be centralized, top-down, process-heavy</w:t>
      </w:r>
      <w:r w:rsidR="00896CEC">
        <w:rPr>
          <w:b w:val="0"/>
        </w:rPr>
        <w:t xml:space="preserve"> and</w:t>
      </w:r>
      <w:r>
        <w:rPr>
          <w:b w:val="0"/>
        </w:rPr>
        <w:t xml:space="preserve"> reactive and, while necessary, are on their own not adequate for preventing and controlling invasive alien species </w:t>
      </w:r>
      <w:r w:rsidR="00C14761" w:rsidRPr="00A9434B">
        <w:rPr>
          <w:b w:val="0"/>
          <w:bCs/>
          <w:i/>
          <w:iCs/>
        </w:rPr>
        <w:fldChar w:fldCharType="begin">
          <w:fldData xml:space="preserve">PEVuZE5vdGU+PENpdGU+PEF1dGhvcj5Db29rPC9BdXRob3I+PFllYXI+MjAxMDwvWWVhcj48UmVj
TnVtPjQ5MTcwPC9SZWNOdW0+PERpc3BsYXlUZXh0PihDb29rLCBMaXUgZXQgYWwuIDIwMTAsIFJl
ZWQgYW5kIEN1cnpvbiAyMDE1LCBFdmFucywgenUgRXJtZ2Fzc2VuIGV0IGFsLiAyMDE4KTwvRGlz
cGxheVRleHQ+PHJlY29yZD48cmVjLW51bWJlcj40OTE3MDwvcmVjLW51bWJlcj48Zm9yZWlnbi1r
ZXlzPjxrZXkgYXBwPSJFTiIgZGItaWQ9ImF3eDlyYWRkcjB4eDJoZXYwNXJ4cjB6MDV3ZWVwd3B0
MGZleCIgdGltZXN0YW1wPSIxNTgxNDk3MzIwIj40OTE3MDwva2V5PjwvZm9yZWlnbi1rZXlzPjxy
ZWYtdHlwZSBuYW1lPSJKb3VybmFsIEFydGljbGUiPjE3PC9yZWYtdHlwZT48Y29udHJpYnV0b3Jz
PjxhdXRob3JzPjxhdXRob3I+Q29vaywgRGF2aWQgQy48L2F1dGhvcj48YXV0aG9yPkxpdSwgU2h1
YW5nPC9hdXRob3I+PGF1dGhvcj5NdXJwaHksIEJyZW5kYW48L2F1dGhvcj48YXV0aG9yPkxvbnNk
YWxlLCBXLiBNYXJrPC9hdXRob3I+PC9hdXRob3JzPjwvY29udHJpYnV0b3JzPjx0aXRsZXM+PHRp
dGxlPkFkYXB0aXZlIEFwcHJvYWNoZXMgdG8gQmlvc2VjdXJpdHkgR292ZXJuYW5jZTwvdGl0bGU+
PHNlY29uZGFyeS10aXRsZT5SaXNrIEFuYWx5c2lzPC9zZWNvbmRhcnktdGl0bGU+PC90aXRsZXM+
PHBlcmlvZGljYWw+PGZ1bGwtdGl0bGU+UmlzayBBbmFseXNpczwvZnVsbC10aXRsZT48YWJici0x
PlJpc2sgQW5hbC48L2FiYnItMT48YWJici0yPlJpc2sgQW5hbDwvYWJici0yPjwvcGVyaW9kaWNh
bD48cGFnZXM+MTMwMy0xMzE0PC9wYWdlcz48dm9sdW1lPjMwPC92b2x1bWU+PG51bWJlcj45PC9u
dW1iZXI+PGRhdGVzPjx5ZWFyPjIwMTA8L3llYXI+PHB1Yi1kYXRlcz48ZGF0ZT5TZXA8L2RhdGU+
PC9wdWItZGF0ZXM+PC9kYXRlcz48aXNibj4wMjcyLTQzMzI8L2lzYm4+PGFjY2Vzc2lvbi1udW0+
V09TOjAwMDI4MTgzNDYwMDAwMjwvYWNjZXNzaW9uLW51bT48dXJscz48cmVsYXRlZC11cmxzPjx1
cmw+Jmx0O0dvIHRvIElTSSZndDs6Ly9XT1M6MDAwMjgxODM0NjAwMDAyPC91cmw+PC9yZWxhdGVk
LXVybHM+PC91cmxzPjxlbGVjdHJvbmljLXJlc291cmNlLW51bT4xMC4xMTExL2ouMTUzOS02OTI0
LjIwMTAuMDE0MzkueDwvZWxlY3Ryb25pYy1yZXNvdXJjZS1udW0+PC9yZWNvcmQ+PC9DaXRlPjxD
aXRlPjxBdXRob3I+RXZhbnM8L0F1dGhvcj48WWVhcj4yMDE4PC9ZZWFyPjxSZWNOdW0+NDkwNDc8
L1JlY051bT48cmVjb3JkPjxyZWMtbnVtYmVyPjQ5MDQ3PC9yZWMtbnVtYmVyPjxmb3JlaWduLWtl
eXM+PGtleSBhcHA9IkVOIiBkYi1pZD0iYXd4OXJhZGRyMHh4MmhldjA1cnhyMHowNXdlZXB3cHQw
ZmV4IiB0aW1lc3RhbXA9IjE1ODE0OTczMjAiPjQ5MDQ3PC9rZXk+PC9mb3JlaWduLWtleXM+PHJl
Zi10eXBlIG5hbWU9IkpvdXJuYWwgQXJ0aWNsZSI+MTc8L3JlZi10eXBlPjxjb250cmlidXRvcnM+
PGF1dGhvcnM+PGF1dGhvcj5FdmFucywgVGhvbWFzPC9hdXRob3I+PGF1dGhvcj56dSBFcm1nYXNz
ZW4sIFBoaWxpbmU8L2F1dGhvcj48YXV0aG9yPkFtYW5vLCBUYXRzdXlhPC9hdXRob3I+PGF1dGhv
cj5QZWgsIEtlbHZpbiBTLiBILjwvYXV0aG9yPjwvYXV0aG9ycz48L2NvbnRyaWJ1dG9ycz48dGl0
bGVzPjx0aXRsZT5Eb2VzIGdvdmVybmFuY2UgcGxheSBhIHJvbGUgaW4gdGhlIGRpc3RyaWJ1dGlv
biBvZiBpbnZhc2l2ZSBhbGllbiBzcGVjaWVzPzwvdGl0bGU+PHNlY29uZGFyeS10aXRsZT5FY29s
b2d5IGFuZCBFdm9sdXRpb248L3NlY29uZGFyeS10aXRsZT48L3RpdGxlcz48cGVyaW9kaWNhbD48
ZnVsbC10aXRsZT5FY29sb2d5IGFuZCBFdm9sdXRpb248L2Z1bGwtdGl0bGU+PC9wZXJpb2RpY2Fs
PjxwYWdlcz4xOTg0LTE5OTQ8L3BhZ2VzPjx2b2x1bWU+ODwvdm9sdW1lPjxudW1iZXI+NDwvbnVt
YmVyPjxkYXRlcz48eWVhcj4yMDE4PC95ZWFyPjxwdWItZGF0ZXM+PGRhdGU+RmViPC9kYXRlPjwv
cHViLWRhdGVzPjwvZGF0ZXM+PGlzYm4+MjA0NS03NzU4PC9pc2JuPjxhY2Nlc3Npb24tbnVtPldP
UzowMDA0MjU0NjM5MDAwMDY8L2FjY2Vzc2lvbi1udW0+PHVybHM+PHJlbGF0ZWQtdXJscz48dXJs
PiZsdDtHbyB0byBJU0kmZ3Q7Oi8vV09TOjAwMDQyNTQ2MzkwMDAwNjwvdXJsPjwvcmVsYXRlZC11
cmxzPjwvdXJscz48ZWxlY3Ryb25pYy1yZXNvdXJjZS1udW0+MTAuMTAwMi9lY2UzLjM3NDQ8L2Vs
ZWN0cm9uaWMtcmVzb3VyY2UtbnVtPjwvcmVjb3JkPjwvQ2l0ZT48Q2l0ZT48QXV0aG9yPlJlZWQ8
L0F1dGhvcj48WWVhcj4yMDE1PC9ZZWFyPjxSZWNOdW0+NDkxMjE8L1JlY051bT48cmVjb3JkPjxy
ZWMtbnVtYmVyPjQ5MTIxPC9yZWMtbnVtYmVyPjxmb3JlaWduLWtleXM+PGtleSBhcHA9IkVOIiBk
Yi1pZD0iYXd4OXJhZGRyMHh4MmhldjA1cnhyMHowNXdlZXB3cHQwZmV4IiB0aW1lc3RhbXA9IjE1
ODE0OTczMjAiPjQ5MTIxPC9rZXk+PC9mb3JlaWduLWtleXM+PHJlZi10eXBlIG5hbWU9IkpvdXJu
YWwgQXJ0aWNsZSI+MTc8L3JlZi10eXBlPjxjb250cmlidXRvcnM+PGF1dGhvcnM+PGF1dGhvcj5S
ZWVkLCBNLiBTLjwvYXV0aG9yPjxhdXRob3I+Q3Vyem9uLCBSLjwvYXV0aG9yPjwvYXV0aG9ycz48
L2NvbnRyaWJ1dG9ycz48dGl0bGVzPjx0aXRsZT5TdGFrZWhvbGRlciBtYXBwaW5nIGZvciB0aGUg
Z292ZXJuYW5jZSBvZiBiaW9zZWN1cml0eTogYSBsaXRlcmF0dXJlIHJldmlldzwvdGl0bGU+PHNl
Y29uZGFyeS10aXRsZT5Kb3VybmFsIG9mIEludGVncmF0aXZlIEVudmlyb25tZW50YWwgU2NpZW5j
ZXM8L3NlY29uZGFyeS10aXRsZT48L3RpdGxlcz48cGVyaW9kaWNhbD48ZnVsbC10aXRsZT5Kb3Vy
bmFsIG9mIEludGVncmF0aXZlIEVudmlyb25tZW50YWwgU2NpZW5jZXM8L2Z1bGwtdGl0bGU+PC9w
ZXJpb2RpY2FsPjxwYWdlcz4xNS0zODwvcGFnZXM+PHZvbHVtZT4xMjwvdm9sdW1lPjxudW1iZXI+
MTwvbnVtYmVyPjxkYXRlcz48eWVhcj4yMDE1PC95ZWFyPjxwdWItZGF0ZXM+PGRhdGU+SmFuIDI8
L2RhdGU+PC9wdWItZGF0ZXM+PC9kYXRlcz48aXNibj4xOTQzLTgxNVg8L2lzYm4+PGFjY2Vzc2lv
bi1udW0+V09TOjAwMDM1MDA0NjIwMDAwMjwvYWNjZXNzaW9uLW51bT48dXJscz48cmVsYXRlZC11
cmxzPjx1cmw+Jmx0O0dvIHRvIElTSSZndDs6Ly9XT1M6MDAwMzUwMDQ2MjAwMDAyPC91cmw+PC9y
ZWxhdGVkLXVybHM+PC91cmxzPjxlbGVjdHJvbmljLXJlc291cmNlLW51bT4xMC4xMDgwLzE5NDM4
MTV4LjIwMTQuOTc1NzIzPC9lbGVjdHJvbmljLXJlc291cmNlLW51bT48L3JlY29yZD48L0NpdGU+
PC9FbmROb3RlPn==
</w:fldData>
        </w:fldChar>
      </w:r>
      <w:r w:rsidR="00C14761" w:rsidRPr="00A9434B">
        <w:rPr>
          <w:b w:val="0"/>
          <w:bCs/>
        </w:rPr>
        <w:instrText xml:space="preserve"> ADDIN EN.CITE </w:instrText>
      </w:r>
      <w:r w:rsidR="00C14761" w:rsidRPr="00A9434B">
        <w:rPr>
          <w:b w:val="0"/>
          <w:bCs/>
          <w:i/>
          <w:iCs/>
        </w:rPr>
        <w:fldChar w:fldCharType="begin">
          <w:fldData xml:space="preserve">PEVuZE5vdGU+PENpdGU+PEF1dGhvcj5Db29rPC9BdXRob3I+PFllYXI+MjAxMDwvWWVhcj48UmVj
TnVtPjQ5MTcwPC9SZWNOdW0+PERpc3BsYXlUZXh0PihDb29rLCBMaXUgZXQgYWwuIDIwMTAsIFJl
ZWQgYW5kIEN1cnpvbiAyMDE1LCBFdmFucywgenUgRXJtZ2Fzc2VuIGV0IGFsLiAyMDE4KTwvRGlz
cGxheVRleHQ+PHJlY29yZD48cmVjLW51bWJlcj40OTE3MDwvcmVjLW51bWJlcj48Zm9yZWlnbi1r
ZXlzPjxrZXkgYXBwPSJFTiIgZGItaWQ9ImF3eDlyYWRkcjB4eDJoZXYwNXJ4cjB6MDV3ZWVwd3B0
MGZleCIgdGltZXN0YW1wPSIxNTgxNDk3MzIwIj40OTE3MDwva2V5PjwvZm9yZWlnbi1rZXlzPjxy
ZWYtdHlwZSBuYW1lPSJKb3VybmFsIEFydGljbGUiPjE3PC9yZWYtdHlwZT48Y29udHJpYnV0b3Jz
PjxhdXRob3JzPjxhdXRob3I+Q29vaywgRGF2aWQgQy48L2F1dGhvcj48YXV0aG9yPkxpdSwgU2h1
YW5nPC9hdXRob3I+PGF1dGhvcj5NdXJwaHksIEJyZW5kYW48L2F1dGhvcj48YXV0aG9yPkxvbnNk
YWxlLCBXLiBNYXJrPC9hdXRob3I+PC9hdXRob3JzPjwvY29udHJpYnV0b3JzPjx0aXRsZXM+PHRp
dGxlPkFkYXB0aXZlIEFwcHJvYWNoZXMgdG8gQmlvc2VjdXJpdHkgR292ZXJuYW5jZTwvdGl0bGU+
PHNlY29uZGFyeS10aXRsZT5SaXNrIEFuYWx5c2lzPC9zZWNvbmRhcnktdGl0bGU+PC90aXRsZXM+
PHBlcmlvZGljYWw+PGZ1bGwtdGl0bGU+UmlzayBBbmFseXNpczwvZnVsbC10aXRsZT48YWJici0x
PlJpc2sgQW5hbC48L2FiYnItMT48YWJici0yPlJpc2sgQW5hbDwvYWJici0yPjwvcGVyaW9kaWNh
bD48cGFnZXM+MTMwMy0xMzE0PC9wYWdlcz48dm9sdW1lPjMwPC92b2x1bWU+PG51bWJlcj45PC9u
dW1iZXI+PGRhdGVzPjx5ZWFyPjIwMTA8L3llYXI+PHB1Yi1kYXRlcz48ZGF0ZT5TZXA8L2RhdGU+
PC9wdWItZGF0ZXM+PC9kYXRlcz48aXNibj4wMjcyLTQzMzI8L2lzYm4+PGFjY2Vzc2lvbi1udW0+
V09TOjAwMDI4MTgzNDYwMDAwMjwvYWNjZXNzaW9uLW51bT48dXJscz48cmVsYXRlZC11cmxzPjx1
cmw+Jmx0O0dvIHRvIElTSSZndDs6Ly9XT1M6MDAwMjgxODM0NjAwMDAyPC91cmw+PC9yZWxhdGVk
LXVybHM+PC91cmxzPjxlbGVjdHJvbmljLXJlc291cmNlLW51bT4xMC4xMTExL2ouMTUzOS02OTI0
LjIwMTAuMDE0MzkueDwvZWxlY3Ryb25pYy1yZXNvdXJjZS1udW0+PC9yZWNvcmQ+PC9DaXRlPjxD
aXRlPjxBdXRob3I+RXZhbnM8L0F1dGhvcj48WWVhcj4yMDE4PC9ZZWFyPjxSZWNOdW0+NDkwNDc8
L1JlY051bT48cmVjb3JkPjxyZWMtbnVtYmVyPjQ5MDQ3PC9yZWMtbnVtYmVyPjxmb3JlaWduLWtl
eXM+PGtleSBhcHA9IkVOIiBkYi1pZD0iYXd4OXJhZGRyMHh4MmhldjA1cnhyMHowNXdlZXB3cHQw
ZmV4IiB0aW1lc3RhbXA9IjE1ODE0OTczMjAiPjQ5MDQ3PC9rZXk+PC9mb3JlaWduLWtleXM+PHJl
Zi10eXBlIG5hbWU9IkpvdXJuYWwgQXJ0aWNsZSI+MTc8L3JlZi10eXBlPjxjb250cmlidXRvcnM+
PGF1dGhvcnM+PGF1dGhvcj5FdmFucywgVGhvbWFzPC9hdXRob3I+PGF1dGhvcj56dSBFcm1nYXNz
ZW4sIFBoaWxpbmU8L2F1dGhvcj48YXV0aG9yPkFtYW5vLCBUYXRzdXlhPC9hdXRob3I+PGF1dGhv
cj5QZWgsIEtlbHZpbiBTLiBILjwvYXV0aG9yPjwvYXV0aG9ycz48L2NvbnRyaWJ1dG9ycz48dGl0
bGVzPjx0aXRsZT5Eb2VzIGdvdmVybmFuY2UgcGxheSBhIHJvbGUgaW4gdGhlIGRpc3RyaWJ1dGlv
biBvZiBpbnZhc2l2ZSBhbGllbiBzcGVjaWVzPzwvdGl0bGU+PHNlY29uZGFyeS10aXRsZT5FY29s
b2d5IGFuZCBFdm9sdXRpb248L3NlY29uZGFyeS10aXRsZT48L3RpdGxlcz48cGVyaW9kaWNhbD48
ZnVsbC10aXRsZT5FY29sb2d5IGFuZCBFdm9sdXRpb248L2Z1bGwtdGl0bGU+PC9wZXJpb2RpY2Fs
PjxwYWdlcz4xOTg0LTE5OTQ8L3BhZ2VzPjx2b2x1bWU+ODwvdm9sdW1lPjxudW1iZXI+NDwvbnVt
YmVyPjxkYXRlcz48eWVhcj4yMDE4PC95ZWFyPjxwdWItZGF0ZXM+PGRhdGU+RmViPC9kYXRlPjwv
cHViLWRhdGVzPjwvZGF0ZXM+PGlzYm4+MjA0NS03NzU4PC9pc2JuPjxhY2Nlc3Npb24tbnVtPldP
UzowMDA0MjU0NjM5MDAwMDY8L2FjY2Vzc2lvbi1udW0+PHVybHM+PHJlbGF0ZWQtdXJscz48dXJs
PiZsdDtHbyB0byBJU0kmZ3Q7Oi8vV09TOjAwMDQyNTQ2MzkwMDAwNjwvdXJsPjwvcmVsYXRlZC11
cmxzPjwvdXJscz48ZWxlY3Ryb25pYy1yZXNvdXJjZS1udW0+MTAuMTAwMi9lY2UzLjM3NDQ8L2Vs
ZWN0cm9uaWMtcmVzb3VyY2UtbnVtPjwvcmVjb3JkPjwvQ2l0ZT48Q2l0ZT48QXV0aG9yPlJlZWQ8
L0F1dGhvcj48WWVhcj4yMDE1PC9ZZWFyPjxSZWNOdW0+NDkxMjE8L1JlY051bT48cmVjb3JkPjxy
ZWMtbnVtYmVyPjQ5MTIxPC9yZWMtbnVtYmVyPjxmb3JlaWduLWtleXM+PGtleSBhcHA9IkVOIiBk
Yi1pZD0iYXd4OXJhZGRyMHh4MmhldjA1cnhyMHowNXdlZXB3cHQwZmV4IiB0aW1lc3RhbXA9IjE1
ODE0OTczMjAiPjQ5MTIxPC9rZXk+PC9mb3JlaWduLWtleXM+PHJlZi10eXBlIG5hbWU9IkpvdXJu
YWwgQXJ0aWNsZSI+MTc8L3JlZi10eXBlPjxjb250cmlidXRvcnM+PGF1dGhvcnM+PGF1dGhvcj5S
ZWVkLCBNLiBTLjwvYXV0aG9yPjxhdXRob3I+Q3Vyem9uLCBSLjwvYXV0aG9yPjwvYXV0aG9ycz48
L2NvbnRyaWJ1dG9ycz48dGl0bGVzPjx0aXRsZT5TdGFrZWhvbGRlciBtYXBwaW5nIGZvciB0aGUg
Z292ZXJuYW5jZSBvZiBiaW9zZWN1cml0eTogYSBsaXRlcmF0dXJlIHJldmlldzwvdGl0bGU+PHNl
Y29uZGFyeS10aXRsZT5Kb3VybmFsIG9mIEludGVncmF0aXZlIEVudmlyb25tZW50YWwgU2NpZW5j
ZXM8L3NlY29uZGFyeS10aXRsZT48L3RpdGxlcz48cGVyaW9kaWNhbD48ZnVsbC10aXRsZT5Kb3Vy
bmFsIG9mIEludGVncmF0aXZlIEVudmlyb25tZW50YWwgU2NpZW5jZXM8L2Z1bGwtdGl0bGU+PC9w
ZXJpb2RpY2FsPjxwYWdlcz4xNS0zODwvcGFnZXM+PHZvbHVtZT4xMjwvdm9sdW1lPjxudW1iZXI+
MTwvbnVtYmVyPjxkYXRlcz48eWVhcj4yMDE1PC95ZWFyPjxwdWItZGF0ZXM+PGRhdGU+SmFuIDI8
L2RhdGU+PC9wdWItZGF0ZXM+PC9kYXRlcz48aXNibj4xOTQzLTgxNVg8L2lzYm4+PGFjY2Vzc2lv
bi1udW0+V09TOjAwMDM1MDA0NjIwMDAwMjwvYWNjZXNzaW9uLW51bT48dXJscz48cmVsYXRlZC11
cmxzPjx1cmw+Jmx0O0dvIHRvIElTSSZndDs6Ly9XT1M6MDAwMzUwMDQ2MjAwMDAyPC91cmw+PC9y
ZWxhdGVkLXVybHM+PC91cmxzPjxlbGVjdHJvbmljLXJlc291cmNlLW51bT4xMC4xMDgwLzE5NDM4
MTV4LjIwMTQuOTc1NzIzPC9lbGVjdHJvbmljLXJlc291cmNlLW51bT48L3JlY29yZD48L0NpdGU+
PC9FbmROb3RlPn==
</w:fldData>
        </w:fldChar>
      </w:r>
      <w:r w:rsidR="00C14761" w:rsidRPr="00A9434B">
        <w:rPr>
          <w:b w:val="0"/>
          <w:bCs/>
        </w:rPr>
        <w:instrText xml:space="preserve"> ADDIN EN.CITE.DATA </w:instrText>
      </w:r>
      <w:r w:rsidR="00C14761" w:rsidRPr="00A9434B">
        <w:rPr>
          <w:b w:val="0"/>
          <w:bCs/>
          <w:i/>
          <w:iCs/>
        </w:rPr>
      </w:r>
      <w:r w:rsidR="00C14761" w:rsidRPr="00A9434B">
        <w:rPr>
          <w:b w:val="0"/>
          <w:bCs/>
          <w:i/>
          <w:iCs/>
        </w:rPr>
        <w:fldChar w:fldCharType="end"/>
      </w:r>
      <w:r w:rsidR="00C14761" w:rsidRPr="00A9434B">
        <w:rPr>
          <w:b w:val="0"/>
          <w:bCs/>
          <w:i/>
          <w:iCs/>
        </w:rPr>
      </w:r>
      <w:r w:rsidR="00C14761" w:rsidRPr="00A9434B">
        <w:rPr>
          <w:b w:val="0"/>
          <w:bCs/>
          <w:i/>
          <w:iCs/>
        </w:rPr>
        <w:fldChar w:fldCharType="separate"/>
      </w:r>
      <w:r w:rsidR="008E4726" w:rsidRPr="00A9434B">
        <w:rPr>
          <w:b w:val="0"/>
          <w:bCs/>
          <w:i/>
          <w:iCs/>
        </w:rPr>
        <w:fldChar w:fldCharType="begin"/>
      </w:r>
      <w:r w:rsidR="0006613E">
        <w:rPr>
          <w:b w:val="0"/>
          <w:bCs/>
        </w:rPr>
        <w:instrText xml:space="preserve"> ADDIN ZOTERO_ITEM CSL_CITATION {"citationID":"a27q25ot526","properties":{"formattedCitation":"\\uldash{(Cook et al., 2010; Evans et al., 2018; Reed &amp; Curzon, 2015)}","plainCitation":"(Cook et al., 2010; Evans et al., 2018; Reed &amp; Curzon, 2015)","dontUpdate":true,"noteIndex":0},"citationItems":[{"id":10809,"uris":["http://zotero.org/groups/2352922/items/WCG8AH7V"],"itemData":{"id":10809,"type":"article-journal","container-title":"Risk Analysis","DOI":"10.1111/j.1539-6924.2010.01439.x","ISSN":"02724332","issue":"9","language":"en","page":"1303-1314","source":"DOI.org (Crossref)","title":"Adaptive Approaches to Biosecurity Governance","title-short":"Adaptive Approaches to Biosecurity Governance","URL":"http://doi.wiley.com/10.1111/j.1539-6924.2010.01439.x","volume":"30","author":[{"family":"Cook","given":"David C."},{"family":"Liu","given":"Shuang"},{"family":"Murphy","given":"Brendan"},{"family":"Lonsdale","given":"W. Mark"}],"accessed":{"date-parts":[["2021",5,27]]},"issued":{"date-parts":[["2010",9]]}},"label":"page"},{"id":11369,"uris":["http://zotero.org/groups/2352922/items/G6QLGHXL"],"itemData":{"id":11369,"type":"article-journal","abstract":"Invasive alien species (IAS) constitute a major threat to global biological diversity. In order to control their spread, a detailed understanding of the factors influencing their distribution is essential. Although international trade is regarded as a major force structuring spatial patterns of IAS, the role of other social factors remains unclear. Despite studies highlighting the importance of strong governance in slowing drivers of biodiversity loss such as logging, deforestation, and agricultural intensification, no study has yet analyzed its contribution to the issue of IAS. Using estimates of governance quality and comprehensive spatiotemporal IAS data, we performed multiple linear regressions to investigate the effect of governance quality upon the distribution of species listed under “100 of the worst” IAS in 38 Eurasian countries as defined by DASIE. Our model suggested that for countries with higher GDP, stronger governance was associated with a greater number of the worst IAS; in contrast, for the lowest GDP countries under analysis, stronger governance was associated with fewer of these IAS. We elucidate how the quality of governance within a country has implications for trade, tourism, transport, legislation, and economic development, all of which influence the spread of IAS. While our findings support the common assumption that strengthening governance benefits conservation interventions in countries of smaller economy, we find that this effect is not universal. Stronger governance alone cannot adequately address the problem of IAS, and targeted action is required in relatively high-GDP countries in order to stem the influx of IAS associated with high volumes of trade.","container-title":"Ecology and Evolution","DOI":"10.1002/ece3.3744","ISSN":"2045-7758","issue":"4","journalAbbreviation":"Ecol Evol","language":"en","license":"© 2017 The Authors. Ecology and Evolution published by John Wiley &amp; Sons Ltd.","page":"1984-1994","source":"Wiley Online Library","title":"Does governance play a role in the distribution of invasive alien species?","URL":"https://onlinelibrary.wiley.com/doi/abs/10.1002/ece3.3744","volume":"8","author":[{"family":"Evans","given":"Thomas"},{"family":"Ermgassen","given":"Philine","dropping-particle":"zu"},{"family":"Amano","given":"Tatsuya"},{"family":"Peh","given":"Kelvin S.-H."}],"accessed":{"date-parts":[["2019",1,7]]},"issued":{"date-parts":[["2018",1,17]]}},"label":"page"},{"id":24036,"uris":["http://zotero.org/groups/2352922/items/DABRZBE7"],"itemData":{"id":24036,"type":"article-journal","abstract":"There is an increasing recognition that greater stakeholder engagement is needed in the assessment, management and communication of risks around plant and animal health, and biosecurity issues more generally. Despite a growing number of studies considering the knowledge and actions of stakeholders in the governance of biosecurity issues, attempts to systematically identify, categorise or analyse stakeholders in this field are relatively rare. This paper therefore integrates literature from a range of disciplines to generate methodological and theoretical insights that may enable decision-makers to effectively map and analyse biosecurity stakeholders, and enable more transparent, inclusive and adaptive governance of biosecurity. The review starts by defining key terms, before discussing some of the challenges and benefits of effectively representing stakeholders in biosecurity strategies. The paper then reviews a range of theoretical approaches to stakeholder mapping, before critically analysing alternative methods for stakeholder mapping and analysis, which could be used in biosecurity interventions. These theories and methods are then discussed in relation to biosecurity governance, drawing on recent applications of stakeholder mapping in biosecurity policy and practice.","container-title":"Journal of Integrative Environmental Sciences","DOI":"10.1080/1943815X.2014.975723","ISSN":"1943-815X","issue":"1","journalAbbreviation":"Journal of Integrative Environmental Sciences","page":"15-38","source":"Taylor and Francis+NEJM","title":"Stakeholder mapping for the governance of biosecurity: a literature review","title-short":"Stakeholder mapping for the governance of biosecurity","URL":"https://doi.org/10.1080/1943815X.2014.975723","volume":"12","author":[{"family":"Reed","given":"Mark S."},{"family":"Curzon","given":"R."}],"accessed":{"date-parts":[["2020",5,7]]},"issued":{"date-parts":[["2015",1,2]]}},"label":"page"}],"schema":"https://github.com/citation-style-language/schema/raw/master/csl-citation.json"} </w:instrText>
      </w:r>
      <w:r w:rsidR="008E4726" w:rsidRPr="00A9434B">
        <w:rPr>
          <w:b w:val="0"/>
          <w:bCs/>
          <w:i/>
          <w:iCs/>
        </w:rPr>
        <w:fldChar w:fldCharType="separate"/>
      </w:r>
      <w:r w:rsidR="00AC6E28" w:rsidRPr="00A9434B">
        <w:rPr>
          <w:b w:val="0"/>
        </w:rPr>
        <w:t>(Cook et al., 2010; Evans et al., 2018; Reed &amp; Curzon, 2015</w:t>
      </w:r>
      <w:r w:rsidR="008E4726" w:rsidRPr="00A9434B">
        <w:rPr>
          <w:b w:val="0"/>
          <w:bCs/>
          <w:i/>
          <w:iCs/>
        </w:rPr>
        <w:fldChar w:fldCharType="end"/>
      </w:r>
      <w:r w:rsidR="00C14761" w:rsidRPr="00A9434B">
        <w:rPr>
          <w:b w:val="0"/>
          <w:bCs/>
          <w:i/>
          <w:iCs/>
        </w:rPr>
        <w:fldChar w:fldCharType="end"/>
      </w:r>
      <w:r w:rsidR="00982C0D" w:rsidRPr="00673554">
        <w:rPr>
          <w:b w:val="0"/>
          <w:bCs/>
          <w:iCs/>
        </w:rPr>
        <w:t>;</w:t>
      </w:r>
      <w:r w:rsidR="326765F3" w:rsidRPr="00A9434B">
        <w:rPr>
          <w:b w:val="0"/>
          <w:bCs/>
        </w:rPr>
        <w:t xml:space="preserve"> </w:t>
      </w:r>
      <w:r w:rsidR="004155A5" w:rsidRPr="00673554">
        <w:rPr>
          <w:bCs/>
          <w:iCs/>
        </w:rPr>
        <w:fldChar w:fldCharType="begin"/>
      </w:r>
      <w:r w:rsidR="004155A5" w:rsidRPr="00673554">
        <w:rPr>
          <w:bCs/>
          <w:iCs/>
        </w:rPr>
        <w:instrText xml:space="preserve"> REF _Ref104895003 \h  \* MERGEFORMAT </w:instrText>
      </w:r>
      <w:r w:rsidR="004155A5" w:rsidRPr="00673554">
        <w:rPr>
          <w:bCs/>
          <w:iCs/>
        </w:rPr>
      </w:r>
      <w:r w:rsidR="004155A5" w:rsidRPr="00673554">
        <w:rPr>
          <w:bCs/>
          <w:iCs/>
        </w:rPr>
        <w:fldChar w:fldCharType="separate"/>
      </w:r>
      <w:r w:rsidR="0011368C" w:rsidRPr="00673554">
        <w:rPr>
          <w:bCs/>
          <w:iCs/>
        </w:rPr>
        <w:t>Figure 6.7</w:t>
      </w:r>
      <w:r w:rsidR="004155A5" w:rsidRPr="00673554">
        <w:rPr>
          <w:bCs/>
          <w:iCs/>
        </w:rPr>
        <w:fldChar w:fldCharType="end"/>
      </w:r>
      <w:r w:rsidR="326765F3" w:rsidRPr="00A9434B">
        <w:rPr>
          <w:b w:val="0"/>
          <w:bCs/>
        </w:rPr>
        <w:t>). Policy models can rely too heavily on rigid, non-adaptive</w:t>
      </w:r>
      <w:r w:rsidR="388EA393" w:rsidRPr="00A9434B">
        <w:rPr>
          <w:b w:val="0"/>
          <w:bCs/>
        </w:rPr>
        <w:t>, top-down</w:t>
      </w:r>
      <w:r w:rsidR="326765F3" w:rsidRPr="00A9434B">
        <w:rPr>
          <w:b w:val="0"/>
          <w:bCs/>
        </w:rPr>
        <w:t xml:space="preserve"> approaches</w:t>
      </w:r>
      <w:r w:rsidR="1F94029E" w:rsidRPr="00A9434B">
        <w:rPr>
          <w:b w:val="0"/>
          <w:bCs/>
        </w:rPr>
        <w:t xml:space="preserve"> </w:t>
      </w:r>
      <w:r w:rsidR="008E4726" w:rsidRPr="00A9434B">
        <w:rPr>
          <w:b w:val="0"/>
          <w:bCs/>
          <w:i/>
          <w:iCs/>
        </w:rPr>
        <w:fldChar w:fldCharType="begin">
          <w:fldData xml:space="preserve">PEVuZE5vdGU+PENpdGU+PEF1dGhvcj5Db29uZXk8L0F1dGhvcj48WWVhcj4yMDA3PC9ZZWFyPjxS
ZWNOdW0+NDkxODQ8L1JlY051bT48RGlzcGxheVRleHQ+KENvb25leSBhbmQgTGFuZyAyMDA3LCBV
ZG92eWsgYW5kIEdpbGVrIDIwMTMpPC9EaXNwbGF5VGV4dD48cmVjb3JkPjxyZWMtbnVtYmVyPjQ5
MTg0PC9yZWMtbnVtYmVyPjxmb3JlaWduLWtleXM+PGtleSBhcHA9IkVOIiBkYi1pZD0iYXd4OXJh
ZGRyMHh4MmhldjA1cnhyMHowNXdlZXB3cHQwZmV4IiB0aW1lc3RhbXA9IjE1ODE0OTczMjAiPjQ5
MTg0PC9rZXk+PC9mb3JlaWduLWtleXM+PHJlZi10eXBlIG5hbWU9IkpvdXJuYWwgQXJ0aWNsZSI+
MTc8L3JlZi10eXBlPjxjb250cmlidXRvcnM+PGF1dGhvcnM+PGF1dGhvcj5Db29uZXksIFJvc2ll
PC9hdXRob3I+PGF1dGhvcj5MYW5nLCBBbmRyZXcgVC4gRi48L2F1dGhvcj48L2F1dGhvcnM+PC9j
b250cmlidXRvcnM+PHRpdGxlcz48dGl0bGU+VGFraW5nIHVuY2VydGFpbnR5IHNlcmlvdXNseTog
QWRhcHRpdmUgZ292ZXJuYW5jZSBhbmQgaW50ZXJuYXRpb25hbCB0cmFkZTwvdGl0bGU+PHNlY29u
ZGFyeS10aXRsZT5FdXJvcGVhbiBKb3VybmFsIG9mIEludGVybmF0aW9uYWwgTGF3PC9zZWNvbmRh
cnktdGl0bGU+PC90aXRsZXM+PHBlcmlvZGljYWw+PGZ1bGwtdGl0bGU+RXVyb3BlYW4gam91cm5h
bCBvZiBpbnRlcm5hdGlvbmFsIGxhdzwvZnVsbC10aXRsZT48YWJici0xPkV1ci4gSi4gSW50LiBM
YXc8L2FiYnItMT48YWJici0yPkV1ciBKIEludCBMYXc8L2FiYnItMj48L3BlcmlvZGljYWw+PHBh
Z2VzPjUyMy01NTE8L3BhZ2VzPjx2b2x1bWU+MTg8L3ZvbHVtZT48bnVtYmVyPjM8L251bWJlcj48
ZGF0ZXM+PHllYXI+MjAwNzwveWVhcj48cHViLWRhdGVzPjxkYXRlPkp1bjwvZGF0ZT48L3B1Yi1k
YXRlcz48L2RhdGVzPjxpc2JuPjA5MzgtNTQyODwvaXNibj48YWNjZXNzaW9uLW51bT5XT1M6MDAw
MjUxMTY2ODAwMDA2PC9hY2Nlc3Npb24tbnVtPjx1cmxzPjxyZWxhdGVkLXVybHM+PHVybD4mbHQ7
R28gdG8gSVNJJmd0OzovL1dPUzowMDAyNTExNjY4MDAwMDY8L3VybD48L3JlbGF0ZWQtdXJscz48
L3VybHM+PGVsZWN0cm9uaWMtcmVzb3VyY2UtbnVtPjEwLjEwOTMvZWppbC9jaG0wMzA8L2VsZWN0
cm9uaWMtcmVzb3VyY2UtbnVtPjwvcmVjb3JkPjwvQ2l0ZT48Q2l0ZT48QXV0aG9yPlVkb3Z5azwv
QXV0aG9yPjxZZWFyPjIwMTM8L1llYXI+PFJlY051bT40OTE0MTwvUmVjTnVtPjxyZWNvcmQ+PHJl
Yy1udW1iZXI+NDkxNDE8L3JlYy1udW1iZXI+PGZvcmVpZ24ta2V5cz48a2V5IGFwcD0iRU4iIGRi
LWlkPSJhd3g5cmFkZHIweHgyaGV2MDVyeHIwejA1d2VlcHdwdDBmZXgiIHRpbWVzdGFtcD0iMTU4
MTQ5NzMyMCI+NDkxNDE8L2tleT48L2ZvcmVpZ24ta2V5cz48cmVmLXR5cGUgbmFtZT0iSm91cm5h
bCBBcnRpY2xlIj4xNzwvcmVmLXR5cGU+PGNvbnRyaWJ1dG9ycz48YXV0aG9ycz48YXV0aG9yPlVk
b3Z5aywgT2tzYW5hPC9hdXRob3I+PGF1dGhvcj5HaWxlaywgTWljaGFlbDwvYXV0aG9yPjwvYXV0
aG9ycz48L2NvbnRyaWJ1dG9ycz48dGl0bGVzPjx0aXRsZT5Db3Bpbmcgd2l0aCB1bmNlcnRhaW50
aWVzIGluIHNjaWVuY2UtYmFzZWQgYWR2aWNlIGluZm9ybWluZyBlbnZpcm9ubWVudGFsIG1hbmFn
ZW1lbnQgb2YgdGhlIEJhbHRpYyBTZWE8L3RpdGxlPjxzZWNvbmRhcnktdGl0bGU+RW52aXJvbm1l
bnRhbCBTY2llbmNlICZhbXA7IFBvbGljeTwvc2Vjb25kYXJ5LXRpdGxlPjwvdGl0bGVzPjxwZXJp
b2RpY2FsPjxmdWxsLXRpdGxlPkVudmlyb25tZW50YWwgU2NpZW5jZSAmYW1wOyBQb2xpY3k8L2Z1
bGwtdGl0bGU+PC9wZXJpb2RpY2FsPjxwYWdlcz4xMi0yMzwvcGFnZXM+PHZvbHVtZT4yOTwvdm9s
dW1lPjxkYXRlcz48eWVhcj4yMDEzPC95ZWFyPjxwdWItZGF0ZXM+PGRhdGU+TWF5PC9kYXRlPjwv
cHViLWRhdGVzPjwvZGF0ZXM+PGlzYm4+MTQ2Mi05MDExPC9pc2JuPjxhY2Nlc3Npb24tbnVtPldP
UzowMDAzMTg3NTQ5MDAwMDI8L2FjY2Vzc2lvbi1udW0+PHVybHM+PHJlbGF0ZWQtdXJscz48dXJs
PiZsdDtHbyB0byBJU0kmZ3Q7Oi8vV09TOjAwMDMxODc1NDkwMDAwMjwvdXJsPjwvcmVsYXRlZC11
cmxzPjwvdXJscz48ZWxlY3Ryb25pYy1yZXNvdXJjZS1udW0+MTAuMTAxNi9qLmVudnNjaS4yMDEz
LjAxLjAxNTwvZWxlY3Ryb25pYy1yZXNvdXJjZS1udW0+PC9yZWNvcmQ+PC9DaXRlPjwvRW5kTm90
ZT4A
</w:fldData>
        </w:fldChar>
      </w:r>
      <w:r w:rsidR="008E4726" w:rsidRPr="00A9434B">
        <w:rPr>
          <w:b w:val="0"/>
          <w:bCs/>
        </w:rPr>
        <w:instrText xml:space="preserve"> ADDIN EN.CITE </w:instrText>
      </w:r>
      <w:r w:rsidR="008E4726" w:rsidRPr="00A9434B">
        <w:rPr>
          <w:b w:val="0"/>
          <w:bCs/>
          <w:i/>
          <w:iCs/>
        </w:rPr>
        <w:fldChar w:fldCharType="begin">
          <w:fldData xml:space="preserve">PEVuZE5vdGU+PENpdGU+PEF1dGhvcj5Db29uZXk8L0F1dGhvcj48WWVhcj4yMDA3PC9ZZWFyPjxS
ZWNOdW0+NDkxODQ8L1JlY051bT48RGlzcGxheVRleHQ+KENvb25leSBhbmQgTGFuZyAyMDA3LCBV
ZG92eWsgYW5kIEdpbGVrIDIwMTMpPC9EaXNwbGF5VGV4dD48cmVjb3JkPjxyZWMtbnVtYmVyPjQ5
MTg0PC9yZWMtbnVtYmVyPjxmb3JlaWduLWtleXM+PGtleSBhcHA9IkVOIiBkYi1pZD0iYXd4OXJh
ZGRyMHh4MmhldjA1cnhyMHowNXdlZXB3cHQwZmV4IiB0aW1lc3RhbXA9IjE1ODE0OTczMjAiPjQ5
MTg0PC9rZXk+PC9mb3JlaWduLWtleXM+PHJlZi10eXBlIG5hbWU9IkpvdXJuYWwgQXJ0aWNsZSI+
MTc8L3JlZi10eXBlPjxjb250cmlidXRvcnM+PGF1dGhvcnM+PGF1dGhvcj5Db29uZXksIFJvc2ll
PC9hdXRob3I+PGF1dGhvcj5MYW5nLCBBbmRyZXcgVC4gRi48L2F1dGhvcj48L2F1dGhvcnM+PC9j
b250cmlidXRvcnM+PHRpdGxlcz48dGl0bGU+VGFraW5nIHVuY2VydGFpbnR5IHNlcmlvdXNseTog
QWRhcHRpdmUgZ292ZXJuYW5jZSBhbmQgaW50ZXJuYXRpb25hbCB0cmFkZTwvdGl0bGU+PHNlY29u
ZGFyeS10aXRsZT5FdXJvcGVhbiBKb3VybmFsIG9mIEludGVybmF0aW9uYWwgTGF3PC9zZWNvbmRh
cnktdGl0bGU+PC90aXRsZXM+PHBlcmlvZGljYWw+PGZ1bGwtdGl0bGU+RXVyb3BlYW4gam91cm5h
bCBvZiBpbnRlcm5hdGlvbmFsIGxhdzwvZnVsbC10aXRsZT48YWJici0xPkV1ci4gSi4gSW50LiBM
YXc8L2FiYnItMT48YWJici0yPkV1ciBKIEludCBMYXc8L2FiYnItMj48L3BlcmlvZGljYWw+PHBh
Z2VzPjUyMy01NTE8L3BhZ2VzPjx2b2x1bWU+MTg8L3ZvbHVtZT48bnVtYmVyPjM8L251bWJlcj48
ZGF0ZXM+PHllYXI+MjAwNzwveWVhcj48cHViLWRhdGVzPjxkYXRlPkp1bjwvZGF0ZT48L3B1Yi1k
YXRlcz48L2RhdGVzPjxpc2JuPjA5MzgtNTQyODwvaXNibj48YWNjZXNzaW9uLW51bT5XT1M6MDAw
MjUxMTY2ODAwMDA2PC9hY2Nlc3Npb24tbnVtPjx1cmxzPjxyZWxhdGVkLXVybHM+PHVybD4mbHQ7
R28gdG8gSVNJJmd0OzovL1dPUzowMDAyNTExNjY4MDAwMDY8L3VybD48L3JlbGF0ZWQtdXJscz48
L3VybHM+PGVsZWN0cm9uaWMtcmVzb3VyY2UtbnVtPjEwLjEwOTMvZWppbC9jaG0wMzA8L2VsZWN0
cm9uaWMtcmVzb3VyY2UtbnVtPjwvcmVjb3JkPjwvQ2l0ZT48Q2l0ZT48QXV0aG9yPlVkb3Z5azwv
QXV0aG9yPjxZZWFyPjIwMTM8L1llYXI+PFJlY051bT40OTE0MTwvUmVjTnVtPjxyZWNvcmQ+PHJl
Yy1udW1iZXI+NDkxNDE8L3JlYy1udW1iZXI+PGZvcmVpZ24ta2V5cz48a2V5IGFwcD0iRU4iIGRi
LWlkPSJhd3g5cmFkZHIweHgyaGV2MDVyeHIwejA1d2VlcHdwdDBmZXgiIHRpbWVzdGFtcD0iMTU4
MTQ5NzMyMCI+NDkxNDE8L2tleT48L2ZvcmVpZ24ta2V5cz48cmVmLXR5cGUgbmFtZT0iSm91cm5h
bCBBcnRpY2xlIj4xNzwvcmVmLXR5cGU+PGNvbnRyaWJ1dG9ycz48YXV0aG9ycz48YXV0aG9yPlVk
b3Z5aywgT2tzYW5hPC9hdXRob3I+PGF1dGhvcj5HaWxlaywgTWljaGFlbDwvYXV0aG9yPjwvYXV0
aG9ycz48L2NvbnRyaWJ1dG9ycz48dGl0bGVzPjx0aXRsZT5Db3Bpbmcgd2l0aCB1bmNlcnRhaW50
aWVzIGluIHNjaWVuY2UtYmFzZWQgYWR2aWNlIGluZm9ybWluZyBlbnZpcm9ubWVudGFsIG1hbmFn
ZW1lbnQgb2YgdGhlIEJhbHRpYyBTZWE8L3RpdGxlPjxzZWNvbmRhcnktdGl0bGU+RW52aXJvbm1l
bnRhbCBTY2llbmNlICZhbXA7IFBvbGljeTwvc2Vjb25kYXJ5LXRpdGxlPjwvdGl0bGVzPjxwZXJp
b2RpY2FsPjxmdWxsLXRpdGxlPkVudmlyb25tZW50YWwgU2NpZW5jZSAmYW1wOyBQb2xpY3k8L2Z1
bGwtdGl0bGU+PC9wZXJpb2RpY2FsPjxwYWdlcz4xMi0yMzwvcGFnZXM+PHZvbHVtZT4yOTwvdm9s
dW1lPjxkYXRlcz48eWVhcj4yMDEzPC95ZWFyPjxwdWItZGF0ZXM+PGRhdGU+TWF5PC9kYXRlPjwv
cHViLWRhdGVzPjwvZGF0ZXM+PGlzYm4+MTQ2Mi05MDExPC9pc2JuPjxhY2Nlc3Npb24tbnVtPldP
UzowMDAzMTg3NTQ5MDAwMDI8L2FjY2Vzc2lvbi1udW0+PHVybHM+PHJlbGF0ZWQtdXJscz48dXJs
PiZsdDtHbyB0byBJU0kmZ3Q7Oi8vV09TOjAwMDMxODc1NDkwMDAwMjwvdXJsPjwvcmVsYXRlZC11
cmxzPjwvdXJscz48ZWxlY3Ryb25pYy1yZXNvdXJjZS1udW0+MTAuMTAxNi9qLmVudnNjaS4yMDEz
LjAxLjAxNTwvZWxlY3Ryb25pYy1yZXNvdXJjZS1udW0+PC9yZWNvcmQ+PC9DaXRlPjwvRW5kTm90
ZT4A
</w:fldData>
        </w:fldChar>
      </w:r>
      <w:r w:rsidR="008E4726" w:rsidRPr="00A9434B">
        <w:rPr>
          <w:b w:val="0"/>
          <w:bCs/>
        </w:rPr>
        <w:instrText xml:space="preserve"> ADDIN EN.CITE.DATA </w:instrText>
      </w:r>
      <w:r w:rsidR="008E4726" w:rsidRPr="00A9434B">
        <w:rPr>
          <w:b w:val="0"/>
          <w:bCs/>
          <w:i/>
          <w:iCs/>
        </w:rPr>
      </w:r>
      <w:r w:rsidR="008E4726" w:rsidRPr="00A9434B">
        <w:rPr>
          <w:b w:val="0"/>
          <w:bCs/>
          <w:i/>
          <w:iCs/>
        </w:rPr>
        <w:fldChar w:fldCharType="end"/>
      </w:r>
      <w:r w:rsidR="008E4726" w:rsidRPr="00A9434B">
        <w:rPr>
          <w:b w:val="0"/>
          <w:bCs/>
          <w:i/>
          <w:iCs/>
        </w:rPr>
      </w:r>
      <w:r w:rsidR="008E4726" w:rsidRPr="00A9434B">
        <w:rPr>
          <w:b w:val="0"/>
          <w:bCs/>
          <w:i/>
          <w:iCs/>
        </w:rPr>
        <w:fldChar w:fldCharType="separate"/>
      </w:r>
      <w:r w:rsidR="008E4726" w:rsidRPr="00A9434B">
        <w:rPr>
          <w:b w:val="0"/>
          <w:bCs/>
          <w:i/>
          <w:iCs/>
        </w:rPr>
        <w:fldChar w:fldCharType="begin"/>
      </w:r>
      <w:r w:rsidR="0006613E">
        <w:rPr>
          <w:b w:val="0"/>
          <w:bCs/>
        </w:rPr>
        <w:instrText xml:space="preserve"> ADDIN ZOTERO_ITEM CSL_CITATION {"citationID":"a18tuov154j","properties":{"formattedCitation":"(Cooney &amp; Lang, 2007)","plainCitation":"(Cooney &amp; Lang, 2007)","noteIndex":0},"citationItems":[{"id":23953,"uris":["http://zotero.org/groups/2352922/items/LNEIC2ZH"],"itemData":{"id":23953,"type":"article-journal","abstract":"Abstract.  The problem of uncertainty presents a major challenge for institutions of international governance. In this article we draw lessons from a variety of","container-title":"European journal of international law","DOI":"10.1093/ejil/chm030","ISSN":"0938-5428","issue":"3","journalAbbreviation":"Eur. J. Int. Law","language":"en","page":"523-551","source":"academic.oup.com","title":"Taking uncertainty seriously: Adaptive governance and international trade","title-short":"Taking Uncertainty Seriously","URL":"https://academic.oup.com/ejil/article/18/3/523/363613","volume":"18","author":[{"family":"Cooney","given":"Rosie"},{"family":"Lang","given":"Andrew T. F."}],"accessed":{"date-parts":[["2019",10,21]]},"issued":{"date-parts":[["2007",6]]}},"label":"page"}],"schema":"https://github.com/citation-style-language/schema/raw/master/csl-citation.json"} </w:instrText>
      </w:r>
      <w:r w:rsidR="008E4726" w:rsidRPr="00A9434B">
        <w:rPr>
          <w:b w:val="0"/>
          <w:bCs/>
          <w:i/>
          <w:iCs/>
        </w:rPr>
        <w:fldChar w:fldCharType="separate"/>
      </w:r>
      <w:r w:rsidR="00C71E80" w:rsidRPr="00A9434B">
        <w:rPr>
          <w:b w:val="0"/>
          <w:bCs/>
        </w:rPr>
        <w:t>(Cooney &amp; Lang, 2007)</w:t>
      </w:r>
      <w:r w:rsidR="008E4726" w:rsidRPr="00A9434B">
        <w:rPr>
          <w:b w:val="0"/>
          <w:bCs/>
          <w:i/>
          <w:iCs/>
        </w:rPr>
        <w:fldChar w:fldCharType="end"/>
      </w:r>
      <w:r w:rsidR="008E4726" w:rsidRPr="00A9434B">
        <w:rPr>
          <w:b w:val="0"/>
          <w:bCs/>
          <w:i/>
          <w:iCs/>
        </w:rPr>
        <w:fldChar w:fldCharType="end"/>
      </w:r>
      <w:r w:rsidR="1F94029E" w:rsidRPr="00A9434B">
        <w:rPr>
          <w:b w:val="0"/>
          <w:bCs/>
        </w:rPr>
        <w:t>.</w:t>
      </w:r>
      <w:r w:rsidR="326765F3" w:rsidRPr="00A9434B">
        <w:rPr>
          <w:b w:val="0"/>
          <w:bCs/>
        </w:rPr>
        <w:t xml:space="preserve"> Hierarchical governance can be slow, </w:t>
      </w:r>
      <w:r w:rsidR="601C36A9" w:rsidRPr="00A9434B">
        <w:rPr>
          <w:b w:val="0"/>
          <w:bCs/>
        </w:rPr>
        <w:t>culturally</w:t>
      </w:r>
      <w:r w:rsidR="326765F3" w:rsidRPr="00A9434B">
        <w:rPr>
          <w:b w:val="0"/>
          <w:bCs/>
        </w:rPr>
        <w:t xml:space="preserve"> inappropriate, and not in step with </w:t>
      </w:r>
      <w:r w:rsidR="34758F8C" w:rsidRPr="00A9434B">
        <w:rPr>
          <w:b w:val="0"/>
          <w:bCs/>
        </w:rPr>
        <w:t xml:space="preserve">the </w:t>
      </w:r>
      <w:r w:rsidR="326765F3" w:rsidRPr="00A9434B">
        <w:rPr>
          <w:b w:val="0"/>
          <w:bCs/>
        </w:rPr>
        <w:t>latest technological developments or scientific understanding</w:t>
      </w:r>
      <w:r w:rsidR="003AB41A" w:rsidRPr="0037768C">
        <w:rPr>
          <w:b w:val="0"/>
          <w:bCs/>
        </w:rPr>
        <w:t xml:space="preserve"> </w:t>
      </w:r>
      <w:r w:rsidR="00F85C7E" w:rsidRPr="00C27DCE">
        <w:rPr>
          <w:b w:val="0"/>
          <w:bCs/>
          <w:i/>
          <w:iCs/>
        </w:rPr>
        <w:fldChar w:fldCharType="begin"/>
      </w:r>
      <w:r w:rsidR="0014002B">
        <w:rPr>
          <w:b w:val="0"/>
          <w:bCs/>
        </w:rPr>
        <w:instrText xml:space="preserve"> ADDIN ZOTERO_ITEM CSL_CITATION {"citationID":"an72o91rc5","properties":{"formattedCitation":"(Barnhill-Dilling et al., 2019; Bostr\\uc0\\u246{}m et al., 2016; Head &amp; Atchison, 2015; Hughes &amp; Convey, 2014; Trump et al., 2018)","plainCitation":"(Barnhill-Dilling et al., 2019; Boström et al., 2016; Head &amp; Atchison, 2015; Hughes &amp; Convey, 2014; Trump et al., 2018)","noteIndex":0},"citationItems":[{"id":11516,"uris":["http://zotero.org/groups/2352922/items/Y5JDKBQE"],"itemData":{"id":11516,"type":"article-journal","abstract":"Gene drives represent a dynamic and controversial set of technologies with applications that range from mosquito control to the conservation of biological diversity on islands. Currently, gene drives are being developed in mice that may one day serve as an important tool for reducing invasive rodent pests, a key threat to island biodiversity and economies. Gene drives in mice are still in development in laboratories, and wild release of modified mice is likely a distant reality. However, technological changes outpace the existing capacity of regulatory frameworks, and thus require integrated governance frameworks. We suggest sustainability-which gives equal consideration to the environment, economy, and society-as one framework for addressing complexity and uncertainty in the governance of emerging gene drive technologies for invasive species management. We explore the impacts of rodent gene drives on island environments, including potential conservation and restoration of island biodiversity. We outline considerations for rodent gene drives on island economies, including impacts on agricultural and tourism losses, and reductions in biosecurity costs. Finally, we address the social dimension as an essential space for deliberation that will be integral to evaluating the potential deployment of gene drive rodents on islands. © 2019 by the authors.","container-title":"Sustainability","DOI":"10.3390/su11051334","issue":"5","page":"1334","title":"Sustainability as a framework for considering gene drive mice for invasive rodent eradication","URL":"https://www.scopus.com/inward/record.uri?eid=2-s2.0-85062831026&amp;doi=10.3390%2fsu11051334&amp;partnerID=40&amp;md5=750cea28316b86ae9f0742e159eab4ef","volume":"11","author":[{"family":"Barnhill-Dilling","given":"S.K."},{"family":"Serr","given":"M."},{"family":"Blondel","given":"D.V."},{"family":"Godwin","given":"J."}],"issued":{"date-parts":[["2019"]]}},"label":"page"},{"id":11493,"uris":["http://zotero.org/groups/2352922/items/3P28L9PQ"],"itemData":{"id":11493,"type":"chapter","collection-title":"MARE Publication Series","container-title":"Environmental Governance of the Baltic Sea","event-place":"Cham","ISBN":"978-3-319-27006-7","note":"DOI: 10.1007/978-3-319-27006-7_7","page":"149-172","publisher":"Springer","publisher-place":"Cham","title":"The Ecosystem Approach to Management in Baltic Sea Governance: Towards Increased Reflexivity?","volume":"10","author":[{"family":"Boström","given":"Magnus"},{"family":"Grönholm","given":"Sam"},{"family":"Hassler","given":"Björn"}],"editor":[{"family":"Gilek","given":"M."},{"family":"Karlsson","given":"M."},{"family":"Linke","given":"S."},{"family":"Smolarz","given":"K."}],"issued":{"date-parts":[["2016"]]}},"label":"page"},{"id":24833,"uris":["http://zotero.org/groups/2352922/items/DZX63VUY"],"itemData":{"id":24833,"type":"article-journal","abstract":"Predicted nonlinear changes in the Anthropocene will challenge the extent to which environmental issues are governable. Climate change projections highlight positive feedbacks between invasive species spread and increased bushﬁre risk. We use empirical evidence of current practices of invasive plant management, and the case of Gamba grass (Andropogon gayanus), to illustrate what it means to live with invasive plants. Gamba is a signiﬁcant threat to tropical savanna biodiversity through its inﬂuence on ﬁre regimes across northern Australia. We analyse the practices of Gamba governance via policy analysis, interviews with over 50 managers and participant observation. Our results show the multiple ways in which Gamba exceeds and escapes governance, exposing the impossibility and risks of absolute control as a management framing. By attending to practice in this way, we show how an alternative framing, in which living with weeds is a more explicit part of the governance framework, can work. Our framing contributes to more effective management because political choices are made more transparent, valorises pragmatic knowledge about the messy reality of living with weeds, and mobilises a broader range of resources including land managers now resistant to the state. The Gamba-ﬁre assemblage has mobilised political action by invoking ﬁre policy rather than weed policy, but not necessarily in a way consistent with best practice weed management. Attention to these practices of vernacular governance not only shows the ideal of present control to be illusory, but will also provide important cultural resources in the form of networks and capacity, as the challenges of invasive species shift and intensify.","container-title":"Land Use Policy","DOI":"10.1016/j.landusepol.2015.04.009","ISSN":"02648377","journalAbbreviation":"Land Use Policy","language":"en","page":"225-234","source":"DOI.org (Crossref)","title":"Governing invasive plants: Policy and practice in managing the Gamba grass (&lt;i&gt;Andropogon gayanus&lt;/i&gt;) – Bushfire nexus in northern Australia","title-short":"Governing invasive plants","URL":"https://linkinghub.elsevier.com/retrieve/pii/S0264837715001088","volume":"47","author":[{"family":"Head","given":"Lesley"},{"family":"Atchison","given":"Jennifer"}],"accessed":{"date-parts":[["2019",11,6]]},"issued":{"date-parts":[["2015",9]]}},"label":"page"},{"id":11466,"uris":["http://zotero.org/groups/2352922/items/FA7VBVI5"],"itemData":{"id":11466,"type":"article-journal","abstract":"The introduction of non-native species to Antarctica in association with human activities is a major threat to indigenous biodiversity and the region’s unique ecosystems, as has been well-demonstrated in other ecosystems globally. Existing legislation contained in the Protocol on Environmental Protection to the Antarctic Treaty does not specifically make the eradication of non-native species mandatory, although it is implicit that human-assisted introductions should not take place. Furthermore, to date, eradications of non-native species in the Treaty area have been infrequent and slow to progress. In 2005 an additional Annex (VI) to the Protocol was agreed concerning ‘‘Liability arising from environmental emergencies.’’ This annex focusses on prevention of environmental emergencies, contingency planning and reclaiming costs incurred when responding to an environmental emergency caused by another operator within the Antarctic Treaty area. However, the types of environmental emergencies covered by the annex are not defined. In this paper we highlight potential difficulties with the application of Annex VI in the context of non-native species control and eradication, including, for example, whether a non-native species introduction would be classified as an ‘‘environmental emergency’’ and therefore be considered under the terms of the annex. Even if this were the case, we conclude that the slow pace of approval of the annex by Antarctic Treaty Parties may prevent it coming into force for many years and, once in force, in its current form it is unlikely to be useful for reclaiming costs associated with the eradication or management of a non-native species.","container-title":"Polar Research","DOI":"10.3402/polar.v33.22103","ISSN":"1751-8369","issue":"1","journalAbbreviation":"Polar Research","language":"en","page":"22103","source":"DOI.org (Crossref)","title":"Alien invasions in Antarctica-is anyone liable?","URL":"https://polarresearch.net/index.php/polar/article/view/3191","volume":"33","author":[{"family":"Hughes","given":"Kevin A."},{"family":"Convey","given":"Peter"}],"accessed":{"date-parts":[["2019",10,21]]},"issued":{"date-parts":[["2014",1]]}},"label":"page"},{"id":11381,"uris":["http://zotero.org/groups/2352922/items/GL83G32Z"],"itemData":{"id":11381,"type":"article-journal","abstract":"Synthetic biology has the potential for a broad array of applications. However, realization of this potential is challenged by the paucity of relevant data for conventional risk assessment protocols, a limitation due to to the relative nascence of the field, as well as the poorly characterized and prioritized hazard, exposure, and dose–response considerations associated with the development and use of synthetic biology-derived organisms. Where quantitative risk assessment approaches are necessarily to fulfill regulatory requirements for review of products containing genetically modified organisms, this paper reviews one potential avenue for early-stage quantitative risk assessment for biosafety considerations of synthetic biology organism deployment into the environment. Building from discussion from a March 2018 US Army Engineer Research and Development Center workshop on developing such quantitative risk assessment for synthetic biology, this paper reviews the findings and discussion of workshop participants. This paper concludes that, while synthetic biology risk assessment and governance will continue to refine and develop in the coming years, a quantitative framework that builds from existing practice is one potentially beneficial option for risk assessors that must contend with the technology’s limited hazard characterization or exposure assessment considerations in the near term. © 2018, This is a U.S. Government work and not under copyright protection in the US; foreign copyright protection may apply.","container-title":"Environment Systems &amp; Decisions","DOI":"10.1007/s10669-018-9710-9","ISSN":"2194-5403","issue":"4","page":"517-527","title":"Development of community of practice to support quantitative risk assessment for synthetic biology products: contaminant bioremediation and invasive carp control as cases","URL":"https://www.scopus.com/inward/record.uri?eid=2-s2.0-85056081397&amp;doi=10.1007%2fs10669-018-9710-9&amp;partnerID=40&amp;md5=e9cfd1a868bdb44401ccddb2fe4cea4e","volume":"38","author":[{"family":"Trump","given":"Benjamin D."},{"family":"Foran","given":"Christy"},{"family":"Rycroft","given":"Taylor"},{"family":"Wood","given":"Matthew D."},{"family":"Bandolin","given":"Nirzwan"},{"family":"Cains","given":"Mariana"},{"family":"Cary","given":"Timothy"},{"family":"Crocker","given":"Fiona"},{"family":"Friedenberg","given":"Nicholas A."},{"family":"Gurian","given":"Patrick"},{"family":"Hamilton","given":"Kerry"},{"family":"Hoover","given":"Jan Jeffrey"},{"family":"Meyer","given":"Corey"},{"family":"Pokrzywinski","given":"Kaytee"},{"family":"Ritterson","given":"Ryan"},{"family":"Schulte","given":"Paul"},{"family":"Warner","given":"Christopher"},{"family":"Perkins","given":"Edward"},{"family":"Linkov","given":"Igor"}],"issued":{"date-parts":[["2018",12]]}},"label":"page"}],"schema":"https://github.com/citation-style-language/schema/raw/master/csl-citation.json"} </w:instrText>
      </w:r>
      <w:r w:rsidR="00F85C7E" w:rsidRPr="00C27DCE">
        <w:rPr>
          <w:b w:val="0"/>
          <w:bCs/>
          <w:i/>
          <w:iCs/>
        </w:rPr>
        <w:fldChar w:fldCharType="separate"/>
      </w:r>
      <w:r w:rsidR="0014002B" w:rsidRPr="0014002B">
        <w:t>(Barnhill-Dilling et al., 2019; Boström et al., 2016; Head &amp; Atchison, 2015; Hughes &amp; Convey, 2014; Trump et al., 2018)</w:t>
      </w:r>
      <w:r w:rsidR="00F85C7E" w:rsidRPr="00C27DCE">
        <w:rPr>
          <w:b w:val="0"/>
          <w:bCs/>
          <w:i/>
          <w:iCs/>
        </w:rPr>
        <w:fldChar w:fldCharType="end"/>
      </w:r>
      <w:r w:rsidR="326765F3" w:rsidRPr="00C27DCE">
        <w:rPr>
          <w:b w:val="0"/>
          <w:bCs/>
        </w:rPr>
        <w:t>.</w:t>
      </w:r>
      <w:r w:rsidR="326765F3" w:rsidRPr="0037768C">
        <w:rPr>
          <w:b w:val="0"/>
          <w:bCs/>
        </w:rPr>
        <w:t xml:space="preserve"> </w:t>
      </w:r>
      <w:r w:rsidR="326765F3" w:rsidRPr="00A9434B">
        <w:rPr>
          <w:b w:val="0"/>
          <w:bCs/>
        </w:rPr>
        <w:t xml:space="preserve">Invasive alien species differ in key ways from other </w:t>
      </w:r>
      <w:r w:rsidR="00B72F94" w:rsidRPr="00A9434B">
        <w:rPr>
          <w:b w:val="0"/>
          <w:bCs/>
        </w:rPr>
        <w:t>drivers of change</w:t>
      </w:r>
      <w:r w:rsidR="00C73655">
        <w:rPr>
          <w:b w:val="0"/>
          <w:bCs/>
        </w:rPr>
        <w:t xml:space="preserve"> in nature</w:t>
      </w:r>
      <w:r w:rsidR="004859BD" w:rsidRPr="00A9434B">
        <w:rPr>
          <w:b w:val="0"/>
          <w:bCs/>
        </w:rPr>
        <w:t>;</w:t>
      </w:r>
      <w:r w:rsidR="65086D2F" w:rsidRPr="00A9434B">
        <w:rPr>
          <w:b w:val="0"/>
          <w:bCs/>
        </w:rPr>
        <w:t xml:space="preserve"> </w:t>
      </w:r>
      <w:r w:rsidR="0AD72B4F" w:rsidRPr="00A9434B">
        <w:rPr>
          <w:b w:val="0"/>
          <w:bCs/>
        </w:rPr>
        <w:t xml:space="preserve">for example, </w:t>
      </w:r>
      <w:r w:rsidR="326765F3" w:rsidRPr="00A9434B">
        <w:rPr>
          <w:b w:val="0"/>
          <w:bCs/>
        </w:rPr>
        <w:t xml:space="preserve">a strong precautionary approach </w:t>
      </w:r>
      <w:r w:rsidR="00F806B6" w:rsidRPr="00A9434B">
        <w:rPr>
          <w:b w:val="0"/>
          <w:bCs/>
        </w:rPr>
        <w:t>(</w:t>
      </w:r>
      <w:r w:rsidR="0037768C">
        <w:rPr>
          <w:bCs/>
          <w:iCs/>
        </w:rPr>
        <w:t>G</w:t>
      </w:r>
      <w:r w:rsidR="00A11B29" w:rsidRPr="00673554">
        <w:rPr>
          <w:bCs/>
          <w:iCs/>
        </w:rPr>
        <w:t>lossary</w:t>
      </w:r>
      <w:r w:rsidR="00A11B29" w:rsidRPr="00A9434B">
        <w:rPr>
          <w:b w:val="0"/>
          <w:bCs/>
        </w:rPr>
        <w:t xml:space="preserve">) </w:t>
      </w:r>
      <w:r w:rsidR="326765F3" w:rsidRPr="00A9434B">
        <w:rPr>
          <w:b w:val="0"/>
          <w:bCs/>
        </w:rPr>
        <w:t>that is often not enabled by traditional governance approaches</w:t>
      </w:r>
      <w:r w:rsidR="65086D2F" w:rsidRPr="00A9434B">
        <w:rPr>
          <w:b w:val="0"/>
          <w:bCs/>
        </w:rPr>
        <w:t xml:space="preserve"> is </w:t>
      </w:r>
      <w:r w:rsidR="004859BD" w:rsidRPr="00A9434B">
        <w:rPr>
          <w:b w:val="0"/>
          <w:bCs/>
        </w:rPr>
        <w:t>crucial</w:t>
      </w:r>
      <w:r w:rsidR="326765F3" w:rsidRPr="00A9434B">
        <w:rPr>
          <w:b w:val="0"/>
          <w:bCs/>
        </w:rPr>
        <w:t xml:space="preserve"> </w:t>
      </w:r>
      <w:r w:rsidR="00E41FA1" w:rsidRPr="00A9434B">
        <w:rPr>
          <w:b w:val="0"/>
          <w:bCs/>
          <w:i/>
          <w:iCs/>
        </w:rPr>
        <w:fldChar w:fldCharType="begin">
          <w:fldData xml:space="preserve">PEVuZE5vdGU+PENpdGU+PEF1dGhvcj5Db29rPC9BdXRob3I+PFllYXI+MjAxMDwvWWVhcj48UmVj
TnVtPjQ5MTcwPC9SZWNOdW0+PERpc3BsYXlUZXh0PihDb29rLCBMaXUgZXQgYWwuIDIwMTAsIFJl
ZWQgYW5kIEN1cnpvbiAyMDE1LCBFdmFucywgenUgRXJtZ2Fzc2VuIGV0IGFsLiAyMDE4KTwvRGlz
cGxheVRleHQ+PHJlY29yZD48cmVjLW51bWJlcj40OTE3MDwvcmVjLW51bWJlcj48Zm9yZWlnbi1r
ZXlzPjxrZXkgYXBwPSJFTiIgZGItaWQ9ImF3eDlyYWRkcjB4eDJoZXYwNXJ4cjB6MDV3ZWVwd3B0
MGZleCIgdGltZXN0YW1wPSIxNTgxNDk3MzIwIj40OTE3MDwva2V5PjwvZm9yZWlnbi1rZXlzPjxy
ZWYtdHlwZSBuYW1lPSJKb3VybmFsIEFydGljbGUiPjE3PC9yZWYtdHlwZT48Y29udHJpYnV0b3Jz
PjxhdXRob3JzPjxhdXRob3I+Q29vaywgRGF2aWQgQy48L2F1dGhvcj48YXV0aG9yPkxpdSwgU2h1
YW5nPC9hdXRob3I+PGF1dGhvcj5NdXJwaHksIEJyZW5kYW48L2F1dGhvcj48YXV0aG9yPkxvbnNk
YWxlLCBXLiBNYXJrPC9hdXRob3I+PC9hdXRob3JzPjwvY29udHJpYnV0b3JzPjx0aXRsZXM+PHRp
dGxlPkFkYXB0aXZlIEFwcHJvYWNoZXMgdG8gQmlvc2VjdXJpdHkgR292ZXJuYW5jZTwvdGl0bGU+
PHNlY29uZGFyeS10aXRsZT5SaXNrIEFuYWx5c2lzPC9zZWNvbmRhcnktdGl0bGU+PC90aXRsZXM+
PHBlcmlvZGljYWw+PGZ1bGwtdGl0bGU+UmlzayBBbmFseXNpczwvZnVsbC10aXRsZT48YWJici0x
PlJpc2sgQW5hbC48L2FiYnItMT48YWJici0yPlJpc2sgQW5hbDwvYWJici0yPjwvcGVyaW9kaWNh
bD48cGFnZXM+MTMwMy0xMzE0PC9wYWdlcz48dm9sdW1lPjMwPC92b2x1bWU+PG51bWJlcj45PC9u
dW1iZXI+PGRhdGVzPjx5ZWFyPjIwMTA8L3llYXI+PHB1Yi1kYXRlcz48ZGF0ZT5TZXA8L2RhdGU+
PC9wdWItZGF0ZXM+PC9kYXRlcz48aXNibj4wMjcyLTQzMzI8L2lzYm4+PGFjY2Vzc2lvbi1udW0+
V09TOjAwMDI4MTgzNDYwMDAwMjwvYWNjZXNzaW9uLW51bT48dXJscz48cmVsYXRlZC11cmxzPjx1
cmw+Jmx0O0dvIHRvIElTSSZndDs6Ly9XT1M6MDAwMjgxODM0NjAwMDAyPC91cmw+PC9yZWxhdGVk
LXVybHM+PC91cmxzPjxlbGVjdHJvbmljLXJlc291cmNlLW51bT4xMC4xMTExL2ouMTUzOS02OTI0
LjIwMTAuMDE0MzkueDwvZWxlY3Ryb25pYy1yZXNvdXJjZS1udW0+PC9yZWNvcmQ+PC9DaXRlPjxD
aXRlPjxBdXRob3I+RXZhbnM8L0F1dGhvcj48WWVhcj4yMDE4PC9ZZWFyPjxSZWNOdW0+NDkwNDc8
L1JlY051bT48cmVjb3JkPjxyZWMtbnVtYmVyPjQ5MDQ3PC9yZWMtbnVtYmVyPjxmb3JlaWduLWtl
eXM+PGtleSBhcHA9IkVOIiBkYi1pZD0iYXd4OXJhZGRyMHh4MmhldjA1cnhyMHowNXdlZXB3cHQw
ZmV4IiB0aW1lc3RhbXA9IjE1ODE0OTczMjAiPjQ5MDQ3PC9rZXk+PC9mb3JlaWduLWtleXM+PHJl
Zi10eXBlIG5hbWU9IkpvdXJuYWwgQXJ0aWNsZSI+MTc8L3JlZi10eXBlPjxjb250cmlidXRvcnM+
PGF1dGhvcnM+PGF1dGhvcj5FdmFucywgVGhvbWFzPC9hdXRob3I+PGF1dGhvcj56dSBFcm1nYXNz
ZW4sIFBoaWxpbmU8L2F1dGhvcj48YXV0aG9yPkFtYW5vLCBUYXRzdXlhPC9hdXRob3I+PGF1dGhv
cj5QZWgsIEtlbHZpbiBTLiBILjwvYXV0aG9yPjwvYXV0aG9ycz48L2NvbnRyaWJ1dG9ycz48dGl0
bGVzPjx0aXRsZT5Eb2VzIGdvdmVybmFuY2UgcGxheSBhIHJvbGUgaW4gdGhlIGRpc3RyaWJ1dGlv
biBvZiBpbnZhc2l2ZSBhbGllbiBzcGVjaWVzPzwvdGl0bGU+PHNlY29uZGFyeS10aXRsZT5FY29s
b2d5IGFuZCBFdm9sdXRpb248L3NlY29uZGFyeS10aXRsZT48L3RpdGxlcz48cGVyaW9kaWNhbD48
ZnVsbC10aXRsZT5FY29sb2d5IGFuZCBFdm9sdXRpb248L2Z1bGwtdGl0bGU+PC9wZXJpb2RpY2Fs
PjxwYWdlcz4xOTg0LTE5OTQ8L3BhZ2VzPjx2b2x1bWU+ODwvdm9sdW1lPjxudW1iZXI+NDwvbnVt
YmVyPjxkYXRlcz48eWVhcj4yMDE4PC95ZWFyPjxwdWItZGF0ZXM+PGRhdGU+RmViPC9kYXRlPjwv
cHViLWRhdGVzPjwvZGF0ZXM+PGlzYm4+MjA0NS03NzU4PC9pc2JuPjxhY2Nlc3Npb24tbnVtPldP
UzowMDA0MjU0NjM5MDAwMDY8L2FjY2Vzc2lvbi1udW0+PHVybHM+PHJlbGF0ZWQtdXJscz48dXJs
PiZsdDtHbyB0byBJU0kmZ3Q7Oi8vV09TOjAwMDQyNTQ2MzkwMDAwNjwvdXJsPjwvcmVsYXRlZC11
cmxzPjwvdXJscz48ZWxlY3Ryb25pYy1yZXNvdXJjZS1udW0+MTAuMTAwMi9lY2UzLjM3NDQ8L2Vs
ZWN0cm9uaWMtcmVzb3VyY2UtbnVtPjwvcmVjb3JkPjwvQ2l0ZT48Q2l0ZT48QXV0aG9yPlJlZWQ8
L0F1dGhvcj48WWVhcj4yMDE1PC9ZZWFyPjxSZWNOdW0+NDkxMjE8L1JlY051bT48cmVjb3JkPjxy
ZWMtbnVtYmVyPjQ5MTIxPC9yZWMtbnVtYmVyPjxmb3JlaWduLWtleXM+PGtleSBhcHA9IkVOIiBk
Yi1pZD0iYXd4OXJhZGRyMHh4MmhldjA1cnhyMHowNXdlZXB3cHQwZmV4IiB0aW1lc3RhbXA9IjE1
ODE0OTczMjAiPjQ5MTIxPC9rZXk+PC9mb3JlaWduLWtleXM+PHJlZi10eXBlIG5hbWU9IkpvdXJu
YWwgQXJ0aWNsZSI+MTc8L3JlZi10eXBlPjxjb250cmlidXRvcnM+PGF1dGhvcnM+PGF1dGhvcj5S
ZWVkLCBNLiBTLjwvYXV0aG9yPjxhdXRob3I+Q3Vyem9uLCBSLjwvYXV0aG9yPjwvYXV0aG9ycz48
L2NvbnRyaWJ1dG9ycz48dGl0bGVzPjx0aXRsZT5TdGFrZWhvbGRlciBtYXBwaW5nIGZvciB0aGUg
Z292ZXJuYW5jZSBvZiBiaW9zZWN1cml0eTogYSBsaXRlcmF0dXJlIHJldmlldzwvdGl0bGU+PHNl
Y29uZGFyeS10aXRsZT5Kb3VybmFsIG9mIEludGVncmF0aXZlIEVudmlyb25tZW50YWwgU2NpZW5j
ZXM8L3NlY29uZGFyeS10aXRsZT48L3RpdGxlcz48cGVyaW9kaWNhbD48ZnVsbC10aXRsZT5Kb3Vy
bmFsIG9mIEludGVncmF0aXZlIEVudmlyb25tZW50YWwgU2NpZW5jZXM8L2Z1bGwtdGl0bGU+PC9w
ZXJpb2RpY2FsPjxwYWdlcz4xNS0zODwvcGFnZXM+PHZvbHVtZT4xMjwvdm9sdW1lPjxudW1iZXI+
MTwvbnVtYmVyPjxkYXRlcz48eWVhcj4yMDE1PC95ZWFyPjxwdWItZGF0ZXM+PGRhdGU+SmFuIDI8
L2RhdGU+PC9wdWItZGF0ZXM+PC9kYXRlcz48aXNibj4xOTQzLTgxNVg8L2lzYm4+PGFjY2Vzc2lv
bi1udW0+V09TOjAwMDM1MDA0NjIwMDAwMjwvYWNjZXNzaW9uLW51bT48dXJscz48cmVsYXRlZC11
cmxzPjx1cmw+Jmx0O0dvIHRvIElTSSZndDs6Ly9XT1M6MDAwMzUwMDQ2MjAwMDAyPC91cmw+PC9y
ZWxhdGVkLXVybHM+PC91cmxzPjxlbGVjdHJvbmljLXJlc291cmNlLW51bT4xMC4xMDgwLzE5NDM4
MTV4LjIwMTQuOTc1NzIzPC9lbGVjdHJvbmljLXJlc291cmNlLW51bT48L3JlY29yZD48L0NpdGU+
PC9FbmROb3RlPn==
</w:fldData>
        </w:fldChar>
      </w:r>
      <w:r w:rsidR="00E41FA1" w:rsidRPr="00A9434B">
        <w:rPr>
          <w:b w:val="0"/>
          <w:bCs/>
        </w:rPr>
        <w:instrText xml:space="preserve"> ADDIN EN.CITE </w:instrText>
      </w:r>
      <w:r w:rsidR="00E41FA1" w:rsidRPr="00A9434B">
        <w:rPr>
          <w:b w:val="0"/>
          <w:bCs/>
          <w:i/>
          <w:iCs/>
        </w:rPr>
        <w:fldChar w:fldCharType="begin">
          <w:fldData xml:space="preserve">PEVuZE5vdGU+PENpdGU+PEF1dGhvcj5Db29rPC9BdXRob3I+PFllYXI+MjAxMDwvWWVhcj48UmVj
TnVtPjQ5MTcwPC9SZWNOdW0+PERpc3BsYXlUZXh0PihDb29rLCBMaXUgZXQgYWwuIDIwMTAsIFJl
ZWQgYW5kIEN1cnpvbiAyMDE1LCBFdmFucywgenUgRXJtZ2Fzc2VuIGV0IGFsLiAyMDE4KTwvRGlz
cGxheVRleHQ+PHJlY29yZD48cmVjLW51bWJlcj40OTE3MDwvcmVjLW51bWJlcj48Zm9yZWlnbi1r
ZXlzPjxrZXkgYXBwPSJFTiIgZGItaWQ9ImF3eDlyYWRkcjB4eDJoZXYwNXJ4cjB6MDV3ZWVwd3B0
MGZleCIgdGltZXN0YW1wPSIxNTgxNDk3MzIwIj40OTE3MDwva2V5PjwvZm9yZWlnbi1rZXlzPjxy
ZWYtdHlwZSBuYW1lPSJKb3VybmFsIEFydGljbGUiPjE3PC9yZWYtdHlwZT48Y29udHJpYnV0b3Jz
PjxhdXRob3JzPjxhdXRob3I+Q29vaywgRGF2aWQgQy48L2F1dGhvcj48YXV0aG9yPkxpdSwgU2h1
YW5nPC9hdXRob3I+PGF1dGhvcj5NdXJwaHksIEJyZW5kYW48L2F1dGhvcj48YXV0aG9yPkxvbnNk
YWxlLCBXLiBNYXJrPC9hdXRob3I+PC9hdXRob3JzPjwvY29udHJpYnV0b3JzPjx0aXRsZXM+PHRp
dGxlPkFkYXB0aXZlIEFwcHJvYWNoZXMgdG8gQmlvc2VjdXJpdHkgR292ZXJuYW5jZTwvdGl0bGU+
PHNlY29uZGFyeS10aXRsZT5SaXNrIEFuYWx5c2lzPC9zZWNvbmRhcnktdGl0bGU+PC90aXRsZXM+
PHBlcmlvZGljYWw+PGZ1bGwtdGl0bGU+UmlzayBBbmFseXNpczwvZnVsbC10aXRsZT48YWJici0x
PlJpc2sgQW5hbC48L2FiYnItMT48YWJici0yPlJpc2sgQW5hbDwvYWJici0yPjwvcGVyaW9kaWNh
bD48cGFnZXM+MTMwMy0xMzE0PC9wYWdlcz48dm9sdW1lPjMwPC92b2x1bWU+PG51bWJlcj45PC9u
dW1iZXI+PGRhdGVzPjx5ZWFyPjIwMTA8L3llYXI+PHB1Yi1kYXRlcz48ZGF0ZT5TZXA8L2RhdGU+
PC9wdWItZGF0ZXM+PC9kYXRlcz48aXNibj4wMjcyLTQzMzI8L2lzYm4+PGFjY2Vzc2lvbi1udW0+
V09TOjAwMDI4MTgzNDYwMDAwMjwvYWNjZXNzaW9uLW51bT48dXJscz48cmVsYXRlZC11cmxzPjx1
cmw+Jmx0O0dvIHRvIElTSSZndDs6Ly9XT1M6MDAwMjgxODM0NjAwMDAyPC91cmw+PC9yZWxhdGVk
LXVybHM+PC91cmxzPjxlbGVjdHJvbmljLXJlc291cmNlLW51bT4xMC4xMTExL2ouMTUzOS02OTI0
LjIwMTAuMDE0MzkueDwvZWxlY3Ryb25pYy1yZXNvdXJjZS1udW0+PC9yZWNvcmQ+PC9DaXRlPjxD
aXRlPjxBdXRob3I+RXZhbnM8L0F1dGhvcj48WWVhcj4yMDE4PC9ZZWFyPjxSZWNOdW0+NDkwNDc8
L1JlY051bT48cmVjb3JkPjxyZWMtbnVtYmVyPjQ5MDQ3PC9yZWMtbnVtYmVyPjxmb3JlaWduLWtl
eXM+PGtleSBhcHA9IkVOIiBkYi1pZD0iYXd4OXJhZGRyMHh4MmhldjA1cnhyMHowNXdlZXB3cHQw
ZmV4IiB0aW1lc3RhbXA9IjE1ODE0OTczMjAiPjQ5MDQ3PC9rZXk+PC9mb3JlaWduLWtleXM+PHJl
Zi10eXBlIG5hbWU9IkpvdXJuYWwgQXJ0aWNsZSI+MTc8L3JlZi10eXBlPjxjb250cmlidXRvcnM+
PGF1dGhvcnM+PGF1dGhvcj5FdmFucywgVGhvbWFzPC9hdXRob3I+PGF1dGhvcj56dSBFcm1nYXNz
ZW4sIFBoaWxpbmU8L2F1dGhvcj48YXV0aG9yPkFtYW5vLCBUYXRzdXlhPC9hdXRob3I+PGF1dGhv
cj5QZWgsIEtlbHZpbiBTLiBILjwvYXV0aG9yPjwvYXV0aG9ycz48L2NvbnRyaWJ1dG9ycz48dGl0
bGVzPjx0aXRsZT5Eb2VzIGdvdmVybmFuY2UgcGxheSBhIHJvbGUgaW4gdGhlIGRpc3RyaWJ1dGlv
biBvZiBpbnZhc2l2ZSBhbGllbiBzcGVjaWVzPzwvdGl0bGU+PHNlY29uZGFyeS10aXRsZT5FY29s
b2d5IGFuZCBFdm9sdXRpb248L3NlY29uZGFyeS10aXRsZT48L3RpdGxlcz48cGVyaW9kaWNhbD48
ZnVsbC10aXRsZT5FY29sb2d5IGFuZCBFdm9sdXRpb248L2Z1bGwtdGl0bGU+PC9wZXJpb2RpY2Fs
PjxwYWdlcz4xOTg0LTE5OTQ8L3BhZ2VzPjx2b2x1bWU+ODwvdm9sdW1lPjxudW1iZXI+NDwvbnVt
YmVyPjxkYXRlcz48eWVhcj4yMDE4PC95ZWFyPjxwdWItZGF0ZXM+PGRhdGU+RmViPC9kYXRlPjwv
cHViLWRhdGVzPjwvZGF0ZXM+PGlzYm4+MjA0NS03NzU4PC9pc2JuPjxhY2Nlc3Npb24tbnVtPldP
UzowMDA0MjU0NjM5MDAwMDY8L2FjY2Vzc2lvbi1udW0+PHVybHM+PHJlbGF0ZWQtdXJscz48dXJs
PiZsdDtHbyB0byBJU0kmZ3Q7Oi8vV09TOjAwMDQyNTQ2MzkwMDAwNjwvdXJsPjwvcmVsYXRlZC11
cmxzPjwvdXJscz48ZWxlY3Ryb25pYy1yZXNvdXJjZS1udW0+MTAuMTAwMi9lY2UzLjM3NDQ8L2Vs
ZWN0cm9uaWMtcmVzb3VyY2UtbnVtPjwvcmVjb3JkPjwvQ2l0ZT48Q2l0ZT48QXV0aG9yPlJlZWQ8
L0F1dGhvcj48WWVhcj4yMDE1PC9ZZWFyPjxSZWNOdW0+NDkxMjE8L1JlY051bT48cmVjb3JkPjxy
ZWMtbnVtYmVyPjQ5MTIxPC9yZWMtbnVtYmVyPjxmb3JlaWduLWtleXM+PGtleSBhcHA9IkVOIiBk
Yi1pZD0iYXd4OXJhZGRyMHh4MmhldjA1cnhyMHowNXdlZXB3cHQwZmV4IiB0aW1lc3RhbXA9IjE1
ODE0OTczMjAiPjQ5MTIxPC9rZXk+PC9mb3JlaWduLWtleXM+PHJlZi10eXBlIG5hbWU9IkpvdXJu
YWwgQXJ0aWNsZSI+MTc8L3JlZi10eXBlPjxjb250cmlidXRvcnM+PGF1dGhvcnM+PGF1dGhvcj5S
ZWVkLCBNLiBTLjwvYXV0aG9yPjxhdXRob3I+Q3Vyem9uLCBSLjwvYXV0aG9yPjwvYXV0aG9ycz48
L2NvbnRyaWJ1dG9ycz48dGl0bGVzPjx0aXRsZT5TdGFrZWhvbGRlciBtYXBwaW5nIGZvciB0aGUg
Z292ZXJuYW5jZSBvZiBiaW9zZWN1cml0eTogYSBsaXRlcmF0dXJlIHJldmlldzwvdGl0bGU+PHNl
Y29uZGFyeS10aXRsZT5Kb3VybmFsIG9mIEludGVncmF0aXZlIEVudmlyb25tZW50YWwgU2NpZW5j
ZXM8L3NlY29uZGFyeS10aXRsZT48L3RpdGxlcz48cGVyaW9kaWNhbD48ZnVsbC10aXRsZT5Kb3Vy
bmFsIG9mIEludGVncmF0aXZlIEVudmlyb25tZW50YWwgU2NpZW5jZXM8L2Z1bGwtdGl0bGU+PC9w
ZXJpb2RpY2FsPjxwYWdlcz4xNS0zODwvcGFnZXM+PHZvbHVtZT4xMjwvdm9sdW1lPjxudW1iZXI+
MTwvbnVtYmVyPjxkYXRlcz48eWVhcj4yMDE1PC95ZWFyPjxwdWItZGF0ZXM+PGRhdGU+SmFuIDI8
L2RhdGU+PC9wdWItZGF0ZXM+PC9kYXRlcz48aXNibj4xOTQzLTgxNVg8L2lzYm4+PGFjY2Vzc2lv
bi1udW0+V09TOjAwMDM1MDA0NjIwMDAwMjwvYWNjZXNzaW9uLW51bT48dXJscz48cmVsYXRlZC11
cmxzPjx1cmw+Jmx0O0dvIHRvIElTSSZndDs6Ly9XT1M6MDAwMzUwMDQ2MjAwMDAyPC91cmw+PC9y
ZWxhdGVkLXVybHM+PC91cmxzPjxlbGVjdHJvbmljLXJlc291cmNlLW51bT4xMC4xMDgwLzE5NDM4
MTV4LjIwMTQuOTc1NzIzPC9lbGVjdHJvbmljLXJlc291cmNlLW51bT48L3JlY29yZD48L0NpdGU+
PC9FbmROb3RlPn==
</w:fldData>
        </w:fldChar>
      </w:r>
      <w:r w:rsidR="00E41FA1" w:rsidRPr="00A9434B">
        <w:rPr>
          <w:b w:val="0"/>
          <w:bCs/>
        </w:rPr>
        <w:instrText xml:space="preserve"> ADDIN EN.CITE.DATA </w:instrText>
      </w:r>
      <w:r w:rsidR="00E41FA1" w:rsidRPr="00A9434B">
        <w:rPr>
          <w:b w:val="0"/>
          <w:bCs/>
          <w:i/>
          <w:iCs/>
        </w:rPr>
      </w:r>
      <w:r w:rsidR="00E41FA1" w:rsidRPr="00A9434B">
        <w:rPr>
          <w:b w:val="0"/>
          <w:bCs/>
          <w:i/>
          <w:iCs/>
        </w:rPr>
        <w:fldChar w:fldCharType="end"/>
      </w:r>
      <w:r w:rsidR="00E41FA1" w:rsidRPr="00A9434B">
        <w:rPr>
          <w:b w:val="0"/>
          <w:bCs/>
          <w:i/>
          <w:iCs/>
        </w:rPr>
      </w:r>
      <w:r w:rsidR="00E41FA1" w:rsidRPr="00A9434B">
        <w:rPr>
          <w:b w:val="0"/>
          <w:bCs/>
          <w:i/>
          <w:iCs/>
        </w:rPr>
        <w:fldChar w:fldCharType="separate"/>
      </w:r>
      <w:r w:rsidR="00E41FA1" w:rsidRPr="00A9434B">
        <w:rPr>
          <w:b w:val="0"/>
          <w:bCs/>
          <w:i/>
          <w:iCs/>
        </w:rPr>
        <w:fldChar w:fldCharType="begin"/>
      </w:r>
      <w:r w:rsidR="0006613E">
        <w:rPr>
          <w:b w:val="0"/>
          <w:bCs/>
        </w:rPr>
        <w:instrText xml:space="preserve"> ADDIN ZOTERO_ITEM CSL_CITATION {"citationID":"a1jobi5dj5","properties":{"formattedCitation":"(T. Evans et al., 2018; Smolarz et al., 2016)","plainCitation":"(T. Evans et al., 2018; Smolarz et al., 2016)","noteIndex":0},"citationItems":[{"id":11369,"uris":["http://zotero.org/groups/2352922/items/G6QLGHXL"],"itemData":{"id":11369,"type":"article-journal","abstract":"Invasive alien species (IAS) constitute a major threat to global biological diversity. In order to control their spread, a detailed understanding of the factors influencing their distribution is essential. Although international trade is regarded as a major force structuring spatial patterns of IAS, the role of other social factors remains unclear. Despite studies highlighting the importance of strong governance in slowing drivers of biodiversity loss such as logging, deforestation, and agricultural intensification, no study has yet analyzed its contribution to the issue of IAS. Using estimates of governance quality and comprehensive spatiotemporal IAS data, we performed multiple linear regressions to investigate the effect of governance quality upon the distribution of species listed under “100 of the worst” IAS in 38 Eurasian countries as defined by DASIE. Our model suggested that for countries with higher GDP, stronger governance was associated with a greater number of the worst IAS; in contrast, for the lowest GDP countries under analysis, stronger governance was associated with fewer of these IAS. We elucidate how the quality of governance within a country has implications for trade, tourism, transport, legislation, and economic development, all of which influence the spread of IAS. While our findings support the common assumption that strengthening governance benefits conservation interventions in countries of smaller economy, we find that this effect is not universal. Stronger governance alone cannot adequately address the problem of IAS, and targeted action is required in relatively high-GDP countries in order to stem the influx of IAS associated with high volumes of trade.","container-title":"Ecology and Evolution","DOI":"10.1002/ece3.3744","ISSN":"2045-7758","issue":"4","journalAbbreviation":"Ecol Evol","language":"en","license":"© 2017 The Authors. Ecology and Evolution published by John Wiley &amp; Sons Ltd.","page":"1984-1994","source":"Wiley Online Library","title":"Does governance play a role in the distribution of invasive alien species?","URL":"https://onlinelibrary.wiley.com/doi/abs/10.1002/ece3.3744","volume":"8","author":[{"family":"Evans","given":"Thomas"},{"family":"Ermgassen","given":"Philine","dropping-particle":"zu"},{"family":"Amano","given":"Tatsuya"},{"family":"Peh","given":"Kelvin S.-H."}],"accessed":{"date-parts":[["2019",1,7]]},"issued":{"date-parts":[["2018",1,17]]}},"label":"page"},{"id":11449,"uris":["http://zotero.org/groups/2352922/items/K5CN724I"],"itemData":{"id":11449,"type":"chapter","collection-title":"MARE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label":"page"}],"schema":"https://github.com/citation-style-language/schema/raw/master/csl-citation.json"} </w:instrText>
      </w:r>
      <w:r w:rsidR="00E41FA1" w:rsidRPr="00A9434B">
        <w:rPr>
          <w:b w:val="0"/>
          <w:bCs/>
          <w:i/>
          <w:iCs/>
        </w:rPr>
        <w:fldChar w:fldCharType="separate"/>
      </w:r>
      <w:r w:rsidR="00C71E80" w:rsidRPr="00A9434B">
        <w:rPr>
          <w:b w:val="0"/>
          <w:bCs/>
        </w:rPr>
        <w:t>(T. Evans et al., 2018; Smolarz et al., 2016)</w:t>
      </w:r>
      <w:r w:rsidR="00E41FA1" w:rsidRPr="00A9434B">
        <w:rPr>
          <w:b w:val="0"/>
          <w:bCs/>
          <w:i/>
          <w:iCs/>
        </w:rPr>
        <w:fldChar w:fldCharType="end"/>
      </w:r>
      <w:r w:rsidR="00E41FA1" w:rsidRPr="00A9434B">
        <w:rPr>
          <w:b w:val="0"/>
          <w:bCs/>
          <w:i/>
          <w:iCs/>
        </w:rPr>
        <w:fldChar w:fldCharType="end"/>
      </w:r>
      <w:r w:rsidR="6EBA2D18" w:rsidRPr="00A9434B">
        <w:rPr>
          <w:b w:val="0"/>
          <w:bCs/>
        </w:rPr>
        <w:t xml:space="preserve">. </w:t>
      </w:r>
      <w:r w:rsidR="326765F3" w:rsidRPr="00A9434B">
        <w:rPr>
          <w:b w:val="0"/>
          <w:bCs/>
        </w:rPr>
        <w:t>In addition, the power imbalances that can develop under highly centralized governance can lead to, for example, incoherent policy, disengagement</w:t>
      </w:r>
      <w:r w:rsidR="0C165B00" w:rsidRPr="00A9434B">
        <w:rPr>
          <w:b w:val="0"/>
          <w:bCs/>
        </w:rPr>
        <w:t>,</w:t>
      </w:r>
      <w:r w:rsidR="326765F3" w:rsidRPr="00A9434B">
        <w:rPr>
          <w:b w:val="0"/>
          <w:bCs/>
        </w:rPr>
        <w:t xml:space="preserve"> or conflict amongst the broad range of stakeholders affected by invasive alien species </w:t>
      </w:r>
      <w:r w:rsidR="00C14761" w:rsidRPr="00A9434B">
        <w:rPr>
          <w:b w:val="0"/>
          <w:bCs/>
          <w:i/>
          <w:iCs/>
        </w:rPr>
        <w:fldChar w:fldCharType="begin">
          <w:fldData xml:space="preserve">PEVuZE5vdGU+PENpdGU+PEF1dGhvcj5TbWl0aDwvQXV0aG9yPjxZZWFyPjIwMTM8L1llYXI+PFJl
Y051bT40OTE0MDwvUmVjTnVtPjxEaXNwbGF5VGV4dD4oU21pdGgsIEtsZW5rIGV0IGFsLiAyMDEz
LCBOZWFsZSBhbmQgTWFjZG9uYWxkIDIwMTkpPC9EaXNwbGF5VGV4dD48cmVjb3JkPjxyZWMtbnVt
YmVyPjQ5MTQwPC9yZWMtbnVtYmVyPjxmb3JlaWduLWtleXM+PGtleSBhcHA9IkVOIiBkYi1pZD0i
YXd4OXJhZGRyMHh4MmhldjA1cnhyMHowNXdlZXB3cHQwZmV4IiB0aW1lc3RhbXA9IjE1ODE0OTcz
MjAiPjQ5MTQwPC9rZXk+PC9mb3JlaWduLWtleXM+PHJlZi10eXBlIG5hbWU9IkpvdXJuYWwgQXJ0
aWNsZSI+MTc8L3JlZi10eXBlPjxjb250cmlidXRvcnM+PGF1dGhvcnM+PGF1dGhvcj5TbWl0aCwg
QS4gTC48L2F1dGhvcj48YXV0aG9yPktsZW5rLCBOLjwvYXV0aG9yPjxhdXRob3I+V29vZCwgUy48
L2F1dGhvcj48YXV0aG9yPkhld2l0dCwgTi48L2F1dGhvcj48YXV0aG9yPkhlbnJpcXVlcywgSS48
L2F1dGhvcj48YXV0aG9yPllhbiwgTi48L2F1dGhvcj48YXV0aG9yPkJhemVseSwgRC4gUi48L2F1
dGhvcj48L2F1dGhvcnM+PC9jb250cmlidXRvcnM+PHRpdGxlcz48dGl0bGU+U2Vjb25kIGdlbmVy
YXRpb24gYmlvZnVlbHMgYW5kIGJpb2ludmFzaW9uczogQW4gZXZhbHVhdGlvbiBvZiBpbnZhc2l2
ZSByaXNrcyBhbmQgcG9saWN5IHJlc3BvbnNlcyBpbiB0aGUgVW5pdGVkIFN0YXRlcyBhbmQgQ2Fu
YWRhPC90aXRsZT48c2Vjb25kYXJ5LXRpdGxlPlJlbmV3YWJsZSAmYW1wOyBTdXN0YWluYWJsZSBF
bmVyZ3kgUmV2aWV3czwvc2Vjb25kYXJ5LXRpdGxlPjwvdGl0bGVzPjxwZXJpb2RpY2FsPjxmdWxs
LXRpdGxlPlJlbmV3YWJsZSAmYW1wOyBTdXN0YWluYWJsZSBFbmVyZ3kgUmV2aWV3czwvZnVsbC10
aXRsZT48L3BlcmlvZGljYWw+PHBhZ2VzPjMwLTQyPC9wYWdlcz48dm9sdW1lPjI3PC92b2x1bWU+
PGRhdGVzPjx5ZWFyPjIwMTM8L3llYXI+PHB1Yi1kYXRlcz48ZGF0ZT5Ob3Y8L2RhdGU+PC9wdWIt
ZGF0ZXM+PC9kYXRlcz48aXNibj4xMzY0LTAzMjE8L2lzYm4+PGFjY2Vzc2lvbi1udW0+V09TOjAw
MDMyNTk1NDUwMDAwNDwvYWNjZXNzaW9uLW51bT48dXJscz48cmVsYXRlZC11cmxzPjx1cmw+Jmx0
O0dvIHRvIElTSSZndDs6Ly9XT1M6MDAwMzI1OTU0NTAwMDA0PC91cmw+PC9yZWxhdGVkLXVybHM+
PC91cmxzPjxlbGVjdHJvbmljLXJlc291cmNlLW51bT4xMC4xMDE2L2oucnNlci4yMDEzLjA2LjAx
MzwvZWxlY3Ryb25pYy1yZXNvdXJjZS1udW0+PC9yZWNvcmQ+PC9DaXRlPjxDaXRlPjxBdXRob3I+
TmVhbGU8L0F1dGhvcj48WWVhcj4yMDE5PC9ZZWFyPjxSZWNOdW0+NDkwMDE8L1JlY051bT48cmVj
b3JkPjxyZWMtbnVtYmVyPjQ5MDAxPC9yZWMtbnVtYmVyPjxmb3JlaWduLWtleXM+PGtleSBhcHA9
IkVOIiBkYi1pZD0iYXd4OXJhZGRyMHh4MmhldjA1cnhyMHowNXdlZXB3cHQwZmV4IiB0aW1lc3Rh
bXA9IjE1ODE0OTczMjAiPjQ5MDAxPC9rZXk+PC9mb3JlaWduLWtleXM+PHJlZi10eXBlIG5hbWU9
IkpvdXJuYWwgQXJ0aWNsZSI+MTc8L3JlZi10eXBlPjxjb250cmlidXRvcnM+PGF1dGhvcnM+PGF1
dGhvcj5OZWFsZSwgVGltb3RoeTwvYXV0aG9yPjxhdXRob3I+TWFjZG9uYWxkLCBKZW5uaWZlciBN
YWlyaTwvYXV0aG9yPjwvYXV0aG9ycz48L2NvbnRyaWJ1dG9ycz48dGl0bGVzPjx0aXRsZT5QZXJt
aXRzIHRvIGJ1cm46IHdlZWRzLCBzbG93IHZpb2xlbmNlLCBhbmQgdGhlIGV4dHJhY3RpdmUgZnV0
dXJlIG9mIG5vcnRoZXJuIEF1c3RyYWxpYTwvdGl0bGU+PHNlY29uZGFyeS10aXRsZT5BdXN0cmFs
aWFuIEdlb2dyYXBoZXI8L3NlY29uZGFyeS10aXRsZT48L3RpdGxlcz48cGVyaW9kaWNhbD48ZnVs
bC10aXRsZT5BdXN0cmFsaWFuIEdlb2dyYXBoZXI8L2Z1bGwtdGl0bGU+PGFiYnItMT5BdXN0LiBH
ZW9nci48L2FiYnItMT48YWJici0yPkF1c3QgR2VvZ3I8L2FiYnItMj48L3BlcmlvZGljYWw+PHBh
Z2VzPjQxNy00MzM8L3BhZ2VzPjx2b2x1bWU+NTA8L3ZvbHVtZT48bnVtYmVyPjQ8L251bWJlcj48
ZGF0ZXM+PHllYXI+MjAxOTwveWVhcj48cHViLWRhdGVzPjxkYXRlPk9jdCAyPC9kYXRlPjwvcHVi
LWRhdGVzPjwvZGF0ZXM+PGlzYm4+MDAwNC05MTgyPC9pc2JuPjxhY2Nlc3Npb24tbnVtPldPUzow
MDA0OTU3MDAyMDAwMDE8L2FjY2Vzc2lvbi1udW0+PHVybHM+PHJlbGF0ZWQtdXJscz48dXJsPiZs
dDtHbyB0byBJU0kmZ3Q7Oi8vV09TOjAwMDQ5NTcwMDIwMDAwMTwvdXJsPjwvcmVsYXRlZC11cmxz
PjwvdXJscz48ZWxlY3Ryb25pYy1yZXNvdXJjZS1udW0+MTAuMTA4MC8wMDA0OTE4Mi4yMDE5LjE2
ODY3MzE8L2VsZWN0cm9uaWMtcmVzb3VyY2UtbnVtPjwvcmVjb3JkPjwvQ2l0ZT48L0VuZE5vdGU+
</w:fldData>
        </w:fldChar>
      </w:r>
      <w:r w:rsidR="00C14761" w:rsidRPr="00A9434B">
        <w:rPr>
          <w:b w:val="0"/>
          <w:bCs/>
        </w:rPr>
        <w:instrText xml:space="preserve"> ADDIN EN.CITE </w:instrText>
      </w:r>
      <w:r w:rsidR="00C14761" w:rsidRPr="00A9434B">
        <w:rPr>
          <w:b w:val="0"/>
          <w:bCs/>
          <w:i/>
          <w:iCs/>
        </w:rPr>
        <w:fldChar w:fldCharType="begin">
          <w:fldData xml:space="preserve">PEVuZE5vdGU+PENpdGU+PEF1dGhvcj5TbWl0aDwvQXV0aG9yPjxZZWFyPjIwMTM8L1llYXI+PFJl
Y051bT40OTE0MDwvUmVjTnVtPjxEaXNwbGF5VGV4dD4oU21pdGgsIEtsZW5rIGV0IGFsLiAyMDEz
LCBOZWFsZSBhbmQgTWFjZG9uYWxkIDIwMTkpPC9EaXNwbGF5VGV4dD48cmVjb3JkPjxyZWMtbnVt
YmVyPjQ5MTQwPC9yZWMtbnVtYmVyPjxmb3JlaWduLWtleXM+PGtleSBhcHA9IkVOIiBkYi1pZD0i
YXd4OXJhZGRyMHh4MmhldjA1cnhyMHowNXdlZXB3cHQwZmV4IiB0aW1lc3RhbXA9IjE1ODE0OTcz
MjAiPjQ5MTQwPC9rZXk+PC9mb3JlaWduLWtleXM+PHJlZi10eXBlIG5hbWU9IkpvdXJuYWwgQXJ0
aWNsZSI+MTc8L3JlZi10eXBlPjxjb250cmlidXRvcnM+PGF1dGhvcnM+PGF1dGhvcj5TbWl0aCwg
QS4gTC48L2F1dGhvcj48YXV0aG9yPktsZW5rLCBOLjwvYXV0aG9yPjxhdXRob3I+V29vZCwgUy48
L2F1dGhvcj48YXV0aG9yPkhld2l0dCwgTi48L2F1dGhvcj48YXV0aG9yPkhlbnJpcXVlcywgSS48
L2F1dGhvcj48YXV0aG9yPllhbiwgTi48L2F1dGhvcj48YXV0aG9yPkJhemVseSwgRC4gUi48L2F1
dGhvcj48L2F1dGhvcnM+PC9jb250cmlidXRvcnM+PHRpdGxlcz48dGl0bGU+U2Vjb25kIGdlbmVy
YXRpb24gYmlvZnVlbHMgYW5kIGJpb2ludmFzaW9uczogQW4gZXZhbHVhdGlvbiBvZiBpbnZhc2l2
ZSByaXNrcyBhbmQgcG9saWN5IHJlc3BvbnNlcyBpbiB0aGUgVW5pdGVkIFN0YXRlcyBhbmQgQ2Fu
YWRhPC90aXRsZT48c2Vjb25kYXJ5LXRpdGxlPlJlbmV3YWJsZSAmYW1wOyBTdXN0YWluYWJsZSBF
bmVyZ3kgUmV2aWV3czwvc2Vjb25kYXJ5LXRpdGxlPjwvdGl0bGVzPjxwZXJpb2RpY2FsPjxmdWxs
LXRpdGxlPlJlbmV3YWJsZSAmYW1wOyBTdXN0YWluYWJsZSBFbmVyZ3kgUmV2aWV3czwvZnVsbC10
aXRsZT48L3BlcmlvZGljYWw+PHBhZ2VzPjMwLTQyPC9wYWdlcz48dm9sdW1lPjI3PC92b2x1bWU+
PGRhdGVzPjx5ZWFyPjIwMTM8L3llYXI+PHB1Yi1kYXRlcz48ZGF0ZT5Ob3Y8L2RhdGU+PC9wdWIt
ZGF0ZXM+PC9kYXRlcz48aXNibj4xMzY0LTAzMjE8L2lzYm4+PGFjY2Vzc2lvbi1udW0+V09TOjAw
MDMyNTk1NDUwMDAwNDwvYWNjZXNzaW9uLW51bT48dXJscz48cmVsYXRlZC11cmxzPjx1cmw+Jmx0
O0dvIHRvIElTSSZndDs6Ly9XT1M6MDAwMzI1OTU0NTAwMDA0PC91cmw+PC9yZWxhdGVkLXVybHM+
PC91cmxzPjxlbGVjdHJvbmljLXJlc291cmNlLW51bT4xMC4xMDE2L2oucnNlci4yMDEzLjA2LjAx
MzwvZWxlY3Ryb25pYy1yZXNvdXJjZS1udW0+PC9yZWNvcmQ+PC9DaXRlPjxDaXRlPjxBdXRob3I+
TmVhbGU8L0F1dGhvcj48WWVhcj4yMDE5PC9ZZWFyPjxSZWNOdW0+NDkwMDE8L1JlY051bT48cmVj
b3JkPjxyZWMtbnVtYmVyPjQ5MDAxPC9yZWMtbnVtYmVyPjxmb3JlaWduLWtleXM+PGtleSBhcHA9
IkVOIiBkYi1pZD0iYXd4OXJhZGRyMHh4MmhldjA1cnhyMHowNXdlZXB3cHQwZmV4IiB0aW1lc3Rh
bXA9IjE1ODE0OTczMjAiPjQ5MDAxPC9rZXk+PC9mb3JlaWduLWtleXM+PHJlZi10eXBlIG5hbWU9
IkpvdXJuYWwgQXJ0aWNsZSI+MTc8L3JlZi10eXBlPjxjb250cmlidXRvcnM+PGF1dGhvcnM+PGF1
dGhvcj5OZWFsZSwgVGltb3RoeTwvYXV0aG9yPjxhdXRob3I+TWFjZG9uYWxkLCBKZW5uaWZlciBN
YWlyaTwvYXV0aG9yPjwvYXV0aG9ycz48L2NvbnRyaWJ1dG9ycz48dGl0bGVzPjx0aXRsZT5QZXJt
aXRzIHRvIGJ1cm46IHdlZWRzLCBzbG93IHZpb2xlbmNlLCBhbmQgdGhlIGV4dHJhY3RpdmUgZnV0
dXJlIG9mIG5vcnRoZXJuIEF1c3RyYWxpYTwvdGl0bGU+PHNlY29uZGFyeS10aXRsZT5BdXN0cmFs
aWFuIEdlb2dyYXBoZXI8L3NlY29uZGFyeS10aXRsZT48L3RpdGxlcz48cGVyaW9kaWNhbD48ZnVs
bC10aXRsZT5BdXN0cmFsaWFuIEdlb2dyYXBoZXI8L2Z1bGwtdGl0bGU+PGFiYnItMT5BdXN0LiBH
ZW9nci48L2FiYnItMT48YWJici0yPkF1c3QgR2VvZ3I8L2FiYnItMj48L3BlcmlvZGljYWw+PHBh
Z2VzPjQxNy00MzM8L3BhZ2VzPjx2b2x1bWU+NTA8L3ZvbHVtZT48bnVtYmVyPjQ8L251bWJlcj48
ZGF0ZXM+PHllYXI+MjAxOTwveWVhcj48cHViLWRhdGVzPjxkYXRlPk9jdCAyPC9kYXRlPjwvcHVi
LWRhdGVzPjwvZGF0ZXM+PGlzYm4+MDAwNC05MTgyPC9pc2JuPjxhY2Nlc3Npb24tbnVtPldPUzow
MDA0OTU3MDAyMDAwMDE8L2FjY2Vzc2lvbi1udW0+PHVybHM+PHJlbGF0ZWQtdXJscz48dXJsPiZs
dDtHbyB0byBJU0kmZ3Q7Oi8vV09TOjAwMDQ5NTcwMDIwMDAwMTwvdXJsPjwvcmVsYXRlZC11cmxz
PjwvdXJscz48ZWxlY3Ryb25pYy1yZXNvdXJjZS1udW0+MTAuMTA4MC8wMDA0OTE4Mi4yMDE5LjE2
ODY3MzE8L2VsZWN0cm9uaWMtcmVzb3VyY2UtbnVtPjwvcmVjb3JkPjwvQ2l0ZT48L0VuZE5vdGU+
</w:fldData>
        </w:fldChar>
      </w:r>
      <w:r w:rsidR="00C14761" w:rsidRPr="00A9434B">
        <w:rPr>
          <w:b w:val="0"/>
          <w:bCs/>
        </w:rPr>
        <w:instrText xml:space="preserve"> ADDIN EN.CITE.DATA </w:instrText>
      </w:r>
      <w:r w:rsidR="00C14761" w:rsidRPr="00A9434B">
        <w:rPr>
          <w:b w:val="0"/>
          <w:bCs/>
          <w:i/>
          <w:iCs/>
        </w:rPr>
      </w:r>
      <w:r w:rsidR="00C14761" w:rsidRPr="00A9434B">
        <w:rPr>
          <w:b w:val="0"/>
          <w:bCs/>
          <w:i/>
          <w:iCs/>
        </w:rPr>
        <w:fldChar w:fldCharType="end"/>
      </w:r>
      <w:r w:rsidR="00C14761" w:rsidRPr="00A9434B">
        <w:rPr>
          <w:b w:val="0"/>
          <w:bCs/>
          <w:i/>
          <w:iCs/>
        </w:rPr>
      </w:r>
      <w:r w:rsidR="00C14761" w:rsidRPr="00A9434B">
        <w:rPr>
          <w:b w:val="0"/>
          <w:bCs/>
          <w:i/>
          <w:iCs/>
        </w:rPr>
        <w:fldChar w:fldCharType="separate"/>
      </w:r>
      <w:r w:rsidR="00E41FA1" w:rsidRPr="00A9434B">
        <w:rPr>
          <w:b w:val="0"/>
          <w:bCs/>
          <w:i/>
          <w:iCs/>
        </w:rPr>
        <w:fldChar w:fldCharType="begin"/>
      </w:r>
      <w:r w:rsidR="0006613E">
        <w:rPr>
          <w:b w:val="0"/>
          <w:bCs/>
        </w:rPr>
        <w:instrText xml:space="preserve"> ADDIN ZOTERO_ITEM CSL_CITATION {"citationID":"a21g4rm1j1v","properties":{"formattedCitation":"(Neale &amp; Macdonald, 2019; A. L. Smith et al., 2013)","plainCitation":"(Neale &amp; Macdonald, 2019; A. L. Smith et al., 2013)","noteIndex":0},"citationItems":[{"id":53480,"uris":["http://zotero.org/groups/2352922/items/IUJJSD3D","http://zotero.org/groups/2352922/items/EY7SKQ9X"],"itemData":{"id":53480,"type":"article-journal","container-title":"Australian Geographer","DOI":"10.1080/00049182.2019.1686731","ISSN":"0004-9182","issue":"4","page":"417-433","title":"Permits to burn: weeds, slow violence, and the extractive future of northern Australia","volume":"50","author":[{"family":"Neale","given":"Timothy"},{"family":"Macdonald","given":"Jennifer Mairi"}],"issued":{"date-parts":[["2019",10,2]]}},"label":"page"},{"id":24021,"uris":["http://zotero.org/groups/2352922/items/ZAF6GP67"],"itemData":{"id":24021,"type":"article-journal","abstract":"Biofuels are being embraced worldwide as sustainable alternatives to fossil fuels, because of their potential to promote energy security and reduce greenhouse gas emissions, while providing opportunities for job creation and economic diversiﬁcation. However, biofuel production also raises a number of environmental concerns. One of these is the risk of biological invasion, which is a key issue with second generation biofuel crops derived from fast-growing perennial grasses and woody plant species. Many of the most popular second generation crops proposed for cultivation in the U.S. and Canada are not native to North America, and some are known to be invasive. The development of a large-scale biofuel industry on the continent could lead to the widespread introduction, establishment, and spread of invasive plant species if invasive risks are not properly considered as part of biofuel policy. In this paper, we evaluate the risk of biological invasion posed by the emerging second generation biofuel industry in the U.S. and Canada by examining the invasive risk of candidate biofuel plant species, and reviewing existing biofuel policies to determine how well they address the issue of invasive species. We ﬁnd that numerous potentially invasive plant species are being considered for biofuel production in the U.S. and Canada, yet invasive risk receives little to no attention in these countries' biofuel policies. We identify several barriers to integrating invasive species and biofuel policy, relating to policy analytical capacity, governance, and conﬂicting policy objectives. We recommend that governments act now, while the second generation biofuel industry is in its infancy, to develop robust and proactive policy addressing invasive risk. Policy options to minimize biological invasions include banning the use of known invasive plant species, ongoing monitoring of approved species, and use of buffer zones around cultivated areas.","container-title":"Renewable and Sustainable Energy Reviews","DOI":"10.1016/j.rser.2013.06.013","ISSN":"13640321","journalAbbreviation":"Renewable and Sustainable Energy Reviews","language":"en","page":"30-42","source":"DOI.org (Crossref)","title":"Second generation biofuels and bioinvasions: An evaluation of invasive risks and policy responses in the United States and Canada","title-short":"Second generation biofuels and bioinvasions","URL":"https://linkinghub.elsevier.com/retrieve/pii/S1364032113003900","volume":"27","author":[{"family":"Smith","given":"A.L."},{"family":"Klenk","given":"N."},{"family":"Wood","given":"S."},{"family":"Hewitt","given":"N."},{"family":"Henriques","given":"I."},{"family":"Yan","given":"N."},{"family":"Bazely","given":"D.R."}],"accessed":{"date-parts":[["2019",11,5]]},"issued":{"date-parts":[["2013",11]]}},"label":"page"}],"schema":"https://github.com/citation-style-language/schema/raw/master/csl-citation.json"} </w:instrText>
      </w:r>
      <w:r w:rsidR="00E41FA1" w:rsidRPr="00A9434B">
        <w:rPr>
          <w:b w:val="0"/>
          <w:bCs/>
          <w:i/>
          <w:iCs/>
        </w:rPr>
        <w:fldChar w:fldCharType="separate"/>
      </w:r>
      <w:r w:rsidR="00C71E80" w:rsidRPr="00A9434B">
        <w:rPr>
          <w:b w:val="0"/>
          <w:bCs/>
        </w:rPr>
        <w:t>(Neale &amp; Macdonald, 2019; A. L. Smith et al., 2013)</w:t>
      </w:r>
      <w:r w:rsidR="00E41FA1" w:rsidRPr="00A9434B">
        <w:rPr>
          <w:b w:val="0"/>
          <w:bCs/>
          <w:i/>
          <w:iCs/>
        </w:rPr>
        <w:fldChar w:fldCharType="end"/>
      </w:r>
      <w:r w:rsidR="00C14761" w:rsidRPr="00A9434B">
        <w:rPr>
          <w:b w:val="0"/>
          <w:bCs/>
          <w:i/>
          <w:iCs/>
        </w:rPr>
        <w:fldChar w:fldCharType="end"/>
      </w:r>
      <w:r w:rsidR="326765F3" w:rsidRPr="00A9434B">
        <w:rPr>
          <w:b w:val="0"/>
          <w:bCs/>
        </w:rPr>
        <w:t xml:space="preserve">. It is now widely recognized that governments as decision-making authorities are necessary but </w:t>
      </w:r>
      <w:r w:rsidR="0C165B00" w:rsidRPr="00A9434B">
        <w:rPr>
          <w:b w:val="0"/>
          <w:bCs/>
        </w:rPr>
        <w:t>in</w:t>
      </w:r>
      <w:r w:rsidR="326765F3" w:rsidRPr="00A9434B">
        <w:rPr>
          <w:b w:val="0"/>
          <w:bCs/>
        </w:rPr>
        <w:t xml:space="preserve">sufficient for effective invasive alien species prevention and control </w:t>
      </w:r>
      <w:r w:rsidR="00C14761" w:rsidRPr="00A9434B">
        <w:rPr>
          <w:b w:val="0"/>
          <w:bCs/>
          <w:i/>
          <w:iCs/>
        </w:rPr>
        <w:fldChar w:fldCharType="begin"/>
      </w:r>
      <w:r w:rsidR="00C14761" w:rsidRPr="00A9434B">
        <w:rPr>
          <w:b w:val="0"/>
          <w:bCs/>
        </w:rPr>
        <w:instrText xml:space="preserve"> ADDIN EN.CITE &lt;EndNote&gt;&lt;Cite&gt;&lt;Author&gt;Miyanaga&lt;/Author&gt;&lt;Year&gt;2021&lt;/Year&gt;&lt;RecNum&gt;51617&lt;/RecNum&gt;&lt;DisplayText&gt;(Miyanaga and Nakai 2021)&lt;/DisplayText&gt;&lt;record&gt;&lt;rec-number&gt;51617&lt;/rec-number&gt;&lt;foreign-keys&gt;&lt;key app="EN" db-id="awx9raddr0xx2hev05rxr0z05weepwpt0fex" timestamp="1626589014"&gt;51617&lt;/key&gt;&lt;/foreign-keys&gt;&lt;ref-type name="Journal Article"&gt;17&lt;/ref-type&gt;&lt;contributors&gt;&lt;authors&gt;&lt;author&gt;Miyanaga, Kentaro&lt;/author&gt;&lt;author&gt;Nakai, Katsuki&lt;/author&gt;&lt;/authors&gt;&lt;/contributors&gt;&lt;titles&gt;&lt;title&gt;Making adaptive governance work in biodiversity conservation: lessons in invasive alien aquatic plant management in Lake Biwa, Japan&lt;/title&gt;&lt;secondary-title&gt;Ecology and Society&lt;/secondary-title&gt;&lt;/titles&gt;&lt;periodical&gt;&lt;full-title&gt;Ecology and Society&lt;/full-title&gt;&lt;abbr-1&gt;Ecol. Soc.&lt;/abbr-1&gt;&lt;abbr-2&gt;Ecol Soc&lt;/abbr-2&gt;&lt;/periodical&gt;&lt;volume&gt;26&lt;/volume&gt;&lt;number&gt;2&lt;/number&gt;&lt;keywords&gt;&lt;keyword&gt;adaptive governance&lt;/keyword&gt;&lt;keyword&gt;biodiversity conservation&lt;/keyword&gt;&lt;keyword&gt;environmental governance&lt;/keyword&gt;&lt;keyword&gt;invasive alien species&lt;/keyword&gt;&lt;keyword&gt;Lake Biwa&lt;/keyword&gt;&lt;keyword&gt;Ludwigia grandiflora&lt;/keyword&gt;&lt;/keywords&gt;&lt;dates&gt;&lt;year&gt;2021&lt;/year&gt;&lt;/dates&gt;&lt;publisher&gt;The Resilience Alliance&lt;/publisher&gt;&lt;urls&gt;&lt;related-urls&gt;&lt;url&gt;https://www.ecologyandsociety.org/vol26/iss2/art11/&lt;/url&gt;&lt;/related-urls&gt;&lt;/urls&gt;&lt;custom7&gt;11&lt;/custom7&gt;&lt;electronic-resource-num&gt;10.5751/ES-12352-260211&lt;/electronic-resource-num&gt;&lt;/record&gt;&lt;/Cite&gt;&lt;/EndNote&gt;</w:instrText>
      </w:r>
      <w:r w:rsidR="00C14761" w:rsidRPr="00A9434B">
        <w:rPr>
          <w:b w:val="0"/>
          <w:bCs/>
          <w:i/>
          <w:iCs/>
        </w:rPr>
        <w:fldChar w:fldCharType="separate"/>
      </w:r>
      <w:r w:rsidR="00E41FA1" w:rsidRPr="00A9434B">
        <w:rPr>
          <w:b w:val="0"/>
          <w:bCs/>
          <w:i/>
          <w:iCs/>
        </w:rPr>
        <w:fldChar w:fldCharType="begin"/>
      </w:r>
      <w:r w:rsidR="0006613E">
        <w:rPr>
          <w:b w:val="0"/>
          <w:bCs/>
        </w:rPr>
        <w:instrText xml:space="preserve"> ADDIN ZOTERO_ITEM CSL_CITATION {"citationID":"ak78r54hu1","properties":{"formattedCitation":"\\uldash{(Miyanaga &amp; Nakai, 2021)}","plainCitation":"(Miyanaga &amp; Nakai, 2021)","dontUpdate":true,"noteIndex":0},"citationItems":[{"id":10839,"uris":["http://zotero.org/groups/2352922/items/QFWU5Y56"],"itemData":{"id":10839,"type":"article-journal","abstract":"Invasive alien species are a serious threat to freshwater ecosystems and overall biodiversity. Although invasive alien species management in the form of environmental governance has often been practiced under an adaptive governance scheme, prevailing theoretical and practical difficulties must be solved to enhance policy effectiveness and outcomes. Our objective was to clarify how it is possible to make adaptive governance work in biodiversity conservation, especially invasive alien species management in freshwater ecosystems. To fulfill this objective, we investigated two analytical concepts—invasion management and adaptive governance—and studied a case of invasive alien aquatic plant management in Lake Biwa, Japan. The conclusion of our analysis and the lessons learned can be summarized as the following three points: First, whether learning processes are properly equipped by local environmental governance is critical for adaptive governance. We provide insights into three aspects of learning: the system where scientific knowledge is produced and shared for policy preparation, implementation, and evaluation; where social learning and processes that support social learning occur; and where a process of organizational learning occurs. Second, we discuss the role and function of government in adaptive governance, which indicates that interactive governance is possible even when a government initiates a governing process, and that an interactive governing structure would be fundamental for addressing social-ecological complexities and uncertainties. Third, the transition from symptomatic treatments toward precautionary actions for invasive alien species, which is essential for policy effectiveness and outcomes, can be fostered by an interactive governing structure. In addition, organizational learning can induce the transition, through which the competency trap caused by conformity bias in invasive alien species management could be avoided.","container-title":"Ecology and Society","DOI":"10.5751/ES-12352-260211","issue":"2","journalAbbreviation":"Ecology and Society","note":"publisher: The Resilience Alliance","page":"11","title":"Making adaptive governance work in biodiversity conservation: lessons in invasive alien aquatic plant management in Lake Biwa, Japan","URL":"https://www.ecologyandsociety.org/vol26/iss2/art11/","volume":"26","author":[{"family":"Miyanaga","given":"Kentaro"},{"family":"Nakai","given":"Katsuki"}],"issued":{"date-parts":[["2021"]]}},"label":"page"}],"schema":"https://github.com/citation-style-language/schema/raw/master/csl-citation.json"} </w:instrText>
      </w:r>
      <w:r w:rsidR="00E41FA1" w:rsidRPr="00A9434B">
        <w:rPr>
          <w:b w:val="0"/>
          <w:bCs/>
          <w:i/>
          <w:iCs/>
        </w:rPr>
        <w:fldChar w:fldCharType="separate"/>
      </w:r>
      <w:r w:rsidR="00AC6E28" w:rsidRPr="00A9434B">
        <w:rPr>
          <w:b w:val="0"/>
        </w:rPr>
        <w:t>(Miyanaga &amp; Nakai, 2021</w:t>
      </w:r>
      <w:r w:rsidR="00E41FA1" w:rsidRPr="00A9434B">
        <w:rPr>
          <w:b w:val="0"/>
          <w:bCs/>
          <w:i/>
          <w:iCs/>
        </w:rPr>
        <w:fldChar w:fldCharType="end"/>
      </w:r>
      <w:r w:rsidR="00C14761" w:rsidRPr="00A9434B">
        <w:rPr>
          <w:b w:val="0"/>
          <w:bCs/>
          <w:i/>
          <w:iCs/>
        </w:rPr>
        <w:fldChar w:fldCharType="end"/>
      </w:r>
      <w:r w:rsidR="7846C2B3" w:rsidRPr="00A9434B">
        <w:rPr>
          <w:b w:val="0"/>
          <w:bCs/>
        </w:rPr>
        <w:t>;</w:t>
      </w:r>
      <w:r>
        <w:rPr>
          <w:b w:val="0"/>
        </w:rPr>
        <w:t xml:space="preserve"> </w:t>
      </w:r>
      <w:r>
        <w:t>section 6.2.3.1</w:t>
      </w:r>
      <w:r>
        <w:rPr>
          <w:b w:val="0"/>
        </w:rPr>
        <w:t xml:space="preserve">). </w:t>
      </w:r>
    </w:p>
    <w:p w14:paraId="4FCDB02E" w14:textId="146F8456" w:rsidR="00C14761" w:rsidRPr="00C73655" w:rsidRDefault="002E5E8A" w:rsidP="00585D0E">
      <w:pPr>
        <w:pStyle w:val="Heading5"/>
        <w:rPr>
          <w:rFonts w:eastAsia="Batang"/>
          <w:b w:val="0"/>
          <w:bCs/>
          <w:i/>
          <w:iCs/>
        </w:rPr>
      </w:pPr>
      <w:bookmarkStart w:id="132" w:name="_heading=h.23ckvvd" w:colFirst="0" w:colLast="0"/>
      <w:bookmarkEnd w:id="132"/>
      <w:r w:rsidRPr="00A9434B">
        <w:rPr>
          <w:lang w:eastAsia="en-NZ"/>
        </w:rPr>
        <w:t>(5)</w:t>
      </w:r>
      <w:r w:rsidR="0013186C" w:rsidRPr="00A9434B">
        <w:rPr>
          <w:lang w:eastAsia="en-NZ"/>
        </w:rPr>
        <w:t xml:space="preserve"> </w:t>
      </w:r>
      <w:bookmarkStart w:id="133" w:name="_Toc43321263"/>
      <w:bookmarkStart w:id="134" w:name="_Toc75698965"/>
      <w:r w:rsidR="0013186C" w:rsidRPr="00A9434B">
        <w:rPr>
          <w:lang w:eastAsia="en-NZ"/>
        </w:rPr>
        <w:t>Fragmentation</w:t>
      </w:r>
      <w:bookmarkEnd w:id="133"/>
      <w:bookmarkEnd w:id="134"/>
      <w:r w:rsidR="002F2482" w:rsidRPr="00A9434B">
        <w:rPr>
          <w:lang w:eastAsia="en-NZ"/>
        </w:rPr>
        <w:t xml:space="preserve"> of policy inst</w:t>
      </w:r>
      <w:r w:rsidR="00F507CC" w:rsidRPr="00A9434B">
        <w:rPr>
          <w:lang w:eastAsia="en-NZ"/>
        </w:rPr>
        <w:t>r</w:t>
      </w:r>
      <w:r w:rsidR="002F2482" w:rsidRPr="00A9434B">
        <w:rPr>
          <w:lang w:eastAsia="en-NZ"/>
        </w:rPr>
        <w:t>uments</w:t>
      </w:r>
      <w:r w:rsidR="00F507CC" w:rsidRPr="00A9434B">
        <w:rPr>
          <w:lang w:eastAsia="en-NZ"/>
        </w:rPr>
        <w:t xml:space="preserve"> and their application</w:t>
      </w:r>
      <w:bookmarkEnd w:id="129"/>
      <w:r w:rsidR="00AC1E3E" w:rsidRPr="00A9434B">
        <w:rPr>
          <w:lang w:eastAsia="en-NZ"/>
        </w:rPr>
        <w:br/>
      </w:r>
      <w:r w:rsidR="00C14761" w:rsidRPr="00A9434B">
        <w:rPr>
          <w:rFonts w:eastAsia="Batang"/>
          <w:b w:val="0"/>
          <w:bCs/>
        </w:rPr>
        <w:t xml:space="preserve">Current policy on </w:t>
      </w:r>
      <w:r w:rsidR="00C14761" w:rsidRPr="00A9434B">
        <w:rPr>
          <w:b w:val="0"/>
          <w:bCs/>
        </w:rPr>
        <w:t>invasive alien species</w:t>
      </w:r>
      <w:r w:rsidR="00C14761" w:rsidRPr="00A9434B">
        <w:rPr>
          <w:rFonts w:eastAsia="Batang"/>
          <w:b w:val="0"/>
          <w:bCs/>
        </w:rPr>
        <w:t xml:space="preserve"> and its implementation is often fragmented, with multiple, often isolated decision-making </w:t>
      </w:r>
      <w:r w:rsidR="0024511D" w:rsidRPr="00A9434B">
        <w:rPr>
          <w:rFonts w:eastAsia="Batang"/>
          <w:b w:val="0"/>
          <w:bCs/>
        </w:rPr>
        <w:t>centres</w:t>
      </w:r>
      <w:r w:rsidR="004C7806" w:rsidRPr="00A9434B">
        <w:rPr>
          <w:rFonts w:eastAsia="Batang"/>
          <w:b w:val="0"/>
          <w:bCs/>
        </w:rPr>
        <w:t>. A</w:t>
      </w:r>
      <w:r w:rsidR="00C14761" w:rsidRPr="00A9434B">
        <w:rPr>
          <w:rFonts w:eastAsia="Batang"/>
          <w:b w:val="0"/>
          <w:bCs/>
        </w:rPr>
        <w:t>s a result</w:t>
      </w:r>
      <w:r w:rsidR="004C7806" w:rsidRPr="00A9434B">
        <w:rPr>
          <w:rFonts w:eastAsia="Batang"/>
          <w:b w:val="0"/>
          <w:bCs/>
        </w:rPr>
        <w:t xml:space="preserve"> </w:t>
      </w:r>
      <w:r w:rsidR="00151C51">
        <w:rPr>
          <w:rFonts w:eastAsia="Batang"/>
          <w:b w:val="0"/>
          <w:bCs/>
        </w:rPr>
        <w:t>current policy</w:t>
      </w:r>
      <w:r w:rsidR="004C7806" w:rsidRPr="00A9434B">
        <w:rPr>
          <w:rFonts w:eastAsia="Batang"/>
          <w:b w:val="0"/>
          <w:bCs/>
        </w:rPr>
        <w:t xml:space="preserve"> is</w:t>
      </w:r>
      <w:r w:rsidR="00C14761" w:rsidRPr="00A9434B">
        <w:rPr>
          <w:rFonts w:eastAsia="Batang"/>
          <w:b w:val="0"/>
          <w:bCs/>
        </w:rPr>
        <w:t xml:space="preserve"> less effective than it could be </w:t>
      </w:r>
      <w:r w:rsidR="00C14761" w:rsidRPr="00FB0AD5">
        <w:rPr>
          <w:rFonts w:eastAsia="Batang"/>
          <w:b w:val="0"/>
          <w:bCs/>
          <w:i/>
          <w:iCs/>
        </w:rPr>
        <w:lastRenderedPageBreak/>
        <w:fldChar w:fldCharType="begin">
          <w:fldData xml:space="preserve">PEVuZE5vdGU+PENpdGU+PEF1dGhvcj5Ob3VyYW5pPC9BdXRob3I+PFllYXI+MjAxOTwvWWVhcj48
UmVjTnVtPjQ5MDA0PC9SZWNOdW0+PERpc3BsYXlUZXh0PihQcmFzZWVkYSBhbmQgTmV3cG9ydCAy
MDEwLCBHaWxuYSwgS3V6bWEgZXQgYWwuIDIwMTQsIFJ1ZGQsIERpY2tleS1Db2xsYXMgZXQgYWwu
IDIwMTgsIE5vdXJhbmksIERlY2tlciBldCBhbC4gMjAxOSk8L0Rpc3BsYXlUZXh0PjxyZWNvcmQ+
PHJlYy1udW1iZXI+NDkwMDQ8L3JlYy1udW1iZXI+PGZvcmVpZ24ta2V5cz48a2V5IGFwcD0iRU4i
IGRiLWlkPSJhd3g5cmFkZHIweHgyaGV2MDVyeHIwejA1d2VlcHdwdDBmZXgiIHRpbWVzdGFtcD0i
MTU4MTQ5NzMyMCI+NDkwMDQ8L2tleT48L2ZvcmVpZ24ta2V5cz48cmVmLXR5cGUgbmFtZT0iSm91
cm5hbCBBcnRpY2xlIj4xNzwvcmVmLXR5cGU+PGNvbnRyaWJ1dG9ycz48YXV0aG9ycz48YXV0aG9y
Pk5vdXJhbmksIFNhbGx5IFcuPC9hdXRob3I+PGF1dGhvcj5EZWNrZXIsIERhbmllbCBKLjwvYXV0
aG9yPjxhdXRob3I+S3Jhc255LCBNYXJpYW5uZSBFLjwvYXV0aG9yPjwvYXV0aG9ycz48L2NvbnRy
aWJ1dG9ycz48dGl0bGVzPjx0aXRsZT5FeHRlbnNpb24gYXMgYSBNdWx0aWxldmVsIEJyaWRnaW5n
IE9yZ2FuaXphdGlvbjogU3VwcG9ydGluZyBOZXR3b3JrZWQgRW52aXJvbm1lbnRhbCBHb3Zlcm5h
bmNlPC90aXRsZT48c2Vjb25kYXJ5LXRpdGxlPkpvdXJuYWwgb2YgRXh0ZW5zaW9uPC9zZWNvbmRh
cnktdGl0bGU+PC90aXRsZXM+PHBlcmlvZGljYWw+PGZ1bGwtdGl0bGU+Sm91cm5hbCBvZiBFeHRl
bnNpb248L2Z1bGwtdGl0bGU+PC9wZXJpb2RpY2FsPjx2b2x1bWU+NTc8L3ZvbHVtZT48bnVtYmVy
PjU8L251bWJlcj48ZGF0ZXM+PHllYXI+MjAxOTwveWVhcj48cHViLWRhdGVzPjxkYXRlPk9jdDwv
ZGF0ZT48L3B1Yi1kYXRlcz48L2RhdGVzPjxpc2JuPjAwMjItMDE0MDwvaXNibj48YWNjZXNzaW9u
LW51bT5XT1M6MDAwNDkwNzY1ODAwMDAyPC9hY2Nlc3Npb24tbnVtPjx1cmxzPjxyZWxhdGVkLXVy
bHM+PHVybD4mbHQ7R28gdG8gSVNJJmd0OzovL1dPUzowMDA0OTA3NjU4MDAwMDI8L3VybD48L3Jl
bGF0ZWQtdXJscz48L3VybHM+PGN1c3RvbTc+NWZlYTI8L2N1c3RvbTc+PC9yZWNvcmQ+PC9DaXRl
PjxDaXRlPjxBdXRob3I+UnVkZDwvQXV0aG9yPjxZZWFyPjIwMTg8L1llYXI+PFJlY051bT40OTAz
MDwvUmVjTnVtPjxyZWNvcmQ+PHJlYy1udW1iZXI+NDkwMzA8L3JlYy1udW1iZXI+PGZvcmVpZ24t
a2V5cz48a2V5IGFwcD0iRU4iIGRiLWlkPSJhd3g5cmFkZHIweHgyaGV2MDVyeHIwejA1d2VlcHdw
dDBmZXgiIHRpbWVzdGFtcD0iMTU4MTQ5NzMyMCI+NDkwMzA8L2tleT48L2ZvcmVpZ24ta2V5cz48
cmVmLXR5cGUgbmFtZT0iSm91cm5hbCBBcnRpY2xlIj4xNzwvcmVmLXR5cGU+PGNvbnRyaWJ1dG9y
cz48YXV0aG9ycz48YXV0aG9yPlJ1ZGQsIE11cnJheSBBLjwvYXV0aG9yPjxhdXRob3I+RGlja2V5
LUNvbGxhcywgTWFyazwvYXV0aG9yPjxhdXRob3I+RmVycmV0dGksIEpvaGFubmE8L2F1dGhvcj48
YXV0aG9yPkpvaGFubmVzZW4sIEVsbGVuPC9hdXRob3I+PGF1dGhvcj5NYWNkb25hbGQsIE5pY29s
IE0uPC9hdXRob3I+PGF1dGhvcj5NY0xhdWdobGluLCBSaWNoYXJkPC9hdXRob3I+PGF1dGhvcj5S
YWUsIE1hcmdhcmV0PC9hdXRob3I+PGF1dGhvcj5UaGllbGUsIFRvcnN0ZW48L2F1dGhvcj48YXV0
aG9yPkxpbmssIEphc29uIFMuPC9hdXRob3I+PC9hdXRob3JzPjwvY29udHJpYnV0b3JzPjx0aXRs
ZXM+PHRpdGxlPk9jZWFuIEVjb3N5c3RlbS1CYXNlZCBNYW5hZ2VtZW50IE1hbmRhdGVzIGFuZCBJ
bXBsZW1lbnRhdGlvbiBpbiB0aGUgTm9ydGggQXRsYW50aWM8L3RpdGxlPjxzZWNvbmRhcnktdGl0
bGU+RnJvbnRpZXJzIGluIE1hcmluZSBTY2llbmNlPC9zZWNvbmRhcnktdGl0bGU+PC90aXRsZXM+
PHBlcmlvZGljYWw+PGZ1bGwtdGl0bGU+RnJvbnRpZXJzIGluIE1hcmluZSBTY2llbmNlPC9mdWxs
LXRpdGxlPjwvcGVyaW9kaWNhbD48dm9sdW1lPjU8L3ZvbHVtZT48ZGF0ZXM+PHllYXI+MjAxODwv
eWVhcj48cHViLWRhdGVzPjxkYXRlPkRlYyAxNDwvZGF0ZT48L3B1Yi1kYXRlcz48L2RhdGVzPjxh
Y2Nlc3Npb24tbnVtPldPUzowMDA0NTcyMjEwMDAwMDE8L2FjY2Vzc2lvbi1udW0+PHVybHM+PHJl
bGF0ZWQtdXJscz48dXJsPiZsdDtHbyB0byBJU0kmZ3Q7Oi8vV09TOjAwMDQ1NzIyMTAwMDAwMTwv
dXJsPjwvcmVsYXRlZC11cmxzPjwvdXJscz48Y3VzdG9tNz5VbnNwIDQ4NTwvY3VzdG9tNz48ZWxl
Y3Ryb25pYy1yZXNvdXJjZS1udW0+MTAuMzM4OS9mbWFycy4yMDE4LjAwNDg1PC9lbGVjdHJvbmlj
LXJlc291cmNlLW51bT48L3JlY29yZD48L0NpdGU+PENpdGU+PEF1dGhvcj5QcmFzZWVkYTwvQXV0
aG9yPjxZZWFyPjIwMTA8L1llYXI+PFJlY051bT40OTE3MjwvUmVjTnVtPjxyZWNvcmQ+PHJlYy1u
dW1iZXI+NDkxNzI8L3JlYy1udW1iZXI+PGZvcmVpZ24ta2V5cz48a2V5IGFwcD0iRU4iIGRiLWlk
PSJhd3g5cmFkZHIweHgyaGV2MDVyeHIwejA1d2VlcHdwdDBmZXgiIHRpbWVzdGFtcD0iMTU4MTQ5
NzMyMCI+NDkxNzI8L2tleT48L2ZvcmVpZ24ta2V5cz48cmVmLXR5cGUgbmFtZT0iSm91cm5hbCBB
cnRpY2xlIj4xNzwvcmVmLXR5cGU+PGNvbnRyaWJ1dG9ycz48YXV0aG9ycz48YXV0aG9yPlByYXNl
ZWRhLCBTYW51IFYuPC9hdXRob3I+PGF1dGhvcj5OZXdwb3J0LCBKZXlhbnRoIEsuPC9hdXRob3I+
PC9hdXRob3JzPjwvY29udHJpYnV0b3JzPjx0aXRsZXM+PHRpdGxlPkludmFzaXZlIGFsaWVuIHNw
ZWNpZXMgZGlzcGVyc2FsOiB0aGUgbWlsbGVubml1bSBiaW9kaXZlcnNpdHkgZGlzYXN0ZXI8L3Rp
dGxlPjxzZWNvbmRhcnktdGl0bGU+RGlzYXN0ZXIgUHJldmVudGlvbiBhbmQgTWFuYWdlbWVudDwv
c2Vjb25kYXJ5LXRpdGxlPjwvdGl0bGVzPjxwZXJpb2RpY2FsPjxmdWxsLXRpdGxlPkRpc2FzdGVy
IFByZXZlbnRpb24gYW5kIE1hbmFnZW1lbnQ8L2Z1bGwtdGl0bGU+PGFiYnItMT5EaXNhc3RlciBQ
cmV2LiBNYW5hZ2UuPC9hYmJyLTE+PGFiYnItMj5EaXNhc3RlciBQcmV2IE1hbmFnZTwvYWJici0y
PjwvcGVyaW9kaWNhbD48cGFnZXM+MjkxLTI5NzwvcGFnZXM+PHZvbHVtZT4xOTwvdm9sdW1lPjxu
dW1iZXI+MzwvbnVtYmVyPjxkYXRlcz48eWVhcj4yMDEwPC95ZWFyPjxwdWItZGF0ZXM+PGRhdGU+
MjAxMDwvZGF0ZT48L3B1Yi1kYXRlcz48L2RhdGVzPjxpc2JuPjA5NjUtMzU2MjwvaXNibj48YWNj
ZXNzaW9uLW51bT5XT1M6MDAwMjkxMTI4OTAwMDAzPC9hY2Nlc3Npb24tbnVtPjx1cmxzPjxyZWxh
dGVkLXVybHM+PHVybD4mbHQ7R28gdG8gSVNJJmd0OzovL1dPUzowMDAyOTExMjg5MDAwMDM8L3Vy
bD48L3JlbGF0ZWQtdXJscz48L3VybHM+PGVsZWN0cm9uaWMtcmVzb3VyY2UtbnVtPjEwLjExMDgv
MDk2NTM1NjEwMTEwNTI0NzU8L2VsZWN0cm9uaWMtcmVzb3VyY2UtbnVtPjwvcmVjb3JkPjwvQ2l0
ZT48Q2l0ZT48QXV0aG9yPkdpbG5hPC9BdXRob3I+PFllYXI+MjAxNDwvWWVhcj48UmVjTnVtPjM4
PC9SZWNOdW0+PHJlY29yZD48cmVjLW51bWJlcj41MDwvcmVjLW51bWJlcj48Zm9yZWlnbi1rZXlz
PjxrZXkgYXBwPSJFTiIgZGItaWQ9IjBkNTVwYXhkY3Z3cGViZTU1ZDF2cno1bmUycGF0dHByYXJ0
YSIgdGltZXN0YW1wPSIxNTk3OTkyNzMzIj41MDwva2V5PjwvZm9yZWlnbi1rZXlzPjxyZWYtdHlw
ZSBuYW1lPSJKb3VybmFsIEFydGljbGUiPjE3PC9yZWYtdHlwZT48Y29udHJpYnV0b3JzPjxhdXRo
b3JzPjxhdXRob3I+R2lsbmEsIEJlbjwvYXV0aG9yPjxhdXRob3I+S3V6bWEsIEplbm5pZmVyPC9h
dXRob3I+PGF1dGhvcj5PdHRzLCBTdGVwaGFuaWUgU2hvd2FsdGVyPC9hdXRob3I+PC9hdXRob3Jz
PjwvY29udHJpYnV0b3JzPjx0aXRsZXM+PHRpdGxlPkdvdmVybmFuY2Ugb2YgZ2VuZXRpYyBiaW9j
b250cm9sIHRlY2hub2xvZ2llcyBmb3IgaW52YXNpdmUgZmlzaDwvdGl0bGU+PHNlY29uZGFyeS10
aXRsZT5CaW9sb2dpY2FsIEludmFzaW9uczwvc2Vjb25kYXJ5LXRpdGxlPjwvdGl0bGVzPjxwZXJp
b2RpY2FsPjxmdWxsLXRpdGxlPkJpb2xvZ2ljYWwgSW52YXNpb25zPC9mdWxsLXRpdGxlPjwvcGVy
aW9kaWNhbD48cGFnZXM+MTI5OS0xMzEyPC9wYWdlcz48dm9sdW1lPjE2PC92b2x1bWU+PG51bWJl
cj42PC9udW1iZXI+PGRhdGVzPjx5ZWFyPjIwMTQ8L3llYXI+PHB1Yi1kYXRlcz48ZGF0ZT5KdW48
L2RhdGU+PC9wdWItZGF0ZXM+PC9kYXRlcz48aXNibj4xMzg3LTM1NDc8L2lzYm4+PGFjY2Vzc2lv
bi1udW0+V09TOjAwMDMzODQ0NDUwMDAwOTwvYWNjZXNzaW9uLW51bT48dXJscz48cmVsYXRlZC11
cmxzPjx1cmw+Jmx0O0dvIHRvIElTSSZndDs6Ly9XT1M6MDAwMzM4NDQ0NTAwMDA5PC91cmw+PC9y
ZWxhdGVkLXVybHM+PC91cmxzPjxlbGVjdHJvbmljLXJlc291cmNlLW51bT4xMC4xMDA3L3MxMDUz
MC0wMTItMDM2Ny14PC9lbGVjdHJvbmljLXJlc291cmNlLW51bT48L3JlY29yZD48L0NpdGU+PC9F
bmROb3RlPn==
</w:fldData>
        </w:fldChar>
      </w:r>
      <w:r w:rsidR="00C14761" w:rsidRPr="00FB0AD5">
        <w:rPr>
          <w:rFonts w:eastAsia="Batang"/>
          <w:b w:val="0"/>
          <w:bCs/>
        </w:rPr>
        <w:instrText xml:space="preserve"> ADDIN EN.CITE </w:instrText>
      </w:r>
      <w:r w:rsidR="00C14761" w:rsidRPr="00FB0AD5">
        <w:rPr>
          <w:rFonts w:eastAsia="Batang"/>
          <w:b w:val="0"/>
          <w:bCs/>
          <w:i/>
          <w:iCs/>
        </w:rPr>
        <w:fldChar w:fldCharType="begin">
          <w:fldData xml:space="preserve">PEVuZE5vdGU+PENpdGU+PEF1dGhvcj5Ob3VyYW5pPC9BdXRob3I+PFllYXI+MjAxOTwvWWVhcj48
UmVjTnVtPjQ5MDA0PC9SZWNOdW0+PERpc3BsYXlUZXh0PihQcmFzZWVkYSBhbmQgTmV3cG9ydCAy
MDEwLCBHaWxuYSwgS3V6bWEgZXQgYWwuIDIwMTQsIFJ1ZGQsIERpY2tleS1Db2xsYXMgZXQgYWwu
IDIwMTgsIE5vdXJhbmksIERlY2tlciBldCBhbC4gMjAxOSk8L0Rpc3BsYXlUZXh0PjxyZWNvcmQ+
PHJlYy1udW1iZXI+NDkwMDQ8L3JlYy1udW1iZXI+PGZvcmVpZ24ta2V5cz48a2V5IGFwcD0iRU4i
IGRiLWlkPSJhd3g5cmFkZHIweHgyaGV2MDVyeHIwejA1d2VlcHdwdDBmZXgiIHRpbWVzdGFtcD0i
MTU4MTQ5NzMyMCI+NDkwMDQ8L2tleT48L2ZvcmVpZ24ta2V5cz48cmVmLXR5cGUgbmFtZT0iSm91
cm5hbCBBcnRpY2xlIj4xNzwvcmVmLXR5cGU+PGNvbnRyaWJ1dG9ycz48YXV0aG9ycz48YXV0aG9y
Pk5vdXJhbmksIFNhbGx5IFcuPC9hdXRob3I+PGF1dGhvcj5EZWNrZXIsIERhbmllbCBKLjwvYXV0
aG9yPjxhdXRob3I+S3Jhc255LCBNYXJpYW5uZSBFLjwvYXV0aG9yPjwvYXV0aG9ycz48L2NvbnRy
aWJ1dG9ycz48dGl0bGVzPjx0aXRsZT5FeHRlbnNpb24gYXMgYSBNdWx0aWxldmVsIEJyaWRnaW5n
IE9yZ2FuaXphdGlvbjogU3VwcG9ydGluZyBOZXR3b3JrZWQgRW52aXJvbm1lbnRhbCBHb3Zlcm5h
bmNlPC90aXRsZT48c2Vjb25kYXJ5LXRpdGxlPkpvdXJuYWwgb2YgRXh0ZW5zaW9uPC9zZWNvbmRh
cnktdGl0bGU+PC90aXRsZXM+PHBlcmlvZGljYWw+PGZ1bGwtdGl0bGU+Sm91cm5hbCBvZiBFeHRl
bnNpb248L2Z1bGwtdGl0bGU+PC9wZXJpb2RpY2FsPjx2b2x1bWU+NTc8L3ZvbHVtZT48bnVtYmVy
PjU8L251bWJlcj48ZGF0ZXM+PHllYXI+MjAxOTwveWVhcj48cHViLWRhdGVzPjxkYXRlPk9jdDwv
ZGF0ZT48L3B1Yi1kYXRlcz48L2RhdGVzPjxpc2JuPjAwMjItMDE0MDwvaXNibj48YWNjZXNzaW9u
LW51bT5XT1M6MDAwNDkwNzY1ODAwMDAyPC9hY2Nlc3Npb24tbnVtPjx1cmxzPjxyZWxhdGVkLXVy
bHM+PHVybD4mbHQ7R28gdG8gSVNJJmd0OzovL1dPUzowMDA0OTA3NjU4MDAwMDI8L3VybD48L3Jl
bGF0ZWQtdXJscz48L3VybHM+PGN1c3RvbTc+NWZlYTI8L2N1c3RvbTc+PC9yZWNvcmQ+PC9DaXRl
PjxDaXRlPjxBdXRob3I+UnVkZDwvQXV0aG9yPjxZZWFyPjIwMTg8L1llYXI+PFJlY051bT40OTAz
MDwvUmVjTnVtPjxyZWNvcmQ+PHJlYy1udW1iZXI+NDkwMzA8L3JlYy1udW1iZXI+PGZvcmVpZ24t
a2V5cz48a2V5IGFwcD0iRU4iIGRiLWlkPSJhd3g5cmFkZHIweHgyaGV2MDVyeHIwejA1d2VlcHdw
dDBmZXgiIHRpbWVzdGFtcD0iMTU4MTQ5NzMyMCI+NDkwMzA8L2tleT48L2ZvcmVpZ24ta2V5cz48
cmVmLXR5cGUgbmFtZT0iSm91cm5hbCBBcnRpY2xlIj4xNzwvcmVmLXR5cGU+PGNvbnRyaWJ1dG9y
cz48YXV0aG9ycz48YXV0aG9yPlJ1ZGQsIE11cnJheSBBLjwvYXV0aG9yPjxhdXRob3I+RGlja2V5
LUNvbGxhcywgTWFyazwvYXV0aG9yPjxhdXRob3I+RmVycmV0dGksIEpvaGFubmE8L2F1dGhvcj48
YXV0aG9yPkpvaGFubmVzZW4sIEVsbGVuPC9hdXRob3I+PGF1dGhvcj5NYWNkb25hbGQsIE5pY29s
IE0uPC9hdXRob3I+PGF1dGhvcj5NY0xhdWdobGluLCBSaWNoYXJkPC9hdXRob3I+PGF1dGhvcj5S
YWUsIE1hcmdhcmV0PC9hdXRob3I+PGF1dGhvcj5UaGllbGUsIFRvcnN0ZW48L2F1dGhvcj48YXV0
aG9yPkxpbmssIEphc29uIFMuPC9hdXRob3I+PC9hdXRob3JzPjwvY29udHJpYnV0b3JzPjx0aXRs
ZXM+PHRpdGxlPk9jZWFuIEVjb3N5c3RlbS1CYXNlZCBNYW5hZ2VtZW50IE1hbmRhdGVzIGFuZCBJ
bXBsZW1lbnRhdGlvbiBpbiB0aGUgTm9ydGggQXRsYW50aWM8L3RpdGxlPjxzZWNvbmRhcnktdGl0
bGU+RnJvbnRpZXJzIGluIE1hcmluZSBTY2llbmNlPC9zZWNvbmRhcnktdGl0bGU+PC90aXRsZXM+
PHBlcmlvZGljYWw+PGZ1bGwtdGl0bGU+RnJvbnRpZXJzIGluIE1hcmluZSBTY2llbmNlPC9mdWxs
LXRpdGxlPjwvcGVyaW9kaWNhbD48dm9sdW1lPjU8L3ZvbHVtZT48ZGF0ZXM+PHllYXI+MjAxODwv
eWVhcj48cHViLWRhdGVzPjxkYXRlPkRlYyAxNDwvZGF0ZT48L3B1Yi1kYXRlcz48L2RhdGVzPjxh
Y2Nlc3Npb24tbnVtPldPUzowMDA0NTcyMjEwMDAwMDE8L2FjY2Vzc2lvbi1udW0+PHVybHM+PHJl
bGF0ZWQtdXJscz48dXJsPiZsdDtHbyB0byBJU0kmZ3Q7Oi8vV09TOjAwMDQ1NzIyMTAwMDAwMTwv
dXJsPjwvcmVsYXRlZC11cmxzPjwvdXJscz48Y3VzdG9tNz5VbnNwIDQ4NTwvY3VzdG9tNz48ZWxl
Y3Ryb25pYy1yZXNvdXJjZS1udW0+MTAuMzM4OS9mbWFycy4yMDE4LjAwNDg1PC9lbGVjdHJvbmlj
LXJlc291cmNlLW51bT48L3JlY29yZD48L0NpdGU+PENpdGU+PEF1dGhvcj5QcmFzZWVkYTwvQXV0
aG9yPjxZZWFyPjIwMTA8L1llYXI+PFJlY051bT40OTE3MjwvUmVjTnVtPjxyZWNvcmQ+PHJlYy1u
dW1iZXI+NDkxNzI8L3JlYy1udW1iZXI+PGZvcmVpZ24ta2V5cz48a2V5IGFwcD0iRU4iIGRiLWlk
PSJhd3g5cmFkZHIweHgyaGV2MDVyeHIwejA1d2VlcHdwdDBmZXgiIHRpbWVzdGFtcD0iMTU4MTQ5
NzMyMCI+NDkxNzI8L2tleT48L2ZvcmVpZ24ta2V5cz48cmVmLXR5cGUgbmFtZT0iSm91cm5hbCBB
cnRpY2xlIj4xNzwvcmVmLXR5cGU+PGNvbnRyaWJ1dG9ycz48YXV0aG9ycz48YXV0aG9yPlByYXNl
ZWRhLCBTYW51IFYuPC9hdXRob3I+PGF1dGhvcj5OZXdwb3J0LCBKZXlhbnRoIEsuPC9hdXRob3I+
PC9hdXRob3JzPjwvY29udHJpYnV0b3JzPjx0aXRsZXM+PHRpdGxlPkludmFzaXZlIGFsaWVuIHNw
ZWNpZXMgZGlzcGVyc2FsOiB0aGUgbWlsbGVubml1bSBiaW9kaXZlcnNpdHkgZGlzYXN0ZXI8L3Rp
dGxlPjxzZWNvbmRhcnktdGl0bGU+RGlzYXN0ZXIgUHJldmVudGlvbiBhbmQgTWFuYWdlbWVudDwv
c2Vjb25kYXJ5LXRpdGxlPjwvdGl0bGVzPjxwZXJpb2RpY2FsPjxmdWxsLXRpdGxlPkRpc2FzdGVy
IFByZXZlbnRpb24gYW5kIE1hbmFnZW1lbnQ8L2Z1bGwtdGl0bGU+PGFiYnItMT5EaXNhc3RlciBQ
cmV2LiBNYW5hZ2UuPC9hYmJyLTE+PGFiYnItMj5EaXNhc3RlciBQcmV2IE1hbmFnZTwvYWJici0y
PjwvcGVyaW9kaWNhbD48cGFnZXM+MjkxLTI5NzwvcGFnZXM+PHZvbHVtZT4xOTwvdm9sdW1lPjxu
dW1iZXI+MzwvbnVtYmVyPjxkYXRlcz48eWVhcj4yMDEwPC95ZWFyPjxwdWItZGF0ZXM+PGRhdGU+
MjAxMDwvZGF0ZT48L3B1Yi1kYXRlcz48L2RhdGVzPjxpc2JuPjA5NjUtMzU2MjwvaXNibj48YWNj
ZXNzaW9uLW51bT5XT1M6MDAwMjkxMTI4OTAwMDAzPC9hY2Nlc3Npb24tbnVtPjx1cmxzPjxyZWxh
dGVkLXVybHM+PHVybD4mbHQ7R28gdG8gSVNJJmd0OzovL1dPUzowMDAyOTExMjg5MDAwMDM8L3Vy
bD48L3JlbGF0ZWQtdXJscz48L3VybHM+PGVsZWN0cm9uaWMtcmVzb3VyY2UtbnVtPjEwLjExMDgv
MDk2NTM1NjEwMTEwNTI0NzU8L2VsZWN0cm9uaWMtcmVzb3VyY2UtbnVtPjwvcmVjb3JkPjwvQ2l0
ZT48Q2l0ZT48QXV0aG9yPkdpbG5hPC9BdXRob3I+PFllYXI+MjAxNDwvWWVhcj48UmVjTnVtPjM4
PC9SZWNOdW0+PHJlY29yZD48cmVjLW51bWJlcj41MDwvcmVjLW51bWJlcj48Zm9yZWlnbi1rZXlz
PjxrZXkgYXBwPSJFTiIgZGItaWQ9IjBkNTVwYXhkY3Z3cGViZTU1ZDF2cno1bmUycGF0dHByYXJ0
YSIgdGltZXN0YW1wPSIxNTk3OTkyNzMzIj41MDwva2V5PjwvZm9yZWlnbi1rZXlzPjxyZWYtdHlw
ZSBuYW1lPSJKb3VybmFsIEFydGljbGUiPjE3PC9yZWYtdHlwZT48Y29udHJpYnV0b3JzPjxhdXRo
b3JzPjxhdXRob3I+R2lsbmEsIEJlbjwvYXV0aG9yPjxhdXRob3I+S3V6bWEsIEplbm5pZmVyPC9h
dXRob3I+PGF1dGhvcj5PdHRzLCBTdGVwaGFuaWUgU2hvd2FsdGVyPC9hdXRob3I+PC9hdXRob3Jz
PjwvY29udHJpYnV0b3JzPjx0aXRsZXM+PHRpdGxlPkdvdmVybmFuY2Ugb2YgZ2VuZXRpYyBiaW9j
b250cm9sIHRlY2hub2xvZ2llcyBmb3IgaW52YXNpdmUgZmlzaDwvdGl0bGU+PHNlY29uZGFyeS10
aXRsZT5CaW9sb2dpY2FsIEludmFzaW9uczwvc2Vjb25kYXJ5LXRpdGxlPjwvdGl0bGVzPjxwZXJp
b2RpY2FsPjxmdWxsLXRpdGxlPkJpb2xvZ2ljYWwgSW52YXNpb25zPC9mdWxsLXRpdGxlPjwvcGVy
aW9kaWNhbD48cGFnZXM+MTI5OS0xMzEyPC9wYWdlcz48dm9sdW1lPjE2PC92b2x1bWU+PG51bWJl
cj42PC9udW1iZXI+PGRhdGVzPjx5ZWFyPjIwMTQ8L3llYXI+PHB1Yi1kYXRlcz48ZGF0ZT5KdW48
L2RhdGU+PC9wdWItZGF0ZXM+PC9kYXRlcz48aXNibj4xMzg3LTM1NDc8L2lzYm4+PGFjY2Vzc2lv
bi1udW0+V09TOjAwMDMzODQ0NDUwMDAwOTwvYWNjZXNzaW9uLW51bT48dXJscz48cmVsYXRlZC11
cmxzPjx1cmw+Jmx0O0dvIHRvIElTSSZndDs6Ly9XT1M6MDAwMzM4NDQ0NTAwMDA5PC91cmw+PC9y
ZWxhdGVkLXVybHM+PC91cmxzPjxlbGVjdHJvbmljLXJlc291cmNlLW51bT4xMC4xMDA3L3MxMDUz
MC0wMTItMDM2Ny14PC9lbGVjdHJvbmljLXJlc291cmNlLW51bT48L3JlY29yZD48L0NpdGU+PC9F
bmROb3RlPn==
</w:fldData>
        </w:fldChar>
      </w:r>
      <w:r w:rsidR="00C14761" w:rsidRPr="00FB0AD5">
        <w:rPr>
          <w:rFonts w:eastAsia="Batang"/>
          <w:b w:val="0"/>
          <w:bCs/>
        </w:rPr>
        <w:instrText xml:space="preserve"> ADDIN EN.CITE.DATA </w:instrText>
      </w:r>
      <w:r w:rsidR="00C14761" w:rsidRPr="00FB0AD5">
        <w:rPr>
          <w:rFonts w:eastAsia="Batang"/>
          <w:b w:val="0"/>
          <w:bCs/>
          <w:i/>
          <w:iCs/>
        </w:rPr>
      </w:r>
      <w:r w:rsidR="00C14761" w:rsidRPr="00FB0AD5">
        <w:rPr>
          <w:rFonts w:eastAsia="Batang"/>
          <w:b w:val="0"/>
          <w:bCs/>
          <w:i/>
          <w:iCs/>
        </w:rPr>
        <w:fldChar w:fldCharType="end"/>
      </w:r>
      <w:r w:rsidR="00C14761" w:rsidRPr="00FB0AD5">
        <w:rPr>
          <w:rFonts w:eastAsia="Batang"/>
          <w:b w:val="0"/>
          <w:bCs/>
          <w:i/>
          <w:iCs/>
        </w:rPr>
      </w:r>
      <w:r w:rsidR="00C14761" w:rsidRPr="00FB0AD5">
        <w:rPr>
          <w:rFonts w:eastAsia="Batang"/>
          <w:b w:val="0"/>
          <w:bCs/>
          <w:i/>
          <w:iCs/>
        </w:rPr>
        <w:fldChar w:fldCharType="separate"/>
      </w:r>
      <w:r w:rsidR="00146B23" w:rsidRPr="00FB0AD5">
        <w:rPr>
          <w:rFonts w:eastAsia="Batang"/>
          <w:b w:val="0"/>
          <w:bCs/>
          <w:i/>
          <w:iCs/>
        </w:rPr>
        <w:fldChar w:fldCharType="begin"/>
      </w:r>
      <w:r w:rsidR="0006613E">
        <w:rPr>
          <w:rFonts w:eastAsia="Batang"/>
          <w:b w:val="0"/>
          <w:bCs/>
        </w:rPr>
        <w:instrText xml:space="preserve"> ADDIN ZOTERO_ITEM CSL_CITATION {"citationID":"a1eeraefqd","properties":{"formattedCitation":"(Gilna et al., 2014; Nourani et al., 2019; Praseeda Sanu &amp; Newport, 2010; Rudd et al., 2018)","plainCitation":"(Gilna et al., 2014; Nourani et al., 2019; Praseeda Sanu &amp; Newport, 2010; Rudd et al., 2018)","noteIndex":0},"citationItems":[{"id":24255,"uris":["http://zotero.org/groups/2352922/items/66ZSWCJ4"],"itemData":{"id":24255,"type":"article-journal","abstract":"The modification of living agents for biological control can be collectively regarded as genetic biocontrol (GBC). Applications to invasive fish are an area of significant work in GBC, employing a diversity of techniques. Some of these techniques are governed by particular legislation, policy or treaty, (e.g., transgenesis), while others deliver agents with similar properties with minimal regulation. Together, this heterogeneity of governance and biology creates a number of challenges for effective use of GBC. In some cases, there are gaps and inconsistencies that pose real threats to biodiversity, and the long term sustainability of oversight arrangements as they currently stand is questionable. Researchers and would-be users of GBC for invasive fish must proactively engage with a variety of stakeholders to improve governance (in fish and other taxa), which we contend may include reconfiguration of relevant national governance systems, meaningful stakeholder dialogue and the creation of a new international treaty dedicated to biological control. © 2013 Springer Science+Business Media Dordrecht.","container-title":"Biological Invasions","DOI":"10.1007/s10530-012-0367-x","ISSN":"1387-3547","issue":"6","journalAbbreviation":"Biol. Invasions","page":"1299-1312","title":"Governance of genetic biocontrol technologies for invasive fish","URL":"https://www.scopus.com/inward/record.uri?eid=2-s2.0-84900002278&amp;doi=10.1007%2fs10530-012-0367-x&amp;partnerID=40&amp;md5=a931c889fdbcaa1110214fc654fb511c","volume":"16","author":[{"family":"Gilna","given":"Ben"},{"family":"Kuzma","given":"Jennifer"},{"family":"Otts","given":"Stephanie Showalter"}],"issued":{"date-parts":[["2014",6]]}},"label":"page"},{"id":23792,"uris":["http://zotero.org/groups/2352922/items/7MKNKPM5"],"itemData":{"id":23792,"type":"article-journal","container-title":"Journal of Extension","ISSN":"0022-0140","issue":"5","title":"Extension as a Multilevel Bridging Organization: Supporting Networked Environmental Governance","URL":"https://archives.joe.org/joe/2019october/a2.php","volume":"57","author":[{"family":"Nourani","given":"Sally W."},{"family":"Decker","given":"Daniel J."},{"family":"Krasny","given":"Marianne E."}],"issued":{"date-parts":[["2019",10]]}},"label":"page"},{"id":24315,"uris":["http://zotero.org/groups/2352922/items/3PGKCLKA"],"itemData":{"id":24315,"type":"article-journal","abstract":"Purpose: The purpose of the paper is to analyze the different modes of species dispersal and the various types of alien species dispersed in the Indian peninsular region and its impact on the eco system and livelihoods. Design/methodology/approach: The paper portrays the various identified alien species, the scale of invasion thereby resulting in biological disaster caused by mankind. Findings: The paper lists the invasive alien species (IAS) are those that are transmitted from their own ecological niche and to a new niche due to human influence, which causes the biodiversity disaster. International boundaries are indeed porous to the intentional and unintentional movement of species from various eco systems in the country. Originality/value: It is felt that few initiatives are being taken by International Union for Conservation of Nature (IUCN) and governance of eco system from IAS is a necessity. Sustainable eco system governance (SESG) from invasive alien species should be emphasized to avoid biodiversity disasters that will have an impact on food security and nutrition of human beings. © Emerald Group Publishing Limited.","container-title":"Disaster Prevention and Management","DOI":"10.1108/09653561011052475","ISSN":"0965-3562","issue":"3","journalAbbreviation":"Disaster Prev. Manage.","page":"291-297","title":"Invasive alien species dispersal: The millennium biodiversity disaster","URL":"https://www.scopus.com/inward/record.uri?eid=2-s2.0-77954225108&amp;doi=10.1108%2f09653561011052475&amp;partnerID=40&amp;md5=a732ec33f0d11d58e4d7cf013d4752f0","volume":"19","author":[{"family":"Praseeda Sanu","given":"V."},{"family":"Newport","given":"Jeyanth K."}],"issued":{"date-parts":[["2010"]]}},"label":"page"},{"id":24078,"uris":["http://zotero.org/groups/2352922/items/QVBYT7RA"],"itemData":{"id":24078,"type":"article-journal","container-title":"Frontiers in Marine Science","DOI":"10.3389/fmars.2018.00485","title":"Ocean Ecosystem-Based Management Mandates and Implementation in the North Atlantic","volume":"5","author":[{"family":"Rudd","given":"Murray A."},{"family":"Dickey-Collas","given":"Mark"},{"family":"Ferretti","given":"Johanna"},{"family":"Johannesen","given":"Ellen"},{"family":"Macdonald","given":"Nicol M."},{"family":"McLaughlin","given":"Richard"},{"family":"Rae","given":"Margaret"},{"family":"Thiele","given":"Torsten"},{"family":"Link","given":"Jason S."}],"issued":{"date-parts":[["2018",12,14]]}},"label":"page"}],"schema":"https://github.com/citation-style-language/schema/raw/master/csl-citation.json"} </w:instrText>
      </w:r>
      <w:r w:rsidR="00146B23" w:rsidRPr="00FB0AD5">
        <w:rPr>
          <w:rFonts w:eastAsia="Batang"/>
          <w:b w:val="0"/>
          <w:bCs/>
          <w:i/>
          <w:iCs/>
        </w:rPr>
        <w:fldChar w:fldCharType="separate"/>
      </w:r>
      <w:r w:rsidR="00065870" w:rsidRPr="00F32369">
        <w:rPr>
          <w:b w:val="0"/>
        </w:rPr>
        <w:t>(Gilna et al., 2014; Nourani et al., 2019; Praseeda Sanu &amp; Newport, 2010; Rudd et al., 2018)</w:t>
      </w:r>
      <w:r w:rsidR="00146B23" w:rsidRPr="00FB0AD5">
        <w:rPr>
          <w:rFonts w:eastAsia="Batang"/>
          <w:b w:val="0"/>
          <w:bCs/>
          <w:i/>
          <w:iCs/>
        </w:rPr>
        <w:fldChar w:fldCharType="end"/>
      </w:r>
      <w:r w:rsidR="00C14761" w:rsidRPr="00FB0AD5">
        <w:rPr>
          <w:rFonts w:eastAsia="Batang"/>
          <w:b w:val="0"/>
          <w:bCs/>
          <w:i/>
          <w:iCs/>
        </w:rPr>
        <w:fldChar w:fldCharType="end"/>
      </w:r>
      <w:r w:rsidR="00C14761" w:rsidRPr="00FB0AD5">
        <w:rPr>
          <w:rFonts w:eastAsia="Batang"/>
          <w:b w:val="0"/>
          <w:bCs/>
        </w:rPr>
        <w:t xml:space="preserve">. </w:t>
      </w:r>
      <w:r w:rsidR="00C14761" w:rsidRPr="00A9434B">
        <w:rPr>
          <w:rFonts w:eastAsia="Batang"/>
          <w:b w:val="0"/>
          <w:bCs/>
        </w:rPr>
        <w:t xml:space="preserve">At the highest level, as assessed by </w:t>
      </w:r>
      <w:r w:rsidR="00D13761" w:rsidRPr="00D13761">
        <w:rPr>
          <w:rFonts w:eastAsia="Batang"/>
          <w:b w:val="0"/>
          <w:bCs/>
        </w:rPr>
        <w:t xml:space="preserve">Outhwaite </w:t>
      </w:r>
      <w:r w:rsidR="00C14761" w:rsidRPr="0052397B">
        <w:rPr>
          <w:rFonts w:eastAsia="Batang"/>
          <w:b w:val="0"/>
          <w:bCs/>
          <w:i/>
          <w:iCs/>
        </w:rPr>
        <w:fldChar w:fldCharType="begin"/>
      </w:r>
      <w:r w:rsidR="00C14761" w:rsidRPr="00D13761">
        <w:rPr>
          <w:rFonts w:eastAsia="Batang"/>
          <w:b w:val="0"/>
          <w:bCs/>
        </w:rPr>
        <w:instrText xml:space="preserve"> ADDIN EN.CITE &lt;EndNote&gt;&lt;Cite&gt;&lt;Author&gt;Outhwaite&lt;/Author&gt;&lt;Year&gt;2018&lt;/Year&gt;&lt;RecNum&gt;51615&lt;/RecNum&gt;&lt;DisplayText&gt;(Outhwaite 2018)&lt;/DisplayText&gt;&lt;record&gt;&lt;rec-number&gt;51615&lt;/rec-number&gt;&lt;foreign-keys&gt;&lt;key app="EN" db-id="awx9raddr0xx2hev05rxr0z05weepwpt0fex" timestamp="1626588493"&gt;51615&lt;/key&gt;&lt;/foreign-keys&gt;&lt;ref-type name="Book Section"&gt;5&lt;/ref-type&gt;&lt;contributors&gt;&lt;authors&gt;&lt;author&gt;Outhwaite, 0.&lt;/author&gt;&lt;/authors&gt;&lt;secondary-authors&gt;&lt;author&gt;McManis, C. R.&lt;/author&gt;&lt;author&gt;Ong, B.&lt;/author&gt;&lt;/secondary-authors&gt;&lt;/contributors&gt;&lt;titles&gt;&lt;title&gt;Biosecurity, invasive species and the law.&lt;/title&gt;&lt;secondary-title&gt;Routledge handbook of biodiversity and the law.&lt;/secondary-title&gt;&lt;/titles&gt;&lt;pages&gt;83-97&lt;/pages&gt;&lt;edition&gt;1st edition.&lt;/edition&gt;&lt;dates&gt;&lt;year&gt;2018&lt;/year&gt;&lt;/dates&gt;&lt;publisher&gt;Routledge&lt;/publisher&gt;&lt;isbn&gt;9780367505240&lt;/isbn&gt;&lt;urls&gt;&lt;/urls&gt;&lt;/record&gt;&lt;/Cite&gt;&lt;/EndNote&gt;</w:instrText>
      </w:r>
      <w:r w:rsidR="00C14761" w:rsidRPr="0052397B">
        <w:rPr>
          <w:rFonts w:eastAsia="Batang"/>
          <w:b w:val="0"/>
          <w:bCs/>
          <w:i/>
          <w:iCs/>
        </w:rPr>
        <w:fldChar w:fldCharType="separate"/>
      </w:r>
      <w:r w:rsidR="00A16F7D" w:rsidRPr="0052397B">
        <w:rPr>
          <w:rFonts w:eastAsia="Batang"/>
          <w:b w:val="0"/>
          <w:bCs/>
          <w:i/>
          <w:iCs/>
        </w:rPr>
        <w:fldChar w:fldCharType="begin"/>
      </w:r>
      <w:r w:rsidR="0006613E">
        <w:rPr>
          <w:rFonts w:eastAsia="Batang"/>
          <w:b w:val="0"/>
          <w:bCs/>
        </w:rPr>
        <w:instrText xml:space="preserve"> ADDIN ZOTERO_ITEM CSL_CITATION {"citationID":"fFQNt647","properties":{"formattedCitation":"(2018)","plainCitation":"(2018)","noteIndex":0},"citationItems":[{"id":53468,"uris":["http://zotero.org/groups/2352922/items/CLRWEYWR","http://zotero.org/groups/2352922/items/PILBW3JL"],"itemData":{"id":53468,"type":"chapter","container-title":"Routledge handbook of biodiversity and the law","edition":"1st edition.","ISBN":"978-0-367-50524-0","page":"83-97","publisher":"Routledge","title":"Biosecurity, invasive species and the law.","URL":"https://www.taylorfrancis.com/chapters/edit/10.4324/9781315530857-6/biosecurity-invasive-species-law-opi-outhwaite","author":[{"family":"Outhwaite","given":"Opi"}],"editor":[{"family":"McManis","given":"C. R."},{"family":"Ong","given":"B."}],"issued":{"date-parts":[["2018"]]}},"label":"page","suppress-author":true}],"schema":"https://github.com/citation-style-language/schema/raw/master/csl-citation.json"} </w:instrText>
      </w:r>
      <w:r w:rsidR="00A16F7D" w:rsidRPr="0052397B">
        <w:rPr>
          <w:rFonts w:eastAsia="Batang"/>
          <w:b w:val="0"/>
          <w:bCs/>
          <w:i/>
          <w:iCs/>
        </w:rPr>
        <w:fldChar w:fldCharType="separate"/>
      </w:r>
      <w:r w:rsidR="00D13761" w:rsidRPr="00673554">
        <w:rPr>
          <w:b w:val="0"/>
        </w:rPr>
        <w:t>(2018)</w:t>
      </w:r>
      <w:r w:rsidR="00A16F7D" w:rsidRPr="0052397B">
        <w:rPr>
          <w:rFonts w:eastAsia="Batang"/>
          <w:b w:val="0"/>
          <w:bCs/>
          <w:i/>
          <w:iCs/>
        </w:rPr>
        <w:fldChar w:fldCharType="end"/>
      </w:r>
      <w:r w:rsidR="00C14761" w:rsidRPr="0052397B">
        <w:rPr>
          <w:rFonts w:eastAsia="Batang"/>
          <w:b w:val="0"/>
          <w:bCs/>
          <w:i/>
          <w:iCs/>
        </w:rPr>
        <w:fldChar w:fldCharType="end"/>
      </w:r>
      <w:r w:rsidR="00C14761" w:rsidRPr="00A9434B">
        <w:rPr>
          <w:rFonts w:eastAsia="Batang"/>
          <w:b w:val="0"/>
          <w:bCs/>
        </w:rPr>
        <w:t>, there is no “full and coherent applicable body of international law”. This fragmentation also includes policy differences between levels of governance and between actors and institutions, e.g., across industry sectors such a</w:t>
      </w:r>
      <w:r w:rsidR="00C040FC" w:rsidRPr="00A9434B">
        <w:rPr>
          <w:rFonts w:eastAsia="Batang"/>
          <w:b w:val="0"/>
          <w:bCs/>
        </w:rPr>
        <w:t>s</w:t>
      </w:r>
      <w:r w:rsidR="00C14761" w:rsidRPr="00A9434B">
        <w:rPr>
          <w:rFonts w:eastAsia="Batang"/>
          <w:b w:val="0"/>
          <w:bCs/>
        </w:rPr>
        <w:t xml:space="preserve"> agriculture</w:t>
      </w:r>
      <w:r w:rsidR="00C824A4" w:rsidRPr="00A9434B">
        <w:rPr>
          <w:rFonts w:eastAsia="Batang"/>
          <w:b w:val="0"/>
          <w:bCs/>
        </w:rPr>
        <w:t>, forestry</w:t>
      </w:r>
      <w:r w:rsidR="00896CEC">
        <w:rPr>
          <w:rFonts w:eastAsia="Batang"/>
          <w:b w:val="0"/>
          <w:bCs/>
        </w:rPr>
        <w:t xml:space="preserve"> and</w:t>
      </w:r>
      <w:r w:rsidR="00C14761" w:rsidRPr="00A9434B">
        <w:rPr>
          <w:rFonts w:eastAsia="Batang"/>
          <w:b w:val="0"/>
          <w:bCs/>
        </w:rPr>
        <w:t xml:space="preserve"> the environment (</w:t>
      </w:r>
      <w:r w:rsidR="004155A5" w:rsidRPr="00673554">
        <w:rPr>
          <w:bCs/>
          <w:iCs/>
        </w:rPr>
        <w:fldChar w:fldCharType="begin"/>
      </w:r>
      <w:r w:rsidR="004155A5" w:rsidRPr="00673554">
        <w:rPr>
          <w:bCs/>
          <w:iCs/>
        </w:rPr>
        <w:instrText xml:space="preserve"> REF _Ref104895003 \h  \* MERGEFORMAT </w:instrText>
      </w:r>
      <w:r w:rsidR="004155A5" w:rsidRPr="00673554">
        <w:rPr>
          <w:bCs/>
          <w:iCs/>
        </w:rPr>
      </w:r>
      <w:r w:rsidR="004155A5" w:rsidRPr="00673554">
        <w:rPr>
          <w:bCs/>
          <w:iCs/>
        </w:rPr>
        <w:fldChar w:fldCharType="separate"/>
      </w:r>
      <w:r w:rsidR="0011368C" w:rsidRPr="00673554">
        <w:rPr>
          <w:bCs/>
          <w:iCs/>
        </w:rPr>
        <w:t>Figure 6.7</w:t>
      </w:r>
      <w:r w:rsidR="004155A5" w:rsidRPr="00673554">
        <w:rPr>
          <w:bCs/>
          <w:iCs/>
        </w:rPr>
        <w:fldChar w:fldCharType="end"/>
      </w:r>
      <w:r w:rsidR="00C14761" w:rsidRPr="00A9434B">
        <w:rPr>
          <w:rFonts w:eastAsia="Batang"/>
          <w:b w:val="0"/>
          <w:bCs/>
        </w:rPr>
        <w:t>), between countries and regions,</w:t>
      </w:r>
      <w:r w:rsidR="00C27DCE">
        <w:rPr>
          <w:rFonts w:eastAsia="Batang"/>
          <w:b w:val="0"/>
          <w:bCs/>
        </w:rPr>
        <w:t xml:space="preserve"> and</w:t>
      </w:r>
      <w:r w:rsidR="00C14761" w:rsidRPr="00A9434B">
        <w:rPr>
          <w:rFonts w:eastAsia="Batang"/>
          <w:b w:val="0"/>
          <w:bCs/>
        </w:rPr>
        <w:t xml:space="preserve"> national and subnational levels of governance </w:t>
      </w:r>
      <w:r w:rsidR="00C14761" w:rsidRPr="003E334B">
        <w:rPr>
          <w:rFonts w:eastAsia="Batang"/>
          <w:b w:val="0"/>
          <w:bCs/>
          <w:i/>
          <w:iCs/>
        </w:rPr>
        <w:fldChar w:fldCharType="begin">
          <w:fldData xml:space="preserve">PEVuZE5vdGU+PENpdGU+PEF1dGhvcj5MdWJlbGw8L0F1dGhvcj48WWVhcj4yMDE3PC9ZZWFyPjxS
ZWNOdW0+MTU8L1JlY051bT48RGlzcGxheVRleHQ+KE1hcnRpbiwgTGUgR2FsIGV0IGFsLiAyMDE2
LCBMdWJlbGwsIEphc255IGV0IGFsLiAyMDE3KTwvRGlzcGxheVRleHQ+PHJlY29yZD48cmVjLW51
bWJlcj4yNzwvcmVjLW51bWJlcj48Zm9yZWlnbi1rZXlzPjxrZXkgYXBwPSJFTiIgZGItaWQ9IjBk
NTVwYXhkY3Z3cGViZTU1ZDF2cno1bmUycGF0dHByYXJ0YSIgdGltZXN0YW1wPSIxNTk3OTkyNzMz
Ij4yNzwva2V5PjwvZm9yZWlnbi1rZXlzPjxyZWYtdHlwZSBuYW1lPSJKb3VybmFsIEFydGljbGUi
PjE3PC9yZWYtdHlwZT48Y29udHJpYnV0b3JzPjxhdXRob3JzPjxhdXRob3I+THViZWxsLCBNYXJr
PC9hdXRob3I+PGF1dGhvcj5KYXNueSwgTG9yaWVuPC9hdXRob3I+PGF1dGhvcj5IYXN0aW5ncywg
QWxhbjwvYXV0aG9yPjwvYXV0aG9ycz48L2NvbnRyaWJ1dG9ycz48dGl0bGVzPjx0aXRsZT5OZXR3
b3JrIEdvdmVybmFuY2UgZm9yIEludmFzaXZlIFNwZWNpZXMgTWFuYWdlbWVudDwvdGl0bGU+PHNl
Y29uZGFyeS10aXRsZT5Db25zZXJ2YXRpb24gTGV0dGVyczwvc2Vjb25kYXJ5LXRpdGxlPjwvdGl0
bGVzPjxwZXJpb2RpY2FsPjxmdWxsLXRpdGxlPkNvbnNlcnZhdGlvbiBMZXR0ZXJzPC9mdWxsLXRp
dGxlPjwvcGVyaW9kaWNhbD48cGFnZXM+Njk5LTcwNzwvcGFnZXM+PHZvbHVtZT4xMDwvdm9sdW1l
PjxudW1iZXI+NjwvbnVtYmVyPjxkYXRlcz48eWVhcj4yMDE3PC95ZWFyPjxwdWItZGF0ZXM+PGRh
dGU+Tm92LURlYzwvZGF0ZT48L3B1Yi1kYXRlcz48L2RhdGVzPjxpc2JuPjE3NTUtMjYzWDwvaXNi
bj48YWNjZXNzaW9uLW51bT5XT1M6MDAwNDE3OTE3ODAwMDA2PC9hY2Nlc3Npb24tbnVtPjx1cmxz
PjxyZWxhdGVkLXVybHM+PHVybD4mbHQ7R28gdG8gSVNJJmd0OzovL1dPUzowMDA0MTc5MTc4MDAw
MDY8L3VybD48L3JlbGF0ZWQtdXJscz48L3VybHM+PGVsZWN0cm9uaWMtcmVzb3VyY2UtbnVtPjEw
LjExMTEvY29ubC4xMjMxMTwvZWxlY3Ryb25pYy1yZXNvdXJjZS1udW0+PC9yZWNvcmQ+PC9DaXRl
PjxDaXRlPjxBdXRob3I+TWFydGluPC9BdXRob3I+PFllYXI+MjAxNjwvWWVhcj48UmVjTnVtPjQ5
MDkyPC9SZWNOdW0+PHJlY29yZD48cmVjLW51bWJlcj40OTA5MjwvcmVjLW51bWJlcj48Zm9yZWln
bi1rZXlzPjxrZXkgYXBwPSJFTiIgZGItaWQ9ImF3eDlyYWRkcjB4eDJoZXYwNXJ4cjB6MDV3ZWVw
d3B0MGZleCIgdGltZXN0YW1wPSIxNTgxNDk3MzIwIj40OTA5Mjwva2V5PjwvZm9yZWlnbi1rZXlz
PjxyZWYtdHlwZSBuYW1lPSJCb29rIFNlY3Rpb24iPjU8L3JlZi10eXBlPjxjb250cmlidXRvcnM+
PGF1dGhvcnM+PGF1dGhvcj5NYXJ0aW4sIFBhdWw8L2F1dGhvcj48YXV0aG9yPkxlIEdhbCwgRWxv
ZGllPC9hdXRob3I+PGF1dGhvcj5DaG95LCBEYXJyeWwgTG93PC9hdXRob3I+PC9hdXRob3JzPjxz
ZWNvbmRhcnktYXV0aG9ycz48YXV0aG9yPk1haGVzaHdhcmksIEIuPC9hdXRob3I+PGF1dGhvcj5T
aW5naCwgVi4gUC48L2F1dGhvcj48YXV0aG9yPlRob3JhZGVuaXlhLCBCLjwvYXV0aG9yPjwvc2Vj
b25kYXJ5LWF1dGhvcnM+PC9jb250cmlidXRvcnM+PHRpdGxlcz48dGl0bGU+RWZmZWN0IG9mIFNv
Y2lhbCBhbmQgSW5zdGl0dXRpb25hbCBGcmFnbWVudGF0aW9uIG9uIENvbGxlY3RpdmUgQWN0aW9u
IGluIFBlcmktVXJiYW4gU2V0dGluZ3M8L3RpdGxlPjxzZWNvbmRhcnktdGl0bGU+QmFsYW5jZWQg
VXJiYW4gRGV2ZWxvcG1lbnQ6IE9wdGlvbnMgYW5kIFN0cmF0ZWdpZXMgZm9yIExpdmVhYmxlIENp
dGllczwvc2Vjb25kYXJ5LXRpdGxlPjx0ZXJ0aWFyeS10aXRsZT5XYXRlciBTY2llbmNlIGFuZCBU
ZWNobm9sb2d5IExpYnJhcnk8L3RlcnRpYXJ5LXRpdGxlPjwvdGl0bGVzPjxwYWdlcz40NjUtNDgw
PC9wYWdlcz48dm9sdW1lPjcyPC92b2x1bWU+PGRhdGVzPjx5ZWFyPjIwMTY8L3llYXI+PC9kYXRl
cz48aXNibj45NzgtMy0zMTktMjgxMTItNDsgOTc4LTMtMzE5LTI4MTEwLTA8L2lzYm4+PGFjY2Vz
c2lvbi1udW0+V09TOjAwMDM5ODkyODkwMDAyOTwvYWNjZXNzaW9uLW51bT48dXJscz48cmVsYXRl
ZC11cmxzPjx1cmw+Jmx0O0dvIHRvIElTSSZndDs6Ly9XT1M6MDAwMzk4OTI4OTAwMDI5PC91cmw+
PC9yZWxhdGVkLXVybHM+PC91cmxzPjxlbGVjdHJvbmljLXJlc291cmNlLW51bT4xMC4xMDA3Lzk3
OC0zLTMxOS0yODExMi00XzI4PC9lbGVjdHJvbmljLXJlc291cmNlLW51bT48L3JlY29yZD48L0Np
dGU+PC9FbmROb3RlPgB=
</w:fldData>
        </w:fldChar>
      </w:r>
      <w:r w:rsidR="00C14761" w:rsidRPr="00EA1CE6">
        <w:rPr>
          <w:rFonts w:eastAsia="Batang"/>
          <w:b w:val="0"/>
          <w:bCs/>
        </w:rPr>
        <w:instrText xml:space="preserve"> ADDIN EN.CITE </w:instrText>
      </w:r>
      <w:r w:rsidR="00C14761" w:rsidRPr="003E334B">
        <w:rPr>
          <w:rFonts w:eastAsia="Batang"/>
          <w:b w:val="0"/>
          <w:bCs/>
          <w:i/>
          <w:iCs/>
        </w:rPr>
        <w:fldChar w:fldCharType="begin">
          <w:fldData xml:space="preserve">PEVuZE5vdGU+PENpdGU+PEF1dGhvcj5MdWJlbGw8L0F1dGhvcj48WWVhcj4yMDE3PC9ZZWFyPjxS
ZWNOdW0+MTU8L1JlY051bT48RGlzcGxheVRleHQ+KE1hcnRpbiwgTGUgR2FsIGV0IGFsLiAyMDE2
LCBMdWJlbGwsIEphc255IGV0IGFsLiAyMDE3KTwvRGlzcGxheVRleHQ+PHJlY29yZD48cmVjLW51
bWJlcj4yNzwvcmVjLW51bWJlcj48Zm9yZWlnbi1rZXlzPjxrZXkgYXBwPSJFTiIgZGItaWQ9IjBk
NTVwYXhkY3Z3cGViZTU1ZDF2cno1bmUycGF0dHByYXJ0YSIgdGltZXN0YW1wPSIxNTk3OTkyNzMz
Ij4yNzwva2V5PjwvZm9yZWlnbi1rZXlzPjxyZWYtdHlwZSBuYW1lPSJKb3VybmFsIEFydGljbGUi
PjE3PC9yZWYtdHlwZT48Y29udHJpYnV0b3JzPjxhdXRob3JzPjxhdXRob3I+THViZWxsLCBNYXJr
PC9hdXRob3I+PGF1dGhvcj5KYXNueSwgTG9yaWVuPC9hdXRob3I+PGF1dGhvcj5IYXN0aW5ncywg
QWxhbjwvYXV0aG9yPjwvYXV0aG9ycz48L2NvbnRyaWJ1dG9ycz48dGl0bGVzPjx0aXRsZT5OZXR3
b3JrIEdvdmVybmFuY2UgZm9yIEludmFzaXZlIFNwZWNpZXMgTWFuYWdlbWVudDwvdGl0bGU+PHNl
Y29uZGFyeS10aXRsZT5Db25zZXJ2YXRpb24gTGV0dGVyczwvc2Vjb25kYXJ5LXRpdGxlPjwvdGl0
bGVzPjxwZXJpb2RpY2FsPjxmdWxsLXRpdGxlPkNvbnNlcnZhdGlvbiBMZXR0ZXJzPC9mdWxsLXRp
dGxlPjwvcGVyaW9kaWNhbD48cGFnZXM+Njk5LTcwNzwvcGFnZXM+PHZvbHVtZT4xMDwvdm9sdW1l
PjxudW1iZXI+NjwvbnVtYmVyPjxkYXRlcz48eWVhcj4yMDE3PC95ZWFyPjxwdWItZGF0ZXM+PGRh
dGU+Tm92LURlYzwvZGF0ZT48L3B1Yi1kYXRlcz48L2RhdGVzPjxpc2JuPjE3NTUtMjYzWDwvaXNi
bj48YWNjZXNzaW9uLW51bT5XT1M6MDAwNDE3OTE3ODAwMDA2PC9hY2Nlc3Npb24tbnVtPjx1cmxz
PjxyZWxhdGVkLXVybHM+PHVybD4mbHQ7R28gdG8gSVNJJmd0OzovL1dPUzowMDA0MTc5MTc4MDAw
MDY8L3VybD48L3JlbGF0ZWQtdXJscz48L3VybHM+PGVsZWN0cm9uaWMtcmVzb3VyY2UtbnVtPjEw
LjExMTEvY29ubC4xMjMxMTwvZWxlY3Ryb25pYy1yZXNvdXJjZS1udW0+PC9yZWNvcmQ+PC9DaXRl
PjxDaXRlPjxBdXRob3I+TWFydGluPC9BdXRob3I+PFllYXI+MjAxNjwvWWVhcj48UmVjTnVtPjQ5
MDkyPC9SZWNOdW0+PHJlY29yZD48cmVjLW51bWJlcj40OTA5MjwvcmVjLW51bWJlcj48Zm9yZWln
bi1rZXlzPjxrZXkgYXBwPSJFTiIgZGItaWQ9ImF3eDlyYWRkcjB4eDJoZXYwNXJ4cjB6MDV3ZWVw
d3B0MGZleCIgdGltZXN0YW1wPSIxNTgxNDk3MzIwIj40OTA5Mjwva2V5PjwvZm9yZWlnbi1rZXlz
PjxyZWYtdHlwZSBuYW1lPSJCb29rIFNlY3Rpb24iPjU8L3JlZi10eXBlPjxjb250cmlidXRvcnM+
PGF1dGhvcnM+PGF1dGhvcj5NYXJ0aW4sIFBhdWw8L2F1dGhvcj48YXV0aG9yPkxlIEdhbCwgRWxv
ZGllPC9hdXRob3I+PGF1dGhvcj5DaG95LCBEYXJyeWwgTG93PC9hdXRob3I+PC9hdXRob3JzPjxz
ZWNvbmRhcnktYXV0aG9ycz48YXV0aG9yPk1haGVzaHdhcmksIEIuPC9hdXRob3I+PGF1dGhvcj5T
aW5naCwgVi4gUC48L2F1dGhvcj48YXV0aG9yPlRob3JhZGVuaXlhLCBCLjwvYXV0aG9yPjwvc2Vj
b25kYXJ5LWF1dGhvcnM+PC9jb250cmlidXRvcnM+PHRpdGxlcz48dGl0bGU+RWZmZWN0IG9mIFNv
Y2lhbCBhbmQgSW5zdGl0dXRpb25hbCBGcmFnbWVudGF0aW9uIG9uIENvbGxlY3RpdmUgQWN0aW9u
IGluIFBlcmktVXJiYW4gU2V0dGluZ3M8L3RpdGxlPjxzZWNvbmRhcnktdGl0bGU+QmFsYW5jZWQg
VXJiYW4gRGV2ZWxvcG1lbnQ6IE9wdGlvbnMgYW5kIFN0cmF0ZWdpZXMgZm9yIExpdmVhYmxlIENp
dGllczwvc2Vjb25kYXJ5LXRpdGxlPjx0ZXJ0aWFyeS10aXRsZT5XYXRlciBTY2llbmNlIGFuZCBU
ZWNobm9sb2d5IExpYnJhcnk8L3RlcnRpYXJ5LXRpdGxlPjwvdGl0bGVzPjxwYWdlcz40NjUtNDgw
PC9wYWdlcz48dm9sdW1lPjcyPC92b2x1bWU+PGRhdGVzPjx5ZWFyPjIwMTY8L3llYXI+PC9kYXRl
cz48aXNibj45NzgtMy0zMTktMjgxMTItNDsgOTc4LTMtMzE5LTI4MTEwLTA8L2lzYm4+PGFjY2Vz
c2lvbi1udW0+V09TOjAwMDM5ODkyODkwMDAyOTwvYWNjZXNzaW9uLW51bT48dXJscz48cmVsYXRl
ZC11cmxzPjx1cmw+Jmx0O0dvIHRvIElTSSZndDs6Ly9XT1M6MDAwMzk4OTI4OTAwMDI5PC91cmw+
PC9yZWxhdGVkLXVybHM+PC91cmxzPjxlbGVjdHJvbmljLXJlc291cmNlLW51bT4xMC4xMDA3Lzk3
OC0zLTMxOS0yODExMi00XzI4PC9lbGVjdHJvbmljLXJlc291cmNlLW51bT48L3JlY29yZD48L0Np
dGU+PC9FbmROb3RlPgB=
</w:fldData>
        </w:fldChar>
      </w:r>
      <w:r w:rsidR="00C14761" w:rsidRPr="00EA1CE6">
        <w:rPr>
          <w:rFonts w:eastAsia="Batang"/>
          <w:b w:val="0"/>
          <w:bCs/>
        </w:rPr>
        <w:instrText xml:space="preserve"> ADDIN EN.CITE.DATA </w:instrText>
      </w:r>
      <w:r w:rsidR="00C14761" w:rsidRPr="003E334B">
        <w:rPr>
          <w:rFonts w:eastAsia="Batang"/>
          <w:b w:val="0"/>
          <w:bCs/>
          <w:i/>
          <w:iCs/>
        </w:rPr>
      </w:r>
      <w:r w:rsidR="00C14761" w:rsidRPr="003E334B">
        <w:rPr>
          <w:rFonts w:eastAsia="Batang"/>
          <w:b w:val="0"/>
          <w:bCs/>
          <w:i/>
          <w:iCs/>
        </w:rPr>
        <w:fldChar w:fldCharType="end"/>
      </w:r>
      <w:r w:rsidR="00C14761" w:rsidRPr="003E334B">
        <w:rPr>
          <w:rFonts w:eastAsia="Batang"/>
          <w:b w:val="0"/>
          <w:bCs/>
          <w:i/>
          <w:iCs/>
        </w:rPr>
      </w:r>
      <w:r w:rsidR="00C14761" w:rsidRPr="003E334B">
        <w:rPr>
          <w:rFonts w:eastAsia="Batang"/>
          <w:b w:val="0"/>
          <w:bCs/>
          <w:i/>
          <w:iCs/>
        </w:rPr>
        <w:fldChar w:fldCharType="separate"/>
      </w:r>
      <w:r w:rsidR="00E04F4F" w:rsidRPr="003E334B">
        <w:rPr>
          <w:rFonts w:eastAsia="Batang"/>
          <w:b w:val="0"/>
          <w:bCs/>
          <w:i/>
          <w:iCs/>
        </w:rPr>
        <w:fldChar w:fldCharType="begin"/>
      </w:r>
      <w:r w:rsidR="0006613E">
        <w:rPr>
          <w:rFonts w:eastAsia="Batang"/>
          <w:b w:val="0"/>
          <w:bCs/>
        </w:rPr>
        <w:instrText xml:space="preserve"> ADDIN ZOTERO_ITEM CSL_CITATION {"citationID":"vNSCxQbR","properties":{"formattedCitation":"(Lubell et al., 2017; P. Martin et al., 2016)","plainCitation":"(Lubell et al., 2017; P. Martin et al., 2016)","noteIndex":0},"citationItems":[{"id":29543,"uris":["http://zotero.org/groups/2352922/items/ZEAPGNJU"],"itemData":{"id":29543,"type":"article-journal","container-title":"Conservation Letters","DOI":"10.1111/conl.12311","ISSN":"1755-263X, 1755-263X","issue":"6","journalAbbreviation":"CONSERVATION LETTERS","language":"en","page":"699-707","source":"DOI.org (Crossref)","title":"Network Governance for Invasive Species Management","URL":"https://onlinelibrary.wiley.com/doi/10.1111/conl.12311","volume":"10","author":[{"family":"Lubell","given":"Mark"},{"family":"Jasny","given":"Lorien"},{"family":"Hastings","given":"Alan"}],"accessed":{"date-parts":[["2021",8,3]]},"issued":{"date-parts":[["2017",11]]}},"label":"page"},{"id":11351,"uris":["http://zotero.org/groups/2352922/items/BMBKHVLX"],"itemData":{"id":11351,"type":"chapter","collection-title":"Water Science and Technology Library","container-title":"Balanced Urban Development: Options and Strategies for Liveable Cities","event-place":"Cham","ISBN":"978-3-319-28112-4","note":"DOI: 10.1007/978-3-319-28112-4_28","page":"465-480","publisher":"Springer","publisher-place":"Cham","title":"Effect of Social and Institutional Fragmentation on Collective Action in Peri-Urban Settings","volume":"72","author":[{"family":"Martin","given":"Paul"},{"family":"Le Gal","given":"Elodie"},{"family":"Choy","given":"Darryl Low"}],"editor":[{"family":"Maheshwari","given":"B."},{"family":"Thoradeniya","given":"B."},{"family":"Singh","given":"V. P."}],"issued":{"date-parts":[["2016"]]}},"label":"page"}],"schema":"https://github.com/citation-style-language/schema/raw/master/csl-citation.json"} </w:instrText>
      </w:r>
      <w:r w:rsidR="00E04F4F" w:rsidRPr="003E334B">
        <w:rPr>
          <w:rFonts w:eastAsia="Batang"/>
          <w:b w:val="0"/>
          <w:bCs/>
          <w:i/>
          <w:iCs/>
        </w:rPr>
        <w:fldChar w:fldCharType="separate"/>
      </w:r>
      <w:r w:rsidR="00EA1CE6" w:rsidRPr="00F32369">
        <w:rPr>
          <w:b w:val="0"/>
        </w:rPr>
        <w:t>(Lubell et al., 2017; P. Martin et al., 2016)</w:t>
      </w:r>
      <w:r w:rsidR="00E04F4F" w:rsidRPr="003E334B">
        <w:rPr>
          <w:rFonts w:eastAsia="Batang"/>
          <w:b w:val="0"/>
          <w:bCs/>
          <w:i/>
          <w:iCs/>
        </w:rPr>
        <w:fldChar w:fldCharType="end"/>
      </w:r>
      <w:r w:rsidR="00C14761" w:rsidRPr="003E334B">
        <w:rPr>
          <w:rFonts w:eastAsia="Batang"/>
          <w:b w:val="0"/>
          <w:bCs/>
          <w:i/>
          <w:iCs/>
        </w:rPr>
        <w:fldChar w:fldCharType="end"/>
      </w:r>
      <w:r w:rsidR="00C14761" w:rsidRPr="00EA1CE6">
        <w:rPr>
          <w:rFonts w:eastAsia="Batang"/>
          <w:b w:val="0"/>
          <w:bCs/>
        </w:rPr>
        <w:t>. F</w:t>
      </w:r>
      <w:r w:rsidR="00C14761" w:rsidRPr="00A9434B">
        <w:rPr>
          <w:rFonts w:eastAsia="Batang"/>
          <w:b w:val="0"/>
          <w:bCs/>
        </w:rPr>
        <w:t xml:space="preserve">ragmentation can result in, for example, overlapping jurisdictions, incompatible objectives, and unbalanced power relations </w:t>
      </w:r>
      <w:r w:rsidR="00C14761" w:rsidRPr="00A9434B">
        <w:rPr>
          <w:rFonts w:eastAsia="Batang"/>
          <w:b w:val="0"/>
          <w:bCs/>
          <w:i/>
          <w:iCs/>
        </w:rPr>
        <w:fldChar w:fldCharType="begin"/>
      </w:r>
      <w:r w:rsidR="00C14761" w:rsidRPr="00A9434B">
        <w:rPr>
          <w:rFonts w:eastAsia="Batang"/>
          <w:b w:val="0"/>
          <w:bCs/>
        </w:rPr>
        <w:instrText xml:space="preserve"> ADDIN EN.CITE &lt;EndNote&gt;&lt;Cite&gt;&lt;Author&gt;Visseren-Hamakers&lt;/Author&gt;&lt;Year&gt;2015&lt;/Year&gt;&lt;RecNum&gt;51618&lt;/RecNum&gt;&lt;DisplayText&gt;(Visseren-Hamakers 2015)&lt;/DisplayText&gt;&lt;record&gt;&lt;rec-number&gt;51618&lt;/rec-number&gt;&lt;foreign-keys&gt;&lt;key app="EN" db-id="awx9raddr0xx2hev05rxr0z05weepwpt0fex" timestamp="1626589148"&gt;51618&lt;/key&gt;&lt;/foreign-keys&gt;&lt;ref-type name="Journal Article"&gt;17&lt;/ref-type&gt;&lt;contributors&gt;&lt;authors&gt;&lt;author&gt;Visseren-Hamakers, Ingrid J.&lt;/author&gt;&lt;/authors&gt;&lt;/contributors&gt;&lt;titles&gt;&lt;title&gt;Integrative environmental governance: enhancing governance in the era of synergies&lt;/title&gt;&lt;secondary-title&gt;Current Opinion in Environmental Sustainability&lt;/secondary-title&gt;&lt;/titles&gt;&lt;periodical&gt;&lt;full-title&gt;Current Opinion in Environmental Sustainability&lt;/full-title&gt;&lt;/periodical&gt;&lt;pages&gt;136-143&lt;/pages&gt;&lt;volume&gt;14&lt;/volume&gt;&lt;dates&gt;&lt;year&gt;2015&lt;/year&gt;&lt;pub-dates&gt;&lt;date&gt;2015/06/01/&lt;/date&gt;&lt;/pub-dates&gt;&lt;/dates&gt;&lt;isbn&gt;1877-3435&lt;/isbn&gt;&lt;urls&gt;&lt;related-urls&gt;&lt;url&gt;https://www.sciencedirect.com/science/article/pii/S1877343515000500&lt;/url&gt;&lt;/related-urls&gt;&lt;/urls&gt;&lt;electronic-resource-num&gt;https://doi.org/10.1016/j.cosust.2015.05.008&lt;/electronic-resource-num&gt;&lt;/record&gt;&lt;/Cite&gt;&lt;/EndNote&gt;</w:instrText>
      </w:r>
      <w:r w:rsidR="00C14761" w:rsidRPr="00A9434B">
        <w:rPr>
          <w:rFonts w:eastAsia="Batang"/>
          <w:b w:val="0"/>
          <w:bCs/>
          <w:i/>
          <w:iCs/>
        </w:rPr>
        <w:fldChar w:fldCharType="separate"/>
      </w:r>
      <w:r w:rsidR="00E04F4F" w:rsidRPr="00A9434B">
        <w:rPr>
          <w:rFonts w:eastAsia="Batang"/>
          <w:b w:val="0"/>
          <w:bCs/>
          <w:i/>
          <w:iCs/>
        </w:rPr>
        <w:fldChar w:fldCharType="begin"/>
      </w:r>
      <w:r w:rsidR="0006613E">
        <w:rPr>
          <w:rFonts w:eastAsia="Batang"/>
          <w:b w:val="0"/>
          <w:bCs/>
        </w:rPr>
        <w:instrText xml:space="preserve"> ADDIN ZOTERO_ITEM CSL_CITATION {"citationID":"alnmt8o7bd","properties":{"formattedCitation":"(Visseren-Hamakers, 2015)","plainCitation":"(Visseren-Hamakers, 2015)","noteIndex":0},"citationItems":[{"id":30284,"uris":["http://zotero.org/groups/2352922/items/3MWGCWSD"],"itemData":{"id":30284,"type":"article-journal","abstract":"The issue of regime complexity in global environmental governance is widely recognized. The academic debate on regime fragmentation has itself however been rather fragmented, with discussions circling around different concepts, including inter-organizational relations, polycentric governance, integrated management, landscape governance, environmental policy integration, coordination, mainstreaming, coherence, policy mixes, governance architectures and systems, regime complexes, institutional interaction, metagovernance and the nexus approach. Moreover, the topic of relationships between different policies is also discussed among practitioners, where the call for synergies is increasingly heard. This article brings together these discussions under the common heading of integrative environmental governance (IEG). The article provides a literature review, and argues for an IEG perspective in which the relationships between governance instruments take center stage.","container-title":"Current Opinion in Environmental Sustainability","DOI":"https://doi.org/10.1016/j.cosust.2015.05.008","ISSN":"1877-3435","page":"136-143","title":"Integrative environmental governance: enhancing governance in the era of synergies","volume":"14","author":[{"family":"Visseren-Hamakers","given":"Ingrid J."}],"issued":{"date-parts":[["2015"]]}},"label":"page"}],"schema":"https://github.com/citation-style-language/schema/raw/master/csl-citation.json"} </w:instrText>
      </w:r>
      <w:r w:rsidR="00E04F4F" w:rsidRPr="00A9434B">
        <w:rPr>
          <w:rFonts w:eastAsia="Batang"/>
          <w:b w:val="0"/>
          <w:bCs/>
          <w:i/>
          <w:iCs/>
        </w:rPr>
        <w:fldChar w:fldCharType="separate"/>
      </w:r>
      <w:r w:rsidR="00C71E80" w:rsidRPr="00A9434B">
        <w:rPr>
          <w:b w:val="0"/>
          <w:bCs/>
        </w:rPr>
        <w:t>(Visseren-Hamakers, 2015)</w:t>
      </w:r>
      <w:r w:rsidR="00E04F4F" w:rsidRPr="00A9434B">
        <w:rPr>
          <w:rFonts w:eastAsia="Batang"/>
          <w:b w:val="0"/>
          <w:bCs/>
          <w:i/>
          <w:iCs/>
        </w:rPr>
        <w:fldChar w:fldCharType="end"/>
      </w:r>
      <w:r w:rsidR="00C14761" w:rsidRPr="00A9434B">
        <w:rPr>
          <w:rFonts w:eastAsia="Batang"/>
          <w:b w:val="0"/>
          <w:bCs/>
          <w:i/>
          <w:iCs/>
        </w:rPr>
        <w:fldChar w:fldCharType="end"/>
      </w:r>
      <w:r w:rsidR="00C14761" w:rsidRPr="00A9434B">
        <w:rPr>
          <w:rFonts w:eastAsia="Batang"/>
          <w:b w:val="0"/>
          <w:bCs/>
        </w:rPr>
        <w:t>.</w:t>
      </w:r>
      <w:r w:rsidR="006A6EF3" w:rsidRPr="00A9434B">
        <w:rPr>
          <w:rFonts w:eastAsia="Batang"/>
          <w:b w:val="0"/>
          <w:bCs/>
        </w:rPr>
        <w:t xml:space="preserve"> Fragmentation of risk communication mechanisms can also undermine prevention and control efforts and public confidence </w:t>
      </w:r>
      <w:r w:rsidR="006A6EF3" w:rsidRPr="00C73655">
        <w:rPr>
          <w:rFonts w:eastAsia="Batang"/>
          <w:b w:val="0"/>
          <w:bCs/>
          <w:i/>
          <w:iCs/>
        </w:rPr>
        <w:fldChar w:fldCharType="begin"/>
      </w:r>
      <w:r w:rsidR="006A6EF3" w:rsidRPr="00C73655">
        <w:rPr>
          <w:rFonts w:eastAsia="Batang"/>
          <w:b w:val="0"/>
          <w:bCs/>
        </w:rPr>
        <w:instrText xml:space="preserve"> ADDIN EN.CITE &lt;EndNote&gt;&lt;Cite&gt;&lt;Author&gt;Jonsson&lt;/Author&gt;&lt;Year&gt;2016&lt;/Year&gt;&lt;RecNum&gt;49099&lt;/RecNum&gt;&lt;DisplayText&gt;(Jonsson, Bostrom et al. 2016)&lt;/DisplayText&gt;&lt;record&gt;&lt;rec-number&gt;49099&lt;/rec-number&gt;&lt;foreign-keys&gt;&lt;key app="EN" db-id="awx9raddr0xx2hev05rxr0z05weepwpt0fex" timestamp="1581497320"&gt;49099&lt;/key&gt;&lt;/foreign-keys&gt;&lt;ref-type name="Book Section"&gt;5&lt;/ref-type&gt;&lt;contributors&gt;&lt;authors&gt;&lt;author&gt;Jonsson, Anna Maria&lt;/author&gt;&lt;author&gt;Bostrom, Magnus&lt;/author&gt;&lt;author&gt;Dreyer, Marion&lt;/author&gt;&lt;author&gt;Soderstrom, Sara&lt;/author&gt;&lt;/authors&gt;&lt;secondary-authors&gt;&lt;author&gt;Gilek, M.&lt;/author&gt;&lt;author&gt;Karlsson, M.&lt;/author&gt;&lt;author&gt;Linke, S.&lt;/author&gt;&lt;author&gt;Smolarz, K.&lt;/author&gt;&lt;/secondary-authors&gt;&lt;/contributors&gt;&lt;titles&gt;&lt;title&gt;Risk Communication and the Role of the Public: Towards Inclusive Environmental Governance of the Baltic Sea?&lt;/title&gt;&lt;secondary-title&gt;Environmental Governance of the Baltic Sea&lt;/secondary-title&gt;&lt;tertiary-title&gt;MARE Publication Series&lt;/tertiary-title&gt;&lt;/titles&gt;&lt;periodical&gt;&lt;full-title&gt;Environmental governance of the Baltic Sea&lt;/full-title&gt;&lt;/periodical&gt;&lt;pages&gt;205-227&lt;/pages&gt;&lt;volume&gt;10&lt;/volume&gt;&lt;dates&gt;&lt;year&gt;2016&lt;/year&gt;&lt;/dates&gt;&lt;isbn&gt;978-3-319-27006-7; 978-3-319-27005-0&lt;/isbn&gt;&lt;accession-num&gt;WOS:000386695300010&lt;/accession-num&gt;&lt;urls&gt;&lt;related-urls&gt;&lt;url&gt;&amp;lt;Go to ISI&amp;gt;://WOS:000386695300010&lt;/url&gt;&lt;/related-urls&gt;&lt;/urls&gt;&lt;electronic-resource-num&gt;10.1007/978-3-319-27006-7_9&lt;/electronic-resource-num&gt;&lt;/record&gt;&lt;/Cite&gt;&lt;/EndNote&gt;</w:instrText>
      </w:r>
      <w:r w:rsidR="006A6EF3" w:rsidRPr="00C73655">
        <w:rPr>
          <w:rFonts w:eastAsia="Batang"/>
          <w:b w:val="0"/>
          <w:bCs/>
          <w:i/>
          <w:iCs/>
        </w:rPr>
        <w:fldChar w:fldCharType="separate"/>
      </w:r>
      <w:r w:rsidR="00E04F4F" w:rsidRPr="00C73655">
        <w:rPr>
          <w:rFonts w:eastAsia="Batang"/>
          <w:b w:val="0"/>
          <w:bCs/>
          <w:i/>
          <w:iCs/>
        </w:rPr>
        <w:fldChar w:fldCharType="begin"/>
      </w:r>
      <w:r w:rsidR="0006613E">
        <w:rPr>
          <w:rFonts w:eastAsia="Batang"/>
          <w:b w:val="0"/>
          <w:bCs/>
        </w:rPr>
        <w:instrText xml:space="preserve"> ADDIN ZOTERO_ITEM CSL_CITATION {"citationID":"avcib661l","properties":{"formattedCitation":"(Jonsson et al., 2016)","plainCitation":"(Jonsson et al., 2016)","noteIndex":0},"citationItems":[{"id":24204,"uris":["http://zotero.org/groups/2352922/items/79XB9BII"],"itemData":{"id":24204,"type":"chapter","collection-title":"MARE Publication Series","container-title":"Environmental Governance of the Baltic Sea","event-place":"Cham","ISBN":"978-3-319-27006-7","note":"DOI: 10.1007/978-3-319-27006-7_9","page":"205-227","publisher":"Springer","publisher-place":"Cham","title":"Risk Communication and the Role of the Public: Towards Inclusive Environmental Governance of the Baltic Sea?","volume":"10","author":[{"family":"Jonsson","given":"Anna Maria"},{"family":"Bostrom","given":"Magnus"},{"family":"Dreyer","given":"Marion"},{"family":"Soderstrom","given":"Sara"}],"editor":[{"family":"Gilek","given":"M."},{"family":"Karlsson","given":"M."},{"family":"Linke","given":"S."},{"family":"Smolarz","given":"K."}],"issued":{"date-parts":[["2016"]]}},"label":"page"}],"schema":"https://github.com/citation-style-language/schema/raw/master/csl-citation.json"} </w:instrText>
      </w:r>
      <w:r w:rsidR="00E04F4F" w:rsidRPr="00C73655">
        <w:rPr>
          <w:rFonts w:eastAsia="Batang"/>
          <w:b w:val="0"/>
          <w:bCs/>
          <w:i/>
          <w:iCs/>
        </w:rPr>
        <w:fldChar w:fldCharType="separate"/>
      </w:r>
      <w:r w:rsidR="00FD65B1" w:rsidRPr="00C73655">
        <w:rPr>
          <w:b w:val="0"/>
          <w:bCs/>
        </w:rPr>
        <w:t>(Jonsson et al., 2016)</w:t>
      </w:r>
      <w:r w:rsidR="00E04F4F" w:rsidRPr="00C73655">
        <w:rPr>
          <w:rFonts w:eastAsia="Batang"/>
          <w:b w:val="0"/>
          <w:bCs/>
          <w:i/>
          <w:iCs/>
        </w:rPr>
        <w:fldChar w:fldCharType="end"/>
      </w:r>
      <w:r w:rsidR="006A6EF3" w:rsidRPr="00C73655">
        <w:rPr>
          <w:rFonts w:eastAsia="Batang"/>
          <w:b w:val="0"/>
          <w:bCs/>
          <w:i/>
          <w:iCs/>
        </w:rPr>
        <w:fldChar w:fldCharType="end"/>
      </w:r>
      <w:r w:rsidR="006A6EF3" w:rsidRPr="00C73655">
        <w:rPr>
          <w:rFonts w:eastAsia="Batang"/>
          <w:b w:val="0"/>
          <w:bCs/>
        </w:rPr>
        <w:t>.</w:t>
      </w:r>
    </w:p>
    <w:p w14:paraId="20ECA93B" w14:textId="15348194" w:rsidR="00054BA3" w:rsidRPr="00A9434B" w:rsidRDefault="21813E1E" w:rsidP="00537ECC">
      <w:pPr>
        <w:pStyle w:val="Heading5"/>
        <w:spacing w:after="120"/>
        <w:rPr>
          <w:b w:val="0"/>
          <w:bCs/>
        </w:rPr>
      </w:pPr>
      <w:r w:rsidRPr="00A9434B">
        <w:t>(6)</w:t>
      </w:r>
      <w:r w:rsidR="778784E5" w:rsidRPr="00A9434B">
        <w:t xml:space="preserve"> </w:t>
      </w:r>
      <w:r w:rsidR="6BACDA7E" w:rsidRPr="00A9434B">
        <w:t xml:space="preserve">Externalities </w:t>
      </w:r>
      <w:r w:rsidR="00A537AC" w:rsidRPr="00A9434B">
        <w:br/>
      </w:r>
      <w:bookmarkStart w:id="135" w:name="_Toc43321264"/>
      <w:r w:rsidR="326765F3" w:rsidRPr="00A9434B">
        <w:rPr>
          <w:b w:val="0"/>
          <w:bCs/>
        </w:rPr>
        <w:t>The negative impacts of invasive alien species often occur outside of the social or economic context</w:t>
      </w:r>
      <w:r w:rsidR="274F16EA" w:rsidRPr="00A9434B">
        <w:rPr>
          <w:b w:val="0"/>
          <w:bCs/>
        </w:rPr>
        <w:t>s</w:t>
      </w:r>
      <w:r w:rsidR="326765F3" w:rsidRPr="00A9434B">
        <w:rPr>
          <w:b w:val="0"/>
          <w:bCs/>
        </w:rPr>
        <w:t xml:space="preserve"> responsible for their introduction and spread </w:t>
      </w:r>
      <w:r w:rsidR="00F806B6" w:rsidRPr="00A9434B">
        <w:rPr>
          <w:b w:val="0"/>
          <w:bCs/>
        </w:rPr>
        <w:t>(</w:t>
      </w:r>
      <w:r w:rsidR="5E0CB0CE" w:rsidRPr="00673554">
        <w:rPr>
          <w:bCs/>
          <w:iCs/>
        </w:rPr>
        <w:t>s</w:t>
      </w:r>
      <w:r w:rsidR="474DF050" w:rsidRPr="00673554">
        <w:rPr>
          <w:bCs/>
          <w:iCs/>
        </w:rPr>
        <w:t>ection 6.</w:t>
      </w:r>
      <w:r w:rsidR="57094DCD" w:rsidRPr="00673554">
        <w:rPr>
          <w:bCs/>
          <w:iCs/>
        </w:rPr>
        <w:t>3.1.2</w:t>
      </w:r>
      <w:r w:rsidR="01061BFF" w:rsidRPr="00A9434B">
        <w:rPr>
          <w:b w:val="0"/>
          <w:bCs/>
        </w:rPr>
        <w:t>, also called telecoupling</w:t>
      </w:r>
      <w:r w:rsidR="0A01DC0A" w:rsidRPr="00A9434B">
        <w:rPr>
          <w:b w:val="0"/>
          <w:bCs/>
        </w:rPr>
        <w:t>)</w:t>
      </w:r>
      <w:r w:rsidR="326765F3" w:rsidRPr="00A9434B">
        <w:rPr>
          <w:b w:val="0"/>
          <w:bCs/>
        </w:rPr>
        <w:t xml:space="preserve">. For example, the cost of invasive alien species impacts are not included in the price of traded </w:t>
      </w:r>
      <w:r w:rsidR="326765F3" w:rsidRPr="00C73655">
        <w:rPr>
          <w:b w:val="0"/>
          <w:bCs/>
        </w:rPr>
        <w:t xml:space="preserve">goods </w:t>
      </w:r>
      <w:r w:rsidR="00893388" w:rsidRPr="0040070E">
        <w:rPr>
          <w:b w:val="0"/>
          <w:bCs/>
          <w:i/>
          <w:iCs/>
        </w:rPr>
        <w:fldChar w:fldCharType="begin"/>
      </w:r>
      <w:r w:rsidR="0006613E" w:rsidRPr="0040070E">
        <w:rPr>
          <w:b w:val="0"/>
          <w:bCs/>
        </w:rPr>
        <w:instrText xml:space="preserve"> ADDIN ZOTERO_ITEM CSL_CITATION {"citationID":"a25vhka4ct8","properties":{"formattedCitation":"(Stoett, 2010)","plainCitation":"(Stoett, 2010)","noteIndex":0},"citationItems":[{"id":56668,"uris":["http://zotero.org/groups/2352922/items/SPT8ZQBR","http://zotero.org/groups/2352922/items/MVPMRFM8"],"itemData":{"id":56668,"type":"article-journal","container-title":"Global Governance: A Review of Multilateralism and International Organizations","DOI":"10.1163/19426720-01601007","ISSN":"1075-2846, 1942-6720","issue":"1","journalAbbreviation":"GG","page":"103-120","source":"DOI.org (Crossref)","title":"Framing Bioinvasion: Biodiversity, Climate Change, Security, Trade, and Global Governance","title-short":"Framing Bioinvasion","URL":"https://brill.com/view/journals/gg/16/1/article-p103_7.xml","volume":"16","author":[{"family":"Stoett","given":"Peter"}],"accessed":{"date-parts":[["2023",6,8]]},"issued":{"date-parts":[["2010",12,19]]}},"label":"page"}],"schema":"https://github.com/citation-style-language/schema/raw/master/csl-citation.json"} </w:instrText>
      </w:r>
      <w:r w:rsidR="00893388" w:rsidRPr="0040070E">
        <w:rPr>
          <w:b w:val="0"/>
          <w:bCs/>
          <w:i/>
          <w:iCs/>
        </w:rPr>
        <w:fldChar w:fldCharType="separate"/>
      </w:r>
      <w:r w:rsidR="0006613E" w:rsidRPr="0040070E">
        <w:rPr>
          <w:b w:val="0"/>
        </w:rPr>
        <w:t>(Stoett, 2010)</w:t>
      </w:r>
      <w:r w:rsidR="00893388" w:rsidRPr="0040070E">
        <w:rPr>
          <w:b w:val="0"/>
          <w:bCs/>
          <w:i/>
          <w:iCs/>
        </w:rPr>
        <w:fldChar w:fldCharType="end"/>
      </w:r>
      <w:r w:rsidR="326765F3" w:rsidRPr="00C73655">
        <w:rPr>
          <w:b w:val="0"/>
          <w:bCs/>
        </w:rPr>
        <w:t>.</w:t>
      </w:r>
      <w:r w:rsidR="326765F3" w:rsidRPr="00A9434B">
        <w:rPr>
          <w:b w:val="0"/>
          <w:bCs/>
        </w:rPr>
        <w:t xml:space="preserve"> Invasion risk is sometimes not considered in the development of new agricultural </w:t>
      </w:r>
      <w:r w:rsidR="512691D1" w:rsidRPr="00A9434B">
        <w:rPr>
          <w:b w:val="0"/>
          <w:bCs/>
        </w:rPr>
        <w:t xml:space="preserve">and forestry </w:t>
      </w:r>
      <w:r w:rsidR="326765F3" w:rsidRPr="00A9434B">
        <w:rPr>
          <w:b w:val="0"/>
          <w:bCs/>
        </w:rPr>
        <w:t xml:space="preserve">technologies </w:t>
      </w:r>
      <w:r w:rsidR="00C14761" w:rsidRPr="00A9434B">
        <w:rPr>
          <w:b w:val="0"/>
          <w:bCs/>
          <w:i/>
          <w:iCs/>
        </w:rPr>
        <w:fldChar w:fldCharType="begin"/>
      </w:r>
      <w:r w:rsidR="00C14761" w:rsidRPr="00A9434B">
        <w:rPr>
          <w:b w:val="0"/>
          <w:bCs/>
        </w:rPr>
        <w:instrText xml:space="preserve"> ADDIN EN.CITE &lt;EndNote&gt;&lt;Cite&gt;&lt;Author&gt;Driscoll&lt;/Author&gt;&lt;Year&gt;2014&lt;/Year&gt;&lt;RecNum&gt;51593&lt;/RecNum&gt;&lt;DisplayText&gt;(Driscoll, Catford et al. 2014)&lt;/DisplayText&gt;&lt;record&gt;&lt;rec-number&gt;51593&lt;/rec-number&gt;&lt;foreign-keys&gt;&lt;key app="EN" db-id="awx9raddr0xx2hev05rxr0z05weepwpt0fex" timestamp="1622608220"&gt;51593&lt;/key&gt;&lt;/foreign-keys&gt;&lt;ref-type name="Journal Article"&gt;17&lt;/ref-type&gt;&lt;contributors&gt;&lt;authors&gt;&lt;author&gt;Driscoll, Don A.&lt;/author&gt;&lt;author&gt;Catford, Jane A.&lt;/author&gt;&lt;author&gt;Barney, Jacob N.&lt;/author&gt;&lt;author&gt;Hulme, Philip E.&lt;/author&gt;&lt;author&gt;Inderjit,&lt;/author&gt;&lt;author&gt;Martin, Tara G.&lt;/author&gt;&lt;author&gt;Pauchard, Aníbal&lt;/author&gt;&lt;author&gt;Pyšek, Petr&lt;/author&gt;&lt;author&gt;Richardson, David M.&lt;/author&gt;&lt;author&gt;Riley, Sophie&lt;/author&gt;&lt;author&gt;Visser, Vernon&lt;/author&gt;&lt;/authors&gt;&lt;/contributors&gt;&lt;titles&gt;&lt;title&gt;New pasture plants intensify invasive species risk&lt;/title&gt;&lt;secondary-title&gt;Proceedings of the National Academy of Sciences&lt;/secondary-title&gt;&lt;/titles&gt;&lt;periodical&gt;&lt;full-title&gt;Proceedings of the National Academy of Sciences&lt;/full-title&gt;&lt;/periodical&gt;&lt;pages&gt;16622-16627&lt;/pages&gt;&lt;volume&gt;111&lt;/volume&gt;&lt;number&gt;46&lt;/number&gt;&lt;dates&gt;&lt;year&gt;2014&lt;/year&gt;&lt;/dates&gt;&lt;urls&gt;&lt;related-urls&gt;&lt;url&gt;https://www.pnas.org/content/pnas/111/46/16622.full.pdf&lt;/url&gt;&lt;/related-urls&gt;&lt;/urls&gt;&lt;electronic-resource-num&gt;10.1073/pnas.1409347111&lt;/electronic-resource-num&gt;&lt;/record&gt;&lt;/Cite&gt;&lt;/EndNote&gt;</w:instrText>
      </w:r>
      <w:r w:rsidR="00C14761" w:rsidRPr="00A9434B">
        <w:rPr>
          <w:b w:val="0"/>
          <w:bCs/>
          <w:i/>
          <w:iCs/>
        </w:rPr>
        <w:fldChar w:fldCharType="separate"/>
      </w:r>
      <w:r w:rsidR="00893388" w:rsidRPr="00A9434B">
        <w:rPr>
          <w:b w:val="0"/>
          <w:bCs/>
          <w:i/>
          <w:iCs/>
        </w:rPr>
        <w:fldChar w:fldCharType="begin"/>
      </w:r>
      <w:r w:rsidR="0006613E">
        <w:rPr>
          <w:b w:val="0"/>
          <w:bCs/>
        </w:rPr>
        <w:instrText xml:space="preserve"> ADDIN ZOTERO_ITEM CSL_CITATION {"citationID":"a1ajr2tdt1f","properties":{"formattedCitation":"(Driscoll et al., 2014)","plainCitation":"(Driscoll et al., 2014)","noteIndex":0},"citationItems":[{"id":31179,"uris":["http://zotero.org/groups/2352922/items/7WJ3HEZW"],"itemData":{"id":31179,"type":"article-journal","abstract":"Agricultural intensification is critical to meet global food demand, but intensification threatens native species and degrades ecosystems. Sustainable intensification (SI) is heralded as a new approach for enabling growth in agriculture while minimizing environmental impacts. However, the SI literature has overlooked a major environmental risk. Using data from eight countries on six continents, we show that few governments regulate conventionally bred pasture taxa to limit threats to natural areas, even though most agribusinesses promote taxa with substantial weed risk. New pasture taxa (including species, subspecies, varieties, cultivars, and plant-endophyte combinations) are bred with characteristics typical of invasive species and environmental weeds. By introducing novel genetic and endophyte variation, pasture taxa are imbued with additional capacity for invasion and environmental impact. New strategies to prevent future problems are urgently needed. We highlight opportunities for researchers, agribusiness, and consumers to reduce environmental risks associated with new pasture taxa. We also emphasize four main approaches that governments could consider as they build new policies to limit weed risks, including (i) national lists of taxa that are prohibited based on environmental risk; (ii) a weed risk assessment for all new taxa; (iii) a program to rapidly detect and control new taxa that invade natural areas; and (iv) the polluter-pays principle, so that if a taxon becomes an environmental weed, industry pays for its management. There is mounting pressure to increase livestock production. With foresight and planning, growth in agriculture can be achieved sustainably provided that the scope of SI expands to encompass environmental weed risks.","container-title":"Proceedings of the National Academy of Sciences","DOI":"10.1073/pnas.1409347111","ISSN":"0027-8424, 1091-6490","issue":"46","journalAbbreviation":"PNAS","language":"en","note":"publisher: National Academy of Sciences\nsection: Biological Sciences\nPMID: 25368175","page":"16622-16627","source":"www.pnas.org","title":"New pasture plants intensify invasive species risk","URL":"https://www.pnas.org/content/111/46/16622","volume":"111","author":[{"family":"Driscoll","given":"Don A."},{"family":"Catford","given":"Jane A."},{"family":"Barney","given":"Jacob N."},{"family":"Hulme","given":"Philip E."},{"literal":"Inderjit"},{"family":"Martin","given":"Tara G."},{"family":"Pauchard","given":"Aníbal"},{"family":"Pyšek","given":"Petr"},{"family":"Richardson","given":"David M."},{"family":"Riley","given":"Sophie"},{"family":"Visser","given":"Vernon"}],"accessed":{"date-parts":[["2021",10,29]]},"issued":{"date-parts":[["2014",11,18]]}},"label":"page"}],"schema":"https://github.com/citation-style-language/schema/raw/master/csl-citation.json"} </w:instrText>
      </w:r>
      <w:r w:rsidR="00893388" w:rsidRPr="00A9434B">
        <w:rPr>
          <w:b w:val="0"/>
          <w:bCs/>
          <w:i/>
          <w:iCs/>
        </w:rPr>
        <w:fldChar w:fldCharType="separate"/>
      </w:r>
      <w:r w:rsidR="00C71E80" w:rsidRPr="00A9434B">
        <w:rPr>
          <w:b w:val="0"/>
          <w:bCs/>
        </w:rPr>
        <w:t>(Driscoll et al., 2014)</w:t>
      </w:r>
      <w:r w:rsidR="00893388" w:rsidRPr="00A9434B">
        <w:rPr>
          <w:b w:val="0"/>
          <w:bCs/>
          <w:i/>
          <w:iCs/>
        </w:rPr>
        <w:fldChar w:fldCharType="end"/>
      </w:r>
      <w:r w:rsidR="00C14761" w:rsidRPr="00A9434B">
        <w:rPr>
          <w:b w:val="0"/>
          <w:bCs/>
          <w:i/>
          <w:iCs/>
        </w:rPr>
        <w:fldChar w:fldCharType="end"/>
      </w:r>
      <w:r w:rsidR="0879F308" w:rsidRPr="00A9434B">
        <w:rPr>
          <w:b w:val="0"/>
          <w:bCs/>
        </w:rPr>
        <w:t>,</w:t>
      </w:r>
      <w:r w:rsidR="326765F3" w:rsidRPr="00A9434B">
        <w:rPr>
          <w:b w:val="0"/>
          <w:bCs/>
        </w:rPr>
        <w:t xml:space="preserve"> when deploying disaster relief aid or when developing international assistance program</w:t>
      </w:r>
      <w:r w:rsidR="00246A34" w:rsidRPr="00A9434B">
        <w:rPr>
          <w:b w:val="0"/>
          <w:bCs/>
        </w:rPr>
        <w:t>me</w:t>
      </w:r>
      <w:r w:rsidR="326765F3" w:rsidRPr="00A9434B">
        <w:rPr>
          <w:b w:val="0"/>
          <w:bCs/>
        </w:rPr>
        <w:t xml:space="preserve">s </w:t>
      </w:r>
      <w:r w:rsidR="00C14761" w:rsidRPr="00A9434B">
        <w:rPr>
          <w:b w:val="0"/>
          <w:bCs/>
          <w:i/>
          <w:iCs/>
        </w:rPr>
        <w:fldChar w:fldCharType="begin"/>
      </w:r>
      <w:r w:rsidR="0006613E">
        <w:rPr>
          <w:b w:val="0"/>
          <w:bCs/>
        </w:rPr>
        <w:instrText xml:space="preserve"> ADDIN ZOTERO_ITEM CSL_CITATION {"citationID":"a2fnubkpue5","properties":{"formattedCitation":"\\uldash{(Murphy &amp; Cheesman, 2006)}","plainCitation":"(Murphy &amp; Cheesman, 2006)","dontUpdate":true,"noteIndex":0},"citationItems":[{"id":32859,"uris":["http://zotero.org/groups/2352922/items/WACB9G3T"],"itemData":{"id":32859,"type":"report","collection-title":"Biodiversity Series","event-place":"Washington, DC, USA","genre":"A Preliminary Report","language":"en","page":"50","publisher":"World Bank Environmental Department","publisher-place":"Washington, DC, USA","source":"Zotero","title":"The Aid Trade - International Assistance Programs as Pathways for the Introduction of Invasive Alien Species","author":[{"family":"Murphy","given":"Sean T"},{"family":"Cheesman","given":"Oliver D"}],"issued":{"date-parts":[["2006"]]}},"label":"page"}],"schema":"https://github.com/citation-style-language/schema/raw/master/csl-citation.json"} </w:instrText>
      </w:r>
      <w:r w:rsidR="00C14761" w:rsidRPr="00A9434B">
        <w:rPr>
          <w:b w:val="0"/>
          <w:bCs/>
          <w:i/>
          <w:iCs/>
        </w:rPr>
        <w:fldChar w:fldCharType="separate"/>
      </w:r>
      <w:r w:rsidR="00A37DFA" w:rsidRPr="00A9434B">
        <w:rPr>
          <w:b w:val="0"/>
          <w:bCs/>
        </w:rPr>
        <w:t>(Murphy &amp; Cheesman, 2006</w:t>
      </w:r>
      <w:r w:rsidR="00C14761" w:rsidRPr="00A9434B">
        <w:rPr>
          <w:b w:val="0"/>
          <w:bCs/>
          <w:i/>
          <w:iCs/>
        </w:rPr>
        <w:fldChar w:fldCharType="end"/>
      </w:r>
      <w:r w:rsidR="00C27DCE" w:rsidRPr="00C27DCE">
        <w:rPr>
          <w:b w:val="0"/>
          <w:bCs/>
        </w:rPr>
        <w:t>)</w:t>
      </w:r>
      <w:r w:rsidR="0AD72B4F" w:rsidRPr="00A9434B">
        <w:rPr>
          <w:b w:val="0"/>
          <w:bCs/>
        </w:rPr>
        <w:t>;</w:t>
      </w:r>
      <w:r w:rsidR="038E095B" w:rsidRPr="00A9434B">
        <w:rPr>
          <w:b w:val="0"/>
          <w:bCs/>
        </w:rPr>
        <w:t xml:space="preserve"> </w:t>
      </w:r>
      <w:r w:rsidR="2F10A776" w:rsidRPr="00A9434B">
        <w:rPr>
          <w:b w:val="0"/>
          <w:bCs/>
        </w:rPr>
        <w:t xml:space="preserve">insect pests can be unintentionally imported with </w:t>
      </w:r>
      <w:r w:rsidR="522CCD8C" w:rsidRPr="00A9434B">
        <w:rPr>
          <w:b w:val="0"/>
          <w:bCs/>
        </w:rPr>
        <w:t xml:space="preserve">products used to rebuild </w:t>
      </w:r>
      <w:r w:rsidR="32AAA812" w:rsidRPr="00A9434B">
        <w:rPr>
          <w:b w:val="0"/>
          <w:bCs/>
        </w:rPr>
        <w:t xml:space="preserve">infrastructure </w:t>
      </w:r>
      <w:r w:rsidR="522CCD8C" w:rsidRPr="00A9434B">
        <w:rPr>
          <w:b w:val="0"/>
          <w:bCs/>
        </w:rPr>
        <w:t xml:space="preserve">after </w:t>
      </w:r>
      <w:r w:rsidR="32AAA812" w:rsidRPr="00A9434B">
        <w:rPr>
          <w:b w:val="0"/>
          <w:bCs/>
        </w:rPr>
        <w:t xml:space="preserve">natural </w:t>
      </w:r>
      <w:r w:rsidR="522CCD8C" w:rsidRPr="00A9434B">
        <w:rPr>
          <w:b w:val="0"/>
          <w:bCs/>
        </w:rPr>
        <w:t>disasters</w:t>
      </w:r>
      <w:r w:rsidR="7BF84F1A" w:rsidRPr="00A9434B">
        <w:rPr>
          <w:b w:val="0"/>
          <w:bCs/>
        </w:rPr>
        <w:t xml:space="preserve"> </w:t>
      </w:r>
      <w:r w:rsidR="00F806B6" w:rsidRPr="00A9434B">
        <w:rPr>
          <w:b w:val="0"/>
          <w:bCs/>
        </w:rPr>
        <w:t>(</w:t>
      </w:r>
      <w:r w:rsidR="0037768C" w:rsidRPr="00673554">
        <w:rPr>
          <w:bCs/>
          <w:iCs/>
        </w:rPr>
        <w:t>C</w:t>
      </w:r>
      <w:r w:rsidR="7BF84F1A" w:rsidRPr="00673554">
        <w:rPr>
          <w:bCs/>
          <w:iCs/>
        </w:rPr>
        <w:t>hapter 3</w:t>
      </w:r>
      <w:r w:rsidR="7BF84F1A" w:rsidRPr="00673554">
        <w:rPr>
          <w:b w:val="0"/>
          <w:bCs/>
          <w:iCs/>
        </w:rPr>
        <w:t>,</w:t>
      </w:r>
      <w:r w:rsidR="7BF84F1A" w:rsidRPr="00673554">
        <w:rPr>
          <w:bCs/>
          <w:iCs/>
        </w:rPr>
        <w:t xml:space="preserve"> section 3.2.2.</w:t>
      </w:r>
      <w:r w:rsidR="00E0788B" w:rsidRPr="00673554">
        <w:rPr>
          <w:bCs/>
          <w:iCs/>
        </w:rPr>
        <w:t>2</w:t>
      </w:r>
      <w:r w:rsidR="7BF84F1A" w:rsidRPr="00A9434B">
        <w:rPr>
          <w:b w:val="0"/>
          <w:bCs/>
        </w:rPr>
        <w:t>)</w:t>
      </w:r>
      <w:r w:rsidR="049AFCD5" w:rsidRPr="00A9434B">
        <w:rPr>
          <w:b w:val="0"/>
          <w:bCs/>
        </w:rPr>
        <w:t>.</w:t>
      </w:r>
      <w:r w:rsidR="522CCD8C" w:rsidRPr="00A9434B">
        <w:rPr>
          <w:b w:val="0"/>
          <w:bCs/>
        </w:rPr>
        <w:t xml:space="preserve"> </w:t>
      </w:r>
      <w:r w:rsidR="326765F3" w:rsidRPr="00A9434B">
        <w:rPr>
          <w:b w:val="0"/>
          <w:bCs/>
        </w:rPr>
        <w:t xml:space="preserve">Negative environmental consequences of invasive alien species are often spatially and temporally diffuse, and this can undermine the legitimacy of environmental concerns </w:t>
      </w:r>
      <w:r w:rsidR="00864330" w:rsidRPr="00A9434B">
        <w:rPr>
          <w:b w:val="0"/>
          <w:bCs/>
          <w:i/>
          <w:iCs/>
        </w:rPr>
        <w:fldChar w:fldCharType="begin"/>
      </w:r>
      <w:r w:rsidR="0006613E">
        <w:rPr>
          <w:b w:val="0"/>
          <w:bCs/>
        </w:rPr>
        <w:instrText xml:space="preserve"> ADDIN ZOTERO_ITEM CSL_CITATION {"citationID":"a7em53osfr","properties":{"formattedCitation":"(Neale &amp; Macdonald, 2019)","plainCitation":"(Neale &amp; Macdonald, 2019)","noteIndex":0},"citationItems":[{"id":53480,"uris":["http://zotero.org/groups/2352922/items/IUJJSD3D","http://zotero.org/groups/2352922/items/EY7SKQ9X"],"itemData":{"id":53480,"type":"article-journal","container-title":"Australian Geographer","DOI":"10.1080/00049182.2019.1686731","ISSN":"0004-9182","issue":"4","page":"417-433","title":"Permits to burn: weeds, slow violence, and the extractive future of northern Australia","volume":"50","author":[{"family":"Neale","given":"Timothy"},{"family":"Macdonald","given":"Jennifer Mairi"}],"issued":{"date-parts":[["2019",10,2]]}},"label":"page"}],"schema":"https://github.com/citation-style-language/schema/raw/master/csl-citation.json"} </w:instrText>
      </w:r>
      <w:r w:rsidR="00864330" w:rsidRPr="00A9434B">
        <w:rPr>
          <w:b w:val="0"/>
          <w:bCs/>
          <w:i/>
          <w:iCs/>
        </w:rPr>
        <w:fldChar w:fldCharType="separate"/>
      </w:r>
      <w:r w:rsidR="00C71E80" w:rsidRPr="00A9434B">
        <w:rPr>
          <w:b w:val="0"/>
          <w:bCs/>
        </w:rPr>
        <w:t>(Neale &amp; Macdonald, 2019)</w:t>
      </w:r>
      <w:r w:rsidR="00864330" w:rsidRPr="00A9434B">
        <w:rPr>
          <w:b w:val="0"/>
          <w:bCs/>
          <w:i/>
          <w:iCs/>
        </w:rPr>
        <w:fldChar w:fldCharType="end"/>
      </w:r>
      <w:r w:rsidR="00C14761" w:rsidRPr="00A9434B">
        <w:rPr>
          <w:b w:val="0"/>
          <w:bCs/>
          <w:i/>
          <w:iCs/>
        </w:rPr>
        <w:fldChar w:fldCharType="begin"/>
      </w:r>
      <w:r w:rsidR="00C14761" w:rsidRPr="00A9434B">
        <w:rPr>
          <w:b w:val="0"/>
          <w:bCs/>
        </w:rPr>
        <w:instrText xml:space="preserve"> ADDIN EN.CITE &lt;EndNote&gt;&lt;Cite&gt;&lt;Author&gt;Neale&lt;/Author&gt;&lt;Year&gt;2019&lt;/Year&gt;&lt;RecNum&gt;49001&lt;/RecNum&gt;&lt;DisplayText&gt;(Neale and Macdonald 2019)&lt;/DisplayText&gt;&lt;record&gt;&lt;rec-number&gt;49001&lt;/rec-number&gt;&lt;foreign-keys&gt;&lt;key app="EN" db-id="awx9raddr0xx2hev05rxr0z05weepwpt0fex" timestamp="1581497320"&gt;49001&lt;/key&gt;&lt;/foreign-keys&gt;&lt;ref-type name="Journal Article"&gt;17&lt;/ref-type&gt;&lt;contributors&gt;&lt;authors&gt;&lt;author&gt;Neale, Timothy&lt;/author&gt;&lt;author&gt;Macdonald, Jennifer Mairi&lt;/author&gt;&lt;/authors&gt;&lt;/contributors&gt;&lt;titles&gt;&lt;title&gt;Permits to burn: weeds, slow violence, and the extractive future of northern Australia&lt;/title&gt;&lt;secondary-title&gt;Australian Geographer&lt;/secondary-title&gt;&lt;/titles&gt;&lt;periodical&gt;&lt;full-title&gt;Australian Geographer&lt;/full-title&gt;&lt;abbr-1&gt;Aust. Geogr.&lt;/abbr-1&gt;&lt;abbr-2&gt;Aust Geogr&lt;/abbr-2&gt;&lt;/periodical&gt;&lt;pages&gt;417-433&lt;/pages&gt;&lt;volume&gt;50&lt;/volume&gt;&lt;number&gt;4&lt;/number&gt;&lt;dates&gt;&lt;year&gt;2019&lt;/year&gt;&lt;pub-dates&gt;&lt;date&gt;Oct 2&lt;/date&gt;&lt;/pub-dates&gt;&lt;/dates&gt;&lt;isbn&gt;0004-9182&lt;/isbn&gt;&lt;accession-num&gt;WOS:000495700200001&lt;/accession-num&gt;&lt;urls&gt;&lt;related-urls&gt;&lt;url&gt;&amp;lt;Go to ISI&amp;gt;://WOS:000495700200001&lt;/url&gt;&lt;/related-urls&gt;&lt;/urls&gt;&lt;electronic-resource-num&gt;10.1080/00049182.2019.1686731&lt;/electronic-resource-num&gt;&lt;/record&gt;&lt;/Cite&gt;&lt;/EndNote&gt;</w:instrText>
      </w:r>
      <w:r w:rsidR="00C14761" w:rsidRPr="00A9434B">
        <w:rPr>
          <w:b w:val="0"/>
          <w:bCs/>
          <w:i/>
          <w:iCs/>
        </w:rPr>
        <w:fldChar w:fldCharType="end"/>
      </w:r>
      <w:r w:rsidR="326765F3" w:rsidRPr="00A9434B">
        <w:rPr>
          <w:b w:val="0"/>
          <w:bCs/>
        </w:rPr>
        <w:t xml:space="preserve">. </w:t>
      </w:r>
      <w:r w:rsidR="0AD72B4F" w:rsidRPr="00A9434B">
        <w:rPr>
          <w:b w:val="0"/>
          <w:bCs/>
        </w:rPr>
        <w:t>Biological invasion</w:t>
      </w:r>
      <w:r w:rsidR="326765F3" w:rsidRPr="00A9434B">
        <w:rPr>
          <w:b w:val="0"/>
          <w:bCs/>
        </w:rPr>
        <w:t xml:space="preserve"> as an unintended consequence of trade is an example of a spill-over system, and spill-over effects can tend to be neglected in governance systems </w:t>
      </w:r>
      <w:r w:rsidR="00C14761" w:rsidRPr="00A9434B">
        <w:rPr>
          <w:b w:val="0"/>
          <w:bCs/>
          <w:i/>
          <w:iCs/>
        </w:rPr>
        <w:fldChar w:fldCharType="begin"/>
      </w:r>
      <w:r w:rsidR="00C14761" w:rsidRPr="00A9434B">
        <w:rPr>
          <w:b w:val="0"/>
          <w:bCs/>
        </w:rPr>
        <w:instrText xml:space="preserve"> ADDIN EN.CITE &lt;EndNote&gt;&lt;Cite&gt;&lt;Author&gt;Liu&lt;/Author&gt;&lt;Year&gt;2018&lt;/Year&gt;&lt;RecNum&gt;49039&lt;/RecNum&gt;&lt;DisplayText&gt;(Liu, Dou et al. 2018)&lt;/DisplayText&gt;&lt;record&gt;&lt;rec-number&gt;49039&lt;/rec-number&gt;&lt;foreign-keys&gt;&lt;key app="EN" db-id="awx9raddr0xx2hev05rxr0z05weepwpt0fex" timestamp="1581497320"&gt;49039&lt;/key&gt;&lt;/foreign-keys&gt;&lt;ref-type name="Journal Article"&gt;17&lt;/ref-type&gt;&lt;contributors&gt;&lt;authors&gt;&lt;author&gt;Liu, Jianguo&lt;/author&gt;&lt;author&gt;Dou, Yue&lt;/author&gt;&lt;author&gt;Batistella, Mateus&lt;/author&gt;&lt;author&gt;Challies, Edward&lt;/author&gt;&lt;author&gt;Connor, Thomas&lt;/author&gt;&lt;author&gt;Friis, Cecilie&lt;/author&gt;&lt;author&gt;Millington, James D. A.&lt;/author&gt;&lt;author&gt;Parish, Esther&lt;/author&gt;&lt;author&gt;Romulo, Chelsie L.&lt;/author&gt;&lt;author&gt;Bicudo Silva, Ramon Felipe&lt;/author&gt;&lt;author&gt;Triezenberg, Heather&lt;/author&gt;&lt;author&gt;Yang, Hongbo&lt;/author&gt;&lt;author&gt;Zhao, Zhiqiang&lt;/author&gt;&lt;author&gt;Zimmerer, Karl S.&lt;/author&gt;&lt;author&gt;Huettmann, Falk&lt;/author&gt;&lt;author&gt;Treglia, Michael L.&lt;/author&gt;&lt;author&gt;Basher, Zeenatul&lt;/author&gt;&lt;author&gt;Chung, Min Gon&lt;/author&gt;&lt;author&gt;Herzberger, Anna&lt;/author&gt;&lt;author&gt;Lenschow, Andrea&lt;/author&gt;&lt;author&gt;Mechiche-Alami, Altaaf&lt;/author&gt;&lt;author&gt;Newig, Jens&lt;/author&gt;&lt;author&gt;Roche, James&lt;/author&gt;&lt;author&gt;Sun, Jing&lt;/author&gt;&lt;/authors&gt;&lt;/contributors&gt;&lt;titles&gt;&lt;title&gt;Spillover systems in a telecoupled Anthropocene: typology, methods, and governance for global sustainability&lt;/title&gt;&lt;secondary-title&gt;Current Opinion in Environmental Sustainability&lt;/secondary-title&gt;&lt;/titles&gt;&lt;periodical&gt;&lt;full-title&gt;Current Opinion in Environmental Sustainability&lt;/full-title&gt;&lt;/periodical&gt;&lt;pages&gt;58-69&lt;/pages&gt;&lt;volume&gt;33&lt;/volume&gt;&lt;dates&gt;&lt;year&gt;2018&lt;/year&gt;&lt;pub-dates&gt;&lt;date&gt;Aug&lt;/date&gt;&lt;/pub-dates&gt;&lt;/dates&gt;&lt;isbn&gt;1877-3435&lt;/isbn&gt;&lt;accession-num&gt;WOS:000445695900008&lt;/accession-num&gt;&lt;urls&gt;&lt;related-urls&gt;&lt;url&gt;&amp;lt;Go to ISI&amp;gt;://WOS:000445695900008&lt;/url&gt;&lt;/related-urls&gt;&lt;/urls&gt;&lt;electronic-resource-num&gt;10.1016/j.cosust.2018.04.009&lt;/electronic-resource-num&gt;&lt;/record&gt;&lt;/Cite&gt;&lt;/EndNote&gt;</w:instrText>
      </w:r>
      <w:r w:rsidR="00C14761" w:rsidRPr="00A9434B">
        <w:rPr>
          <w:b w:val="0"/>
          <w:bCs/>
          <w:i/>
          <w:iCs/>
        </w:rPr>
        <w:fldChar w:fldCharType="separate"/>
      </w:r>
      <w:r w:rsidR="00893388" w:rsidRPr="00A9434B">
        <w:rPr>
          <w:b w:val="0"/>
          <w:bCs/>
          <w:i/>
          <w:iCs/>
        </w:rPr>
        <w:fldChar w:fldCharType="begin"/>
      </w:r>
      <w:r w:rsidR="0006613E">
        <w:rPr>
          <w:b w:val="0"/>
          <w:bCs/>
        </w:rPr>
        <w:instrText xml:space="preserve"> ADDIN ZOTERO_ITEM CSL_CITATION {"citationID":"a23egn8qngd","properties":{"formattedCitation":"(J. Liu, Dou, et al., 2018)","plainCitation":"(J. Liu, Dou, et al., 2018)","noteIndex":0},"citationItems":[{"id":24033,"uris":["http://zotero.org/groups/2352922/items/BG76YHBC"],"itemData":{"id":24033,"type":"article-journal","container-title":"Current Opinion in Environmental Sustainability","DOI":"10.1016/j.cosust.2018.04.009","ISSN":"1877-3435","page":"58-69","title":"Spillover systems in a telecoupled Anthropocene: typology, methods, and governance for global sustainability","volume":"33","author":[{"family":"Liu","given":"Jianguo"},{"family":"Dou","given":"Yue"},{"family":"Batistella","given":"Mateus"},{"family":"Challies","given":"Edward"},{"family":"Connor","given":"Thomas"},{"family":"Friis","given":"Cecilie"},{"family":"Millington","given":"James D. A."},{"family":"Parish","given":"Esther"},{"family":"Romulo","given":"Chelsie L."},{"family":"Bicudo Silva","given":"Ramon Felipe"},{"family":"Triezenberg","given":"Heather"},{"family":"Yang","given":"Hongbo"},{"family":"Zhao","given":"Zhiqiang"},{"family":"Zimmerer","given":"Karl S."},{"family":"Huettmann","given":"Falk"},{"family":"Treglia","given":"Michael L."},{"family":"Basher","given":"Zeenatul"},{"family":"Chung","given":"Min Gon"},{"family":"Herzberger","given":"Anna"},{"family":"Lenschow","given":"Andrea"},{"family":"Mechiche-Alami","given":"Altaaf"},{"family":"Newig","given":"Jens"},{"family":"Roche","given":"James"},{"family":"Sun","given":"Jing"}],"issued":{"date-parts":[["2018",8]]}},"label":"page"}],"schema":"https://github.com/citation-style-language/schema/raw/master/csl-citation.json"} </w:instrText>
      </w:r>
      <w:r w:rsidR="00893388" w:rsidRPr="00A9434B">
        <w:rPr>
          <w:b w:val="0"/>
          <w:bCs/>
          <w:i/>
          <w:iCs/>
        </w:rPr>
        <w:fldChar w:fldCharType="separate"/>
      </w:r>
      <w:r w:rsidR="00C71E80" w:rsidRPr="00A9434B">
        <w:rPr>
          <w:b w:val="0"/>
          <w:bCs/>
        </w:rPr>
        <w:t>(J. Liu, Dou, et al., 2018)</w:t>
      </w:r>
      <w:r w:rsidR="00893388" w:rsidRPr="00A9434B">
        <w:rPr>
          <w:b w:val="0"/>
          <w:bCs/>
          <w:i/>
          <w:iCs/>
        </w:rPr>
        <w:fldChar w:fldCharType="end"/>
      </w:r>
      <w:r w:rsidR="00C14761" w:rsidRPr="00A9434B">
        <w:rPr>
          <w:b w:val="0"/>
          <w:bCs/>
          <w:i/>
          <w:iCs/>
        </w:rPr>
        <w:fldChar w:fldCharType="end"/>
      </w:r>
      <w:r w:rsidR="326765F3" w:rsidRPr="00A9434B">
        <w:rPr>
          <w:b w:val="0"/>
          <w:bCs/>
        </w:rPr>
        <w:t xml:space="preserve">. </w:t>
      </w:r>
      <w:r w:rsidR="5C7D9DDD" w:rsidRPr="00A9434B">
        <w:rPr>
          <w:b w:val="0"/>
          <w:bCs/>
        </w:rPr>
        <w:t>The c</w:t>
      </w:r>
      <w:r w:rsidR="326765F3" w:rsidRPr="00A9434B">
        <w:rPr>
          <w:rFonts w:eastAsia="Batang"/>
          <w:b w:val="0"/>
          <w:bCs/>
        </w:rPr>
        <w:t>osts, liability</w:t>
      </w:r>
      <w:r w:rsidR="00896CEC">
        <w:rPr>
          <w:rFonts w:eastAsia="Batang"/>
          <w:b w:val="0"/>
          <w:bCs/>
        </w:rPr>
        <w:t xml:space="preserve"> and</w:t>
      </w:r>
      <w:r w:rsidR="326765F3" w:rsidRPr="00A9434B">
        <w:rPr>
          <w:rFonts w:eastAsia="Batang"/>
          <w:b w:val="0"/>
          <w:bCs/>
        </w:rPr>
        <w:t xml:space="preserve"> responsibilities </w:t>
      </w:r>
      <w:r w:rsidR="5C7D9DDD" w:rsidRPr="00A9434B">
        <w:rPr>
          <w:rFonts w:eastAsia="Batang"/>
          <w:b w:val="0"/>
          <w:bCs/>
        </w:rPr>
        <w:t>for biological invasions need to be balanced</w:t>
      </w:r>
      <w:r w:rsidR="326765F3" w:rsidRPr="00A9434B">
        <w:rPr>
          <w:rFonts w:eastAsia="Batang"/>
          <w:b w:val="0"/>
          <w:bCs/>
        </w:rPr>
        <w:t xml:space="preserve"> between those directly responsible for species introductions</w:t>
      </w:r>
      <w:r w:rsidR="5C7D9DDD" w:rsidRPr="00A9434B">
        <w:rPr>
          <w:rFonts w:eastAsia="Batang"/>
          <w:b w:val="0"/>
          <w:bCs/>
        </w:rPr>
        <w:t xml:space="preserve"> and</w:t>
      </w:r>
      <w:r w:rsidR="326765F3" w:rsidRPr="00A9434B">
        <w:rPr>
          <w:rFonts w:eastAsia="Batang"/>
          <w:b w:val="0"/>
          <w:bCs/>
        </w:rPr>
        <w:t xml:space="preserve"> the general public, because health and biodiversity are a public good</w:t>
      </w:r>
      <w:r w:rsidR="2FCF5702" w:rsidRPr="00A9434B">
        <w:rPr>
          <w:rFonts w:eastAsia="Batang"/>
          <w:b w:val="0"/>
          <w:bCs/>
        </w:rPr>
        <w:t xml:space="preserve"> (</w:t>
      </w:r>
      <w:r w:rsidR="26FB2721" w:rsidRPr="00A9434B">
        <w:rPr>
          <w:rFonts w:eastAsia="Batang"/>
          <w:b w:val="0"/>
          <w:bCs/>
        </w:rPr>
        <w:t xml:space="preserve">i.e., </w:t>
      </w:r>
      <w:r w:rsidR="240CCACA" w:rsidRPr="00A9434B">
        <w:rPr>
          <w:rFonts w:eastAsia="Batang"/>
          <w:b w:val="0"/>
          <w:bCs/>
        </w:rPr>
        <w:t>nature</w:t>
      </w:r>
      <w:r w:rsidR="3B5EDD22" w:rsidRPr="00A9434B">
        <w:rPr>
          <w:rFonts w:eastAsia="Batang"/>
          <w:b w:val="0"/>
          <w:bCs/>
        </w:rPr>
        <w:t>’</w:t>
      </w:r>
      <w:r w:rsidR="240CCACA" w:rsidRPr="00A9434B">
        <w:rPr>
          <w:rFonts w:eastAsia="Batang"/>
          <w:b w:val="0"/>
          <w:bCs/>
        </w:rPr>
        <w:t>s contribution</w:t>
      </w:r>
      <w:r w:rsidR="1E797751" w:rsidRPr="00A9434B">
        <w:rPr>
          <w:rFonts w:eastAsia="Batang"/>
          <w:b w:val="0"/>
          <w:bCs/>
        </w:rPr>
        <w:t>s</w:t>
      </w:r>
      <w:r w:rsidR="240CCACA" w:rsidRPr="00A9434B">
        <w:rPr>
          <w:rFonts w:eastAsia="Batang"/>
          <w:b w:val="0"/>
          <w:bCs/>
        </w:rPr>
        <w:t xml:space="preserve"> to people and good quality of life</w:t>
      </w:r>
      <w:r w:rsidR="00982C0D" w:rsidRPr="00A9434B">
        <w:rPr>
          <w:rFonts w:eastAsia="Batang"/>
          <w:b w:val="0"/>
          <w:bCs/>
        </w:rPr>
        <w:t>;</w:t>
      </w:r>
      <w:r w:rsidR="326765F3" w:rsidRPr="00A9434B">
        <w:rPr>
          <w:rFonts w:eastAsia="Batang"/>
          <w:b w:val="0"/>
          <w:bCs/>
        </w:rPr>
        <w:t xml:space="preserve"> </w:t>
      </w:r>
      <w:r w:rsidR="00C14761" w:rsidRPr="00A9434B">
        <w:rPr>
          <w:rFonts w:eastAsia="Batang"/>
          <w:b w:val="0"/>
          <w:bCs/>
          <w:i/>
          <w:iCs/>
        </w:rPr>
        <w:fldChar w:fldCharType="begin"/>
      </w:r>
      <w:r w:rsidR="00C14761" w:rsidRPr="00A9434B">
        <w:rPr>
          <w:rFonts w:eastAsia="Batang"/>
          <w:b w:val="0"/>
          <w:bCs/>
        </w:rPr>
        <w:instrText xml:space="preserve"> ADDIN EN.CITE &lt;EndNote&gt;&lt;Cite&gt;&lt;Author&gt;Outhwaite&lt;/Author&gt;&lt;Year&gt;2010&lt;/Year&gt;&lt;RecNum&gt;51616&lt;/RecNum&gt;&lt;DisplayText&gt;(Outhwaite 2010)&lt;/DisplayText&gt;&lt;record&gt;&lt;rec-number&gt;51616&lt;/rec-number&gt;&lt;foreign-keys&gt;&lt;key app="EN" db-id="awx9raddr0xx2hev05rxr0z05weepwpt0fex" timestamp="1626588927"&gt;51616&lt;/key&gt;&lt;/foreign-keys&gt;&lt;ref-type name="Journal Article"&gt;17&lt;/ref-type&gt;&lt;contributors&gt;&lt;authors&gt;&lt;author&gt;Outhwaite, Opi&lt;/author&gt;&lt;/authors&gt;&lt;/contributors&gt;&lt;titles&gt;&lt;title&gt;The International Legal Framework for Biosecurity and the Challenges Ahead&lt;/title&gt;&lt;secondary-title&gt;Review of European Community &amp;amp; International Environmental Law&lt;/secondary-title&gt;&lt;/titles&gt;&lt;periodical&gt;&lt;full-title&gt;Review of European Community &amp;amp; International Environmental Law&lt;/full-title&gt;&lt;/periodical&gt;&lt;pages&gt;207-226&lt;/pages&gt;&lt;volume&gt;19&lt;/volume&gt;&lt;number&gt;2&lt;/number&gt;&lt;dates&gt;&lt;year&gt;2010&lt;/year&gt;&lt;/dates&gt;&lt;isbn&gt;0962-8797&lt;/isbn&gt;&lt;urls&gt;&lt;related-urls&gt;&lt;url&gt;https://onlinelibrary.wiley.com/doi/abs/10.1111/j.1467-9388.2010.00678.x&lt;/url&gt;&lt;/related-urls&gt;&lt;/urls&gt;&lt;electronic-resource-num&gt;https://doi.org/10.1111/j.1467-9388.2010.00678.x&lt;/electronic-resource-num&gt;&lt;/record&gt;&lt;/Cite&gt;&lt;/EndNote&gt;</w:instrText>
      </w:r>
      <w:r w:rsidR="00C14761" w:rsidRPr="00A9434B">
        <w:rPr>
          <w:rFonts w:eastAsia="Batang"/>
          <w:b w:val="0"/>
          <w:bCs/>
          <w:i/>
          <w:iCs/>
        </w:rPr>
        <w:fldChar w:fldCharType="separate"/>
      </w:r>
      <w:r w:rsidR="00893388" w:rsidRPr="00A9434B">
        <w:rPr>
          <w:rFonts w:eastAsia="Batang"/>
          <w:b w:val="0"/>
          <w:bCs/>
          <w:i/>
          <w:iCs/>
        </w:rPr>
        <w:fldChar w:fldCharType="begin"/>
      </w:r>
      <w:r w:rsidR="0006613E">
        <w:rPr>
          <w:rFonts w:eastAsia="Batang"/>
          <w:b w:val="0"/>
          <w:bCs/>
        </w:rPr>
        <w:instrText xml:space="preserve"> ADDIN ZOTERO_ITEM CSL_CITATION {"citationID":"a1japlbl700","properties":{"formattedCitation":"\\uldash{(Outhwaite, 2010)}","plainCitation":"(Outhwaite, 2010)","dontUpdate":true,"noteIndex":0},"citationItems":[{"id":17612,"uris":["http://zotero.org/groups/2352922/items/TZ8J4V7J"],"itemData":{"id":17612,"type":"article-journal","container-title":"Review of European Community &amp; International Environmental Law","DOI":"10.1111/j.1467-9388.2010.00678.x","ISSN":"09628797","issue":"2","language":"en","page":"207-226","source":"DOI.org (Crossref)","title":"The International Legal Framework For Biosecurity And The Challenges Ahead","title-short":"The International Legal Framework for Biosecurity and the Challenges Ahead","URL":"http://doi.wiley.com/10.1111/j.1467-9388.2010.00678.x","volume":"19","author":[{"family":"Outhwaite","given":"Opi"}],"accessed":{"date-parts":[["2020",2,9]]},"issued":{"date-parts":[["2010",7]]}},"label":"page"}],"schema":"https://github.com/citation-style-language/schema/raw/master/csl-citation.json"} </w:instrText>
      </w:r>
      <w:r w:rsidR="00893388" w:rsidRPr="00A9434B">
        <w:rPr>
          <w:rFonts w:eastAsia="Batang"/>
          <w:b w:val="0"/>
          <w:bCs/>
          <w:i/>
          <w:iCs/>
        </w:rPr>
        <w:fldChar w:fldCharType="separate"/>
      </w:r>
      <w:r w:rsidR="00A37DFA" w:rsidRPr="00A9434B">
        <w:rPr>
          <w:b w:val="0"/>
          <w:bCs/>
        </w:rPr>
        <w:t>Outhwaite, 2010)</w:t>
      </w:r>
      <w:r w:rsidR="00893388" w:rsidRPr="00A9434B">
        <w:rPr>
          <w:rFonts w:eastAsia="Batang"/>
          <w:b w:val="0"/>
          <w:bCs/>
          <w:i/>
          <w:iCs/>
        </w:rPr>
        <w:fldChar w:fldCharType="end"/>
      </w:r>
      <w:r w:rsidR="00C14761" w:rsidRPr="00A9434B">
        <w:rPr>
          <w:rFonts w:eastAsia="Batang"/>
          <w:b w:val="0"/>
          <w:bCs/>
          <w:i/>
          <w:iCs/>
        </w:rPr>
        <w:fldChar w:fldCharType="end"/>
      </w:r>
      <w:r w:rsidR="326765F3" w:rsidRPr="00A9434B">
        <w:rPr>
          <w:rFonts w:eastAsia="Batang"/>
          <w:b w:val="0"/>
          <w:bCs/>
        </w:rPr>
        <w:t xml:space="preserve">. </w:t>
      </w:r>
      <w:r w:rsidR="0AD72B4F" w:rsidRPr="00A9434B">
        <w:rPr>
          <w:b w:val="0"/>
          <w:bCs/>
        </w:rPr>
        <w:t>One</w:t>
      </w:r>
      <w:r w:rsidR="326765F3" w:rsidRPr="00A9434B">
        <w:rPr>
          <w:b w:val="0"/>
          <w:bCs/>
        </w:rPr>
        <w:t xml:space="preserve"> consequence of </w:t>
      </w:r>
      <w:r w:rsidR="0AD72B4F" w:rsidRPr="00A9434B">
        <w:rPr>
          <w:b w:val="0"/>
          <w:bCs/>
        </w:rPr>
        <w:t xml:space="preserve">treating </w:t>
      </w:r>
      <w:r w:rsidR="326765F3" w:rsidRPr="00A9434B">
        <w:rPr>
          <w:b w:val="0"/>
          <w:bCs/>
        </w:rPr>
        <w:t xml:space="preserve">invasive alien species as an externality </w:t>
      </w:r>
      <w:r w:rsidR="00F806B6" w:rsidRPr="00A9434B">
        <w:rPr>
          <w:b w:val="0"/>
          <w:bCs/>
        </w:rPr>
        <w:t>(</w:t>
      </w:r>
      <w:r w:rsidR="0037768C">
        <w:rPr>
          <w:bCs/>
          <w:iCs/>
        </w:rPr>
        <w:t>G</w:t>
      </w:r>
      <w:r w:rsidR="00537ECC" w:rsidRPr="00673554">
        <w:rPr>
          <w:bCs/>
          <w:iCs/>
        </w:rPr>
        <w:t>lossary</w:t>
      </w:r>
      <w:r w:rsidR="00537ECC" w:rsidRPr="00A9434B">
        <w:rPr>
          <w:b w:val="0"/>
          <w:bCs/>
        </w:rPr>
        <w:t xml:space="preserve">) </w:t>
      </w:r>
      <w:r w:rsidR="326765F3" w:rsidRPr="00A9434B">
        <w:rPr>
          <w:b w:val="0"/>
          <w:bCs/>
        </w:rPr>
        <w:t xml:space="preserve">is that the welfare of the supply-side of trade is considered in isolation </w:t>
      </w:r>
      <w:r w:rsidR="00864330" w:rsidRPr="00A9434B">
        <w:rPr>
          <w:b w:val="0"/>
          <w:bCs/>
          <w:i/>
          <w:iCs/>
        </w:rPr>
        <w:fldChar w:fldCharType="begin"/>
      </w:r>
      <w:r w:rsidR="0006613E">
        <w:rPr>
          <w:b w:val="0"/>
          <w:bCs/>
        </w:rPr>
        <w:instrText xml:space="preserve"> ADDIN ZOTERO_ITEM CSL_CITATION {"citationID":"atviv9a70p","properties":{"formattedCitation":"(D. C. Cook et al., 2010)","plainCitation":"(D. C. Cook et al., 2010)","noteIndex":0},"citationItems":[{"id":10809,"uris":["http://zotero.org/groups/2352922/items/WCG8AH7V"],"itemData":{"id":10809,"type":"article-journal","container-title":"Risk Analysis","DOI":"10.1111/j.1539-6924.2010.01439.x","ISSN":"02724332","issue":"9","language":"en","page":"1303-1314","source":"DOI.org (Crossref)","title":"Adaptive Approaches to Biosecurity Governance","title-short":"Adaptive Approaches to Biosecurity Governance","URL":"http://doi.wiley.com/10.1111/j.1539-6924.2010.01439.x","volume":"30","author":[{"family":"Cook","given":"David C."},{"family":"Liu","given":"Shuang"},{"family":"Murphy","given":"Brendan"},{"family":"Lonsdale","given":"W. Mark"}],"accessed":{"date-parts":[["2021",5,27]]},"issued":{"date-parts":[["2010",9]]}},"label":"page"}],"schema":"https://github.com/citation-style-language/schema/raw/master/csl-citation.json"} </w:instrText>
      </w:r>
      <w:r w:rsidR="00864330" w:rsidRPr="00A9434B">
        <w:rPr>
          <w:b w:val="0"/>
          <w:bCs/>
          <w:i/>
          <w:iCs/>
        </w:rPr>
        <w:fldChar w:fldCharType="separate"/>
      </w:r>
      <w:r w:rsidR="00C71E80" w:rsidRPr="00A9434B">
        <w:rPr>
          <w:b w:val="0"/>
          <w:bCs/>
        </w:rPr>
        <w:t>(D. C. Cook et al., 2010)</w:t>
      </w:r>
      <w:r w:rsidR="00864330" w:rsidRPr="00A9434B">
        <w:rPr>
          <w:b w:val="0"/>
          <w:bCs/>
          <w:i/>
          <w:iCs/>
        </w:rPr>
        <w:fldChar w:fldCharType="end"/>
      </w:r>
      <w:r w:rsidR="326765F3" w:rsidRPr="00A9434B">
        <w:rPr>
          <w:b w:val="0"/>
          <w:bCs/>
        </w:rPr>
        <w:t xml:space="preserve">. </w:t>
      </w:r>
      <w:bookmarkEnd w:id="135"/>
      <w:r w:rsidR="326765F3" w:rsidRPr="00A9434B">
        <w:rPr>
          <w:b w:val="0"/>
          <w:bCs/>
        </w:rPr>
        <w:t>The trade-offs that occur as a result of unaccounted</w:t>
      </w:r>
      <w:r w:rsidR="72225482" w:rsidRPr="00A9434B">
        <w:rPr>
          <w:b w:val="0"/>
          <w:bCs/>
        </w:rPr>
        <w:t>-</w:t>
      </w:r>
      <w:r w:rsidR="326765F3" w:rsidRPr="00A9434B">
        <w:rPr>
          <w:b w:val="0"/>
          <w:bCs/>
        </w:rPr>
        <w:t xml:space="preserve">for externalities result in conflicting interests </w:t>
      </w:r>
      <w:r w:rsidR="00C14761" w:rsidRPr="00A9434B">
        <w:rPr>
          <w:b w:val="0"/>
          <w:bCs/>
          <w:i/>
          <w:iCs/>
        </w:rPr>
        <w:fldChar w:fldCharType="begin">
          <w:fldData xml:space="preserve">PEVuZE5vdGU+PENpdGU+PEF1dGhvcj5TbWl0aDwvQXV0aG9yPjxZZWFyPjIwMTM8L1llYXI+PFJl
Y051bT40OTE0MDwvUmVjTnVtPjxEaXNwbGF5VGV4dD4oSGV3aXR0IGFuZCBDYW1wYmVsbCAyMDA3
LCBTbWl0aCwgS2xlbmsgZXQgYWwuIDIwMTMsIE1hcmlyZSAyMDE1LCBSb3VpbGxhcmQsIExhZ28g
ZXQgYWwuIDIwMTgpPC9EaXNwbGF5VGV4dD48cmVjb3JkPjxyZWMtbnVtYmVyPjQ5MTQwPC9yZWMt
bnVtYmVyPjxmb3JlaWduLWtleXM+PGtleSBhcHA9IkVOIiBkYi1pZD0iYXd4OXJhZGRyMHh4Mmhl
djA1cnhyMHowNXdlZXB3cHQwZmV4IiB0aW1lc3RhbXA9IjE1ODE0OTczMjAiPjQ5MTQwPC9rZXk+
PC9mb3JlaWduLWtleXM+PHJlZi10eXBlIG5hbWU9IkpvdXJuYWwgQXJ0aWNsZSI+MTc8L3JlZi10
eXBlPjxjb250cmlidXRvcnM+PGF1dGhvcnM+PGF1dGhvcj5TbWl0aCwgQS4gTC48L2F1dGhvcj48
YXV0aG9yPktsZW5rLCBOLjwvYXV0aG9yPjxhdXRob3I+V29vZCwgUy48L2F1dGhvcj48YXV0aG9y
Pkhld2l0dCwgTi48L2F1dGhvcj48YXV0aG9yPkhlbnJpcXVlcywgSS48L2F1dGhvcj48YXV0aG9y
PllhbiwgTi48L2F1dGhvcj48YXV0aG9yPkJhemVseSwgRC4gUi48L2F1dGhvcj48L2F1dGhvcnM+
PC9jb250cmlidXRvcnM+PHRpdGxlcz48dGl0bGU+U2Vjb25kIGdlbmVyYXRpb24gYmlvZnVlbHMg
YW5kIGJpb2ludmFzaW9uczogQW4gZXZhbHVhdGlvbiBvZiBpbnZhc2l2ZSByaXNrcyBhbmQgcG9s
aWN5IHJlc3BvbnNlcyBpbiB0aGUgVW5pdGVkIFN0YXRlcyBhbmQgQ2FuYWRhPC90aXRsZT48c2Vj
b25kYXJ5LXRpdGxlPlJlbmV3YWJsZSAmYW1wOyBTdXN0YWluYWJsZSBFbmVyZ3kgUmV2aWV3czwv
c2Vjb25kYXJ5LXRpdGxlPjwvdGl0bGVzPjxwZXJpb2RpY2FsPjxmdWxsLXRpdGxlPlJlbmV3YWJs
ZSAmYW1wOyBTdXN0YWluYWJsZSBFbmVyZ3kgUmV2aWV3czwvZnVsbC10aXRsZT48L3BlcmlvZGlj
YWw+PHBhZ2VzPjMwLTQyPC9wYWdlcz48dm9sdW1lPjI3PC92b2x1bWU+PGRhdGVzPjx5ZWFyPjIw
MTM8L3llYXI+PHB1Yi1kYXRlcz48ZGF0ZT5Ob3Y8L2RhdGU+PC9wdWItZGF0ZXM+PC9kYXRlcz48
aXNibj4xMzY0LTAzMjE8L2lzYm4+PGFjY2Vzc2lvbi1udW0+V09TOjAwMDMyNTk1NDUwMDAwNDwv
YWNjZXNzaW9uLW51bT48dXJscz48cmVsYXRlZC11cmxzPjx1cmw+Jmx0O0dvIHRvIElTSSZndDs6
Ly9XT1M6MDAwMzI1OTU0NTAwMDA0PC91cmw+PC9yZWxhdGVkLXVybHM+PC91cmxzPjxlbGVjdHJv
bmljLXJlc291cmNlLW51bT4xMC4xMDE2L2oucnNlci4yMDEzLjA2LjAxMzwvZWxlY3Ryb25pYy1y
ZXNvdXJjZS1udW0+PC9yZWNvcmQ+PC9DaXRlPjxDaXRlPjxBdXRob3I+Um91aWxsYXJkPC9BdXRo
b3I+PFllYXI+MjAxODwvWWVhcj48UmVjTnVtPjQ5MDQ1PC9SZWNOdW0+PHJlY29yZD48cmVjLW51
bWJlcj40OTA0NTwvcmVjLW51bWJlcj48Zm9yZWlnbi1rZXlzPjxrZXkgYXBwPSJFTiIgZGItaWQ9
ImF3eDlyYWRkcjB4eDJoZXYwNXJ4cjB6MDV3ZWVwd3B0MGZleCIgdGltZXN0YW1wPSIxNTgxNDk3
MzIwIj40OTA0NTwva2V5PjwvZm9yZWlnbi1rZXlzPjxyZWYtdHlwZSBuYW1lPSJKb3VybmFsIEFy
dGljbGUiPjE3PC9yZWYtdHlwZT48Y29udHJpYnV0b3JzPjxhdXRob3JzPjxhdXRob3I+Um91aWxs
YXJkLCBKb3NzZWxpbjwvYXV0aG9yPjxhdXRob3I+TGFnbywgTWFudWVsPC9hdXRob3I+PGF1dGhv
cj5BYmhvbGQsIEthdHJpbmE8L2F1dGhvcj48YXV0aG9yPlJvZXNjaGVsLCBMaW5hPC9hdXRob3I+
PGF1dGhvcj5LYWZ5ZWtlLCBUZXJyaTwvYXV0aG9yPjxhdXRob3I+S2xpbW1laywgSGVsZW48L2F1
dGhvcj48YXV0aG9yPk1hdHRoZWlzcywgVmVyZW5hPC9hdXRob3I+PC9hdXRob3JzPjwvY29udHJp
YnV0b3JzPjx0aXRsZXM+PHRpdGxlPlByb3RlY3RpbmcgYW5kIFJlc3RvcmluZyBCaW9kaXZlcnNp
dHkgYWNyb3NzIHRoZSBGcmVzaHdhdGVyLCBDb2FzdGFsIGFuZCBNYXJpbmUgUmVhbG1zOiBJcyB0
aGUgZXhpc3RpbmcgRVUgcG9saWN5IGZyYW1ld29yayBmaXQgZm9yIHB1cnBvc2U/PC90aXRsZT48
c2Vjb25kYXJ5LXRpdGxlPkVudmlyb25tZW50YWwgUG9saWN5IGFuZCBHb3Zlcm5hbmNlPC9zZWNv
bmRhcnktdGl0bGU+PC90aXRsZXM+PHBlcmlvZGljYWw+PGZ1bGwtdGl0bGU+RW52aXJvbm1lbnRh
bCBQb2xpY3kgYW5kIEdvdmVybmFuY2U8L2Z1bGwtdGl0bGU+PC9wZXJpb2RpY2FsPjxwYWdlcz4x
MTQtMTI4PC9wYWdlcz48dm9sdW1lPjI4PC92b2x1bWU+PG51bWJlcj4yPC9udW1iZXI+PGRhdGVz
Pjx5ZWFyPjIwMTg8L3llYXI+PHB1Yi1kYXRlcz48ZGF0ZT5NYXItQXByPC9kYXRlPjwvcHViLWRh
dGVzPjwvZGF0ZXM+PGlzYm4+MTc1Ni05MzJYPC9pc2JuPjxhY2Nlc3Npb24tbnVtPldPUzowMDA0
MzAwMDMwMDAwMDQ8L2FjY2Vzc2lvbi1udW0+PHVybHM+PHJlbGF0ZWQtdXJscz48dXJsPiZsdDtH
byB0byBJU0kmZ3Q7Oi8vV09TOjAwMDQzMDAwMzAwMDAwNDwvdXJsPjwvcmVsYXRlZC11cmxzPjwv
dXJscz48ZWxlY3Ryb25pYy1yZXNvdXJjZS1udW0+MTAuMTAwMi9lZXQuMTc5MzwvZWxlY3Ryb25p
Yy1yZXNvdXJjZS1udW0+PC9yZWNvcmQ+PC9DaXRlPjxDaXRlPjxBdXRob3I+TWFyaXJlPC9BdXRo
b3I+PFllYXI+MjAxNTwvWWVhcj48UmVjTnVtPjQ5MTE5PC9SZWNOdW0+PHJlY29yZD48cmVjLW51
bWJlcj40OTExOTwvcmVjLW51bWJlcj48Zm9yZWlnbi1rZXlzPjxrZXkgYXBwPSJFTiIgZGItaWQ9
ImF3eDlyYWRkcjB4eDJoZXYwNXJ4cjB6MDV3ZWVwd3B0MGZleCIgdGltZXN0YW1wPSIxNTgxNDk3
MzIwIj40OTExOTwva2V5PjwvZm9yZWlnbi1rZXlzPjxyZWYtdHlwZSBuYW1lPSJKb3VybmFsIEFy
dGljbGUiPjE3PC9yZWYtdHlwZT48Y29udHJpYnV0b3JzPjxhdXRob3JzPjxhdXRob3I+TWFyaXJl
LCBKdW5pb3VyczwvYXV0aG9yPjwvYXV0aG9ycz48L2NvbnRyaWJ1dG9ycz48dGl0bGVzPjx0aXRs
ZT5UaGUgUG9saXRpY2FsIEVjb25vbXkgb2YgU291dGggQWZyaWNhbiBUcm91dCBGaXNoZXJpZXM8
L3RpdGxlPjxzZWNvbmRhcnktdGl0bGU+Sm91cm5hbCBvZiBFY29ub21pYyBJc3N1ZXM8L3NlY29u
ZGFyeS10aXRsZT48L3RpdGxlcz48cGVyaW9kaWNhbD48ZnVsbC10aXRsZT5Kb3VybmFsIG9mIEVj
b25vbWljIElzc3VlczwvZnVsbC10aXRsZT48L3BlcmlvZGljYWw+PHBhZ2VzPjQ3LTcwPC9wYWdl
cz48dm9sdW1lPjQ5PC92b2x1bWU+PG51bWJlcj4xPC9udW1iZXI+PGRhdGVzPjx5ZWFyPjIwMTU8
L3llYXI+PHB1Yi1kYXRlcz48ZGF0ZT5NYXI8L2RhdGU+PC9wdWItZGF0ZXM+PC9kYXRlcz48aXNi
bj4wMDIxLTM2MjQ8L2lzYm4+PGFjY2Vzc2lvbi1udW0+V09TOjAwMDM1MzQ3MDIwMDAwMzwvYWNj
ZXNzaW9uLW51bT48dXJscz48cmVsYXRlZC11cmxzPjx1cmw+Jmx0O0dvIHRvIElTSSZndDs6Ly9X
T1M6MDAwMzUzNDcwMjAwMDAzPC91cmw+PC9yZWxhdGVkLXVybHM+PC91cmxzPjxlbGVjdHJvbmlj
LXJlc291cmNlLW51bT4xMC4xMDgwLzAwMjEzNjI0LjIwMTUuMTAxMzg3ODwvZWxlY3Ryb25pYy1y
ZXNvdXJjZS1udW0+PC9yZWNvcmQ+PC9DaXRlPjxDaXRlPjxBdXRob3I+SGV3aXR0PC9BdXRob3I+
PFllYXI+MjAwNzwvWWVhcj48UmVjTnVtPjQ5MTg5PC9SZWNOdW0+PHJlY29yZD48cmVjLW51bWJl
cj40OTE4OTwvcmVjLW51bWJlcj48Zm9yZWlnbi1rZXlzPjxrZXkgYXBwPSJFTiIgZGItaWQ9ImF3
eDlyYWRkcjB4eDJoZXYwNXJ4cjB6MDV3ZWVwd3B0MGZleCIgdGltZXN0YW1wPSIxNTgxNDk3MzIw
Ij40OTE4OTwva2V5PjwvZm9yZWlnbi1rZXlzPjxyZWYtdHlwZSBuYW1lPSJKb3VybmFsIEFydGlj
bGUiPjE3PC9yZWYtdHlwZT48Y29udHJpYnV0b3JzPjxhdXRob3JzPjxhdXRob3I+SGV3aXR0LCBD
aGFkIEwuPC9hdXRob3I+PGF1dGhvcj5DYW1wYmVsbCwgTWFybmllIEwuPC9hdXRob3I+PC9hdXRo
b3JzPjwvY29udHJpYnV0b3JzPjx0aXRsZXM+PHRpdGxlPk1lY2hhbmlzbXMgZm9yIHRoZSBwcmV2
ZW50aW9uIG9mIG1hcmluZSBiaW9pbnZhc2lvbnMgZm9yIGJldHRlciBiaW9zZWN1cml0eTwvdGl0
bGU+PHNlY29uZGFyeS10aXRsZT5NYXJpbmUgUG9sbHV0aW9uIEJ1bGxldGluPC9zZWNvbmRhcnkt
dGl0bGU+PC90aXRsZXM+PHBlcmlvZGljYWw+PGZ1bGwtdGl0bGU+TWFyaW5lIFBvbGx1dGlvbiBC
dWxsZXRpbjwvZnVsbC10aXRsZT48YWJici0xPk1hci4gUG9sbHV0LiBCdWxsLjwvYWJici0xPjxh
YmJyLTI+TWFyIFBvbGx1dCBCdWxsPC9hYmJyLTI+PC9wZXJpb2RpY2FsPjxwYWdlcz4zOTUtNDAx
PC9wYWdlcz48dm9sdW1lPjU1PC92b2x1bWU+PG51bWJlcj43LTk8L251bWJlcj48ZGF0ZXM+PHll
YXI+MjAwNzwveWVhcj48cHViLWRhdGVzPjxkYXRlPjIwMDc8L2RhdGU+PC9wdWItZGF0ZXM+PC9k
YXRlcz48aXNibj4wMDI1LTMyNlg8L2lzYm4+PGFjY2Vzc2lvbi1udW0+V09TOjAwMDI0NjI3MDIw
MDAxMDwvYWNjZXNzaW9uLW51bT48dXJscz48cmVsYXRlZC11cmxzPjx1cmw+Jmx0O0dvIHRvIElT
SSZndDs6Ly9XT1M6MDAwMjQ2MjcwMjAwMDEwPC91cmw+PC9yZWxhdGVkLXVybHM+PC91cmxzPjxl
bGVjdHJvbmljLXJlc291cmNlLW51bT4xMC4xMDE2L2oubWFycG9sYnVsLjIwMDcuMDEuMDA1PC9l
bGVjdHJvbmljLXJlc291cmNlLW51bT48L3JlY29yZD48L0NpdGU+PC9FbmROb3RlPn==
</w:fldData>
        </w:fldChar>
      </w:r>
      <w:r w:rsidR="00C14761" w:rsidRPr="00A9434B">
        <w:rPr>
          <w:b w:val="0"/>
          <w:bCs/>
        </w:rPr>
        <w:instrText xml:space="preserve"> ADDIN EN.CITE </w:instrText>
      </w:r>
      <w:r w:rsidR="00C14761" w:rsidRPr="00A9434B">
        <w:rPr>
          <w:b w:val="0"/>
          <w:bCs/>
          <w:i/>
          <w:iCs/>
        </w:rPr>
        <w:fldChar w:fldCharType="begin">
          <w:fldData xml:space="preserve">PEVuZE5vdGU+PENpdGU+PEF1dGhvcj5TbWl0aDwvQXV0aG9yPjxZZWFyPjIwMTM8L1llYXI+PFJl
Y051bT40OTE0MDwvUmVjTnVtPjxEaXNwbGF5VGV4dD4oSGV3aXR0IGFuZCBDYW1wYmVsbCAyMDA3
LCBTbWl0aCwgS2xlbmsgZXQgYWwuIDIwMTMsIE1hcmlyZSAyMDE1LCBSb3VpbGxhcmQsIExhZ28g
ZXQgYWwuIDIwMTgpPC9EaXNwbGF5VGV4dD48cmVjb3JkPjxyZWMtbnVtYmVyPjQ5MTQwPC9yZWMt
bnVtYmVyPjxmb3JlaWduLWtleXM+PGtleSBhcHA9IkVOIiBkYi1pZD0iYXd4OXJhZGRyMHh4Mmhl
djA1cnhyMHowNXdlZXB3cHQwZmV4IiB0aW1lc3RhbXA9IjE1ODE0OTczMjAiPjQ5MTQwPC9rZXk+
PC9mb3JlaWduLWtleXM+PHJlZi10eXBlIG5hbWU9IkpvdXJuYWwgQXJ0aWNsZSI+MTc8L3JlZi10
eXBlPjxjb250cmlidXRvcnM+PGF1dGhvcnM+PGF1dGhvcj5TbWl0aCwgQS4gTC48L2F1dGhvcj48
YXV0aG9yPktsZW5rLCBOLjwvYXV0aG9yPjxhdXRob3I+V29vZCwgUy48L2F1dGhvcj48YXV0aG9y
Pkhld2l0dCwgTi48L2F1dGhvcj48YXV0aG9yPkhlbnJpcXVlcywgSS48L2F1dGhvcj48YXV0aG9y
PllhbiwgTi48L2F1dGhvcj48YXV0aG9yPkJhemVseSwgRC4gUi48L2F1dGhvcj48L2F1dGhvcnM+
PC9jb250cmlidXRvcnM+PHRpdGxlcz48dGl0bGU+U2Vjb25kIGdlbmVyYXRpb24gYmlvZnVlbHMg
YW5kIGJpb2ludmFzaW9uczogQW4gZXZhbHVhdGlvbiBvZiBpbnZhc2l2ZSByaXNrcyBhbmQgcG9s
aWN5IHJlc3BvbnNlcyBpbiB0aGUgVW5pdGVkIFN0YXRlcyBhbmQgQ2FuYWRhPC90aXRsZT48c2Vj
b25kYXJ5LXRpdGxlPlJlbmV3YWJsZSAmYW1wOyBTdXN0YWluYWJsZSBFbmVyZ3kgUmV2aWV3czwv
c2Vjb25kYXJ5LXRpdGxlPjwvdGl0bGVzPjxwZXJpb2RpY2FsPjxmdWxsLXRpdGxlPlJlbmV3YWJs
ZSAmYW1wOyBTdXN0YWluYWJsZSBFbmVyZ3kgUmV2aWV3czwvZnVsbC10aXRsZT48L3BlcmlvZGlj
YWw+PHBhZ2VzPjMwLTQyPC9wYWdlcz48dm9sdW1lPjI3PC92b2x1bWU+PGRhdGVzPjx5ZWFyPjIw
MTM8L3llYXI+PHB1Yi1kYXRlcz48ZGF0ZT5Ob3Y8L2RhdGU+PC9wdWItZGF0ZXM+PC9kYXRlcz48
aXNibj4xMzY0LTAzMjE8L2lzYm4+PGFjY2Vzc2lvbi1udW0+V09TOjAwMDMyNTk1NDUwMDAwNDwv
YWNjZXNzaW9uLW51bT48dXJscz48cmVsYXRlZC11cmxzPjx1cmw+Jmx0O0dvIHRvIElTSSZndDs6
Ly9XT1M6MDAwMzI1OTU0NTAwMDA0PC91cmw+PC9yZWxhdGVkLXVybHM+PC91cmxzPjxlbGVjdHJv
bmljLXJlc291cmNlLW51bT4xMC4xMDE2L2oucnNlci4yMDEzLjA2LjAxMzwvZWxlY3Ryb25pYy1y
ZXNvdXJjZS1udW0+PC9yZWNvcmQ+PC9DaXRlPjxDaXRlPjxBdXRob3I+Um91aWxsYXJkPC9BdXRo
b3I+PFllYXI+MjAxODwvWWVhcj48UmVjTnVtPjQ5MDQ1PC9SZWNOdW0+PHJlY29yZD48cmVjLW51
bWJlcj40OTA0NTwvcmVjLW51bWJlcj48Zm9yZWlnbi1rZXlzPjxrZXkgYXBwPSJFTiIgZGItaWQ9
ImF3eDlyYWRkcjB4eDJoZXYwNXJ4cjB6MDV3ZWVwd3B0MGZleCIgdGltZXN0YW1wPSIxNTgxNDk3
MzIwIj40OTA0NTwva2V5PjwvZm9yZWlnbi1rZXlzPjxyZWYtdHlwZSBuYW1lPSJKb3VybmFsIEFy
dGljbGUiPjE3PC9yZWYtdHlwZT48Y29udHJpYnV0b3JzPjxhdXRob3JzPjxhdXRob3I+Um91aWxs
YXJkLCBKb3NzZWxpbjwvYXV0aG9yPjxhdXRob3I+TGFnbywgTWFudWVsPC9hdXRob3I+PGF1dGhv
cj5BYmhvbGQsIEthdHJpbmE8L2F1dGhvcj48YXV0aG9yPlJvZXNjaGVsLCBMaW5hPC9hdXRob3I+
PGF1dGhvcj5LYWZ5ZWtlLCBUZXJyaTwvYXV0aG9yPjxhdXRob3I+S2xpbW1laywgSGVsZW48L2F1
dGhvcj48YXV0aG9yPk1hdHRoZWlzcywgVmVyZW5hPC9hdXRob3I+PC9hdXRob3JzPjwvY29udHJp
YnV0b3JzPjx0aXRsZXM+PHRpdGxlPlByb3RlY3RpbmcgYW5kIFJlc3RvcmluZyBCaW9kaXZlcnNp
dHkgYWNyb3NzIHRoZSBGcmVzaHdhdGVyLCBDb2FzdGFsIGFuZCBNYXJpbmUgUmVhbG1zOiBJcyB0
aGUgZXhpc3RpbmcgRVUgcG9saWN5IGZyYW1ld29yayBmaXQgZm9yIHB1cnBvc2U/PC90aXRsZT48
c2Vjb25kYXJ5LXRpdGxlPkVudmlyb25tZW50YWwgUG9saWN5IGFuZCBHb3Zlcm5hbmNlPC9zZWNv
bmRhcnktdGl0bGU+PC90aXRsZXM+PHBlcmlvZGljYWw+PGZ1bGwtdGl0bGU+RW52aXJvbm1lbnRh
bCBQb2xpY3kgYW5kIEdvdmVybmFuY2U8L2Z1bGwtdGl0bGU+PC9wZXJpb2RpY2FsPjxwYWdlcz4x
MTQtMTI4PC9wYWdlcz48dm9sdW1lPjI4PC92b2x1bWU+PG51bWJlcj4yPC9udW1iZXI+PGRhdGVz
Pjx5ZWFyPjIwMTg8L3llYXI+PHB1Yi1kYXRlcz48ZGF0ZT5NYXItQXByPC9kYXRlPjwvcHViLWRh
dGVzPjwvZGF0ZXM+PGlzYm4+MTc1Ni05MzJYPC9pc2JuPjxhY2Nlc3Npb24tbnVtPldPUzowMDA0
MzAwMDMwMDAwMDQ8L2FjY2Vzc2lvbi1udW0+PHVybHM+PHJlbGF0ZWQtdXJscz48dXJsPiZsdDtH
byB0byBJU0kmZ3Q7Oi8vV09TOjAwMDQzMDAwMzAwMDAwNDwvdXJsPjwvcmVsYXRlZC11cmxzPjwv
dXJscz48ZWxlY3Ryb25pYy1yZXNvdXJjZS1udW0+MTAuMTAwMi9lZXQuMTc5MzwvZWxlY3Ryb25p
Yy1yZXNvdXJjZS1udW0+PC9yZWNvcmQ+PC9DaXRlPjxDaXRlPjxBdXRob3I+TWFyaXJlPC9BdXRo
b3I+PFllYXI+MjAxNTwvWWVhcj48UmVjTnVtPjQ5MTE5PC9SZWNOdW0+PHJlY29yZD48cmVjLW51
bWJlcj40OTExOTwvcmVjLW51bWJlcj48Zm9yZWlnbi1rZXlzPjxrZXkgYXBwPSJFTiIgZGItaWQ9
ImF3eDlyYWRkcjB4eDJoZXYwNXJ4cjB6MDV3ZWVwd3B0MGZleCIgdGltZXN0YW1wPSIxNTgxNDk3
MzIwIj40OTExOTwva2V5PjwvZm9yZWlnbi1rZXlzPjxyZWYtdHlwZSBuYW1lPSJKb3VybmFsIEFy
dGljbGUiPjE3PC9yZWYtdHlwZT48Y29udHJpYnV0b3JzPjxhdXRob3JzPjxhdXRob3I+TWFyaXJl
LCBKdW5pb3VyczwvYXV0aG9yPjwvYXV0aG9ycz48L2NvbnRyaWJ1dG9ycz48dGl0bGVzPjx0aXRs
ZT5UaGUgUG9saXRpY2FsIEVjb25vbXkgb2YgU291dGggQWZyaWNhbiBUcm91dCBGaXNoZXJpZXM8
L3RpdGxlPjxzZWNvbmRhcnktdGl0bGU+Sm91cm5hbCBvZiBFY29ub21pYyBJc3N1ZXM8L3NlY29u
ZGFyeS10aXRsZT48L3RpdGxlcz48cGVyaW9kaWNhbD48ZnVsbC10aXRsZT5Kb3VybmFsIG9mIEVj
b25vbWljIElzc3VlczwvZnVsbC10aXRsZT48L3BlcmlvZGljYWw+PHBhZ2VzPjQ3LTcwPC9wYWdl
cz48dm9sdW1lPjQ5PC92b2x1bWU+PG51bWJlcj4xPC9udW1iZXI+PGRhdGVzPjx5ZWFyPjIwMTU8
L3llYXI+PHB1Yi1kYXRlcz48ZGF0ZT5NYXI8L2RhdGU+PC9wdWItZGF0ZXM+PC9kYXRlcz48aXNi
bj4wMDIxLTM2MjQ8L2lzYm4+PGFjY2Vzc2lvbi1udW0+V09TOjAwMDM1MzQ3MDIwMDAwMzwvYWNj
ZXNzaW9uLW51bT48dXJscz48cmVsYXRlZC11cmxzPjx1cmw+Jmx0O0dvIHRvIElTSSZndDs6Ly9X
T1M6MDAwMzUzNDcwMjAwMDAzPC91cmw+PC9yZWxhdGVkLXVybHM+PC91cmxzPjxlbGVjdHJvbmlj
LXJlc291cmNlLW51bT4xMC4xMDgwLzAwMjEzNjI0LjIwMTUuMTAxMzg3ODwvZWxlY3Ryb25pYy1y
ZXNvdXJjZS1udW0+PC9yZWNvcmQ+PC9DaXRlPjxDaXRlPjxBdXRob3I+SGV3aXR0PC9BdXRob3I+
PFllYXI+MjAwNzwvWWVhcj48UmVjTnVtPjQ5MTg5PC9SZWNOdW0+PHJlY29yZD48cmVjLW51bWJl
cj40OTE4OTwvcmVjLW51bWJlcj48Zm9yZWlnbi1rZXlzPjxrZXkgYXBwPSJFTiIgZGItaWQ9ImF3
eDlyYWRkcjB4eDJoZXYwNXJ4cjB6MDV3ZWVwd3B0MGZleCIgdGltZXN0YW1wPSIxNTgxNDk3MzIw
Ij40OTE4OTwva2V5PjwvZm9yZWlnbi1rZXlzPjxyZWYtdHlwZSBuYW1lPSJKb3VybmFsIEFydGlj
bGUiPjE3PC9yZWYtdHlwZT48Y29udHJpYnV0b3JzPjxhdXRob3JzPjxhdXRob3I+SGV3aXR0LCBD
aGFkIEwuPC9hdXRob3I+PGF1dGhvcj5DYW1wYmVsbCwgTWFybmllIEwuPC9hdXRob3I+PC9hdXRo
b3JzPjwvY29udHJpYnV0b3JzPjx0aXRsZXM+PHRpdGxlPk1lY2hhbmlzbXMgZm9yIHRoZSBwcmV2
ZW50aW9uIG9mIG1hcmluZSBiaW9pbnZhc2lvbnMgZm9yIGJldHRlciBiaW9zZWN1cml0eTwvdGl0
bGU+PHNlY29uZGFyeS10aXRsZT5NYXJpbmUgUG9sbHV0aW9uIEJ1bGxldGluPC9zZWNvbmRhcnkt
dGl0bGU+PC90aXRsZXM+PHBlcmlvZGljYWw+PGZ1bGwtdGl0bGU+TWFyaW5lIFBvbGx1dGlvbiBC
dWxsZXRpbjwvZnVsbC10aXRsZT48YWJici0xPk1hci4gUG9sbHV0LiBCdWxsLjwvYWJici0xPjxh
YmJyLTI+TWFyIFBvbGx1dCBCdWxsPC9hYmJyLTI+PC9wZXJpb2RpY2FsPjxwYWdlcz4zOTUtNDAx
PC9wYWdlcz48dm9sdW1lPjU1PC92b2x1bWU+PG51bWJlcj43LTk8L251bWJlcj48ZGF0ZXM+PHll
YXI+MjAwNzwveWVhcj48cHViLWRhdGVzPjxkYXRlPjIwMDc8L2RhdGU+PC9wdWItZGF0ZXM+PC9k
YXRlcz48aXNibj4wMDI1LTMyNlg8L2lzYm4+PGFjY2Vzc2lvbi1udW0+V09TOjAwMDI0NjI3MDIw
MDAxMDwvYWNjZXNzaW9uLW51bT48dXJscz48cmVsYXRlZC11cmxzPjx1cmw+Jmx0O0dvIHRvIElT
SSZndDs6Ly9XT1M6MDAwMjQ2MjcwMjAwMDEwPC91cmw+PC9yZWxhdGVkLXVybHM+PC91cmxzPjxl
bGVjdHJvbmljLXJlc291cmNlLW51bT4xMC4xMDE2L2oubWFycG9sYnVsLjIwMDcuMDEuMDA1PC9l
bGVjdHJvbmljLXJlc291cmNlLW51bT48L3JlY29yZD48L0NpdGU+PC9FbmROb3RlPn==
</w:fldData>
        </w:fldChar>
      </w:r>
      <w:r w:rsidR="00C14761" w:rsidRPr="00A9434B">
        <w:rPr>
          <w:b w:val="0"/>
          <w:bCs/>
        </w:rPr>
        <w:instrText xml:space="preserve"> ADDIN EN.CITE.DATA </w:instrText>
      </w:r>
      <w:r w:rsidR="00C14761" w:rsidRPr="00A9434B">
        <w:rPr>
          <w:b w:val="0"/>
          <w:bCs/>
          <w:i/>
          <w:iCs/>
        </w:rPr>
      </w:r>
      <w:r w:rsidR="00C14761" w:rsidRPr="00A9434B">
        <w:rPr>
          <w:b w:val="0"/>
          <w:bCs/>
          <w:i/>
          <w:iCs/>
        </w:rPr>
        <w:fldChar w:fldCharType="end"/>
      </w:r>
      <w:r w:rsidR="00C14761" w:rsidRPr="00A9434B">
        <w:rPr>
          <w:b w:val="0"/>
          <w:bCs/>
          <w:i/>
          <w:iCs/>
        </w:rPr>
      </w:r>
      <w:r w:rsidR="00C14761" w:rsidRPr="00A9434B">
        <w:rPr>
          <w:b w:val="0"/>
          <w:bCs/>
          <w:i/>
          <w:iCs/>
        </w:rPr>
        <w:fldChar w:fldCharType="separate"/>
      </w:r>
      <w:r w:rsidR="00E22C5F" w:rsidRPr="00A9434B">
        <w:rPr>
          <w:b w:val="0"/>
          <w:bCs/>
          <w:i/>
          <w:iCs/>
        </w:rPr>
        <w:fldChar w:fldCharType="begin"/>
      </w:r>
      <w:r w:rsidR="0006613E">
        <w:rPr>
          <w:b w:val="0"/>
          <w:bCs/>
        </w:rPr>
        <w:instrText xml:space="preserve"> ADDIN ZOTERO_ITEM CSL_CITATION {"citationID":"acitj50jrl","properties":{"formattedCitation":"(Hewitt &amp; Campbell, 2007; Marire, 2015; Rouillard et al., 2018; A. L. Smith et al., 2013)","plainCitation":"(Hewitt &amp; Campbell, 2007; Marire, 2015; Rouillard et al., 2018; A. L. Smith et al., 2013)","noteIndex":0},"citationItems":[{"id":31702,"uris":["http://zotero.org/groups/2352922/items/VS2TFQWX"],"itemData":{"id":31702,"type":"article-journal","container-title":"Marine Pollution Bulletin","DOI":"10.1016/j.marpolbul.2007.01.005","ISSN":"0025326X","issue":"7-9","journalAbbreviation":"Marine Pollution Bulletin","language":"en","page":"395-401","source":"DOI.org (Crossref)","title":"Mechanisms for the prevention of marine bioinvasions for better biosecurity","URL":"https://linkinghub.elsevier.com/retrieve/pii/S0025326X0700015X","volume":"55","author":[{"family":"Hewitt","given":"Chad L."},{"family":"Campbell","given":"Marnie L."}],"accessed":{"date-parts":[["2021",11,11]]},"issued":{"date-parts":[["2007",1]]}},"label":"page"},{"id":30430,"uris":["http://zotero.org/groups/2352922/items/2I7KF5FB"],"itemData":{"id":30430,"type":"article-journal","abstract":"I analyze the evolution of trout recreational fisheries with the objective of identifying possible factors that might be driving current controversies in biodiversity policy reforms on the governance of alien and invasive species. Findings suggest that trout species have attained a cultural status, which makes it difficult to have them eradicated without facing stiff resistance from the trout-dependent sector. Results suggested that a process of leisure augmentation through environmental greed underpinned the introduction and continuance of spreading trout. With this process came also the development of a complex set of institutions that protected trout since they served an honorific role. My findings also suggest that the Ayresian thesis that all ceremonial systems are past-binding could be relaxed because ceremonial interests also envision alternative futures that can entrench and further protect ceremonial systems. To that end, these ceremonial interests facilitate path-breaking, but harmful institutional change. I extend Paul Dale Bush's concept of institutional spaces by assigning faces to the concept, resulting in expansion of possible institutional adjustment configurations. I find that this reorganization of Bush's concept tells the historical evolution of institutions of the leisure class in South Africa in a more dynamic way.","container-title":"Journal of Economic Issues","DOI":"10.1080/00213624.2015.1013878","ISSN":"0021-3624","issue":"1","note":"publisher: Routledge\n_eprint: https://doi.org/10.1080/00213624.2015.1013878","page":"47-70","source":"Taylor and Francis+NEJM","title":"The Political Economy of South African Trout Fisheries","URL":"https://doi.org/10.1080/00213624.2015.1013878","volume":"49","author":[{"family":"Marire","given":"Juniours"}],"accessed":{"date-parts":[["2021",8,22]]},"issued":{"date-parts":[["2015",1,2]]}},"label":"page"},{"id":24181,"uris":["http://zotero.org/groups/2352922/items/8B9BDBCK"],"itemData":{"id":24181,"type":"article-journal","container-title":"Environmental Policy and Governance","DOI":"10.1002/eet.1793","ISSN":"1756-932X","issue":"2","page":"114-128","title":"Protecting and Restoring Biodiversity across the Freshwater, Coastal and Marine Realms: Is the existing EU policy framework fit for purpose?","volume":"28","author":[{"family":"Rouillard","given":"Josselin"},{"family":"Lago","given":"Manuel"},{"family":"Abhold","given":"Katrina"},{"family":"Roeschel","given":"Lina"},{"family":"Kafyeke","given":"Terri"},{"family":"Klimmek","given":"Helen"},{"family":"Mattheiß","given":"Verena"}],"issued":{"date-parts":[["2018",4]]}},"label":"page"},{"id":24021,"uris":["http://zotero.org/groups/2352922/items/ZAF6GP67"],"itemData":{"id":24021,"type":"article-journal","abstract":"Biofuels are being embraced worldwide as sustainable alternatives to fossil fuels, because of their potential to promote energy security and reduce greenhouse gas emissions, while providing opportunities for job creation and economic diversiﬁcation. However, biofuel production also raises a number of environmental concerns. One of these is the risk of biological invasion, which is a key issue with second generation biofuel crops derived from fast-growing perennial grasses and woody plant species. Many of the most popular second generation crops proposed for cultivation in the U.S. and Canada are not native to North America, and some are known to be invasive. The development of a large-scale biofuel industry on the continent could lead to the widespread introduction, establishment, and spread of invasive plant species if invasive risks are not properly considered as part of biofuel policy. In this paper, we evaluate the risk of biological invasion posed by the emerging second generation biofuel industry in the U.S. and Canada by examining the invasive risk of candidate biofuel plant species, and reviewing existing biofuel policies to determine how well they address the issue of invasive species. We ﬁnd that numerous potentially invasive plant species are being considered for biofuel production in the U.S. and Canada, yet invasive risk receives little to no attention in these countries' biofuel policies. We identify several barriers to integrating invasive species and biofuel policy, relating to policy analytical capacity, governance, and conﬂicting policy objectives. We recommend that governments act now, while the second generation biofuel industry is in its infancy, to develop robust and proactive policy addressing invasive risk. Policy options to minimize biological invasions include banning the use of known invasive plant species, ongoing monitoring of approved species, and use of buffer zones around cultivated areas.","container-title":"Renewable and Sustainable Energy Reviews","DOI":"10.1016/j.rser.2013.06.013","ISSN":"13640321","journalAbbreviation":"Renewable and Sustainable Energy Reviews","language":"en","page":"30-42","source":"DOI.org (Crossref)","title":"Second generation biofuels and bioinvasions: An evaluation of invasive risks and policy responses in the United States and Canada","title-short":"Second generation biofuels and bioinvasions","URL":"https://linkinghub.elsevier.com/retrieve/pii/S1364032113003900","volume":"27","author":[{"family":"Smith","given":"A.L."},{"family":"Klenk","given":"N."},{"family":"Wood","given":"S."},{"family":"Hewitt","given":"N."},{"family":"Henriques","given":"I."},{"family":"Yan","given":"N."},{"family":"Bazely","given":"D.R."}],"accessed":{"date-parts":[["2019",11,5]]},"issued":{"date-parts":[["2013",11]]}},"label":"page"}],"schema":"https://github.com/citation-style-language/schema/raw/master/csl-citation.json"} </w:instrText>
      </w:r>
      <w:r w:rsidR="00E22C5F" w:rsidRPr="00A9434B">
        <w:rPr>
          <w:b w:val="0"/>
          <w:bCs/>
          <w:i/>
          <w:iCs/>
        </w:rPr>
        <w:fldChar w:fldCharType="separate"/>
      </w:r>
      <w:r w:rsidR="00C71E80" w:rsidRPr="00A9434B">
        <w:rPr>
          <w:b w:val="0"/>
          <w:bCs/>
        </w:rPr>
        <w:t>(Hewitt &amp; Campbell, 2007; Marire, 2015; Rouillard et al., 2018; A. L. Smith et al., 2013)</w:t>
      </w:r>
      <w:r w:rsidR="00E22C5F" w:rsidRPr="00A9434B">
        <w:rPr>
          <w:b w:val="0"/>
          <w:bCs/>
          <w:i/>
          <w:iCs/>
        </w:rPr>
        <w:fldChar w:fldCharType="end"/>
      </w:r>
      <w:r w:rsidR="00C14761" w:rsidRPr="00A9434B">
        <w:rPr>
          <w:b w:val="0"/>
          <w:bCs/>
          <w:i/>
          <w:iCs/>
        </w:rPr>
        <w:fldChar w:fldCharType="end"/>
      </w:r>
      <w:r w:rsidR="326765F3" w:rsidRPr="00A9434B">
        <w:rPr>
          <w:b w:val="0"/>
          <w:bCs/>
        </w:rPr>
        <w:t xml:space="preserve">. Trade-offs also become increasingly political and difficult to resolve as they shift from within particular governance systems or sectors to between and outside </w:t>
      </w:r>
      <w:r w:rsidR="5C7D9DDD" w:rsidRPr="00A9434B">
        <w:rPr>
          <w:b w:val="0"/>
          <w:bCs/>
        </w:rPr>
        <w:t xml:space="preserve">of </w:t>
      </w:r>
      <w:r w:rsidR="326765F3" w:rsidRPr="00A9434B">
        <w:rPr>
          <w:b w:val="0"/>
          <w:bCs/>
        </w:rPr>
        <w:t>them</w:t>
      </w:r>
      <w:bookmarkStart w:id="136" w:name="_Toc43321265"/>
      <w:r w:rsidR="6456C4B4" w:rsidRPr="00A9434B">
        <w:rPr>
          <w:b w:val="0"/>
          <w:bCs/>
        </w:rPr>
        <w:t xml:space="preserve"> </w:t>
      </w:r>
      <w:r w:rsidR="00893388" w:rsidRPr="00A9434B">
        <w:rPr>
          <w:rFonts w:eastAsia="Batang"/>
          <w:b w:val="0"/>
          <w:bCs/>
          <w:i/>
          <w:iCs/>
        </w:rPr>
        <w:fldChar w:fldCharType="begin"/>
      </w:r>
      <w:r w:rsidR="00893388" w:rsidRPr="00A9434B">
        <w:rPr>
          <w:rFonts w:eastAsia="Batang"/>
          <w:b w:val="0"/>
          <w:bCs/>
        </w:rPr>
        <w:instrText xml:space="preserve"> ADDIN EN.CITE &lt;EndNote&gt;&lt;Cite&gt;&lt;Author&gt;Visseren-Hamakers&lt;/Author&gt;&lt;Year&gt;2015&lt;/Year&gt;&lt;RecNum&gt;51618&lt;/RecNum&gt;&lt;DisplayText&gt;(Visseren-Hamakers 2015)&lt;/DisplayText&gt;&lt;record&gt;&lt;rec-number&gt;51618&lt;/rec-number&gt;&lt;foreign-keys&gt;&lt;key app="EN" db-id="awx9raddr0xx2hev05rxr0z05weepwpt0fex" timestamp="1626589148"&gt;51618&lt;/key&gt;&lt;/foreign-keys&gt;&lt;ref-type name="Journal Article"&gt;17&lt;/ref-type&gt;&lt;contributors&gt;&lt;authors&gt;&lt;author&gt;Visseren-Hamakers, Ingrid J.&lt;/author&gt;&lt;/authors&gt;&lt;/contributors&gt;&lt;titles&gt;&lt;title&gt;Integrative environmental governance: enhancing governance in the era of synergies&lt;/title&gt;&lt;secondary-title&gt;Current Opinion in Environmental Sustainability&lt;/secondary-title&gt;&lt;/titles&gt;&lt;periodical&gt;&lt;full-title&gt;Current Opinion in Environmental Sustainability&lt;/full-title&gt;&lt;/periodical&gt;&lt;pages&gt;136-143&lt;/pages&gt;&lt;volume&gt;14&lt;/volume&gt;&lt;dates&gt;&lt;year&gt;2015&lt;/year&gt;&lt;pub-dates&gt;&lt;date&gt;2015/06/01/&lt;/date&gt;&lt;/pub-dates&gt;&lt;/dates&gt;&lt;isbn&gt;1877-3435&lt;/isbn&gt;&lt;urls&gt;&lt;related-urls&gt;&lt;url&gt;https://www.sciencedirect.com/science/article/pii/S1877343515000500&lt;/url&gt;&lt;/related-urls&gt;&lt;/urls&gt;&lt;electronic-resource-num&gt;https://doi.org/10.1016/j.cosust.2015.05.008&lt;/electronic-resource-num&gt;&lt;/record&gt;&lt;/Cite&gt;&lt;/EndNote&gt;</w:instrText>
      </w:r>
      <w:r w:rsidR="00893388" w:rsidRPr="00A9434B">
        <w:rPr>
          <w:rFonts w:eastAsia="Batang"/>
          <w:b w:val="0"/>
          <w:bCs/>
          <w:i/>
          <w:iCs/>
        </w:rPr>
        <w:fldChar w:fldCharType="separate"/>
      </w:r>
      <w:r w:rsidR="00893388" w:rsidRPr="00A9434B">
        <w:rPr>
          <w:rFonts w:eastAsia="Batang"/>
          <w:b w:val="0"/>
          <w:bCs/>
          <w:i/>
          <w:iCs/>
        </w:rPr>
        <w:fldChar w:fldCharType="begin"/>
      </w:r>
      <w:r w:rsidR="0006613E">
        <w:rPr>
          <w:rFonts w:eastAsia="Batang"/>
          <w:b w:val="0"/>
          <w:bCs/>
        </w:rPr>
        <w:instrText xml:space="preserve"> ADDIN ZOTERO_ITEM CSL_CITATION {"citationID":"a3gn36d1s2","properties":{"formattedCitation":"(Visseren-Hamakers, 2015)","plainCitation":"(Visseren-Hamakers, 2015)","noteIndex":0},"citationItems":[{"id":30284,"uris":["http://zotero.org/groups/2352922/items/3MWGCWSD"],"itemData":{"id":30284,"type":"article-journal","abstract":"The issue of regime complexity in global environmental governance is widely recognized. The academic debate on regime fragmentation has itself however been rather fragmented, with discussions circling around different concepts, including inter-organizational relations, polycentric governance, integrated management, landscape governance, environmental policy integration, coordination, mainstreaming, coherence, policy mixes, governance architectures and systems, regime complexes, institutional interaction, metagovernance and the nexus approach. Moreover, the topic of relationships between different policies is also discussed among practitioners, where the call for synergies is increasingly heard. This article brings together these discussions under the common heading of integrative environmental governance (IEG). The article provides a literature review, and argues for an IEG perspective in which the relationships between governance instruments take center stage.","container-title":"Current Opinion in Environmental Sustainability","DOI":"https://doi.org/10.1016/j.cosust.2015.05.008","ISSN":"1877-3435","page":"136-143","title":"Integrative environmental governance: enhancing governance in the era of synergies","volume":"14","author":[{"family":"Visseren-Hamakers","given":"Ingrid J."}],"issued":{"date-parts":[["2015"]]}},"label":"page"}],"schema":"https://github.com/citation-style-language/schema/raw/master/csl-citation.json"} </w:instrText>
      </w:r>
      <w:r w:rsidR="00893388" w:rsidRPr="00A9434B">
        <w:rPr>
          <w:rFonts w:eastAsia="Batang"/>
          <w:b w:val="0"/>
          <w:bCs/>
          <w:i/>
          <w:iCs/>
        </w:rPr>
        <w:fldChar w:fldCharType="separate"/>
      </w:r>
      <w:r w:rsidR="00C71E80" w:rsidRPr="00A9434B">
        <w:rPr>
          <w:b w:val="0"/>
          <w:bCs/>
        </w:rPr>
        <w:t>(Visseren-Hamakers, 2015)</w:t>
      </w:r>
      <w:r w:rsidR="00893388" w:rsidRPr="00A9434B">
        <w:rPr>
          <w:rFonts w:eastAsia="Batang"/>
          <w:b w:val="0"/>
          <w:bCs/>
          <w:i/>
          <w:iCs/>
        </w:rPr>
        <w:fldChar w:fldCharType="end"/>
      </w:r>
      <w:r w:rsidR="00893388" w:rsidRPr="00A9434B">
        <w:rPr>
          <w:rFonts w:eastAsia="Batang"/>
          <w:b w:val="0"/>
          <w:bCs/>
          <w:i/>
          <w:iCs/>
        </w:rPr>
        <w:fldChar w:fldCharType="end"/>
      </w:r>
      <w:r w:rsidR="326765F3" w:rsidRPr="00A9434B">
        <w:rPr>
          <w:b w:val="0"/>
          <w:bCs/>
        </w:rPr>
        <w:t xml:space="preserve">. </w:t>
      </w:r>
    </w:p>
    <w:p w14:paraId="32251214" w14:textId="2593557C" w:rsidR="00C14761" w:rsidRPr="00A9434B" w:rsidRDefault="002E5E8A" w:rsidP="00537ECC">
      <w:pPr>
        <w:pStyle w:val="Heading5"/>
        <w:spacing w:after="120"/>
        <w:rPr>
          <w:b w:val="0"/>
          <w:bCs/>
        </w:rPr>
      </w:pPr>
      <w:r w:rsidRPr="00A9434B">
        <w:t>(7)</w:t>
      </w:r>
      <w:r w:rsidR="009606E5" w:rsidRPr="00A9434B">
        <w:t xml:space="preserve"> </w:t>
      </w:r>
      <w:bookmarkStart w:id="137" w:name="_Toc75698967"/>
      <w:r w:rsidR="00627F9F" w:rsidRPr="00A9434B">
        <w:t>Hurdles to i</w:t>
      </w:r>
      <w:r w:rsidR="009606E5" w:rsidRPr="00A9434B">
        <w:t>mplementation</w:t>
      </w:r>
      <w:bookmarkEnd w:id="137"/>
      <w:r w:rsidR="00C74103" w:rsidRPr="00A9434B">
        <w:t xml:space="preserve"> </w:t>
      </w:r>
      <w:r w:rsidR="00627F9F" w:rsidRPr="00A9434B">
        <w:t>of policy</w:t>
      </w:r>
      <w:r w:rsidR="00A537AC" w:rsidRPr="00A9434B">
        <w:br/>
      </w:r>
      <w:r w:rsidR="00C14761" w:rsidRPr="00A9434B">
        <w:rPr>
          <w:rFonts w:eastAsia="Batang"/>
          <w:b w:val="0"/>
          <w:bCs/>
        </w:rPr>
        <w:t xml:space="preserve">Although the arguments for </w:t>
      </w:r>
      <w:r w:rsidR="00C14761" w:rsidRPr="00A9434B">
        <w:rPr>
          <w:b w:val="0"/>
          <w:bCs/>
        </w:rPr>
        <w:t>invasive alien species</w:t>
      </w:r>
      <w:r w:rsidR="00C14761" w:rsidRPr="00A9434B">
        <w:rPr>
          <w:rFonts w:eastAsia="Batang"/>
          <w:b w:val="0"/>
          <w:bCs/>
        </w:rPr>
        <w:t xml:space="preserve"> policy implementation are empirically well supported, t</w:t>
      </w:r>
      <w:r w:rsidR="00C14761" w:rsidRPr="00A9434B">
        <w:rPr>
          <w:b w:val="0"/>
          <w:bCs/>
        </w:rPr>
        <w:t>he extent and success of existing policy at international, national</w:t>
      </w:r>
      <w:r w:rsidR="00896CEC">
        <w:rPr>
          <w:b w:val="0"/>
          <w:bCs/>
        </w:rPr>
        <w:t xml:space="preserve"> and</w:t>
      </w:r>
      <w:r w:rsidR="00C14761" w:rsidRPr="00A9434B">
        <w:rPr>
          <w:b w:val="0"/>
          <w:bCs/>
        </w:rPr>
        <w:t xml:space="preserve"> sub-national scales i</w:t>
      </w:r>
      <w:r w:rsidR="00C022B9" w:rsidRPr="00A9434B">
        <w:rPr>
          <w:b w:val="0"/>
          <w:bCs/>
        </w:rPr>
        <w:t xml:space="preserve">s highly variable </w:t>
      </w:r>
      <w:r w:rsidR="00E560BA">
        <w:rPr>
          <w:b w:val="0"/>
          <w:bCs/>
        </w:rPr>
        <w:t>(</w:t>
      </w:r>
      <w:r w:rsidR="00E560BA">
        <w:t>Figures 6.2</w:t>
      </w:r>
      <w:r w:rsidR="00E560BA" w:rsidRPr="00E560BA">
        <w:rPr>
          <w:b w:val="0"/>
          <w:bCs/>
        </w:rPr>
        <w:t>,</w:t>
      </w:r>
      <w:r w:rsidR="00E560BA">
        <w:t xml:space="preserve"> 6.3</w:t>
      </w:r>
      <w:r w:rsidR="00E560BA" w:rsidRPr="00E560BA">
        <w:rPr>
          <w:b w:val="0"/>
          <w:bCs/>
        </w:rPr>
        <w:t>,</w:t>
      </w:r>
      <w:r w:rsidR="00E560BA">
        <w:t xml:space="preserve"> 6.4 </w:t>
      </w:r>
      <w:r w:rsidR="00E560BA" w:rsidRPr="00E560BA">
        <w:rPr>
          <w:b w:val="0"/>
          <w:bCs/>
        </w:rPr>
        <w:t>and</w:t>
      </w:r>
      <w:r w:rsidR="00E560BA">
        <w:t xml:space="preserve"> 6.5</w:t>
      </w:r>
      <w:r w:rsidR="00E560BA" w:rsidRPr="00E560BA">
        <w:rPr>
          <w:b w:val="0"/>
          <w:bCs/>
        </w:rPr>
        <w:t>)</w:t>
      </w:r>
      <w:r w:rsidR="00C14761" w:rsidRPr="00A9434B">
        <w:rPr>
          <w:b w:val="0"/>
          <w:bCs/>
        </w:rPr>
        <w:t xml:space="preserve"> and considered inadequate </w:t>
      </w:r>
      <w:r w:rsidR="00BF2590" w:rsidRPr="00A9434B">
        <w:rPr>
          <w:b w:val="0"/>
          <w:bCs/>
          <w:i/>
          <w:iCs/>
        </w:rPr>
        <w:fldChar w:fldCharType="begin"/>
      </w:r>
      <w:r w:rsidR="0006613E">
        <w:rPr>
          <w:b w:val="0"/>
          <w:bCs/>
        </w:rPr>
        <w:instrText xml:space="preserve"> ADDIN ZOTERO_ITEM CSL_CITATION {"citationID":"als98mshu4","properties":{"formattedCitation":"(Leadley et al., 2014)","plainCitation":"(Leadley et al., 2014)","noteIndex":0},"citationItems":[{"id":30288,"uris":["http://zotero.org/groups/2352922/items/E66TASPF"],"itemData":{"id":30288,"type":"report","abstract":"\"In 2010, the Parties to the Convention on Biological Diversity (CBD) adopted the Strategic Plan for Biodiversity 2011-2020 in Nagoya, Japan. This Strategic Plan includes a 'shared vision, a mission, strategic goals and 20 ambitious yet achievable targets, collectively known as the Aichi Targets.' The vision is that 'By 2050, biodiversity is valued, conserved, restored and wisely used, maintaining ecosystem services, sustaining a healthy planet and delivering benefits essential for all people.' The Global Biodiversity Outlook 4 is an assessment of progress towards attaining the Strategic Plan roughly halfway between its adoption in 2010 and the deadline for achieving most of the Aichi Targets in 2020. This Global Biodiversity Outlook 4 (GBO-4) Technical Report provides a detailed assessment of the evidence base underlying the conclusions in the main Global Biodiversity Outlook 4 report\"--","collection-title":"CBD Technical Series","event-place":"Montreal, Canada","genre":"Global Biodiversity Outlook 4 (GBO-4) Technical Report","language":"en","note":"OCLC: 899004983","number":"78","page":"500","publisher":"Secretariat of the Convention on Biological Diversity","publisher-place":"Montreal, Canada","source":"Open WorldCat","title":"Progress towards the Aichi biodiversity targets: An assessment of biodiversity trends, policy scenarios and key actions","title-short":"Progress towards the Aichi biodiversity targets","URL":"http://www.deslibris.ca/ID/244310","author":[{"family":"Leadley","given":"Paul W."},{"family":"Krug","given":"Cornelia B"},{"family":"Alkemade","given":"R"},{"family":"Pereira","given":"H. M."},{"family":"Sumaila","given":"U. R."},{"family":"Walpole","given":"M."},{"family":"Marques","given":"A."},{"family":"Newbold","given":"T."},{"family":"Teh","given":"L. S. L."},{"family":"Kolck","given":"J.","non-dropping-particle":"van"},{"family":"Bellard","given":"C."},{"family":"Januchowski-Hartley","given":"S. R."},{"family":"Mumby","given":"P. J."}],"accessed":{"date-parts":[["2021",8,25]]},"issued":{"date-parts":[["2014"]]}},"label":"page"}],"schema":"https://github.com/citation-style-language/schema/raw/master/csl-citation.json"} </w:instrText>
      </w:r>
      <w:r w:rsidR="00BF2590" w:rsidRPr="00A9434B">
        <w:rPr>
          <w:b w:val="0"/>
          <w:bCs/>
          <w:i/>
          <w:iCs/>
        </w:rPr>
        <w:fldChar w:fldCharType="separate"/>
      </w:r>
      <w:r w:rsidR="00C71E80" w:rsidRPr="00A9434B">
        <w:rPr>
          <w:b w:val="0"/>
          <w:bCs/>
        </w:rPr>
        <w:t>(Leadley et al., 2014)</w:t>
      </w:r>
      <w:r w:rsidR="00BF2590" w:rsidRPr="00A9434B">
        <w:rPr>
          <w:b w:val="0"/>
          <w:bCs/>
          <w:i/>
          <w:iCs/>
        </w:rPr>
        <w:fldChar w:fldCharType="end"/>
      </w:r>
      <w:r w:rsidR="00C14761" w:rsidRPr="00A9434B">
        <w:rPr>
          <w:b w:val="0"/>
          <w:bCs/>
        </w:rPr>
        <w:t xml:space="preserve">. Differences exist in the extent to which regulatory measures are implemented across countries </w:t>
      </w:r>
      <w:r w:rsidR="00C14761" w:rsidRPr="00A9434B">
        <w:rPr>
          <w:b w:val="0"/>
          <w:bCs/>
          <w:i/>
          <w:iCs/>
        </w:rPr>
        <w:fldChar w:fldCharType="begin"/>
      </w:r>
      <w:r w:rsidR="00C14761" w:rsidRPr="00A9434B">
        <w:rPr>
          <w:b w:val="0"/>
          <w:bCs/>
        </w:rPr>
        <w:instrText xml:space="preserve"> ADDIN EN.CITE &lt;EndNote&gt;&lt;Cite&gt;&lt;Author&gt;Brenton-Rule&lt;/Author&gt;&lt;Year&gt;2016&lt;/Year&gt;&lt;RecNum&gt;45&lt;/RecNum&gt;&lt;DisplayText&gt;(Brenton-Rule, Barbieri et al. 2016)&lt;/DisplayText&gt;&lt;record&gt;&lt;rec-number&gt;57&lt;/rec-number&gt;&lt;foreign-keys&gt;&lt;key app="EN" db-id="0d55paxdcvwpebe55d1vrz5ne2pattprarta" timestamp="1597992733"&gt;57&lt;/key&gt;&lt;/foreign-keys&gt;&lt;ref-type name="Journal Article"&gt;17&lt;/ref-type&gt;&lt;contributors&gt;&lt;authors&gt;&lt;author&gt;Brenton-Rule, Evan C.&lt;/author&gt;&lt;author&gt;Barbieri, Rafael F.&lt;/author&gt;&lt;author&gt;Lester, Philip J.&lt;/author&gt;&lt;/authors&gt;&lt;/contributors&gt;&lt;titles&gt;&lt;title&gt;Corruption, development and governance indicators predict invasive species risk from trade&lt;/title&gt;&lt;secondary-title&gt;Proceedings of the Royal Society B-Biological Sciences&lt;/secondary-title&gt;&lt;/titles&gt;&lt;periodical&gt;&lt;full-title&gt;Proceedings of the Royal Society B-Biological Sciences&lt;/full-title&gt;&lt;/periodical&gt;&lt;volume&gt;283&lt;/volume&gt;&lt;number&gt;1832&lt;/number&gt;&lt;dates&gt;&lt;year&gt;2016&lt;/year&gt;&lt;pub-dates&gt;&lt;date&gt;Jun 15&lt;/date&gt;&lt;/pub-dates&gt;&lt;/dates&gt;&lt;isbn&gt;0962-8452&lt;/isbn&gt;&lt;accession-num&gt;WOS:000378318700024&lt;/accession-num&gt;&lt;urls&gt;&lt;related-urls&gt;&lt;url&gt;&amp;lt;Go to ISI&amp;gt;://WOS:000378318700024&lt;/url&gt;&lt;/related-urls&gt;&lt;/urls&gt;&lt;custom7&gt;20160901&lt;/custom7&gt;&lt;electronic-resource-num&gt;10.1098/rspb.2016.0901&lt;/electronic-resource-num&gt;&lt;/record&gt;&lt;/Cite&gt;&lt;/EndNote&gt;</w:instrText>
      </w:r>
      <w:r w:rsidR="00C14761" w:rsidRPr="00A9434B">
        <w:rPr>
          <w:b w:val="0"/>
          <w:bCs/>
          <w:i/>
          <w:iCs/>
        </w:rPr>
        <w:fldChar w:fldCharType="separate"/>
      </w:r>
      <w:r w:rsidR="00F11778" w:rsidRPr="00A9434B">
        <w:rPr>
          <w:b w:val="0"/>
          <w:bCs/>
          <w:i/>
          <w:iCs/>
        </w:rPr>
        <w:fldChar w:fldCharType="begin"/>
      </w:r>
      <w:r w:rsidR="0006613E">
        <w:rPr>
          <w:b w:val="0"/>
          <w:bCs/>
        </w:rPr>
        <w:instrText xml:space="preserve"> ADDIN ZOTERO_ITEM CSL_CITATION {"citationID":"a2ncb079v7m","properties":{"formattedCitation":"(Brenton-Rule et al., 2016)","plainCitation":"(Brenton-Rule et al., 2016)","noteIndex":0},"citationItems":[{"id":23848,"uris":["http://zotero.org/groups/2352922/items/RHL9NQPR"],"itemData":{"id":23848,"type":"dataset","DOI":"10.5061/dryad.1qq64","note":"publisher: Dryad","title":"Data from: Corruption, development and governance indicators predict invasive species risk from trade","author":[{"family":"Brenton-Rule","given":"Evan C."},{"family":"Barbieri","given":"Rafael F."},{"family":"Lester","given":"Phil J."}],"issued":{"date-parts":[["2016",5,31]]}},"label":"page"}],"schema":"https://github.com/citation-style-language/schema/raw/master/csl-citation.json"} </w:instrText>
      </w:r>
      <w:r w:rsidR="00F11778" w:rsidRPr="00A9434B">
        <w:rPr>
          <w:b w:val="0"/>
          <w:bCs/>
          <w:i/>
          <w:iCs/>
        </w:rPr>
        <w:fldChar w:fldCharType="separate"/>
      </w:r>
      <w:r w:rsidR="00C71E80" w:rsidRPr="00A9434B">
        <w:rPr>
          <w:b w:val="0"/>
          <w:bCs/>
        </w:rPr>
        <w:t>(Brenton-Rule et al., 2016)</w:t>
      </w:r>
      <w:r w:rsidR="00F11778" w:rsidRPr="00A9434B">
        <w:rPr>
          <w:b w:val="0"/>
          <w:bCs/>
          <w:i/>
          <w:iCs/>
        </w:rPr>
        <w:fldChar w:fldCharType="end"/>
      </w:r>
      <w:r w:rsidR="00C14761" w:rsidRPr="00A9434B">
        <w:rPr>
          <w:b w:val="0"/>
          <w:bCs/>
          <w:i/>
          <w:iCs/>
        </w:rPr>
        <w:fldChar w:fldCharType="end"/>
      </w:r>
      <w:r w:rsidR="00896CEC">
        <w:rPr>
          <w:b w:val="0"/>
          <w:bCs/>
        </w:rPr>
        <w:t xml:space="preserve"> and</w:t>
      </w:r>
      <w:r w:rsidR="00C14761" w:rsidRPr="00A9434B">
        <w:rPr>
          <w:b w:val="0"/>
          <w:bCs/>
        </w:rPr>
        <w:t xml:space="preserve"> laws are not always supported by regulation or implementation plans </w:t>
      </w:r>
      <w:r w:rsidR="00C14761" w:rsidRPr="00A9434B">
        <w:rPr>
          <w:b w:val="0"/>
          <w:bCs/>
          <w:i/>
          <w:iCs/>
        </w:rPr>
        <w:fldChar w:fldCharType="begin"/>
      </w:r>
      <w:r w:rsidR="00C14761" w:rsidRPr="00A9434B">
        <w:rPr>
          <w:b w:val="0"/>
          <w:bCs/>
        </w:rPr>
        <w:instrText xml:space="preserve"> ADDIN EN.CITE &lt;EndNote&gt;&lt;Cite&gt;&lt;Author&gt;Riley&lt;/Author&gt;&lt;Year&gt;2012&lt;/Year&gt;&lt;RecNum&gt;49156&lt;/RecNum&gt;&lt;DisplayText&gt;(Riley 2012)&lt;/DisplayText&gt;&lt;record&gt;&lt;rec-number&gt;49156&lt;/rec-number&gt;&lt;foreign-keys&gt;&lt;key app="EN" db-id="awx9raddr0xx2hev05rxr0z05weepwpt0fex" timestamp="1581497320"&gt;49156&lt;/key&gt;&lt;/foreign-keys&gt;&lt;ref-type name="Journal Article"&gt;17&lt;/ref-type&gt;&lt;contributors&gt;&lt;authors&gt;&lt;author&gt;Riley, Sophie&lt;/author&gt;&lt;/authors&gt;&lt;/contributors&gt;&lt;titles&gt;&lt;title&gt;Law is order, and good law is good order: The role of governance in the regulation of invasive alien species&lt;/title&gt;&lt;secondary-title&gt;Environmental and Planning Law Journal&lt;/secondary-title&gt;&lt;/titles&gt;&lt;periodical&gt;&lt;full-title&gt;Environmental and planning law journal&lt;/full-title&gt;&lt;abbr-1&gt;Environ. Plan. Law J.&lt;/abbr-1&gt;&lt;abbr-2&gt;Environ Plan Law J&lt;/abbr-2&gt;&lt;/periodical&gt;&lt;volume&gt;29&lt;/volume&gt;&lt;number&gt;1&lt;/number&gt;&lt;dates&gt;&lt;year&gt;2012&lt;/year&gt;&lt;pub-dates&gt;&lt;date&gt;2012&lt;/date&gt;&lt;/pub-dates&gt;&lt;/dates&gt;&lt;isbn&gt;0813-300X&lt;/isbn&gt;&lt;accession-num&gt;WOS:000213725200002&lt;/accession-num&gt;&lt;urls&gt;&lt;related-urls&gt;&lt;url&gt;&amp;lt;Go to ISI&amp;gt;://WOS:000213725200002&lt;/url&gt;&lt;/related-urls&gt;&lt;/urls&gt;&lt;custom7&gt;Unsp 16&lt;/custom7&gt;&lt;/record&gt;&lt;/Cite&gt;&lt;/EndNote&gt;</w:instrText>
      </w:r>
      <w:r w:rsidR="00C14761" w:rsidRPr="00A9434B">
        <w:rPr>
          <w:b w:val="0"/>
          <w:bCs/>
          <w:i/>
          <w:iCs/>
        </w:rPr>
        <w:fldChar w:fldCharType="separate"/>
      </w:r>
      <w:r w:rsidR="00236685" w:rsidRPr="00A9434B">
        <w:rPr>
          <w:b w:val="0"/>
          <w:bCs/>
          <w:i/>
          <w:iCs/>
        </w:rPr>
        <w:fldChar w:fldCharType="begin"/>
      </w:r>
      <w:r w:rsidR="0006613E">
        <w:rPr>
          <w:b w:val="0"/>
          <w:bCs/>
        </w:rPr>
        <w:instrText xml:space="preserve"> ADDIN ZOTERO_ITEM CSL_CITATION {"citationID":"a2j7l6eqpud","properties":{"formattedCitation":"(Riley, 2012)","plainCitation":"(Riley, 2012)","noteIndex":0},"citationItems":[{"id":24138,"uris":["http://zotero.org/groups/2352922/items/3MLHJ4IF"],"itemData":{"id":24138,"type":"article-journal","abstract":"In Australia, invasive alien species (IAS) are the second largest threat to biodiversity after loss of habitat. International obligations provide that Australia should prevent the introduction of, or control or eradicate those alien species that threaten ecosystems, habitats or species. Yet, designing and implementing effective IAS regimes remains elusive. It is a multidimensional exercise that engages a variety of actors across all levels of government. The purpose of this paper is to examine complications stemming from governance of IAS regimes in federal systems where law-making power is shared.","container-title":"Environmental and planning law journal","DOI":"10.3316/agispt.20121130","ISSN":"0813-300X","issue":"1","journalAbbreviation":"Environ. Plan. Law J.","language":"en","page":"16–44","title":"Law is order, and good law is good order: The role of governance in the regulation of invasive alien species","URL":"https://search.informit.org/doi/10.3316/agispt.20121130","volume":"29","author":[{"family":"Riley","given":"Sophie"}],"issued":{"date-parts":[["2012"]]}},"label":"page"}],"schema":"https://github.com/citation-style-language/schema/raw/master/csl-citation.json"} </w:instrText>
      </w:r>
      <w:r w:rsidR="00236685" w:rsidRPr="00A9434B">
        <w:rPr>
          <w:b w:val="0"/>
          <w:bCs/>
          <w:i/>
          <w:iCs/>
        </w:rPr>
        <w:fldChar w:fldCharType="separate"/>
      </w:r>
      <w:r w:rsidR="00C71E80" w:rsidRPr="00A9434B">
        <w:rPr>
          <w:b w:val="0"/>
          <w:bCs/>
        </w:rPr>
        <w:t>(Riley, 2012)</w:t>
      </w:r>
      <w:r w:rsidR="00236685" w:rsidRPr="00A9434B">
        <w:rPr>
          <w:b w:val="0"/>
          <w:bCs/>
          <w:i/>
          <w:iCs/>
        </w:rPr>
        <w:fldChar w:fldCharType="end"/>
      </w:r>
      <w:r w:rsidR="00C14761" w:rsidRPr="00A9434B">
        <w:rPr>
          <w:b w:val="0"/>
          <w:bCs/>
          <w:i/>
          <w:iCs/>
        </w:rPr>
        <w:fldChar w:fldCharType="end"/>
      </w:r>
      <w:r w:rsidR="00C14761" w:rsidRPr="00A9434B">
        <w:rPr>
          <w:b w:val="0"/>
          <w:bCs/>
        </w:rPr>
        <w:t>. There is no international authority</w:t>
      </w:r>
      <w:r w:rsidR="00043646" w:rsidRPr="00A9434B">
        <w:rPr>
          <w:b w:val="0"/>
          <w:bCs/>
        </w:rPr>
        <w:t xml:space="preserve">, global </w:t>
      </w:r>
      <w:r w:rsidR="00EB3283" w:rsidRPr="00A9434B">
        <w:rPr>
          <w:b w:val="0"/>
          <w:bCs/>
        </w:rPr>
        <w:t>coordination</w:t>
      </w:r>
      <w:r w:rsidR="00AB72AB" w:rsidRPr="00A9434B">
        <w:rPr>
          <w:b w:val="0"/>
          <w:bCs/>
        </w:rPr>
        <w:t>,</w:t>
      </w:r>
      <w:r w:rsidR="00043646" w:rsidRPr="00A9434B">
        <w:rPr>
          <w:b w:val="0"/>
          <w:bCs/>
        </w:rPr>
        <w:t xml:space="preserve"> or oversight mechanism</w:t>
      </w:r>
      <w:r w:rsidR="00045076" w:rsidRPr="00A9434B">
        <w:rPr>
          <w:b w:val="0"/>
          <w:bCs/>
        </w:rPr>
        <w:t xml:space="preserve"> for</w:t>
      </w:r>
      <w:r w:rsidR="005F58DD" w:rsidRPr="00A9434B">
        <w:rPr>
          <w:b w:val="0"/>
          <w:bCs/>
        </w:rPr>
        <w:t xml:space="preserve"> all</w:t>
      </w:r>
      <w:r w:rsidR="00C14761" w:rsidRPr="00A9434B">
        <w:rPr>
          <w:b w:val="0"/>
          <w:bCs/>
        </w:rPr>
        <w:t xml:space="preserve"> invasive alien species, and the implementation of biosecurity practices under trade agreements is inconsistent </w:t>
      </w:r>
      <w:bookmarkEnd w:id="136"/>
      <w:r w:rsidR="00236685" w:rsidRPr="00F71CC6">
        <w:rPr>
          <w:b w:val="0"/>
          <w:bCs/>
          <w:i/>
          <w:iCs/>
        </w:rPr>
        <w:fldChar w:fldCharType="begin"/>
      </w:r>
      <w:r w:rsidR="0006613E" w:rsidRPr="00F71CC6">
        <w:rPr>
          <w:b w:val="0"/>
          <w:bCs/>
        </w:rPr>
        <w:instrText xml:space="preserve"> ADDIN ZOTERO_ITEM CSL_CITATION {"citationID":"at1gu3pojp","properties":{"formattedCitation":"(Stoett, 2010)","plainCitation":"(Stoett, 2010)","noteIndex":0},"citationItems":[{"id":56668,"uris":["http://zotero.org/groups/2352922/items/SPT8ZQBR","http://zotero.org/groups/2352922/items/MVPMRFM8"],"itemData":{"id":56668,"type":"article-journal","container-title":"Global Governance: A Review of Multilateralism and International Organizations","DOI":"10.1163/19426720-01601007","ISSN":"1075-2846, 1942-6720","issue":"1","journalAbbreviation":"GG","page":"103-120","source":"DOI.org (Crossref)","title":"Framing Bioinvasion: Biodiversity, Climate Change, Security, Trade, and Global Governance","title-short":"Framing Bioinvasion","URL":"https://brill.com/view/journals/gg/16/1/article-p103_7.xml","volume":"16","author":[{"family":"Stoett","given":"Peter"}],"accessed":{"date-parts":[["2023",6,8]]},"issued":{"date-parts":[["2010",12,19]]}},"label":"page"}],"schema":"https://github.com/citation-style-language/schema/raw/master/csl-citation.json"} </w:instrText>
      </w:r>
      <w:r w:rsidR="00236685" w:rsidRPr="00F71CC6">
        <w:rPr>
          <w:b w:val="0"/>
          <w:bCs/>
          <w:i/>
          <w:iCs/>
        </w:rPr>
        <w:fldChar w:fldCharType="separate"/>
      </w:r>
      <w:r w:rsidR="0006613E" w:rsidRPr="00F71CC6">
        <w:rPr>
          <w:b w:val="0"/>
        </w:rPr>
        <w:t>(Stoett, 2010)</w:t>
      </w:r>
      <w:r w:rsidR="00236685" w:rsidRPr="00F71CC6">
        <w:rPr>
          <w:b w:val="0"/>
          <w:bCs/>
          <w:i/>
          <w:iCs/>
        </w:rPr>
        <w:fldChar w:fldCharType="end"/>
      </w:r>
      <w:r w:rsidR="00236685" w:rsidRPr="00F71CC6">
        <w:rPr>
          <w:b w:val="0"/>
          <w:bCs/>
        </w:rPr>
        <w:t>.</w:t>
      </w:r>
      <w:r w:rsidR="00C14761" w:rsidRPr="00A9434B">
        <w:rPr>
          <w:b w:val="0"/>
          <w:bCs/>
        </w:rPr>
        <w:t xml:space="preserve"> There are several reasons why both policy and management implementation </w:t>
      </w:r>
      <w:r w:rsidR="00AB72AB" w:rsidRPr="00A9434B">
        <w:rPr>
          <w:b w:val="0"/>
          <w:bCs/>
        </w:rPr>
        <w:t xml:space="preserve">are </w:t>
      </w:r>
      <w:r w:rsidR="00C14761" w:rsidRPr="00A9434B">
        <w:rPr>
          <w:b w:val="0"/>
          <w:bCs/>
        </w:rPr>
        <w:t xml:space="preserve">challenging, including for example austerity measures and resource shortages </w:t>
      </w:r>
      <w:r w:rsidR="00C14761" w:rsidRPr="00A9434B">
        <w:rPr>
          <w:b w:val="0"/>
          <w:bCs/>
          <w:i/>
          <w:iCs/>
        </w:rPr>
        <w:fldChar w:fldCharType="begin"/>
      </w:r>
      <w:r w:rsidR="00C14761" w:rsidRPr="00A9434B">
        <w:rPr>
          <w:b w:val="0"/>
          <w:bCs/>
        </w:rPr>
        <w:instrText xml:space="preserve"> ADDIN EN.CITE &lt;EndNote&gt;&lt;Cite&gt;&lt;Author&gt;VanNijnatten&lt;/Author&gt;&lt;Year&gt;2016&lt;/Year&gt;&lt;RecNum&gt;49105&lt;/RecNum&gt;&lt;DisplayText&gt;(VanNijnatten 2016)&lt;/DisplayText&gt;&lt;record&gt;&lt;rec-number&gt;49105&lt;/rec-number&gt;&lt;foreign-keys&gt;&lt;key app="EN" db-id="awx9raddr0xx2hev05rxr0z05weepwpt0fex" timestamp="1581497320"&gt;49105&lt;/key&gt;&lt;/foreign-keys&gt;&lt;ref-type name="Journal Article"&gt;17&lt;/ref-type&gt;&lt;contributors&gt;&lt;authors&gt;&lt;author&gt;VanNijnatten, Debora L.&lt;/author&gt;&lt;/authors&gt;&lt;/contributors&gt;&lt;titles&gt;&lt;title&gt;The Aquatic Invasion: Assembling Transboundary Governance Capacity for Prevention and Detection&lt;/title&gt;&lt;secondary-title&gt;International Journal of Water Governance&lt;/secondary-title&gt;&lt;/titles&gt;&lt;periodical&gt;&lt;full-title&gt;International Journal of Water Governance&lt;/full-title&gt;&lt;/periodical&gt;&lt;volume&gt;4&lt;/volume&gt;&lt;dates&gt;&lt;year&gt;2016&lt;/year&gt;&lt;pub-dates&gt;&lt;date&gt;2016&lt;/date&gt;&lt;/pub-dates&gt;&lt;/dates&gt;&lt;isbn&gt;2211-4491&lt;/isbn&gt;&lt;accession-num&gt;WOS:000472141200007&lt;/accession-num&gt;&lt;urls&gt;&lt;related-urls&gt;&lt;url&gt;&amp;lt;Go to ISI&amp;gt;://WOS:000472141200007&lt;/url&gt;&lt;/related-urls&gt;&lt;/urls&gt;&lt;custom7&gt;Unsp 6&lt;/custom7&gt;&lt;electronic-resource-num&gt;10.7564/15-ijwg84&lt;/electronic-resource-num&gt;&lt;/record&gt;&lt;/Cite&gt;&lt;/EndNote&gt;</w:instrText>
      </w:r>
      <w:r w:rsidR="00C14761" w:rsidRPr="00A9434B">
        <w:rPr>
          <w:b w:val="0"/>
          <w:bCs/>
          <w:i/>
          <w:iCs/>
        </w:rPr>
        <w:fldChar w:fldCharType="separate"/>
      </w:r>
      <w:r w:rsidR="00236685" w:rsidRPr="00A9434B">
        <w:rPr>
          <w:b w:val="0"/>
          <w:bCs/>
          <w:i/>
          <w:iCs/>
        </w:rPr>
        <w:fldChar w:fldCharType="begin"/>
      </w:r>
      <w:r w:rsidR="0006613E">
        <w:rPr>
          <w:b w:val="0"/>
          <w:bCs/>
        </w:rPr>
        <w:instrText xml:space="preserve"> ADDIN ZOTERO_ITEM CSL_CITATION {"citationID":"a27u39m8a7p","properties":{"formattedCitation":"(VanNijnatten, 2016)","plainCitation":"(VanNijnatten, 2016)","noteIndex":0},"citationItems":[{"id":11468,"uris":["http://zotero.org/groups/2352922/items/2Z5U8XMI"],"itemData":{"id":11468,"type":"article-journal","container-title":"International Journal of Water Governance","DOI":"10.7564/15-ijwg84","ISSN":"2211-4491","issue":"6","page":"91–110","title":"The Aquatic Invasion: Assembling Transboundary Governance Capacity for Prevention and Detection","URL":"https://journals.open.tudelft.nl/ijwg/article/view/5849","volume":"4","author":[{"family":"VanNijnatten","given":"Debora L."}],"issued":{"date-parts":[["2016"]]}},"label":"page"}],"schema":"https://github.com/citation-style-language/schema/raw/master/csl-citation.json"} </w:instrText>
      </w:r>
      <w:r w:rsidR="00236685" w:rsidRPr="00A9434B">
        <w:rPr>
          <w:b w:val="0"/>
          <w:bCs/>
          <w:i/>
          <w:iCs/>
        </w:rPr>
        <w:fldChar w:fldCharType="separate"/>
      </w:r>
      <w:r w:rsidR="00C71E80" w:rsidRPr="00A9434B">
        <w:rPr>
          <w:b w:val="0"/>
          <w:bCs/>
        </w:rPr>
        <w:t>(VanNijnatten, 2016)</w:t>
      </w:r>
      <w:r w:rsidR="00236685" w:rsidRPr="00A9434B">
        <w:rPr>
          <w:b w:val="0"/>
          <w:bCs/>
          <w:i/>
          <w:iCs/>
        </w:rPr>
        <w:fldChar w:fldCharType="end"/>
      </w:r>
      <w:r w:rsidR="00C14761" w:rsidRPr="00A9434B">
        <w:rPr>
          <w:b w:val="0"/>
          <w:bCs/>
          <w:i/>
          <w:iCs/>
        </w:rPr>
        <w:fldChar w:fldCharType="end"/>
      </w:r>
      <w:r w:rsidR="00C14761" w:rsidRPr="00A9434B">
        <w:rPr>
          <w:b w:val="0"/>
          <w:bCs/>
        </w:rPr>
        <w:t>,</w:t>
      </w:r>
      <w:r w:rsidR="00236685" w:rsidRPr="00A9434B">
        <w:rPr>
          <w:b w:val="0"/>
          <w:bCs/>
        </w:rPr>
        <w:t xml:space="preserve"> </w:t>
      </w:r>
      <w:r w:rsidR="00C14761" w:rsidRPr="00A9434B">
        <w:rPr>
          <w:b w:val="0"/>
          <w:bCs/>
        </w:rPr>
        <w:t xml:space="preserve">lack of capacity and expertise </w:t>
      </w:r>
      <w:r w:rsidR="00C14761" w:rsidRPr="00A9434B">
        <w:rPr>
          <w:b w:val="0"/>
          <w:bCs/>
          <w:i/>
          <w:iCs/>
        </w:rPr>
        <w:fldChar w:fldCharType="begin"/>
      </w:r>
      <w:r w:rsidR="00C14761" w:rsidRPr="00A9434B">
        <w:rPr>
          <w:b w:val="0"/>
          <w:bCs/>
        </w:rPr>
        <w:instrText xml:space="preserve"> ADDIN EN.CITE &lt;EndNote&gt;&lt;Cite&gt;&lt;Author&gt;Angulo&lt;/Author&gt;&lt;Year&gt;2008&lt;/Year&gt;&lt;RecNum&gt;49182&lt;/RecNum&gt;&lt;DisplayText&gt;(Angulo and Gilna 2008)&lt;/DisplayText&gt;&lt;record&gt;&lt;rec-number&gt;49182&lt;/rec-number&gt;&lt;foreign-keys&gt;&lt;key app="EN" db-id="awx9raddr0xx2hev05rxr0z05weepwpt0fex" timestamp="1581497320"&gt;49182&lt;/key&gt;&lt;/foreign-keys&gt;&lt;ref-type name="Journal Article"&gt;17&lt;/ref-type&gt;&lt;contributors&gt;&lt;authors&gt;&lt;author&gt;Angulo, Elena&lt;/author&gt;&lt;author&gt;Gilna, Ben&lt;/author&gt;&lt;/authors&gt;&lt;/contributors&gt;&lt;titles&gt;&lt;title&gt;When biotech crosses borders&lt;/title&gt;&lt;secondary-title&gt;Nature Biotechnology&lt;/secondary-title&gt;&lt;/titles&gt;&lt;periodical&gt;&lt;full-title&gt;Nature Biotechnology&lt;/full-title&gt;&lt;abbr-1&gt;Nat. Biotechnol.&lt;/abbr-1&gt;&lt;abbr-2&gt;Nat Biotechnol&lt;/abbr-2&gt;&lt;/periodical&gt;&lt;pages&gt;277-282&lt;/pages&gt;&lt;volume&gt;26&lt;/volume&gt;&lt;number&gt;3&lt;/number&gt;&lt;dates&gt;&lt;year&gt;2008&lt;/year&gt;&lt;pub-dates&gt;&lt;date&gt;Mar&lt;/date&gt;&lt;/pub-dates&gt;&lt;/dates&gt;&lt;isbn&gt;1087-0156&lt;/isbn&gt;&lt;accession-num&gt;WOS:000254123400015&lt;/accession-num&gt;&lt;urls&gt;&lt;related-urls&gt;&lt;url&gt;&amp;lt;Go to ISI&amp;gt;://WOS:000254123400015&lt;/url&gt;&lt;/related-urls&gt;&lt;/urls&gt;&lt;electronic-resource-num&gt;10.1038/nbt0308-277&lt;/electronic-resource-num&gt;&lt;/record&gt;&lt;/Cite&gt;&lt;/EndNote&gt;</w:instrText>
      </w:r>
      <w:r w:rsidR="00C14761" w:rsidRPr="00A9434B">
        <w:rPr>
          <w:b w:val="0"/>
          <w:bCs/>
          <w:i/>
          <w:iCs/>
        </w:rPr>
        <w:fldChar w:fldCharType="separate"/>
      </w:r>
      <w:r w:rsidR="00236685" w:rsidRPr="00A9434B">
        <w:rPr>
          <w:b w:val="0"/>
          <w:bCs/>
          <w:i/>
          <w:iCs/>
        </w:rPr>
        <w:fldChar w:fldCharType="begin"/>
      </w:r>
      <w:r w:rsidR="0006613E">
        <w:rPr>
          <w:b w:val="0"/>
          <w:bCs/>
        </w:rPr>
        <w:instrText xml:space="preserve"> ADDIN ZOTERO_ITEM CSL_CITATION {"citationID":"a1054l45aqb","properties":{"formattedCitation":"(Angulo &amp; Gilna, 2008)","plainCitation":"(Angulo &amp; Gilna, 2008)","noteIndex":0},"citationItems":[{"id":53308,"uris":["http://zotero.org/groups/2352922/items/Q8UZZU9S","http://zotero.org/groups/2352922/items/ZLRUXARM"],"itemData":{"id":53308,"type":"article-journal","container-title":"Nature Biotechnology","DOI":"10.1038/nbt0308-277","ISSN":"1087-0156","issue":"3","page":"277-282","title":"When biotech crosses borders","volume":"26","author":[{"family":"Angulo","given":"Elena"},{"family":"Gilna","given":"Ben"}],"issued":{"date-parts":[["2008",3]]}},"label":"page"}],"schema":"https://github.com/citation-style-language/schema/raw/master/csl-citation.json"} </w:instrText>
      </w:r>
      <w:r w:rsidR="00236685" w:rsidRPr="00A9434B">
        <w:rPr>
          <w:b w:val="0"/>
          <w:bCs/>
          <w:i/>
          <w:iCs/>
        </w:rPr>
        <w:fldChar w:fldCharType="separate"/>
      </w:r>
      <w:r w:rsidR="00C71E80" w:rsidRPr="00A9434B">
        <w:rPr>
          <w:b w:val="0"/>
          <w:bCs/>
        </w:rPr>
        <w:t>(Angulo &amp; Gilna, 2008)</w:t>
      </w:r>
      <w:r w:rsidR="00236685" w:rsidRPr="00A9434B">
        <w:rPr>
          <w:b w:val="0"/>
          <w:bCs/>
          <w:i/>
          <w:iCs/>
        </w:rPr>
        <w:fldChar w:fldCharType="end"/>
      </w:r>
      <w:r w:rsidR="00C14761" w:rsidRPr="00A9434B">
        <w:rPr>
          <w:b w:val="0"/>
          <w:bCs/>
          <w:i/>
          <w:iCs/>
        </w:rPr>
        <w:fldChar w:fldCharType="end"/>
      </w:r>
      <w:r w:rsidR="00C14761" w:rsidRPr="00A9434B">
        <w:rPr>
          <w:b w:val="0"/>
          <w:bCs/>
        </w:rPr>
        <w:t xml:space="preserve">, as well as a number of </w:t>
      </w:r>
      <w:r w:rsidR="00C27DCE">
        <w:rPr>
          <w:b w:val="0"/>
          <w:bCs/>
        </w:rPr>
        <w:t xml:space="preserve">the </w:t>
      </w:r>
      <w:r w:rsidR="00C14761" w:rsidRPr="00A9434B">
        <w:rPr>
          <w:b w:val="0"/>
          <w:bCs/>
        </w:rPr>
        <w:t xml:space="preserve">other challenges outlined in this section. </w:t>
      </w:r>
      <w:r w:rsidR="00D17F9A" w:rsidRPr="00A9434B">
        <w:rPr>
          <w:b w:val="0"/>
          <w:bCs/>
        </w:rPr>
        <w:t>O</w:t>
      </w:r>
      <w:r w:rsidR="00C14761" w:rsidRPr="00A9434B">
        <w:rPr>
          <w:b w:val="0"/>
          <w:bCs/>
        </w:rPr>
        <w:t xml:space="preserve">ften </w:t>
      </w:r>
      <w:r w:rsidR="00D17F9A" w:rsidRPr="00A9434B">
        <w:rPr>
          <w:b w:val="0"/>
          <w:bCs/>
        </w:rPr>
        <w:t xml:space="preserve">there is </w:t>
      </w:r>
      <w:r w:rsidR="00C14761" w:rsidRPr="00A9434B">
        <w:rPr>
          <w:b w:val="0"/>
          <w:bCs/>
        </w:rPr>
        <w:t>a lack of monitoring to g</w:t>
      </w:r>
      <w:r w:rsidR="00D17F9A" w:rsidRPr="00A9434B">
        <w:rPr>
          <w:b w:val="0"/>
          <w:bCs/>
        </w:rPr>
        <w:t>ather</w:t>
      </w:r>
      <w:r w:rsidR="00C14761" w:rsidRPr="00A9434B">
        <w:rPr>
          <w:b w:val="0"/>
          <w:bCs/>
        </w:rPr>
        <w:t xml:space="preserve"> scientific evidence to support effective implementation, including information to evaluate the success of management approaches, such as knowledge generated from </w:t>
      </w:r>
      <w:r w:rsidR="00A609B8" w:rsidRPr="00A9434B">
        <w:rPr>
          <w:b w:val="0"/>
          <w:bCs/>
        </w:rPr>
        <w:t>adaptive</w:t>
      </w:r>
      <w:r w:rsidR="00C14761" w:rsidRPr="00A9434B">
        <w:rPr>
          <w:b w:val="0"/>
          <w:bCs/>
        </w:rPr>
        <w:t xml:space="preserve"> management </w:t>
      </w:r>
      <w:r w:rsidR="00F806B6" w:rsidRPr="00A9434B">
        <w:rPr>
          <w:b w:val="0"/>
          <w:bCs/>
        </w:rPr>
        <w:t>(</w:t>
      </w:r>
      <w:r w:rsidR="0037768C">
        <w:rPr>
          <w:bCs/>
          <w:iCs/>
        </w:rPr>
        <w:t>G</w:t>
      </w:r>
      <w:r w:rsidR="004748F3" w:rsidRPr="00673554">
        <w:rPr>
          <w:bCs/>
          <w:iCs/>
        </w:rPr>
        <w:t>lossary</w:t>
      </w:r>
      <w:r w:rsidR="00735DB8" w:rsidRPr="00A9434B">
        <w:rPr>
          <w:b w:val="0"/>
          <w:bCs/>
          <w:i/>
          <w:iCs/>
        </w:rPr>
        <w:t xml:space="preserve">; </w:t>
      </w:r>
      <w:r w:rsidR="00C14761" w:rsidRPr="00A9434B">
        <w:rPr>
          <w:b w:val="0"/>
          <w:bCs/>
          <w:i/>
          <w:iCs/>
        </w:rPr>
        <w:fldChar w:fldCharType="begin">
          <w:fldData xml:space="preserve">PEVuZE5vdGU+PENpdGU+PEF1dGhvcj5TbW9sYXJ6PC9BdXRob3I+PFllYXI+MjAxNjwvWWVhcj48
UmVjTnVtPjQ5MDk2PC9SZWNOdW0+PERpc3BsYXlUZXh0PihSZWVkLCBWYW4gVmlhbmVuIGV0IGFs
LiAyMDE2LCBTbW9sYXJ6LCBCaXNrdXAgZXQgYWwuIDIwMTYpPC9EaXNwbGF5VGV4dD48cmVjb3Jk
PjxyZWMtbnVtYmVyPjQ5MDk2PC9yZWMtbnVtYmVyPjxmb3JlaWduLWtleXM+PGtleSBhcHA9IkVO
IiBkYi1pZD0iYXd4OXJhZGRyMHh4MmhldjA1cnhyMHowNXdlZXB3cHQwZmV4IiB0aW1lc3RhbXA9
IjE1ODE0OTczMjAiPjQ5MDk2PC9rZXk+PC9mb3JlaWduLWtleXM+PHJlZi10eXBlIG5hbWU9IkJv
b2sgU2VjdGlvbiI+NTwvcmVmLXR5cGU+PGNvbnRyaWJ1dG9ycz48YXV0aG9ycz48YXV0aG9yPlNt
b2xhcnosIEthdGFyenluYTwvYXV0aG9yPjxhdXRob3I+Qmlza3VwLCBQYXVsaW5hPC9hdXRob3I+
PGF1dGhvcj5aZ3J1bmRvLCBBbGVrc2FuZHJhPC9hdXRob3I+PC9hdXRob3JzPjxzZWNvbmRhcnkt
YXV0aG9ycz48YXV0aG9yPkdpbGVrLCBNLjwvYXV0aG9yPjxhdXRob3I+S2FybHNzb24sIE0uPC9h
dXRob3I+PGF1dGhvcj5MaW5rZSwgUy48L2F1dGhvcj48YXV0aG9yPlNtb2xhcnosIEsuPC9hdXRo
b3I+PC9zZWNvbmRhcnktYXV0aG9ycz48L2NvbnRyaWJ1dG9ycz48dGl0bGVzPjx0aXRsZT5CaW9s
b2dpY2FsIEludmFzaW9uczogQSBDYXNlIFN0dWR5IG9mIEJhbHRpYyBTZWEgRW52aXJvbm1lbnRh
bCBHb3Zlcm5hbmNlPC90aXRsZT48c2Vjb25kYXJ5LXRpdGxlPkVudmlyb25tZW50YWwgR292ZXJu
YW5jZSBvZiB0aGUgQmFsdGljIFNlYTwvc2Vjb25kYXJ5LXRpdGxlPjx0ZXJ0aWFyeS10aXRsZT5N
QVJFIFB1YmxpY2F0aW9uIFNlcmllczwvdGVydGlhcnktdGl0bGU+PC90aXRsZXM+PHBlcmlvZGlj
YWw+PGZ1bGwtdGl0bGU+RW52aXJvbm1lbnRhbCBnb3Zlcm5hbmNlIG9mIHRoZSBCYWx0aWMgU2Vh
PC9mdWxsLXRpdGxlPjwvcGVyaW9kaWNhbD48cGFnZXM+NzMtOTU8L3BhZ2VzPjx2b2x1bWU+MTA8
L3ZvbHVtZT48ZGF0ZXM+PHllYXI+MjAxNjwveWVhcj48L2RhdGVzPjxpc2JuPjk3OC0zLTMxOS0y
NzAwNi03OyA5NzgtMy0zMTktMjcwMDUtMDwvaXNibj48YWNjZXNzaW9uLW51bT5XT1M6MDAwMzg2
Njk1MzAwMDA1PC9hY2Nlc3Npb24tbnVtPjx1cmxzPjxyZWxhdGVkLXVybHM+PHVybD4mbHQ7R28g
dG8gSVNJJmd0OzovL1dPUzowMDAzODY2OTUzMDAwMDU8L3VybD48L3JlbGF0ZWQtdXJscz48L3Vy
bHM+PGVsZWN0cm9uaWMtcmVzb3VyY2UtbnVtPjEwLjEwMDcvOTc4LTMtMzE5LTI3MDA2LTdfNDwv
ZWxlY3Ryb25pYy1yZXNvdXJjZS1udW0+PC9yZWNvcmQ+PC9DaXRlPjxDaXRlPjxBdXRob3I+UmVl
ZDwvQXV0aG9yPjxZZWFyPjIwMTY8L1llYXI+PFJlY051bT41MDQ4MjwvUmVjTnVtPjxyZWNvcmQ+
PHJlYy1udW1iZXI+NTA0ODI8L3JlYy1udW1iZXI+PGZvcmVpZ24ta2V5cz48a2V5IGFwcD0iRU4i
IGRiLWlkPSJhd3g5cmFkZHIweHgyaGV2MDVyeHIwejA1d2VlcHdwdDBmZXgiIHRpbWVzdGFtcD0i
MTU5NjI1MDY1NyI+NTA0ODI8L2tleT48L2ZvcmVpZ24ta2V5cz48cmVmLXR5cGUgbmFtZT0iSm91
cm5hbCBBcnRpY2xlIj4xNzwvcmVmLXR5cGU+PGNvbnRyaWJ1dG9ycz48YXV0aG9ycz48YXV0aG9y
PlJlZWQsIEphbWVzPC9hdXRob3I+PGF1dGhvcj5WYW4gVmlhbmVuLCBKb3NoPC9hdXRob3I+PGF1
dGhvcj5EZWFraW4sIEVsaXphYmV0aCBMPC9hdXRob3I+PGF1dGhvcj5CYXJsb3csIEpvczwvYXV0
aG9yPjxhdXRob3I+U3VuZGVybGFuZCwgVGVycnk8L2F1dGhvcj48L2F1dGhvcnM+PC9jb250cmli
dXRvcnM+PHRpdGxlcz48dGl0bGU+SW50ZWdyYXRlZCBsYW5kc2NhcGUgYXBwcm9hY2hlcyB0byBt
YW5hZ2luZyBzb2NpYWwgYW5kIGVudmlyb25tZW50YWwgaXNzdWVzIGluIHRoZSB0cm9waWNzOiBs
ZWFybmluZyBmcm9tIHRoZSBwYXN0IHRvIGd1aWRlIHRoZSBmdXR1cmU8L3RpdGxlPjxzZWNvbmRh
cnktdGl0bGU+R2xvYmFsIGNoYW5nZSBiaW9sb2d5PC9zZWNvbmRhcnktdGl0bGU+PC90aXRsZXM+
PHBlcmlvZGljYWw+PGZ1bGwtdGl0bGU+R2xvYmFsIENoYW5nZSBCaW9sb2d5PC9mdWxsLXRpdGxl
PjxhYmJyLTE+R2xvYmFsIENoYW5nZSBCaW9sLjwvYWJici0xPjxhYmJyLTI+R2xvYmFsIENoYW5n
ZSBCaW9sPC9hYmJyLTI+PC9wZXJpb2RpY2FsPjxwYWdlcz4yNTQwLTI1NTQ8L3BhZ2VzPjx2b2x1
bWU+MjI8L3ZvbHVtZT48bnVtYmVyPjc8L251bWJlcj48ZGF0ZXM+PHllYXI+MjAxNjwveWVhcj48
L2RhdGVzPjxpc2JuPjEzNTQtMTAxMzwvaXNibj48dXJscz48L3VybHM+PC9yZWNvcmQ+PC9DaXRl
PjwvRW5kTm90ZT5=
</w:fldData>
        </w:fldChar>
      </w:r>
      <w:r w:rsidR="00C14761" w:rsidRPr="00A9434B">
        <w:rPr>
          <w:b w:val="0"/>
          <w:bCs/>
        </w:rPr>
        <w:instrText xml:space="preserve"> ADDIN EN.CITE </w:instrText>
      </w:r>
      <w:r w:rsidR="00C14761" w:rsidRPr="00A9434B">
        <w:rPr>
          <w:b w:val="0"/>
          <w:bCs/>
          <w:i/>
          <w:iCs/>
        </w:rPr>
        <w:fldChar w:fldCharType="begin">
          <w:fldData xml:space="preserve">PEVuZE5vdGU+PENpdGU+PEF1dGhvcj5TbW9sYXJ6PC9BdXRob3I+PFllYXI+MjAxNjwvWWVhcj48
UmVjTnVtPjQ5MDk2PC9SZWNOdW0+PERpc3BsYXlUZXh0PihSZWVkLCBWYW4gVmlhbmVuIGV0IGFs
LiAyMDE2LCBTbW9sYXJ6LCBCaXNrdXAgZXQgYWwuIDIwMTYpPC9EaXNwbGF5VGV4dD48cmVjb3Jk
PjxyZWMtbnVtYmVyPjQ5MDk2PC9yZWMtbnVtYmVyPjxmb3JlaWduLWtleXM+PGtleSBhcHA9IkVO
IiBkYi1pZD0iYXd4OXJhZGRyMHh4MmhldjA1cnhyMHowNXdlZXB3cHQwZmV4IiB0aW1lc3RhbXA9
IjE1ODE0OTczMjAiPjQ5MDk2PC9rZXk+PC9mb3JlaWduLWtleXM+PHJlZi10eXBlIG5hbWU9IkJv
b2sgU2VjdGlvbiI+NTwvcmVmLXR5cGU+PGNvbnRyaWJ1dG9ycz48YXV0aG9ycz48YXV0aG9yPlNt
b2xhcnosIEthdGFyenluYTwvYXV0aG9yPjxhdXRob3I+Qmlza3VwLCBQYXVsaW5hPC9hdXRob3I+
PGF1dGhvcj5aZ3J1bmRvLCBBbGVrc2FuZHJhPC9hdXRob3I+PC9hdXRob3JzPjxzZWNvbmRhcnkt
YXV0aG9ycz48YXV0aG9yPkdpbGVrLCBNLjwvYXV0aG9yPjxhdXRob3I+S2FybHNzb24sIE0uPC9h
dXRob3I+PGF1dGhvcj5MaW5rZSwgUy48L2F1dGhvcj48YXV0aG9yPlNtb2xhcnosIEsuPC9hdXRo
b3I+PC9zZWNvbmRhcnktYXV0aG9ycz48L2NvbnRyaWJ1dG9ycz48dGl0bGVzPjx0aXRsZT5CaW9s
b2dpY2FsIEludmFzaW9uczogQSBDYXNlIFN0dWR5IG9mIEJhbHRpYyBTZWEgRW52aXJvbm1lbnRh
bCBHb3Zlcm5hbmNlPC90aXRsZT48c2Vjb25kYXJ5LXRpdGxlPkVudmlyb25tZW50YWwgR292ZXJu
YW5jZSBvZiB0aGUgQmFsdGljIFNlYTwvc2Vjb25kYXJ5LXRpdGxlPjx0ZXJ0aWFyeS10aXRsZT5N
QVJFIFB1YmxpY2F0aW9uIFNlcmllczwvdGVydGlhcnktdGl0bGU+PC90aXRsZXM+PHBlcmlvZGlj
YWw+PGZ1bGwtdGl0bGU+RW52aXJvbm1lbnRhbCBnb3Zlcm5hbmNlIG9mIHRoZSBCYWx0aWMgU2Vh
PC9mdWxsLXRpdGxlPjwvcGVyaW9kaWNhbD48cGFnZXM+NzMtOTU8L3BhZ2VzPjx2b2x1bWU+MTA8
L3ZvbHVtZT48ZGF0ZXM+PHllYXI+MjAxNjwveWVhcj48L2RhdGVzPjxpc2JuPjk3OC0zLTMxOS0y
NzAwNi03OyA5NzgtMy0zMTktMjcwMDUtMDwvaXNibj48YWNjZXNzaW9uLW51bT5XT1M6MDAwMzg2
Njk1MzAwMDA1PC9hY2Nlc3Npb24tbnVtPjx1cmxzPjxyZWxhdGVkLXVybHM+PHVybD4mbHQ7R28g
dG8gSVNJJmd0OzovL1dPUzowMDAzODY2OTUzMDAwMDU8L3VybD48L3JlbGF0ZWQtdXJscz48L3Vy
bHM+PGVsZWN0cm9uaWMtcmVzb3VyY2UtbnVtPjEwLjEwMDcvOTc4LTMtMzE5LTI3MDA2LTdfNDwv
ZWxlY3Ryb25pYy1yZXNvdXJjZS1udW0+PC9yZWNvcmQ+PC9DaXRlPjxDaXRlPjxBdXRob3I+UmVl
ZDwvQXV0aG9yPjxZZWFyPjIwMTY8L1llYXI+PFJlY051bT41MDQ4MjwvUmVjTnVtPjxyZWNvcmQ+
PHJlYy1udW1iZXI+NTA0ODI8L3JlYy1udW1iZXI+PGZvcmVpZ24ta2V5cz48a2V5IGFwcD0iRU4i
IGRiLWlkPSJhd3g5cmFkZHIweHgyaGV2MDVyeHIwejA1d2VlcHdwdDBmZXgiIHRpbWVzdGFtcD0i
MTU5NjI1MDY1NyI+NTA0ODI8L2tleT48L2ZvcmVpZ24ta2V5cz48cmVmLXR5cGUgbmFtZT0iSm91
cm5hbCBBcnRpY2xlIj4xNzwvcmVmLXR5cGU+PGNvbnRyaWJ1dG9ycz48YXV0aG9ycz48YXV0aG9y
PlJlZWQsIEphbWVzPC9hdXRob3I+PGF1dGhvcj5WYW4gVmlhbmVuLCBKb3NoPC9hdXRob3I+PGF1
dGhvcj5EZWFraW4sIEVsaXphYmV0aCBMPC9hdXRob3I+PGF1dGhvcj5CYXJsb3csIEpvczwvYXV0
aG9yPjxhdXRob3I+U3VuZGVybGFuZCwgVGVycnk8L2F1dGhvcj48L2F1dGhvcnM+PC9jb250cmli
dXRvcnM+PHRpdGxlcz48dGl0bGU+SW50ZWdyYXRlZCBsYW5kc2NhcGUgYXBwcm9hY2hlcyB0byBt
YW5hZ2luZyBzb2NpYWwgYW5kIGVudmlyb25tZW50YWwgaXNzdWVzIGluIHRoZSB0cm9waWNzOiBs
ZWFybmluZyBmcm9tIHRoZSBwYXN0IHRvIGd1aWRlIHRoZSBmdXR1cmU8L3RpdGxlPjxzZWNvbmRh
cnktdGl0bGU+R2xvYmFsIGNoYW5nZSBiaW9sb2d5PC9zZWNvbmRhcnktdGl0bGU+PC90aXRsZXM+
PHBlcmlvZGljYWw+PGZ1bGwtdGl0bGU+R2xvYmFsIENoYW5nZSBCaW9sb2d5PC9mdWxsLXRpdGxl
PjxhYmJyLTE+R2xvYmFsIENoYW5nZSBCaW9sLjwvYWJici0xPjxhYmJyLTI+R2xvYmFsIENoYW5n
ZSBCaW9sPC9hYmJyLTI+PC9wZXJpb2RpY2FsPjxwYWdlcz4yNTQwLTI1NTQ8L3BhZ2VzPjx2b2x1
bWU+MjI8L3ZvbHVtZT48bnVtYmVyPjc8L251bWJlcj48ZGF0ZXM+PHllYXI+MjAxNjwveWVhcj48
L2RhdGVzPjxpc2JuPjEzNTQtMTAxMzwvaXNibj48dXJscz48L3VybHM+PC9yZWNvcmQ+PC9DaXRl
PjwvRW5kTm90ZT5=
</w:fldData>
        </w:fldChar>
      </w:r>
      <w:r w:rsidR="00C14761" w:rsidRPr="00A9434B">
        <w:rPr>
          <w:b w:val="0"/>
          <w:bCs/>
        </w:rPr>
        <w:instrText xml:space="preserve"> ADDIN EN.CITE.DATA </w:instrText>
      </w:r>
      <w:r w:rsidR="00C14761" w:rsidRPr="00A9434B">
        <w:rPr>
          <w:b w:val="0"/>
          <w:bCs/>
          <w:i/>
          <w:iCs/>
        </w:rPr>
      </w:r>
      <w:r w:rsidR="00C14761" w:rsidRPr="00A9434B">
        <w:rPr>
          <w:b w:val="0"/>
          <w:bCs/>
          <w:i/>
          <w:iCs/>
        </w:rPr>
        <w:fldChar w:fldCharType="end"/>
      </w:r>
      <w:r w:rsidR="00C14761" w:rsidRPr="00A9434B">
        <w:rPr>
          <w:b w:val="0"/>
          <w:bCs/>
          <w:i/>
          <w:iCs/>
        </w:rPr>
      </w:r>
      <w:r w:rsidR="00C14761" w:rsidRPr="00A9434B">
        <w:rPr>
          <w:b w:val="0"/>
          <w:bCs/>
          <w:i/>
          <w:iCs/>
        </w:rPr>
        <w:fldChar w:fldCharType="separate"/>
      </w:r>
      <w:r w:rsidR="00236685" w:rsidRPr="00A9434B">
        <w:rPr>
          <w:b w:val="0"/>
          <w:bCs/>
          <w:i/>
          <w:iCs/>
        </w:rPr>
        <w:fldChar w:fldCharType="begin"/>
      </w:r>
      <w:r w:rsidR="0006613E">
        <w:rPr>
          <w:b w:val="0"/>
          <w:bCs/>
        </w:rPr>
        <w:instrText xml:space="preserve"> ADDIN ZOTERO_ITEM CSL_CITATION {"citationID":"a10hpsn2hn3","properties":{"formattedCitation":"\\uldash{(Reed et al., 2016; Smolarz et al., 2016)}","plainCitation":"(Reed et al., 2016; Smolarz et al., 2016)","dontUpdate":true,"noteIndex":0},"citationItems":[{"id":23517,"uris":["http://zotero.org/groups/2352922/items/5K4K2FPH"],"itemData":{"id":23517,"type":"article-journal","abstract":"Poverty, food insecurity, climate change and biodiversity loss continue to persist as the primary environmental and social challenges faced by the global community. As such, there is a growing acknowledgement that conventional sectorial approaches to addressing often inter-connected social, environmental, economic and political challenges are proving insufficient. An alternative is to focus on integrated solutions at landscape scales or ‘landscape approaches’. The appeal of landscape approaches has resulted in the production of a significant body of literature in recent decades, yet confusion over terminology, application and utility persists. Focusing on the tropics, we systematically reviewed the literature to: (i) disentangle the historical development and theory behind the framework of the landscape approach and how it has progressed into its current iteration, (ii) establish lessons learned from previous land management strategies, (iii) determine the barriers that currently restrict implementation of the landscape approach and (iv) provide recommendations for how the landscape approach can contribute towards the fulfilment of the goals of international policy processes. This review suggests that, despite some barriers to implementation, a landscape approach has considerable potential to meet social and environmental objectives at local scales while aiding national commitments to addressing ongoing global challenges.","container-title":"Global Change Biology","DOI":"10.1111/gcb.13284","ISSN":"1365-2486","issue":"7","language":"en","license":"© 2016 The Authors. Global Change Biology  Published by John Wiley &amp; Sons Ltd.","note":"_eprint: https://onlinelibrary.wiley.com/doi/pdf/10.1111/gcb.13284","page":"2540-2554","source":"Wiley Online Library","title":"Integrated landscape approaches to managing social and environmental issues in the tropics: learning from the past to guide the future","title-short":"Integrated landscape approaches to managing social and environmental issues in the tropics","URL":"https://onlinelibrary.wiley.com/doi/abs/10.1111/gcb.13284","volume":"22","author":[{"family":"Reed","given":"James"},{"family":"Van Vianen","given":"Josh"},{"family":"Deakin","given":"Elizabeth L."},{"family":"Barlow","given":"Jos"},{"family":"Sunderland","given":"Terry"}],"accessed":{"date-parts":[["2020",5,21]]},"issued":{"date-parts":[["2016"]]}},"label":"page"},{"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label":"page"}],"schema":"https://github.com/citation-style-language/schema/raw/master/csl-citation.json"} </w:instrText>
      </w:r>
      <w:r w:rsidR="00236685" w:rsidRPr="00A9434B">
        <w:rPr>
          <w:b w:val="0"/>
          <w:bCs/>
          <w:i/>
          <w:iCs/>
        </w:rPr>
        <w:fldChar w:fldCharType="separate"/>
      </w:r>
      <w:r w:rsidR="00735DB8" w:rsidRPr="00A9434B">
        <w:rPr>
          <w:b w:val="0"/>
        </w:rPr>
        <w:t>Reed et al., 2016; Smolarz et al., 2016)</w:t>
      </w:r>
      <w:r w:rsidR="00236685" w:rsidRPr="00A9434B">
        <w:rPr>
          <w:b w:val="0"/>
          <w:bCs/>
          <w:i/>
          <w:iCs/>
        </w:rPr>
        <w:fldChar w:fldCharType="end"/>
      </w:r>
      <w:r w:rsidR="00C14761" w:rsidRPr="00A9434B">
        <w:rPr>
          <w:b w:val="0"/>
          <w:bCs/>
          <w:i/>
          <w:iCs/>
        </w:rPr>
        <w:fldChar w:fldCharType="end"/>
      </w:r>
      <w:r w:rsidR="00C14761" w:rsidRPr="00A9434B">
        <w:rPr>
          <w:b w:val="0"/>
          <w:bCs/>
        </w:rPr>
        <w:t>.</w:t>
      </w:r>
    </w:p>
    <w:p w14:paraId="53335458" w14:textId="6076FC4C" w:rsidR="008C7433" w:rsidRPr="00A9434B" w:rsidRDefault="21813E1E" w:rsidP="00585D0E">
      <w:pPr>
        <w:pStyle w:val="Heading5"/>
        <w:rPr>
          <w:b w:val="0"/>
          <w:bCs/>
        </w:rPr>
      </w:pPr>
      <w:r w:rsidRPr="00A9434B">
        <w:t>(8)</w:t>
      </w:r>
      <w:r w:rsidR="3BC47888" w:rsidRPr="00A9434B">
        <w:t xml:space="preserve"> </w:t>
      </w:r>
      <w:bookmarkStart w:id="138" w:name="_Toc43321266"/>
      <w:bookmarkStart w:id="139" w:name="_Toc75698968"/>
      <w:r w:rsidR="3BC47888" w:rsidRPr="00A9434B">
        <w:t>The need for collective action</w:t>
      </w:r>
      <w:bookmarkEnd w:id="138"/>
      <w:bookmarkEnd w:id="139"/>
      <w:r w:rsidR="00A537AC" w:rsidRPr="00A9434B">
        <w:br/>
      </w:r>
      <w:r w:rsidR="326765F3" w:rsidRPr="00A9434B">
        <w:rPr>
          <w:b w:val="0"/>
          <w:bCs/>
        </w:rPr>
        <w:t xml:space="preserve">Effective prevention and control of invasive alien species </w:t>
      </w:r>
      <w:r w:rsidR="56E7ABB6" w:rsidRPr="00A9434B">
        <w:rPr>
          <w:b w:val="0"/>
          <w:bCs/>
        </w:rPr>
        <w:t xml:space="preserve">can be achieved </w:t>
      </w:r>
      <w:r w:rsidR="3580FDFB" w:rsidRPr="00A9434B">
        <w:rPr>
          <w:b w:val="0"/>
          <w:bCs/>
        </w:rPr>
        <w:t>by cooperating</w:t>
      </w:r>
      <w:r w:rsidR="326765F3" w:rsidRPr="00A9434B">
        <w:rPr>
          <w:b w:val="0"/>
          <w:bCs/>
        </w:rPr>
        <w:t xml:space="preserve"> </w:t>
      </w:r>
      <w:r w:rsidR="2779E77D" w:rsidRPr="00A9434B">
        <w:rPr>
          <w:b w:val="0"/>
          <w:bCs/>
        </w:rPr>
        <w:t xml:space="preserve">and building of trust and social norms </w:t>
      </w:r>
      <w:r w:rsidR="326765F3" w:rsidRPr="00A9434B">
        <w:rPr>
          <w:b w:val="0"/>
          <w:bCs/>
        </w:rPr>
        <w:t>across actors, institutions, levels and sectors (</w:t>
      </w:r>
      <w:r w:rsidR="00E560BA">
        <w:rPr>
          <w:bCs/>
          <w:iCs/>
        </w:rPr>
        <w:t xml:space="preserve">Figures 6.7 </w:t>
      </w:r>
      <w:r w:rsidR="3B68EA62" w:rsidRPr="00A9434B">
        <w:rPr>
          <w:b w:val="0"/>
          <w:bCs/>
        </w:rPr>
        <w:t>an</w:t>
      </w:r>
      <w:r w:rsidR="00E560BA">
        <w:rPr>
          <w:b w:val="0"/>
          <w:bCs/>
        </w:rPr>
        <w:t xml:space="preserve">d </w:t>
      </w:r>
      <w:r w:rsidR="00E560BA">
        <w:t>6.8</w:t>
      </w:r>
      <w:r w:rsidR="338EE3DB" w:rsidRPr="00A9434B">
        <w:rPr>
          <w:b w:val="0"/>
          <w:bCs/>
        </w:rPr>
        <w:t>;</w:t>
      </w:r>
      <w:r w:rsidR="0B062BEF" w:rsidRPr="00A9434B">
        <w:rPr>
          <w:b w:val="0"/>
          <w:bCs/>
        </w:rPr>
        <w:t xml:space="preserve"> </w:t>
      </w:r>
      <w:r w:rsidR="00236685" w:rsidRPr="00A9434B">
        <w:rPr>
          <w:b w:val="0"/>
          <w:bCs/>
          <w:i/>
          <w:iCs/>
        </w:rPr>
        <w:fldChar w:fldCharType="begin"/>
      </w:r>
      <w:r w:rsidR="0006613E">
        <w:rPr>
          <w:b w:val="0"/>
          <w:bCs/>
        </w:rPr>
        <w:instrText xml:space="preserve"> ADDIN ZOTERO_ITEM CSL_CITATION {"citationID":"avn2o9fbub","properties":{"formattedCitation":"\\uldash{(McKiernan, 2018)}","plainCitation":"(McKiernan, 2018)","dontUpdate":true,"noteIndex":0},"citationItems":[{"id":52846,"uris":["http://zotero.org/groups/2352922/items/S8J6K9IA"],"itemData":{"id":52846,"type":"article-journal","abstract":"Rural-amenity migration is changing the social and ecological compositions of landscapes globally. The in-migration of new landholders is contributing to significant biophysical changes to rural landscapes, as well as the weakening of collective awareness, knowledge and skills needed to manage natural resources. This is leading to the proliferation of environmental harm. This paper focuses on invasive plants as one such harm, detailing how collective action is developed and challenged in a rural landscape undergoing increasing property turnover and diversifying management priorities. Focusing on the role of a Landcare group, located in southern New South Wales, Australia, I explore how social capital – with a particular focus on trust and social norms – is mobilised to recruit newly arrived residents and maintain commitment among landholders to manage invasive plants. This research provides insights into how policy can better steer management interventions, particularly how to develop and maintain collective action in diversifying rural landscapes.","container-title":"Journal of Environmental Planning and Management","DOI":"10.1080/09640568.2017.1351930","ISSN":"0964-0568","issue":"8","note":"publisher: Routledge\n_eprint: https://doi.org/10.1080/09640568.2017.1351930","page":"1419-1437","source":"Taylor and Francis+NEJM","title":"Managing invasive plants in a rural-amenity landscape: the role of social capital and Landcare","title-short":"Managing invasive plants in a rural-amenity landscape","URL":"https://doi.org/10.1080/09640568.2017.1351930","volume":"61","author":[{"family":"McKiernan","given":"Shaun"}],"accessed":{"date-parts":[["2022",8,4]]},"issued":{"date-parts":[["2018",7,3]]}},"label":"page"}],"schema":"https://github.com/citation-style-language/schema/raw/master/csl-citation.json"} </w:instrText>
      </w:r>
      <w:r w:rsidR="00236685" w:rsidRPr="00A9434B">
        <w:rPr>
          <w:b w:val="0"/>
          <w:bCs/>
          <w:i/>
          <w:iCs/>
        </w:rPr>
        <w:fldChar w:fldCharType="separate"/>
      </w:r>
      <w:r w:rsidR="00735DB8" w:rsidRPr="00A9434B">
        <w:rPr>
          <w:b w:val="0"/>
        </w:rPr>
        <w:t>McKiernan, 2018)</w:t>
      </w:r>
      <w:r w:rsidR="00236685" w:rsidRPr="00A9434B">
        <w:rPr>
          <w:b w:val="0"/>
          <w:bCs/>
          <w:i/>
          <w:iCs/>
        </w:rPr>
        <w:fldChar w:fldCharType="end"/>
      </w:r>
      <w:r w:rsidR="326765F3" w:rsidRPr="00A9434B">
        <w:rPr>
          <w:b w:val="0"/>
          <w:bCs/>
        </w:rPr>
        <w:t>. However, conflicting interests and diverse</w:t>
      </w:r>
      <w:r w:rsidR="13E3E713" w:rsidRPr="00A9434B">
        <w:rPr>
          <w:b w:val="0"/>
          <w:bCs/>
        </w:rPr>
        <w:t xml:space="preserve"> values and</w:t>
      </w:r>
      <w:r w:rsidR="326765F3" w:rsidRPr="00A9434B">
        <w:rPr>
          <w:b w:val="0"/>
          <w:bCs/>
        </w:rPr>
        <w:t xml:space="preserve"> perspectives mean </w:t>
      </w:r>
      <w:r w:rsidR="326765F3" w:rsidRPr="00A9434B">
        <w:rPr>
          <w:b w:val="0"/>
          <w:bCs/>
        </w:rPr>
        <w:lastRenderedPageBreak/>
        <w:t xml:space="preserve">that </w:t>
      </w:r>
      <w:r w:rsidR="00C638FD">
        <w:rPr>
          <w:b w:val="0"/>
          <w:bCs/>
        </w:rPr>
        <w:t>prevention and control programmes</w:t>
      </w:r>
      <w:r w:rsidR="00C638FD" w:rsidRPr="00A9434B">
        <w:rPr>
          <w:b w:val="0"/>
          <w:bCs/>
        </w:rPr>
        <w:t xml:space="preserve"> </w:t>
      </w:r>
      <w:r w:rsidR="326765F3" w:rsidRPr="00A9434B">
        <w:rPr>
          <w:b w:val="0"/>
          <w:bCs/>
        </w:rPr>
        <w:t xml:space="preserve">often fail </w:t>
      </w:r>
      <w:r w:rsidR="00C14761" w:rsidRPr="00A9434B">
        <w:rPr>
          <w:b w:val="0"/>
          <w:bCs/>
          <w:i/>
          <w:iCs/>
        </w:rPr>
        <w:fldChar w:fldCharType="begin">
          <w:fldData xml:space="preserve">PEVuZE5vdGU+PENpdGU+PEF1dGhvcj5HcmFoYW08L0F1dGhvcj48WWVhcj4yMDE5PC9ZZWFyPjxS
ZWNOdW0+NDkwMTU8L1JlY051bT48RGlzcGxheVRleHQ+KEd1ZXJyZXJvLCBNY0FsbGlzdGVyIGV0
IGFsLiAyMDE1LCBTbW9sYXJ6LCBCaXNrdXAgZXQgYWwuIDIwMTYsIEdyYWhhbSwgTWV0Y2FsZiBl
dCBhbC4gMjAxOSk8L0Rpc3BsYXlUZXh0PjxyZWNvcmQ+PHJlYy1udW1iZXI+NDkwMTU8L3JlYy1u
dW1iZXI+PGZvcmVpZ24ta2V5cz48a2V5IGFwcD0iRU4iIGRiLWlkPSJhd3g5cmFkZHIweHgyaGV2
MDVyeHIwejA1d2VlcHdwdDBmZXgiIHRpbWVzdGFtcD0iMTU4MTQ5NzMyMCI+NDkwMTU8L2tleT48
L2ZvcmVpZ24ta2V5cz48cmVmLXR5cGUgbmFtZT0iSm91cm5hbCBBcnRpY2xlIj4xNzwvcmVmLXR5
cGU+PGNvbnRyaWJ1dG9ycz48YXV0aG9ycz48YXV0aG9yPkdyYWhhbSwgU29uaWE8L2F1dGhvcj48
YXV0aG9yPk1ldGNhbGYsIEFsZXhhbmRlciBMLjwvYXV0aG9yPjxhdXRob3I+R2lsbCwgTmljaG9s
YXM8L2F1dGhvcj48YXV0aG9yPk5pZW1pZWMsIFJlYmVjY2E8L2F1dGhvcj48YXV0aG9yPk1vcmVu
bywgQ2FybG88L2F1dGhvcj48YXV0aG9yPkJhY2gsIFRob21hczwvYXV0aG9yPjxhdXRob3I+SWt1
dGVnYmUsIFZpY3RvcmlhPC9hdXRob3I+PGF1dGhvcj5IYWxsc3Ryb20sIExhcnM8L2F1dGhvcj48
YXV0aG9yPk1hLCBaaGFvPC9hdXRob3I+PGF1dGhvcj5MdWJlY2ssIEFsaWNlPC9hdXRob3I+PC9h
dXRob3JzPjwvY29udHJpYnV0b3JzPjx0aXRsZXM+PHRpdGxlPk9wcG9ydHVuaXRpZXMgZm9yIGJl
dHRlciB1c2Ugb2YgY29sbGVjdGl2ZSBhY3Rpb24gdGhlb3J5IGluIHJlc2VhcmNoIGFuZCBnb3Zl
cm5hbmNlIGZvciBpbnZhc2l2ZSBzcGVjaWVzIG1hbmFnZW1lbnQ8L3RpdGxlPjxzZWNvbmRhcnkt
dGl0bGU+Q29uc2VydmF0aW9uIEJpb2xvZ3k8L3NlY29uZGFyeS10aXRsZT48L3RpdGxlcz48cGVy
aW9kaWNhbD48ZnVsbC10aXRsZT5Db25zZXJ2YXRpb24gQmlvbG9neTwvZnVsbC10aXRsZT48YWJi
ci0xPkNvbnNlcnYuIEJpb2wuPC9hYmJyLTE+PGFiYnItMj5Db25zZXJ2IEJpb2w8L2FiYnItMj48
L3BlcmlvZGljYWw+PHBhZ2VzPjI3NS0yODc8L3BhZ2VzPjx2b2x1bWU+MzM8L3ZvbHVtZT48bnVt
YmVyPjI8L251bWJlcj48ZGF0ZXM+PHllYXI+MjAxOTwveWVhcj48cHViLWRhdGVzPjxkYXRlPkFw
cjwvZGF0ZT48L3B1Yi1kYXRlcz48L2RhdGVzPjxpc2JuPjA4ODgtODg5MjwvaXNibj48YWNjZXNz
aW9uLW51bT5XT1M6MDAwNDYwNjY0MzAwMDA1PC9hY2Nlc3Npb24tbnVtPjx1cmxzPjxyZWxhdGVk
LXVybHM+PHVybD4mbHQ7R28gdG8gSVNJJmd0OzovL1dPUzowMDA0NjA2NjQzMDAwMDU8L3VybD48
L3JlbGF0ZWQtdXJscz48L3VybHM+PGVsZWN0cm9uaWMtcmVzb3VyY2UtbnVtPjEwLjExMTEvY29i
aS4xMzI2NjwvZWxlY3Ryb25pYy1yZXNvdXJjZS1udW0+PC9yZWNvcmQ+PC9DaXRlPjxDaXRlPjxB
dXRob3I+U21vbGFyejwvQXV0aG9yPjxZZWFyPjIwMTY8L1llYXI+PFJlY051bT40OTA5NjwvUmVj
TnVtPjxyZWNvcmQ+PHJlYy1udW1iZXI+NDkwOTY8L3JlYy1udW1iZXI+PGZvcmVpZ24ta2V5cz48
a2V5IGFwcD0iRU4iIGRiLWlkPSJhd3g5cmFkZHIweHgyaGV2MDVyeHIwejA1d2VlcHdwdDBmZXgi
IHRpbWVzdGFtcD0iMTU4MTQ5NzMyMCI+NDkwOTY8L2tleT48L2ZvcmVpZ24ta2V5cz48cmVmLXR5
cGUgbmFtZT0iQm9vayBTZWN0aW9uIj41PC9yZWYtdHlwZT48Y29udHJpYnV0b3JzPjxhdXRob3Jz
PjxhdXRob3I+U21vbGFyeiwgS2F0YXJ6eW5hPC9hdXRob3I+PGF1dGhvcj5CaXNrdXAsIFBhdWxp
bmE8L2F1dGhvcj48YXV0aG9yPlpncnVuZG8sIEFsZWtzYW5kcmE8L2F1dGhvcj48L2F1dGhvcnM+
PHNlY29uZGFyeS1hdXRob3JzPjxhdXRob3I+R2lsZWssIE0uPC9hdXRob3I+PGF1dGhvcj5LYXJs
c3NvbiwgTS48L2F1dGhvcj48YXV0aG9yPkxpbmtlLCBTLjwvYXV0aG9yPjxhdXRob3I+U21vbGFy
eiwgSy48L2F1dGhvcj48L3NlY29uZGFyeS1hdXRob3JzPjwvY29udHJpYnV0b3JzPjx0aXRsZXM+
PHRpdGxlPkJpb2xvZ2ljYWwgSW52YXNpb25zOiBBIENhc2UgU3R1ZHkgb2YgQmFsdGljIFNlYSBF
bnZpcm9ubWVudGFsIEdvdmVybmFuY2U8L3RpdGxlPjxzZWNvbmRhcnktdGl0bGU+RW52aXJvbm1l
bnRhbCBHb3Zlcm5hbmNlIG9mIHRoZSBCYWx0aWMgU2VhPC9zZWNvbmRhcnktdGl0bGU+PHRlcnRp
YXJ5LXRpdGxlPk1BUkUgUHVibGljYXRpb24gU2VyaWVzPC90ZXJ0aWFyeS10aXRsZT48L3RpdGxl
cz48cGVyaW9kaWNhbD48ZnVsbC10aXRsZT5FbnZpcm9ubWVudGFsIGdvdmVybmFuY2Ugb2YgdGhl
IEJhbHRpYyBTZWE8L2Z1bGwtdGl0bGU+PC9wZXJpb2RpY2FsPjxwYWdlcz43My05NTwvcGFnZXM+
PHZvbHVtZT4xMDwvdm9sdW1lPjxkYXRlcz48eWVhcj4yMDE2PC95ZWFyPjwvZGF0ZXM+PGlzYm4+
OTc4LTMtMzE5LTI3MDA2LTc7IDk3OC0zLTMxOS0yNzAwNS0wPC9pc2JuPjxhY2Nlc3Npb24tbnVt
PldPUzowMDAzODY2OTUzMDAwMDU8L2FjY2Vzc2lvbi1udW0+PHVybHM+PHJlbGF0ZWQtdXJscz48
dXJsPiZsdDtHbyB0byBJU0kmZ3Q7Oi8vV09TOjAwMDM4NjY5NTMwMDAwNTwvdXJsPjwvcmVsYXRl
ZC11cmxzPjwvdXJscz48ZWxlY3Ryb25pYy1yZXNvdXJjZS1udW0+MTAuMTAwNy85NzgtMy0zMTkt
MjcwMDYtN180PC9lbGVjdHJvbmljLXJlc291cmNlLW51bT48L3JlY29yZD48L0NpdGU+PENpdGU+
PEF1dGhvcj5HdWVycmVybzwvQXV0aG9yPjxZZWFyPjIwMTU8L1llYXI+PFJlY051bT40OTEyMDwv
UmVjTnVtPjxyZWNvcmQ+PHJlYy1udW1iZXI+NDkxMjA8L3JlYy1udW1iZXI+PGZvcmVpZ24ta2V5
cz48a2V5IGFwcD0iRU4iIGRiLWlkPSJhd3g5cmFkZHIweHgyaGV2MDVyeHIwejA1d2VlcHdwdDBm
ZXgiIHRpbWVzdGFtcD0iMTU4MTQ5NzMyMCI+NDkxMjA8L2tleT48L2ZvcmVpZ24ta2V5cz48cmVm
LXR5cGUgbmFtZT0iSm91cm5hbCBBcnRpY2xlIj4xNzwvcmVmLXR5cGU+PGNvbnRyaWJ1dG9ycz48
YXV0aG9ycz48YXV0aG9yPkd1ZXJyZXJvLCBBbmdlbGEgTS48L2F1dGhvcj48YXV0aG9yPk1jQWxs
aXN0ZXIsIFJ5YW4gUi4gSi48L2F1dGhvcj48YXV0aG9yPldpbHNvbiwgS2VycmllIEEuPC9hdXRo
b3I+PC9hdXRob3JzPjwvY29udHJpYnV0b3JzPjx0aXRsZXM+PHRpdGxlPkFjaGlldmluZyBDcm9z
cy1TY2FsZSBDb2xsYWJvcmF0aW9uIGZvciBMYXJnZSBTY2FsZSBDb25zZXJ2YXRpb24gSW5pdGlh
dGl2ZXM8L3RpdGxlPjxzZWNvbmRhcnktdGl0bGU+Q29uc2VydmF0aW9uIExldHRlcnM8L3NlY29u
ZGFyeS10aXRsZT48L3RpdGxlcz48cGVyaW9kaWNhbD48ZnVsbC10aXRsZT5Db25zZXJ2YXRpb24g
TGV0dGVyczwvZnVsbC10aXRsZT48L3BlcmlvZGljYWw+PHBhZ2VzPjEwNy0xMTc8L3BhZ2VzPjx2
b2x1bWU+ODwvdm9sdW1lPjxudW1iZXI+MjwvbnVtYmVyPjxkYXRlcz48eWVhcj4yMDE1PC95ZWFy
PjxwdWItZGF0ZXM+PGRhdGU+TWFyLUFwcjwvZGF0ZT48L3B1Yi1kYXRlcz48L2RhdGVzPjxpc2Ju
PjE3NTUtMjYzWDwvaXNibj48YWNjZXNzaW9uLW51bT5XT1M6MDAwMzUzMzgzODAwMDA0PC9hY2Nl
c3Npb24tbnVtPjx1cmxzPjxyZWxhdGVkLXVybHM+PHVybD4mbHQ7R28gdG8gSVNJJmd0OzovL1dP
UzowMDAzNTMzODM4MDAwMDQ8L3VybD48L3JlbGF0ZWQtdXJscz48L3VybHM+PGVsZWN0cm9uaWMt
cmVzb3VyY2UtbnVtPjEwLjExMTEvY29ubC4xMjExMjwvZWxlY3Ryb25pYy1yZXNvdXJjZS1udW0+
PC9yZWNvcmQ+PC9DaXRlPjwvRW5kTm90ZT5=
</w:fldData>
        </w:fldChar>
      </w:r>
      <w:r w:rsidR="00C14761" w:rsidRPr="00A9434B">
        <w:rPr>
          <w:b w:val="0"/>
          <w:bCs/>
        </w:rPr>
        <w:instrText xml:space="preserve"> ADDIN EN.CITE </w:instrText>
      </w:r>
      <w:r w:rsidR="00C14761" w:rsidRPr="00A9434B">
        <w:rPr>
          <w:b w:val="0"/>
          <w:bCs/>
          <w:i/>
          <w:iCs/>
        </w:rPr>
        <w:fldChar w:fldCharType="begin">
          <w:fldData xml:space="preserve">PEVuZE5vdGU+PENpdGU+PEF1dGhvcj5HcmFoYW08L0F1dGhvcj48WWVhcj4yMDE5PC9ZZWFyPjxS
ZWNOdW0+NDkwMTU8L1JlY051bT48RGlzcGxheVRleHQ+KEd1ZXJyZXJvLCBNY0FsbGlzdGVyIGV0
IGFsLiAyMDE1LCBTbW9sYXJ6LCBCaXNrdXAgZXQgYWwuIDIwMTYsIEdyYWhhbSwgTWV0Y2FsZiBl
dCBhbC4gMjAxOSk8L0Rpc3BsYXlUZXh0PjxyZWNvcmQ+PHJlYy1udW1iZXI+NDkwMTU8L3JlYy1u
dW1iZXI+PGZvcmVpZ24ta2V5cz48a2V5IGFwcD0iRU4iIGRiLWlkPSJhd3g5cmFkZHIweHgyaGV2
MDVyeHIwejA1d2VlcHdwdDBmZXgiIHRpbWVzdGFtcD0iMTU4MTQ5NzMyMCI+NDkwMTU8L2tleT48
L2ZvcmVpZ24ta2V5cz48cmVmLXR5cGUgbmFtZT0iSm91cm5hbCBBcnRpY2xlIj4xNzwvcmVmLXR5
cGU+PGNvbnRyaWJ1dG9ycz48YXV0aG9ycz48YXV0aG9yPkdyYWhhbSwgU29uaWE8L2F1dGhvcj48
YXV0aG9yPk1ldGNhbGYsIEFsZXhhbmRlciBMLjwvYXV0aG9yPjxhdXRob3I+R2lsbCwgTmljaG9s
YXM8L2F1dGhvcj48YXV0aG9yPk5pZW1pZWMsIFJlYmVjY2E8L2F1dGhvcj48YXV0aG9yPk1vcmVu
bywgQ2FybG88L2F1dGhvcj48YXV0aG9yPkJhY2gsIFRob21hczwvYXV0aG9yPjxhdXRob3I+SWt1
dGVnYmUsIFZpY3RvcmlhPC9hdXRob3I+PGF1dGhvcj5IYWxsc3Ryb20sIExhcnM8L2F1dGhvcj48
YXV0aG9yPk1hLCBaaGFvPC9hdXRob3I+PGF1dGhvcj5MdWJlY2ssIEFsaWNlPC9hdXRob3I+PC9h
dXRob3JzPjwvY29udHJpYnV0b3JzPjx0aXRsZXM+PHRpdGxlPk9wcG9ydHVuaXRpZXMgZm9yIGJl
dHRlciB1c2Ugb2YgY29sbGVjdGl2ZSBhY3Rpb24gdGhlb3J5IGluIHJlc2VhcmNoIGFuZCBnb3Zl
cm5hbmNlIGZvciBpbnZhc2l2ZSBzcGVjaWVzIG1hbmFnZW1lbnQ8L3RpdGxlPjxzZWNvbmRhcnkt
dGl0bGU+Q29uc2VydmF0aW9uIEJpb2xvZ3k8L3NlY29uZGFyeS10aXRsZT48L3RpdGxlcz48cGVy
aW9kaWNhbD48ZnVsbC10aXRsZT5Db25zZXJ2YXRpb24gQmlvbG9neTwvZnVsbC10aXRsZT48YWJi
ci0xPkNvbnNlcnYuIEJpb2wuPC9hYmJyLTE+PGFiYnItMj5Db25zZXJ2IEJpb2w8L2FiYnItMj48
L3BlcmlvZGljYWw+PHBhZ2VzPjI3NS0yODc8L3BhZ2VzPjx2b2x1bWU+MzM8L3ZvbHVtZT48bnVt
YmVyPjI8L251bWJlcj48ZGF0ZXM+PHllYXI+MjAxOTwveWVhcj48cHViLWRhdGVzPjxkYXRlPkFw
cjwvZGF0ZT48L3B1Yi1kYXRlcz48L2RhdGVzPjxpc2JuPjA4ODgtODg5MjwvaXNibj48YWNjZXNz
aW9uLW51bT5XT1M6MDAwNDYwNjY0MzAwMDA1PC9hY2Nlc3Npb24tbnVtPjx1cmxzPjxyZWxhdGVk
LXVybHM+PHVybD4mbHQ7R28gdG8gSVNJJmd0OzovL1dPUzowMDA0NjA2NjQzMDAwMDU8L3VybD48
L3JlbGF0ZWQtdXJscz48L3VybHM+PGVsZWN0cm9uaWMtcmVzb3VyY2UtbnVtPjEwLjExMTEvY29i
aS4xMzI2NjwvZWxlY3Ryb25pYy1yZXNvdXJjZS1udW0+PC9yZWNvcmQ+PC9DaXRlPjxDaXRlPjxB
dXRob3I+U21vbGFyejwvQXV0aG9yPjxZZWFyPjIwMTY8L1llYXI+PFJlY051bT40OTA5NjwvUmVj
TnVtPjxyZWNvcmQ+PHJlYy1udW1iZXI+NDkwOTY8L3JlYy1udW1iZXI+PGZvcmVpZ24ta2V5cz48
a2V5IGFwcD0iRU4iIGRiLWlkPSJhd3g5cmFkZHIweHgyaGV2MDVyeHIwejA1d2VlcHdwdDBmZXgi
IHRpbWVzdGFtcD0iMTU4MTQ5NzMyMCI+NDkwOTY8L2tleT48L2ZvcmVpZ24ta2V5cz48cmVmLXR5
cGUgbmFtZT0iQm9vayBTZWN0aW9uIj41PC9yZWYtdHlwZT48Y29udHJpYnV0b3JzPjxhdXRob3Jz
PjxhdXRob3I+U21vbGFyeiwgS2F0YXJ6eW5hPC9hdXRob3I+PGF1dGhvcj5CaXNrdXAsIFBhdWxp
bmE8L2F1dGhvcj48YXV0aG9yPlpncnVuZG8sIEFsZWtzYW5kcmE8L2F1dGhvcj48L2F1dGhvcnM+
PHNlY29uZGFyeS1hdXRob3JzPjxhdXRob3I+R2lsZWssIE0uPC9hdXRob3I+PGF1dGhvcj5LYXJs
c3NvbiwgTS48L2F1dGhvcj48YXV0aG9yPkxpbmtlLCBTLjwvYXV0aG9yPjxhdXRob3I+U21vbGFy
eiwgSy48L2F1dGhvcj48L3NlY29uZGFyeS1hdXRob3JzPjwvY29udHJpYnV0b3JzPjx0aXRsZXM+
PHRpdGxlPkJpb2xvZ2ljYWwgSW52YXNpb25zOiBBIENhc2UgU3R1ZHkgb2YgQmFsdGljIFNlYSBF
bnZpcm9ubWVudGFsIEdvdmVybmFuY2U8L3RpdGxlPjxzZWNvbmRhcnktdGl0bGU+RW52aXJvbm1l
bnRhbCBHb3Zlcm5hbmNlIG9mIHRoZSBCYWx0aWMgU2VhPC9zZWNvbmRhcnktdGl0bGU+PHRlcnRp
YXJ5LXRpdGxlPk1BUkUgUHVibGljYXRpb24gU2VyaWVzPC90ZXJ0aWFyeS10aXRsZT48L3RpdGxl
cz48cGVyaW9kaWNhbD48ZnVsbC10aXRsZT5FbnZpcm9ubWVudGFsIGdvdmVybmFuY2Ugb2YgdGhl
IEJhbHRpYyBTZWE8L2Z1bGwtdGl0bGU+PC9wZXJpb2RpY2FsPjxwYWdlcz43My05NTwvcGFnZXM+
PHZvbHVtZT4xMDwvdm9sdW1lPjxkYXRlcz48eWVhcj4yMDE2PC95ZWFyPjwvZGF0ZXM+PGlzYm4+
OTc4LTMtMzE5LTI3MDA2LTc7IDk3OC0zLTMxOS0yNzAwNS0wPC9pc2JuPjxhY2Nlc3Npb24tbnVt
PldPUzowMDAzODY2OTUzMDAwMDU8L2FjY2Vzc2lvbi1udW0+PHVybHM+PHJlbGF0ZWQtdXJscz48
dXJsPiZsdDtHbyB0byBJU0kmZ3Q7Oi8vV09TOjAwMDM4NjY5NTMwMDAwNTwvdXJsPjwvcmVsYXRl
ZC11cmxzPjwvdXJscz48ZWxlY3Ryb25pYy1yZXNvdXJjZS1udW0+MTAuMTAwNy85NzgtMy0zMTkt
MjcwMDYtN180PC9lbGVjdHJvbmljLXJlc291cmNlLW51bT48L3JlY29yZD48L0NpdGU+PENpdGU+
PEF1dGhvcj5HdWVycmVybzwvQXV0aG9yPjxZZWFyPjIwMTU8L1llYXI+PFJlY051bT40OTEyMDwv
UmVjTnVtPjxyZWNvcmQ+PHJlYy1udW1iZXI+NDkxMjA8L3JlYy1udW1iZXI+PGZvcmVpZ24ta2V5
cz48a2V5IGFwcD0iRU4iIGRiLWlkPSJhd3g5cmFkZHIweHgyaGV2MDVyeHIwejA1d2VlcHdwdDBm
ZXgiIHRpbWVzdGFtcD0iMTU4MTQ5NzMyMCI+NDkxMjA8L2tleT48L2ZvcmVpZ24ta2V5cz48cmVm
LXR5cGUgbmFtZT0iSm91cm5hbCBBcnRpY2xlIj4xNzwvcmVmLXR5cGU+PGNvbnRyaWJ1dG9ycz48
YXV0aG9ycz48YXV0aG9yPkd1ZXJyZXJvLCBBbmdlbGEgTS48L2F1dGhvcj48YXV0aG9yPk1jQWxs
aXN0ZXIsIFJ5YW4gUi4gSi48L2F1dGhvcj48YXV0aG9yPldpbHNvbiwgS2VycmllIEEuPC9hdXRo
b3I+PC9hdXRob3JzPjwvY29udHJpYnV0b3JzPjx0aXRsZXM+PHRpdGxlPkFjaGlldmluZyBDcm9z
cy1TY2FsZSBDb2xsYWJvcmF0aW9uIGZvciBMYXJnZSBTY2FsZSBDb25zZXJ2YXRpb24gSW5pdGlh
dGl2ZXM8L3RpdGxlPjxzZWNvbmRhcnktdGl0bGU+Q29uc2VydmF0aW9uIExldHRlcnM8L3NlY29u
ZGFyeS10aXRsZT48L3RpdGxlcz48cGVyaW9kaWNhbD48ZnVsbC10aXRsZT5Db25zZXJ2YXRpb24g
TGV0dGVyczwvZnVsbC10aXRsZT48L3BlcmlvZGljYWw+PHBhZ2VzPjEwNy0xMTc8L3BhZ2VzPjx2
b2x1bWU+ODwvdm9sdW1lPjxudW1iZXI+MjwvbnVtYmVyPjxkYXRlcz48eWVhcj4yMDE1PC95ZWFy
PjxwdWItZGF0ZXM+PGRhdGU+TWFyLUFwcjwvZGF0ZT48L3B1Yi1kYXRlcz48L2RhdGVzPjxpc2Ju
PjE3NTUtMjYzWDwvaXNibj48YWNjZXNzaW9uLW51bT5XT1M6MDAwMzUzMzgzODAwMDA0PC9hY2Nl
c3Npb24tbnVtPjx1cmxzPjxyZWxhdGVkLXVybHM+PHVybD4mbHQ7R28gdG8gSVNJJmd0OzovL1dP
UzowMDAzNTMzODM4MDAwMDQ8L3VybD48L3JlbGF0ZWQtdXJscz48L3VybHM+PGVsZWN0cm9uaWMt
cmVzb3VyY2UtbnVtPjEwLjExMTEvY29ubC4xMjExMjwvZWxlY3Ryb25pYy1yZXNvdXJjZS1udW0+
PC9yZWNvcmQ+PC9DaXRlPjwvRW5kTm90ZT5=
</w:fldData>
        </w:fldChar>
      </w:r>
      <w:r w:rsidR="00C14761" w:rsidRPr="00A9434B">
        <w:rPr>
          <w:b w:val="0"/>
          <w:bCs/>
        </w:rPr>
        <w:instrText xml:space="preserve"> ADDIN EN.CITE.DATA </w:instrText>
      </w:r>
      <w:r w:rsidR="00C14761" w:rsidRPr="00A9434B">
        <w:rPr>
          <w:b w:val="0"/>
          <w:bCs/>
          <w:i/>
          <w:iCs/>
        </w:rPr>
      </w:r>
      <w:r w:rsidR="00C14761" w:rsidRPr="00A9434B">
        <w:rPr>
          <w:b w:val="0"/>
          <w:bCs/>
          <w:i/>
          <w:iCs/>
        </w:rPr>
        <w:fldChar w:fldCharType="end"/>
      </w:r>
      <w:r w:rsidR="00C14761" w:rsidRPr="00A9434B">
        <w:rPr>
          <w:b w:val="0"/>
          <w:bCs/>
          <w:i/>
          <w:iCs/>
        </w:rPr>
      </w:r>
      <w:r w:rsidR="00C14761" w:rsidRPr="00A9434B">
        <w:rPr>
          <w:b w:val="0"/>
          <w:bCs/>
          <w:i/>
          <w:iCs/>
        </w:rPr>
        <w:fldChar w:fldCharType="separate"/>
      </w:r>
      <w:r w:rsidR="000E0610" w:rsidRPr="00A9434B">
        <w:rPr>
          <w:b w:val="0"/>
          <w:bCs/>
          <w:i/>
          <w:iCs/>
        </w:rPr>
        <w:fldChar w:fldCharType="begin"/>
      </w:r>
      <w:r w:rsidR="0006613E">
        <w:rPr>
          <w:b w:val="0"/>
          <w:bCs/>
        </w:rPr>
        <w:instrText xml:space="preserve"> ADDIN ZOTERO_ITEM CSL_CITATION {"citationID":"a1jihvuuuu4","properties":{"formattedCitation":"\\uldash{(Graham et al., 2019; Guerrero et al., 2015; Smolarz et al., 2016)}","plainCitation":"(Graham et al., 2019; Guerrero et al., 2015; Smolarz et al., 2016)","dontUpdate":true,"noteIndex":0},"citationItems":[{"id":53412,"uris":["http://zotero.org/groups/2352922/items/CBLM2JWC","http://zotero.org/groups/2352922/items/7NSVFK8W"],"itemData":{"id":53412,"type":"article-journal","container-title":"Conservation Biology","DOI":"10.1111/cobi.13266","ISSN":"0888-8892, 1523-1739","issue":"2","journalAbbreviation":"Conservation Biology","language":"en","page":"275-287","source":"DOI.org (Crossref)","title":"Opportunities for better use of collective action theory in research and governance for invasive species management","URL":"https://onlinelibrary.wiley.com/doi/10.1111/cobi.13266","volume":"33","author":[{"family":"Graham","given":"Sonia"},{"family":"Metcalf","given":"Alexander L."},{"family":"Gill","given":"Nicholas"},{"family":"Niemiec","given":"Rebecca"},{"family":"Moreno","given":"Carlo"},{"family":"Bach","given":"Thomas"},{"family":"Ikutegbe","given":"Victoria"},{"family":"Hallstrom","given":"Lars"},{"family":"Ma","given":"Zhao"},{"family":"Lubeck","given":"Alice"}],"accessed":{"date-parts":[["2022",9,14]]},"issued":{"date-parts":[["2019",4]]}},"label":"page"},{"id":11463,"uris":["http://zotero.org/groups/2352922/items/6PK72M9Z"],"itemData":{"id":11463,"type":"article-journal","container-title":"Conservation Letters","DOI":"10.1111/conl.12112","ISSN":"1755-263X","issue":"2","page":"107-117","title":"Achieving Cross-Scale Collaboration for Large Scale Conservation Initiatives","volume":"8","author":[{"family":"Guerrero","given":"Angela M."},{"family":"McAllister","given":"Ryan R. J."},{"family":"Wilson","given":"Kerrie A."}],"issued":{"date-parts":[["2015",4]]}},"label":"page"},{"id":11449,"uris":["http://zotero.org/groups/2352922/items/K5CN724I"],"itemData":{"id":11449,"type":"chapter","collection-title":"MARE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label":"page"}],"schema":"https://github.com/citation-style-language/schema/raw/master/csl-citation.json"} </w:instrText>
      </w:r>
      <w:r w:rsidR="000E0610" w:rsidRPr="00A9434B">
        <w:rPr>
          <w:b w:val="0"/>
          <w:bCs/>
          <w:i/>
          <w:iCs/>
        </w:rPr>
        <w:fldChar w:fldCharType="separate"/>
      </w:r>
      <w:r w:rsidR="00735DB8" w:rsidRPr="00A9434B">
        <w:rPr>
          <w:b w:val="0"/>
        </w:rPr>
        <w:t>(Graham et al., 2019; Guerrero et al., 2015; Smolarz et al., 2016</w:t>
      </w:r>
      <w:r w:rsidR="000E0610" w:rsidRPr="00A9434B">
        <w:rPr>
          <w:b w:val="0"/>
          <w:bCs/>
          <w:i/>
          <w:iCs/>
        </w:rPr>
        <w:fldChar w:fldCharType="end"/>
      </w:r>
      <w:r w:rsidR="00C14761" w:rsidRPr="00A9434B">
        <w:rPr>
          <w:b w:val="0"/>
          <w:bCs/>
          <w:i/>
          <w:iCs/>
        </w:rPr>
        <w:fldChar w:fldCharType="end"/>
      </w:r>
      <w:r w:rsidR="00735DB8" w:rsidRPr="00673554">
        <w:rPr>
          <w:b w:val="0"/>
          <w:bCs/>
          <w:iCs/>
        </w:rPr>
        <w:t>;</w:t>
      </w:r>
      <w:r w:rsidR="00735DB8" w:rsidRPr="00673554">
        <w:rPr>
          <w:bCs/>
          <w:iCs/>
        </w:rPr>
        <w:t xml:space="preserve"> </w:t>
      </w:r>
      <w:r w:rsidR="0037768C">
        <w:rPr>
          <w:bCs/>
          <w:iCs/>
        </w:rPr>
        <w:t>C</w:t>
      </w:r>
      <w:r w:rsidR="00735DB8" w:rsidRPr="00673554">
        <w:rPr>
          <w:bCs/>
          <w:iCs/>
        </w:rPr>
        <w:t>hapter 1</w:t>
      </w:r>
      <w:r w:rsidR="00735DB8" w:rsidRPr="00673554">
        <w:rPr>
          <w:b w:val="0"/>
          <w:bCs/>
          <w:iCs/>
        </w:rPr>
        <w:t>,</w:t>
      </w:r>
      <w:r w:rsidR="00735DB8" w:rsidRPr="00673554">
        <w:rPr>
          <w:bCs/>
          <w:iCs/>
        </w:rPr>
        <w:t xml:space="preserve"> section 1.5.2</w:t>
      </w:r>
      <w:r w:rsidR="00735DB8" w:rsidRPr="00673554">
        <w:rPr>
          <w:b w:val="0"/>
          <w:bCs/>
          <w:iCs/>
        </w:rPr>
        <w:t>;</w:t>
      </w:r>
      <w:r w:rsidR="00735DB8" w:rsidRPr="00673554">
        <w:rPr>
          <w:bCs/>
          <w:iCs/>
        </w:rPr>
        <w:t xml:space="preserve"> </w:t>
      </w:r>
      <w:r w:rsidR="0037768C">
        <w:rPr>
          <w:bCs/>
          <w:iCs/>
        </w:rPr>
        <w:t>C</w:t>
      </w:r>
      <w:r w:rsidR="00735DB8" w:rsidRPr="00673554">
        <w:rPr>
          <w:bCs/>
          <w:iCs/>
        </w:rPr>
        <w:t>hapter 5</w:t>
      </w:r>
      <w:r w:rsidR="00735DB8" w:rsidRPr="00673554">
        <w:rPr>
          <w:b w:val="0"/>
          <w:bCs/>
          <w:iCs/>
        </w:rPr>
        <w:t>,</w:t>
      </w:r>
      <w:r w:rsidR="00735DB8" w:rsidRPr="00673554">
        <w:rPr>
          <w:bCs/>
          <w:iCs/>
        </w:rPr>
        <w:t xml:space="preserve"> section 5.6.1.2</w:t>
      </w:r>
      <w:r w:rsidR="00735DB8" w:rsidRPr="00A9434B">
        <w:rPr>
          <w:b w:val="0"/>
          <w:bCs/>
          <w:i/>
          <w:iCs/>
        </w:rPr>
        <w:t>)</w:t>
      </w:r>
      <w:r w:rsidR="326765F3" w:rsidRPr="00A9434B">
        <w:rPr>
          <w:b w:val="0"/>
          <w:bCs/>
        </w:rPr>
        <w:t xml:space="preserve">. </w:t>
      </w:r>
      <w:r w:rsidR="5C7D9DDD" w:rsidRPr="00A9434B">
        <w:rPr>
          <w:b w:val="0"/>
          <w:bCs/>
        </w:rPr>
        <w:t>For exampl</w:t>
      </w:r>
      <w:r w:rsidR="5FAC0166" w:rsidRPr="00A9434B">
        <w:rPr>
          <w:b w:val="0"/>
          <w:bCs/>
        </w:rPr>
        <w:t>e</w:t>
      </w:r>
      <w:r w:rsidR="5C7D9DDD" w:rsidRPr="00A9434B">
        <w:rPr>
          <w:b w:val="0"/>
          <w:bCs/>
        </w:rPr>
        <w:t xml:space="preserve">, </w:t>
      </w:r>
      <w:r w:rsidR="00E005DE">
        <w:rPr>
          <w:b w:val="0"/>
          <w:bCs/>
        </w:rPr>
        <w:t>ineffective prevention and control can occur</w:t>
      </w:r>
      <w:r w:rsidR="326765F3" w:rsidRPr="00A9434B">
        <w:rPr>
          <w:b w:val="0"/>
          <w:bCs/>
        </w:rPr>
        <w:t xml:space="preserve"> </w:t>
      </w:r>
      <w:r w:rsidR="731F5CC2" w:rsidRPr="00A9434B">
        <w:rPr>
          <w:b w:val="0"/>
          <w:bCs/>
        </w:rPr>
        <w:t xml:space="preserve">when </w:t>
      </w:r>
      <w:r w:rsidR="326765F3" w:rsidRPr="00A9434B">
        <w:rPr>
          <w:b w:val="0"/>
          <w:bCs/>
        </w:rPr>
        <w:t>individual land managers have an incentive to avoid invasive alien species control costs, thereby resulting in risks to others</w:t>
      </w:r>
      <w:r w:rsidR="5FAC0166" w:rsidRPr="00A9434B">
        <w:rPr>
          <w:b w:val="0"/>
          <w:bCs/>
        </w:rPr>
        <w:t xml:space="preserve"> </w:t>
      </w:r>
      <w:r w:rsidR="00735DB8" w:rsidRPr="00A9434B">
        <w:rPr>
          <w:b w:val="0"/>
          <w:bCs/>
        </w:rPr>
        <w:fldChar w:fldCharType="begin"/>
      </w:r>
      <w:r w:rsidR="0006613E">
        <w:rPr>
          <w:b w:val="0"/>
          <w:bCs/>
        </w:rPr>
        <w:instrText xml:space="preserve"> ADDIN ZOTERO_ITEM CSL_CITATION {"citationID":"a2bnncrnd44","properties":{"formattedCitation":"(Graham et al., 2019)","plainCitation":"(Graham et al., 2019)","noteIndex":0},"citationItems":[{"id":53412,"uris":["http://zotero.org/groups/2352922/items/CBLM2JWC","http://zotero.org/groups/2352922/items/7NSVFK8W"],"itemData":{"id":53412,"type":"article-journal","container-title":"Conservation Biology","DOI":"10.1111/cobi.13266","ISSN":"0888-8892, 1523-1739","issue":"2","journalAbbreviation":"Conservation Biology","language":"en","page":"275-287","source":"DOI.org (Crossref)","title":"Opportunities for better use of collective action theory in research and governance for invasive species management","URL":"https://onlinelibrary.wiley.com/doi/10.1111/cobi.13266","volume":"33","author":[{"family":"Graham","given":"Sonia"},{"family":"Metcalf","given":"Alexander L."},{"family":"Gill","given":"Nicholas"},{"family":"Niemiec","given":"Rebecca"},{"family":"Moreno","given":"Carlo"},{"family":"Bach","given":"Thomas"},{"family":"Ikutegbe","given":"Victoria"},{"family":"Hallstrom","given":"Lars"},{"family":"Ma","given":"Zhao"},{"family":"Lubeck","given":"Alice"}],"accessed":{"date-parts":[["2022",9,14]]},"issued":{"date-parts":[["2019",4]]}}}],"schema":"https://github.com/citation-style-language/schema/raw/master/csl-citation.json"} </w:instrText>
      </w:r>
      <w:r w:rsidR="00735DB8" w:rsidRPr="00A9434B">
        <w:rPr>
          <w:b w:val="0"/>
          <w:bCs/>
        </w:rPr>
        <w:fldChar w:fldCharType="separate"/>
      </w:r>
      <w:r w:rsidR="00C71E80" w:rsidRPr="00A9434B">
        <w:rPr>
          <w:b w:val="0"/>
          <w:bCs/>
        </w:rPr>
        <w:t>(Graham et al., 2019)</w:t>
      </w:r>
      <w:r w:rsidR="00735DB8" w:rsidRPr="00A9434B">
        <w:rPr>
          <w:b w:val="0"/>
          <w:bCs/>
        </w:rPr>
        <w:fldChar w:fldCharType="end"/>
      </w:r>
      <w:r w:rsidR="00735DB8" w:rsidRPr="00A9434B">
        <w:rPr>
          <w:b w:val="0"/>
          <w:bCs/>
        </w:rPr>
        <w:t xml:space="preserve">. </w:t>
      </w:r>
      <w:r w:rsidR="326765F3" w:rsidRPr="00A9434B">
        <w:rPr>
          <w:b w:val="0"/>
          <w:bCs/>
        </w:rPr>
        <w:t xml:space="preserve">Similarly, actors that benefit from activities </w:t>
      </w:r>
      <w:r w:rsidR="00C73655">
        <w:rPr>
          <w:b w:val="0"/>
        </w:rPr>
        <w:t>that increase risk of invasive alien species often have little incentive to acknowledge the risks and impacts of invasive alien species on other actors</w:t>
      </w:r>
      <w:r w:rsidR="00C73655" w:rsidRPr="00EA1CE6">
        <w:rPr>
          <w:b w:val="0"/>
          <w:bCs/>
          <w:i/>
          <w:iCs/>
        </w:rPr>
        <w:t xml:space="preserve"> </w:t>
      </w:r>
      <w:r w:rsidR="00C14761" w:rsidRPr="003E334B">
        <w:rPr>
          <w:b w:val="0"/>
          <w:bCs/>
          <w:i/>
          <w:iCs/>
        </w:rPr>
        <w:fldChar w:fldCharType="begin">
          <w:fldData xml:space="preserve">PEVuZE5vdGU+PENpdGU+PEF1dGhvcj5Bbmd1bG88L0F1dGhvcj48WWVhcj4yMDA4PC9ZZWFyPjxS
ZWNOdW0+NDkxODI8L1JlY051bT48RGlzcGxheVRleHQ+KEFuZ3VsbyBhbmQgR2lsbmEgMjAwOCwg
THViZWxsLCBKYXNueSBldCBhbC4gMjAxNyk8L0Rpc3BsYXlUZXh0PjxyZWNvcmQ+PHJlYy1udW1i
ZXI+NDkxODI8L3JlYy1udW1iZXI+PGZvcmVpZ24ta2V5cz48a2V5IGFwcD0iRU4iIGRiLWlkPSJh
d3g5cmFkZHIweHgyaGV2MDVyeHIwejA1d2VlcHdwdDBmZXgiIHRpbWVzdGFtcD0iMTU4MTQ5NzMy
MCI+NDkxODI8L2tleT48L2ZvcmVpZ24ta2V5cz48cmVmLXR5cGUgbmFtZT0iSm91cm5hbCBBcnRp
Y2xlIj4xNzwvcmVmLXR5cGU+PGNvbnRyaWJ1dG9ycz48YXV0aG9ycz48YXV0aG9yPkFuZ3Vsbywg
RWxlbmE8L2F1dGhvcj48YXV0aG9yPkdpbG5hLCBCZW48L2F1dGhvcj48L2F1dGhvcnM+PC9jb250
cmlidXRvcnM+PHRpdGxlcz48dGl0bGU+V2hlbiBiaW90ZWNoIGNyb3NzZXMgYm9yZGVyczwvdGl0
bGU+PHNlY29uZGFyeS10aXRsZT5OYXR1cmUgQmlvdGVjaG5vbG9neTwvc2Vjb25kYXJ5LXRpdGxl
PjwvdGl0bGVzPjxwZXJpb2RpY2FsPjxmdWxsLXRpdGxlPk5hdHVyZSBCaW90ZWNobm9sb2d5PC9m
dWxsLXRpdGxlPjxhYmJyLTE+TmF0LiBCaW90ZWNobm9sLjwvYWJici0xPjxhYmJyLTI+TmF0IEJp
b3RlY2hub2w8L2FiYnItMj48L3BlcmlvZGljYWw+PHBhZ2VzPjI3Ny0yODI8L3BhZ2VzPjx2b2x1
bWU+MjY8L3ZvbHVtZT48bnVtYmVyPjM8L251bWJlcj48ZGF0ZXM+PHllYXI+MjAwODwveWVhcj48
cHViLWRhdGVzPjxkYXRlPk1hcjwvZGF0ZT48L3B1Yi1kYXRlcz48L2RhdGVzPjxpc2JuPjEwODct
MDE1NjwvaXNibj48YWNjZXNzaW9uLW51bT5XT1M6MDAwMjU0MTIzNDAwMDE1PC9hY2Nlc3Npb24t
bnVtPjx1cmxzPjxyZWxhdGVkLXVybHM+PHVybD4mbHQ7R28gdG8gSVNJJmd0OzovL1dPUzowMDAy
NTQxMjM0MDAwMTU8L3VybD48L3JlbGF0ZWQtdXJscz48L3VybHM+PGVsZWN0cm9uaWMtcmVzb3Vy
Y2UtbnVtPjEwLjEwMzgvbmJ0MDMwOC0yNzc8L2VsZWN0cm9uaWMtcmVzb3VyY2UtbnVtPjwvcmVj
b3JkPjwvQ2l0ZT48Q2l0ZT48QXV0aG9yPkx1YmVsbDwvQXV0aG9yPjxZZWFyPjIwMTc8L1llYXI+
PFJlY051bT4xNTwvUmVjTnVtPjxyZWNvcmQ+PHJlYy1udW1iZXI+Mjc8L3JlYy1udW1iZXI+PGZv
cmVpZ24ta2V5cz48a2V5IGFwcD0iRU4iIGRiLWlkPSIwZDU1cGF4ZGN2d3BlYmU1NWQxdnJ6NW5l
MnBhdHRwcmFydGEiIHRpbWVzdGFtcD0iMTU5Nzk5MjczMyI+Mjc8L2tleT48L2ZvcmVpZ24ta2V5
cz48cmVmLXR5cGUgbmFtZT0iSm91cm5hbCBBcnRpY2xlIj4xNzwvcmVmLXR5cGU+PGNvbnRyaWJ1
dG9ycz48YXV0aG9ycz48YXV0aG9yPkx1YmVsbCwgTWFyazwvYXV0aG9yPjxhdXRob3I+SmFzbnks
IExvcmllbjwvYXV0aG9yPjxhdXRob3I+SGFzdGluZ3MsIEFsYW48L2F1dGhvcj48L2F1dGhvcnM+
PC9jb250cmlidXRvcnM+PHRpdGxlcz48dGl0bGU+TmV0d29yayBHb3Zlcm5hbmNlIGZvciBJbnZh
c2l2ZSBTcGVjaWVzIE1hbmFnZW1lbnQ8L3RpdGxlPjxzZWNvbmRhcnktdGl0bGU+Q29uc2VydmF0
aW9uIExldHRlcnM8L3NlY29uZGFyeS10aXRsZT48L3RpdGxlcz48cGVyaW9kaWNhbD48ZnVsbC10
aXRsZT5Db25zZXJ2YXRpb24gTGV0dGVyczwvZnVsbC10aXRsZT48L3BlcmlvZGljYWw+PHBhZ2Vz
PjY5OS03MDc8L3BhZ2VzPjx2b2x1bWU+MTA8L3ZvbHVtZT48bnVtYmVyPjY8L251bWJlcj48ZGF0
ZXM+PHllYXI+MjAxNzwveWVhcj48cHViLWRhdGVzPjxkYXRlPk5vdi1EZWM8L2RhdGU+PC9wdWIt
ZGF0ZXM+PC9kYXRlcz48aXNibj4xNzU1LTI2M1g8L2lzYm4+PGFjY2Vzc2lvbi1udW0+V09TOjAw
MDQxNzkxNzgwMDAwNjwvYWNjZXNzaW9uLW51bT48dXJscz48cmVsYXRlZC11cmxzPjx1cmw+Jmx0
O0dvIHRvIElTSSZndDs6Ly9XT1M6MDAwNDE3OTE3ODAwMDA2PC91cmw+PC9yZWxhdGVkLXVybHM+
PC91cmxzPjxlbGVjdHJvbmljLXJlc291cmNlLW51bT4xMC4xMTExL2NvbmwuMTIzMTE8L2VsZWN0
cm9uaWMtcmVzb3VyY2UtbnVtPjwvcmVjb3JkPjwvQ2l0ZT48L0VuZE5vdGU+AG==
</w:fldData>
        </w:fldChar>
      </w:r>
      <w:r w:rsidR="00C14761" w:rsidRPr="00EA1CE6">
        <w:rPr>
          <w:b w:val="0"/>
          <w:bCs/>
        </w:rPr>
        <w:instrText xml:space="preserve"> ADDIN EN.CITE </w:instrText>
      </w:r>
      <w:r w:rsidR="00C14761" w:rsidRPr="003E334B">
        <w:rPr>
          <w:b w:val="0"/>
          <w:bCs/>
          <w:i/>
          <w:iCs/>
        </w:rPr>
        <w:fldChar w:fldCharType="begin">
          <w:fldData xml:space="preserve">PEVuZE5vdGU+PENpdGU+PEF1dGhvcj5Bbmd1bG88L0F1dGhvcj48WWVhcj4yMDA4PC9ZZWFyPjxS
ZWNOdW0+NDkxODI8L1JlY051bT48RGlzcGxheVRleHQ+KEFuZ3VsbyBhbmQgR2lsbmEgMjAwOCwg
THViZWxsLCBKYXNueSBldCBhbC4gMjAxNyk8L0Rpc3BsYXlUZXh0PjxyZWNvcmQ+PHJlYy1udW1i
ZXI+NDkxODI8L3JlYy1udW1iZXI+PGZvcmVpZ24ta2V5cz48a2V5IGFwcD0iRU4iIGRiLWlkPSJh
d3g5cmFkZHIweHgyaGV2MDVyeHIwejA1d2VlcHdwdDBmZXgiIHRpbWVzdGFtcD0iMTU4MTQ5NzMy
MCI+NDkxODI8L2tleT48L2ZvcmVpZ24ta2V5cz48cmVmLXR5cGUgbmFtZT0iSm91cm5hbCBBcnRp
Y2xlIj4xNzwvcmVmLXR5cGU+PGNvbnRyaWJ1dG9ycz48YXV0aG9ycz48YXV0aG9yPkFuZ3Vsbywg
RWxlbmE8L2F1dGhvcj48YXV0aG9yPkdpbG5hLCBCZW48L2F1dGhvcj48L2F1dGhvcnM+PC9jb250
cmlidXRvcnM+PHRpdGxlcz48dGl0bGU+V2hlbiBiaW90ZWNoIGNyb3NzZXMgYm9yZGVyczwvdGl0
bGU+PHNlY29uZGFyeS10aXRsZT5OYXR1cmUgQmlvdGVjaG5vbG9neTwvc2Vjb25kYXJ5LXRpdGxl
PjwvdGl0bGVzPjxwZXJpb2RpY2FsPjxmdWxsLXRpdGxlPk5hdHVyZSBCaW90ZWNobm9sb2d5PC9m
dWxsLXRpdGxlPjxhYmJyLTE+TmF0LiBCaW90ZWNobm9sLjwvYWJici0xPjxhYmJyLTI+TmF0IEJp
b3RlY2hub2w8L2FiYnItMj48L3BlcmlvZGljYWw+PHBhZ2VzPjI3Ny0yODI8L3BhZ2VzPjx2b2x1
bWU+MjY8L3ZvbHVtZT48bnVtYmVyPjM8L251bWJlcj48ZGF0ZXM+PHllYXI+MjAwODwveWVhcj48
cHViLWRhdGVzPjxkYXRlPk1hcjwvZGF0ZT48L3B1Yi1kYXRlcz48L2RhdGVzPjxpc2JuPjEwODct
MDE1NjwvaXNibj48YWNjZXNzaW9uLW51bT5XT1M6MDAwMjU0MTIzNDAwMDE1PC9hY2Nlc3Npb24t
bnVtPjx1cmxzPjxyZWxhdGVkLXVybHM+PHVybD4mbHQ7R28gdG8gSVNJJmd0OzovL1dPUzowMDAy
NTQxMjM0MDAwMTU8L3VybD48L3JlbGF0ZWQtdXJscz48L3VybHM+PGVsZWN0cm9uaWMtcmVzb3Vy
Y2UtbnVtPjEwLjEwMzgvbmJ0MDMwOC0yNzc8L2VsZWN0cm9uaWMtcmVzb3VyY2UtbnVtPjwvcmVj
b3JkPjwvQ2l0ZT48Q2l0ZT48QXV0aG9yPkx1YmVsbDwvQXV0aG9yPjxZZWFyPjIwMTc8L1llYXI+
PFJlY051bT4xNTwvUmVjTnVtPjxyZWNvcmQ+PHJlYy1udW1iZXI+Mjc8L3JlYy1udW1iZXI+PGZv
cmVpZ24ta2V5cz48a2V5IGFwcD0iRU4iIGRiLWlkPSIwZDU1cGF4ZGN2d3BlYmU1NWQxdnJ6NW5l
MnBhdHRwcmFydGEiIHRpbWVzdGFtcD0iMTU5Nzk5MjczMyI+Mjc8L2tleT48L2ZvcmVpZ24ta2V5
cz48cmVmLXR5cGUgbmFtZT0iSm91cm5hbCBBcnRpY2xlIj4xNzwvcmVmLXR5cGU+PGNvbnRyaWJ1
dG9ycz48YXV0aG9ycz48YXV0aG9yPkx1YmVsbCwgTWFyazwvYXV0aG9yPjxhdXRob3I+SmFzbnks
IExvcmllbjwvYXV0aG9yPjxhdXRob3I+SGFzdGluZ3MsIEFsYW48L2F1dGhvcj48L2F1dGhvcnM+
PC9jb250cmlidXRvcnM+PHRpdGxlcz48dGl0bGU+TmV0d29yayBHb3Zlcm5hbmNlIGZvciBJbnZh
c2l2ZSBTcGVjaWVzIE1hbmFnZW1lbnQ8L3RpdGxlPjxzZWNvbmRhcnktdGl0bGU+Q29uc2VydmF0
aW9uIExldHRlcnM8L3NlY29uZGFyeS10aXRsZT48L3RpdGxlcz48cGVyaW9kaWNhbD48ZnVsbC10
aXRsZT5Db25zZXJ2YXRpb24gTGV0dGVyczwvZnVsbC10aXRsZT48L3BlcmlvZGljYWw+PHBhZ2Vz
PjY5OS03MDc8L3BhZ2VzPjx2b2x1bWU+MTA8L3ZvbHVtZT48bnVtYmVyPjY8L251bWJlcj48ZGF0
ZXM+PHllYXI+MjAxNzwveWVhcj48cHViLWRhdGVzPjxkYXRlPk5vdi1EZWM8L2RhdGU+PC9wdWIt
ZGF0ZXM+PC9kYXRlcz48aXNibj4xNzU1LTI2M1g8L2lzYm4+PGFjY2Vzc2lvbi1udW0+V09TOjAw
MDQxNzkxNzgwMDAwNjwvYWNjZXNzaW9uLW51bT48dXJscz48cmVsYXRlZC11cmxzPjx1cmw+Jmx0
O0dvIHRvIElTSSZndDs6Ly9XT1M6MDAwNDE3OTE3ODAwMDA2PC91cmw+PC9yZWxhdGVkLXVybHM+
PC91cmxzPjxlbGVjdHJvbmljLXJlc291cmNlLW51bT4xMC4xMTExL2NvbmwuMTIzMTE8L2VsZWN0
cm9uaWMtcmVzb3VyY2UtbnVtPjwvcmVjb3JkPjwvQ2l0ZT48L0VuZE5vdGU+AG==
</w:fldData>
        </w:fldChar>
      </w:r>
      <w:r w:rsidR="00C14761" w:rsidRPr="00EA1CE6">
        <w:rPr>
          <w:b w:val="0"/>
          <w:bCs/>
        </w:rPr>
        <w:instrText xml:space="preserve"> ADDIN EN.CITE.DATA </w:instrText>
      </w:r>
      <w:r w:rsidR="00C14761" w:rsidRPr="003E334B">
        <w:rPr>
          <w:b w:val="0"/>
          <w:bCs/>
          <w:i/>
          <w:iCs/>
        </w:rPr>
      </w:r>
      <w:r w:rsidR="00C14761" w:rsidRPr="003E334B">
        <w:rPr>
          <w:b w:val="0"/>
          <w:bCs/>
          <w:i/>
          <w:iCs/>
        </w:rPr>
        <w:fldChar w:fldCharType="end"/>
      </w:r>
      <w:r w:rsidR="00C14761" w:rsidRPr="003E334B">
        <w:rPr>
          <w:b w:val="0"/>
          <w:bCs/>
          <w:i/>
          <w:iCs/>
        </w:rPr>
      </w:r>
      <w:r w:rsidR="00C14761" w:rsidRPr="003E334B">
        <w:rPr>
          <w:b w:val="0"/>
          <w:bCs/>
          <w:i/>
          <w:iCs/>
        </w:rPr>
        <w:fldChar w:fldCharType="separate"/>
      </w:r>
      <w:r w:rsidR="000E0610" w:rsidRPr="003E334B">
        <w:rPr>
          <w:b w:val="0"/>
          <w:bCs/>
          <w:i/>
          <w:iCs/>
        </w:rPr>
        <w:fldChar w:fldCharType="begin"/>
      </w:r>
      <w:r w:rsidR="0006613E">
        <w:rPr>
          <w:b w:val="0"/>
          <w:bCs/>
        </w:rPr>
        <w:instrText xml:space="preserve"> ADDIN ZOTERO_ITEM CSL_CITATION {"citationID":"rdda7UrQ","properties":{"formattedCitation":"(Angulo &amp; Gilna, 2008; Lubell et al., 2017)","plainCitation":"(Angulo &amp; Gilna, 2008; Lubell et al., 2017)","noteIndex":0},"citationItems":[{"id":53308,"uris":["http://zotero.org/groups/2352922/items/Q8UZZU9S","http://zotero.org/groups/2352922/items/ZLRUXARM"],"itemData":{"id":53308,"type":"article-journal","container-title":"Nature Biotechnology","DOI":"10.1038/nbt0308-277","ISSN":"1087-0156","issue":"3","page":"277-282","title":"When biotech crosses borders","volume":"26","author":[{"family":"Angulo","given":"Elena"},{"family":"Gilna","given":"Ben"}],"issued":{"date-parts":[["2008",3]]}},"label":"page"},{"id":29543,"uris":["http://zotero.org/groups/2352922/items/ZEAPGNJU"],"itemData":{"id":29543,"type":"article-journal","container-title":"Conservation Letters","DOI":"10.1111/conl.12311","ISSN":"1755-263X, 1755-263X","issue":"6","journalAbbreviation":"CONSERVATION LETTERS","language":"en","page":"699-707","source":"DOI.org (Crossref)","title":"Network Governance for Invasive Species Management","URL":"https://onlinelibrary.wiley.com/doi/10.1111/conl.12311","volume":"10","author":[{"family":"Lubell","given":"Mark"},{"family":"Jasny","given":"Lorien"},{"family":"Hastings","given":"Alan"}],"accessed":{"date-parts":[["2021",8,3]]},"issued":{"date-parts":[["2017",11]]}},"label":"page"}],"schema":"https://github.com/citation-style-language/schema/raw/master/csl-citation.json"} </w:instrText>
      </w:r>
      <w:r w:rsidR="000E0610" w:rsidRPr="003E334B">
        <w:rPr>
          <w:b w:val="0"/>
          <w:bCs/>
          <w:i/>
          <w:iCs/>
        </w:rPr>
        <w:fldChar w:fldCharType="separate"/>
      </w:r>
      <w:r w:rsidR="00EA1CE6" w:rsidRPr="00F32369">
        <w:rPr>
          <w:b w:val="0"/>
        </w:rPr>
        <w:t>(Angulo &amp; Gilna, 2008; Lubell et al., 2017)</w:t>
      </w:r>
      <w:r w:rsidR="000E0610" w:rsidRPr="003E334B">
        <w:rPr>
          <w:b w:val="0"/>
          <w:bCs/>
          <w:i/>
          <w:iCs/>
        </w:rPr>
        <w:fldChar w:fldCharType="end"/>
      </w:r>
      <w:r w:rsidR="00C14761" w:rsidRPr="003E334B">
        <w:rPr>
          <w:b w:val="0"/>
          <w:bCs/>
          <w:i/>
          <w:iCs/>
        </w:rPr>
        <w:fldChar w:fldCharType="end"/>
      </w:r>
      <w:r w:rsidR="326765F3" w:rsidRPr="00EA1CE6">
        <w:rPr>
          <w:b w:val="0"/>
          <w:bCs/>
        </w:rPr>
        <w:t>.</w:t>
      </w:r>
      <w:r w:rsidR="326765F3" w:rsidRPr="00A9434B">
        <w:rPr>
          <w:b w:val="0"/>
          <w:bCs/>
        </w:rPr>
        <w:t xml:space="preserve"> Tensions between free trade and the governance of biosecurity risk further undermine the collective action </w:t>
      </w:r>
      <w:r w:rsidR="00F806B6" w:rsidRPr="00A9434B">
        <w:rPr>
          <w:b w:val="0"/>
          <w:bCs/>
        </w:rPr>
        <w:t>(</w:t>
      </w:r>
      <w:r w:rsidR="0037768C">
        <w:rPr>
          <w:bCs/>
          <w:iCs/>
        </w:rPr>
        <w:t>G</w:t>
      </w:r>
      <w:r w:rsidR="003E64B8" w:rsidRPr="00673554">
        <w:rPr>
          <w:bCs/>
          <w:iCs/>
        </w:rPr>
        <w:t>lossary</w:t>
      </w:r>
      <w:r w:rsidR="003E64B8" w:rsidRPr="00A9434B">
        <w:rPr>
          <w:b w:val="0"/>
          <w:bCs/>
        </w:rPr>
        <w:t xml:space="preserve">) </w:t>
      </w:r>
      <w:r w:rsidR="5C7D9DDD" w:rsidRPr="00A9434B">
        <w:rPr>
          <w:b w:val="0"/>
          <w:bCs/>
        </w:rPr>
        <w:t xml:space="preserve">that is </w:t>
      </w:r>
      <w:r w:rsidR="326765F3" w:rsidRPr="00A9434B">
        <w:rPr>
          <w:b w:val="0"/>
          <w:bCs/>
        </w:rPr>
        <w:t xml:space="preserve">needed on invasive alien species </w:t>
      </w:r>
      <w:r w:rsidR="00C14761" w:rsidRPr="00A9434B">
        <w:rPr>
          <w:b w:val="0"/>
          <w:bCs/>
          <w:i/>
          <w:iCs/>
        </w:rPr>
        <w:fldChar w:fldCharType="begin"/>
      </w:r>
      <w:r w:rsidR="00C14761" w:rsidRPr="00A9434B">
        <w:rPr>
          <w:b w:val="0"/>
          <w:bCs/>
        </w:rPr>
        <w:instrText xml:space="preserve"> ADDIN EN.CITE &lt;EndNote&gt;&lt;Cite&gt;&lt;Author&gt;Lansink&lt;/Author&gt;&lt;Year&gt;2018&lt;/Year&gt;&lt;RecNum&gt;49054&lt;/RecNum&gt;&lt;DisplayText&gt;(Lansink, Schut et al. 2018)&lt;/DisplayText&gt;&lt;record&gt;&lt;rec-number&gt;49054&lt;/rec-number&gt;&lt;foreign-keys&gt;&lt;key app="EN" db-id="awx9raddr0xx2hev05rxr0z05weepwpt0fex" timestamp="1581497320"&gt;49054&lt;/key&gt;&lt;/foreign-keys&gt;&lt;ref-type name="Journal Article"&gt;17&lt;/ref-type&gt;&lt;contributors&gt;&lt;authors&gt;&lt;author&gt;Lansink, Alfons Oude&lt;/author&gt;&lt;author&gt;Schut, Marc&lt;/author&gt;&lt;author&gt;Kamanda, Josey&lt;/author&gt;&lt;author&gt;Klerkx, Laurens&lt;/author&gt;&lt;/authors&gt;&lt;/contributors&gt;&lt;titles&gt;&lt;title&gt;A multi-level and multi-actor approach to risk governance: a conceptual framework to support policy development for Ambrosia weed control&lt;/title&gt;&lt;secondary-title&gt;Journal of Risk Research&lt;/secondary-title&gt;&lt;/titles&gt;&lt;periodical&gt;&lt;full-title&gt;Journal of Risk Research&lt;/full-title&gt;&lt;abbr-1&gt;J. Risk Res.&lt;/abbr-1&gt;&lt;abbr-2&gt;J Risk Res&lt;/abbr-2&gt;&lt;/periodical&gt;&lt;pages&gt;780-799&lt;/pages&gt;&lt;volume&gt;21&lt;/volume&gt;&lt;number&gt;6&lt;/number&gt;&lt;dates&gt;&lt;year&gt;2018&lt;/year&gt;&lt;pub-dates&gt;&lt;date&gt;2018&lt;/date&gt;&lt;/pub-dates&gt;&lt;/dates&gt;&lt;isbn&gt;1366-9877&lt;/isbn&gt;&lt;accession-num&gt;WOS:000433987300007&lt;/accession-num&gt;&lt;urls&gt;&lt;related-urls&gt;&lt;url&gt;&amp;lt;Go to ISI&amp;gt;://WOS:000433987300007&lt;/url&gt;&lt;/related-urls&gt;&lt;/urls&gt;&lt;electronic-resource-num&gt;10.1080/13669877.2016.1247376&lt;/electronic-resource-num&gt;&lt;/record&gt;&lt;/Cite&gt;&lt;/EndNote&gt;</w:instrText>
      </w:r>
      <w:r w:rsidR="00C14761" w:rsidRPr="00A9434B">
        <w:rPr>
          <w:b w:val="0"/>
          <w:bCs/>
          <w:i/>
          <w:iCs/>
        </w:rPr>
        <w:fldChar w:fldCharType="separate"/>
      </w:r>
      <w:r w:rsidR="000E0610" w:rsidRPr="00A9434B">
        <w:rPr>
          <w:b w:val="0"/>
          <w:bCs/>
          <w:i/>
          <w:iCs/>
        </w:rPr>
        <w:fldChar w:fldCharType="begin"/>
      </w:r>
      <w:r w:rsidR="0006613E">
        <w:rPr>
          <w:b w:val="0"/>
          <w:bCs/>
        </w:rPr>
        <w:instrText xml:space="preserve"> ADDIN ZOTERO_ITEM CSL_CITATION {"citationID":"at930pm5gg","properties":{"formattedCitation":"(Lansink et al., 2018)","plainCitation":"(Lansink et al., 2018)","noteIndex":0},"citationItems":[{"id":53409,"uris":["http://zotero.org/groups/2352922/items/XS3NCSK5"],"itemData":{"id":53409,"type":"article-journal","abstract":"Invasive species such as Ambrosia (an annual weed) pose a biosecurity risk whose management depends on the knowledge, attitudes and practices of many stakeholders. It can therefore be considered a complex policy and risk governance problem. Complex policy problems are characterised by high uncertainty, multiple dimensions, interactions across different spatial and policy levels, and the involvement of a multitude of actors and organisations. This paper provides a conceptual framework for analysing the multi-level and multi-actor dimensions of Ambrosia management. Potential and existing public, private and public–private management strategies are identified to address the interests and needs of different actor groups across different levels. We conclude that policies that promote a mix of public and private Ambrosia management strategies may respond better to the needs and interests of different actor groups across different levels than a one-size-fits-all approach. However, multiple policy strategies need to be aligned in order to lead to synergies and spreading coherent messages to the public. Collaboration may enhance the likelihood of biosecurity management and risk governance of Ambrosia being adequately implemented and enforced.","container-title":"Journal of Risk Research","DOI":"10.1080/13669877.2016.1247376","ISSN":"1366-9877","issue":"6","journalAbbreviation":"Journal of Risk Research","language":"en","page":"780-799","title":"A multi-level and multi-actor approach to risk governance: a conceptual framework to support policy development for Ambrosia weed control","URL":"https://doi.org/10.1080/13669877.2016.1247376","volume":"21","author":[{"family":"Lansink","given":"Alfons Oude"},{"family":"Schut","given":"Marc"},{"family":"Kamanda","given":"Josey"},{"family":"Klerkx","given":"Laurens"}],"issued":{"date-parts":[["2018"]]}},"label":"page"}],"schema":"https://github.com/citation-style-language/schema/raw/master/csl-citation.json"} </w:instrText>
      </w:r>
      <w:r w:rsidR="000E0610" w:rsidRPr="00A9434B">
        <w:rPr>
          <w:b w:val="0"/>
          <w:bCs/>
          <w:i/>
          <w:iCs/>
        </w:rPr>
        <w:fldChar w:fldCharType="separate"/>
      </w:r>
      <w:r w:rsidR="00C71E80" w:rsidRPr="00A9434B">
        <w:rPr>
          <w:b w:val="0"/>
          <w:bCs/>
        </w:rPr>
        <w:t>(Lansink et al., 2018)</w:t>
      </w:r>
      <w:r w:rsidR="000E0610" w:rsidRPr="00A9434B">
        <w:rPr>
          <w:b w:val="0"/>
          <w:bCs/>
          <w:i/>
          <w:iCs/>
        </w:rPr>
        <w:fldChar w:fldCharType="end"/>
      </w:r>
      <w:r w:rsidR="00C14761" w:rsidRPr="00A9434B">
        <w:rPr>
          <w:b w:val="0"/>
          <w:bCs/>
          <w:i/>
          <w:iCs/>
        </w:rPr>
        <w:fldChar w:fldCharType="end"/>
      </w:r>
      <w:r w:rsidR="326765F3" w:rsidRPr="00A9434B">
        <w:rPr>
          <w:b w:val="0"/>
          <w:bCs/>
        </w:rPr>
        <w:t>. The context</w:t>
      </w:r>
      <w:r w:rsidR="1B90CC95" w:rsidRPr="00A9434B">
        <w:rPr>
          <w:b w:val="0"/>
          <w:bCs/>
        </w:rPr>
        <w:t>-</w:t>
      </w:r>
      <w:r w:rsidR="326765F3" w:rsidRPr="00A9434B">
        <w:rPr>
          <w:b w:val="0"/>
          <w:bCs/>
        </w:rPr>
        <w:t>dependence of social settings and</w:t>
      </w:r>
      <w:r w:rsidR="5A0C6046" w:rsidRPr="00A9434B">
        <w:rPr>
          <w:b w:val="0"/>
          <w:bCs/>
        </w:rPr>
        <w:t>,</w:t>
      </w:r>
      <w:r w:rsidR="326765F3" w:rsidRPr="00A9434B">
        <w:rPr>
          <w:b w:val="0"/>
          <w:bCs/>
        </w:rPr>
        <w:t xml:space="preserve"> therefore</w:t>
      </w:r>
      <w:r w:rsidR="1D279EE1" w:rsidRPr="00A9434B">
        <w:rPr>
          <w:b w:val="0"/>
          <w:bCs/>
        </w:rPr>
        <w:t>,</w:t>
      </w:r>
      <w:r w:rsidR="326765F3" w:rsidRPr="00A9434B">
        <w:rPr>
          <w:b w:val="0"/>
          <w:bCs/>
        </w:rPr>
        <w:t xml:space="preserve"> of appropriate design of collaborative solutions</w:t>
      </w:r>
      <w:r w:rsidR="3363C752" w:rsidRPr="00A9434B">
        <w:rPr>
          <w:b w:val="0"/>
          <w:bCs/>
        </w:rPr>
        <w:t>,</w:t>
      </w:r>
      <w:r w:rsidR="326765F3" w:rsidRPr="00A9434B">
        <w:rPr>
          <w:b w:val="0"/>
          <w:bCs/>
        </w:rPr>
        <w:t xml:space="preserve"> exacerbate</w:t>
      </w:r>
      <w:r w:rsidR="0AD72B4F" w:rsidRPr="00A9434B">
        <w:rPr>
          <w:b w:val="0"/>
          <w:bCs/>
        </w:rPr>
        <w:t>s</w:t>
      </w:r>
      <w:r w:rsidR="326765F3" w:rsidRPr="00A9434B">
        <w:rPr>
          <w:b w:val="0"/>
          <w:bCs/>
        </w:rPr>
        <w:t xml:space="preserve"> this challenge </w:t>
      </w:r>
      <w:r w:rsidR="00C14761" w:rsidRPr="00A9434B">
        <w:rPr>
          <w:b w:val="0"/>
          <w:bCs/>
          <w:i/>
          <w:iCs/>
        </w:rPr>
        <w:fldChar w:fldCharType="begin">
          <w:fldData xml:space="preserve">PEVuZE5vdGU+PENpdGU+PEF1dGhvcj5NYXJ0aW48L0F1dGhvcj48WWVhcj4yMDE2PC9ZZWFyPjxS
ZWNOdW0+NDkwOTI8L1JlY051bT48RGlzcGxheVRleHQ+KE1hcnRpbiwgTGUgR2FsIGV0IGFsLiAy
MDE2LCBMdWJlY2ssIE1ldGNhbGYgZXQgYWwuIDIwMTkpPC9EaXNwbGF5VGV4dD48cmVjb3JkPjxy
ZWMtbnVtYmVyPjQ5MDkyPC9yZWMtbnVtYmVyPjxmb3JlaWduLWtleXM+PGtleSBhcHA9IkVOIiBk
Yi1pZD0iYXd4OXJhZGRyMHh4MmhldjA1cnhyMHowNXdlZXB3cHQwZmV4IiB0aW1lc3RhbXA9IjE1
ODE0OTczMjAiPjQ5MDkyPC9rZXk+PC9mb3JlaWduLWtleXM+PHJlZi10eXBlIG5hbWU9IkJvb2sg
U2VjdGlvbiI+NTwvcmVmLXR5cGU+PGNvbnRyaWJ1dG9ycz48YXV0aG9ycz48YXV0aG9yPk1hcnRp
biwgUGF1bDwvYXV0aG9yPjxhdXRob3I+TGUgR2FsLCBFbG9kaWU8L2F1dGhvcj48YXV0aG9yPkNo
b3ksIERhcnJ5bCBMb3c8L2F1dGhvcj48L2F1dGhvcnM+PHNlY29uZGFyeS1hdXRob3JzPjxhdXRo
b3I+TWFoZXNod2FyaSwgQi48L2F1dGhvcj48YXV0aG9yPlNpbmdoLCBWLiBQLjwvYXV0aG9yPjxh
dXRob3I+VGhvcmFkZW5peWEsIEIuPC9hdXRob3I+PC9zZWNvbmRhcnktYXV0aG9ycz48L2NvbnRy
aWJ1dG9ycz48dGl0bGVzPjx0aXRsZT5FZmZlY3Qgb2YgU29jaWFsIGFuZCBJbnN0aXR1dGlvbmFs
IEZyYWdtZW50YXRpb24gb24gQ29sbGVjdGl2ZSBBY3Rpb24gaW4gUGVyaS1VcmJhbiBTZXR0aW5n
czwvdGl0bGU+PHNlY29uZGFyeS10aXRsZT5CYWxhbmNlZCBVcmJhbiBEZXZlbG9wbWVudDogT3B0
aW9ucyBhbmQgU3RyYXRlZ2llcyBmb3IgTGl2ZWFibGUgQ2l0aWVzPC9zZWNvbmRhcnktdGl0bGU+
PHRlcnRpYXJ5LXRpdGxlPldhdGVyIFNjaWVuY2UgYW5kIFRlY2hub2xvZ3kgTGlicmFyeTwvdGVy
dGlhcnktdGl0bGU+PC90aXRsZXM+PHBhZ2VzPjQ2NS00ODA8L3BhZ2VzPjx2b2x1bWU+NzI8L3Zv
bHVtZT48ZGF0ZXM+PHllYXI+MjAxNjwveWVhcj48L2RhdGVzPjxpc2JuPjk3OC0zLTMxOS0yODEx
Mi00OyA5NzgtMy0zMTktMjgxMTAtMDwvaXNibj48YWNjZXNzaW9uLW51bT5XT1M6MDAwMzk4OTI4
OTAwMDI5PC9hY2Nlc3Npb24tbnVtPjx1cmxzPjxyZWxhdGVkLXVybHM+PHVybD4mbHQ7R28gdG8g
SVNJJmd0OzovL1dPUzowMDAzOTg5Mjg5MDAwMjk8L3VybD48L3JlbGF0ZWQtdXJscz48L3VybHM+
PGVsZWN0cm9uaWMtcmVzb3VyY2UtbnVtPjEwLjEwMDcvOTc4LTMtMzE5LTI4MTEyLTRfMjg8L2Vs
ZWN0cm9uaWMtcmVzb3VyY2UtbnVtPjwvcmVjb3JkPjwvQ2l0ZT48Q2l0ZT48QXV0aG9yPkx1YmVj
azwvQXV0aG9yPjxZZWFyPjIwMTk8L1llYXI+PFJlY051bT40OTAxMTwvUmVjTnVtPjxyZWNvcmQ+
PHJlYy1udW1iZXI+NDkwMTE8L3JlYy1udW1iZXI+PGZvcmVpZ24ta2V5cz48a2V5IGFwcD0iRU4i
IGRiLWlkPSJhd3g5cmFkZHIweHgyaGV2MDVyeHIwejA1d2VlcHdwdDBmZXgiIHRpbWVzdGFtcD0i
MTU4MTQ5NzMyMCI+NDkwMTE8L2tleT48L2ZvcmVpZ24ta2V5cz48cmVmLXR5cGUgbmFtZT0iSm91
cm5hbCBBcnRpY2xlIj4xNzwvcmVmLXR5cGU+PGNvbnRyaWJ1dG9ycz48YXV0aG9ycz48YXV0aG9y
Pkx1YmVjaywgQWxpY2UgQS48L2F1dGhvcj48YXV0aG9yPk1ldGNhbGYsIEFsZXhhbmRlciBMLjwv
YXV0aG9yPjxhdXRob3I+QmVja21hbiwgQ3J5c3RhbCBMLjwvYXV0aG9yPjxhdXRob3I+WXVuZywg
TGF1cmllPC9hdXRob3I+PGF1dGhvcj5BbmdsZSwgSnVzdGluIFcuPC9hdXRob3I+PC9hdXRob3Jz
PjwvY29udHJpYnV0b3JzPjx0aXRsZXM+PHRpdGxlPkNvbGxlY3RpdmUgZmFjdG9ycyBkcml2ZSBp
bmRpdmlkdWFsIGludmFzaXZlIHNwZWNpZXMgY29udHJvbCBiZWhhdmlvcnM6IGV2aWRlbmNlIGZy
b20gcHJpdmF0ZSBsYW5kcyBpbiBNb250YW5hLCBVU0E8L3RpdGxlPjxzZWNvbmRhcnktdGl0bGU+
RWNvbG9neSBhbmQgU29jaWV0eTwvc2Vjb25kYXJ5LXRpdGxlPjwvdGl0bGVzPjxwZXJpb2RpY2Fs
PjxmdWxsLXRpdGxlPkVjb2xvZ3kgYW5kIFNvY2lldHk8L2Z1bGwtdGl0bGU+PGFiYnItMT5FY29s
LiBTb2MuPC9hYmJyLTE+PGFiYnItMj5FY29sIFNvYzwvYWJici0yPjwvcGVyaW9kaWNhbD48dm9s
dW1lPjI0PC92b2x1bWU+PG51bWJlcj4yPC9udW1iZXI+PGRhdGVzPjx5ZWFyPjIwMTk8L3llYXI+
PHB1Yi1kYXRlcz48ZGF0ZT5KdWw8L2RhdGU+PC9wdWItZGF0ZXM+PC9kYXRlcz48aXNibj4xNzA4
LTMwODc8L2lzYm4+PGFjY2Vzc2lvbi1udW0+V09TOjAwMDQ4MjcxMjQwMDAyMjwvYWNjZXNzaW9u
LW51bT48dXJscz48cmVsYXRlZC11cmxzPjx1cmw+Jmx0O0dvIHRvIElTSSZndDs6Ly9XT1M6MDAw
NDgyNzEyNDAwMDIyPC91cmw+PC9yZWxhdGVkLXVybHM+PC91cmxzPjxjdXN0b203PjMyPC9jdXN0
b203PjxlbGVjdHJvbmljLXJlc291cmNlLW51bT4xMC41NzUxL2VzLTEwODk3LTI0MDIzMjwvZWxl
Y3Ryb25pYy1yZXNvdXJjZS1udW0+PC9yZWNvcmQ+PC9DaXRlPjwvRW5kTm90ZT5=
</w:fldData>
        </w:fldChar>
      </w:r>
      <w:r w:rsidR="00C14761" w:rsidRPr="00A9434B">
        <w:rPr>
          <w:b w:val="0"/>
          <w:bCs/>
        </w:rPr>
        <w:instrText xml:space="preserve"> ADDIN EN.CITE </w:instrText>
      </w:r>
      <w:r w:rsidR="00C14761" w:rsidRPr="00A9434B">
        <w:rPr>
          <w:b w:val="0"/>
          <w:bCs/>
          <w:i/>
          <w:iCs/>
        </w:rPr>
        <w:fldChar w:fldCharType="begin">
          <w:fldData xml:space="preserve">PEVuZE5vdGU+PENpdGU+PEF1dGhvcj5NYXJ0aW48L0F1dGhvcj48WWVhcj4yMDE2PC9ZZWFyPjxS
ZWNOdW0+NDkwOTI8L1JlY051bT48RGlzcGxheVRleHQ+KE1hcnRpbiwgTGUgR2FsIGV0IGFsLiAy
MDE2LCBMdWJlY2ssIE1ldGNhbGYgZXQgYWwuIDIwMTkpPC9EaXNwbGF5VGV4dD48cmVjb3JkPjxy
ZWMtbnVtYmVyPjQ5MDkyPC9yZWMtbnVtYmVyPjxmb3JlaWduLWtleXM+PGtleSBhcHA9IkVOIiBk
Yi1pZD0iYXd4OXJhZGRyMHh4MmhldjA1cnhyMHowNXdlZXB3cHQwZmV4IiB0aW1lc3RhbXA9IjE1
ODE0OTczMjAiPjQ5MDkyPC9rZXk+PC9mb3JlaWduLWtleXM+PHJlZi10eXBlIG5hbWU9IkJvb2sg
U2VjdGlvbiI+NTwvcmVmLXR5cGU+PGNvbnRyaWJ1dG9ycz48YXV0aG9ycz48YXV0aG9yPk1hcnRp
biwgUGF1bDwvYXV0aG9yPjxhdXRob3I+TGUgR2FsLCBFbG9kaWU8L2F1dGhvcj48YXV0aG9yPkNo
b3ksIERhcnJ5bCBMb3c8L2F1dGhvcj48L2F1dGhvcnM+PHNlY29uZGFyeS1hdXRob3JzPjxhdXRo
b3I+TWFoZXNod2FyaSwgQi48L2F1dGhvcj48YXV0aG9yPlNpbmdoLCBWLiBQLjwvYXV0aG9yPjxh
dXRob3I+VGhvcmFkZW5peWEsIEIuPC9hdXRob3I+PC9zZWNvbmRhcnktYXV0aG9ycz48L2NvbnRy
aWJ1dG9ycz48dGl0bGVzPjx0aXRsZT5FZmZlY3Qgb2YgU29jaWFsIGFuZCBJbnN0aXR1dGlvbmFs
IEZyYWdtZW50YXRpb24gb24gQ29sbGVjdGl2ZSBBY3Rpb24gaW4gUGVyaS1VcmJhbiBTZXR0aW5n
czwvdGl0bGU+PHNlY29uZGFyeS10aXRsZT5CYWxhbmNlZCBVcmJhbiBEZXZlbG9wbWVudDogT3B0
aW9ucyBhbmQgU3RyYXRlZ2llcyBmb3IgTGl2ZWFibGUgQ2l0aWVzPC9zZWNvbmRhcnktdGl0bGU+
PHRlcnRpYXJ5LXRpdGxlPldhdGVyIFNjaWVuY2UgYW5kIFRlY2hub2xvZ3kgTGlicmFyeTwvdGVy
dGlhcnktdGl0bGU+PC90aXRsZXM+PHBhZ2VzPjQ2NS00ODA8L3BhZ2VzPjx2b2x1bWU+NzI8L3Zv
bHVtZT48ZGF0ZXM+PHllYXI+MjAxNjwveWVhcj48L2RhdGVzPjxpc2JuPjk3OC0zLTMxOS0yODEx
Mi00OyA5NzgtMy0zMTktMjgxMTAtMDwvaXNibj48YWNjZXNzaW9uLW51bT5XT1M6MDAwMzk4OTI4
OTAwMDI5PC9hY2Nlc3Npb24tbnVtPjx1cmxzPjxyZWxhdGVkLXVybHM+PHVybD4mbHQ7R28gdG8g
SVNJJmd0OzovL1dPUzowMDAzOTg5Mjg5MDAwMjk8L3VybD48L3JlbGF0ZWQtdXJscz48L3VybHM+
PGVsZWN0cm9uaWMtcmVzb3VyY2UtbnVtPjEwLjEwMDcvOTc4LTMtMzE5LTI4MTEyLTRfMjg8L2Vs
ZWN0cm9uaWMtcmVzb3VyY2UtbnVtPjwvcmVjb3JkPjwvQ2l0ZT48Q2l0ZT48QXV0aG9yPkx1YmVj
azwvQXV0aG9yPjxZZWFyPjIwMTk8L1llYXI+PFJlY051bT40OTAxMTwvUmVjTnVtPjxyZWNvcmQ+
PHJlYy1udW1iZXI+NDkwMTE8L3JlYy1udW1iZXI+PGZvcmVpZ24ta2V5cz48a2V5IGFwcD0iRU4i
IGRiLWlkPSJhd3g5cmFkZHIweHgyaGV2MDVyeHIwejA1d2VlcHdwdDBmZXgiIHRpbWVzdGFtcD0i
MTU4MTQ5NzMyMCI+NDkwMTE8L2tleT48L2ZvcmVpZ24ta2V5cz48cmVmLXR5cGUgbmFtZT0iSm91
cm5hbCBBcnRpY2xlIj4xNzwvcmVmLXR5cGU+PGNvbnRyaWJ1dG9ycz48YXV0aG9ycz48YXV0aG9y
Pkx1YmVjaywgQWxpY2UgQS48L2F1dGhvcj48YXV0aG9yPk1ldGNhbGYsIEFsZXhhbmRlciBMLjwv
YXV0aG9yPjxhdXRob3I+QmVja21hbiwgQ3J5c3RhbCBMLjwvYXV0aG9yPjxhdXRob3I+WXVuZywg
TGF1cmllPC9hdXRob3I+PGF1dGhvcj5BbmdsZSwgSnVzdGluIFcuPC9hdXRob3I+PC9hdXRob3Jz
PjwvY29udHJpYnV0b3JzPjx0aXRsZXM+PHRpdGxlPkNvbGxlY3RpdmUgZmFjdG9ycyBkcml2ZSBp
bmRpdmlkdWFsIGludmFzaXZlIHNwZWNpZXMgY29udHJvbCBiZWhhdmlvcnM6IGV2aWRlbmNlIGZy
b20gcHJpdmF0ZSBsYW5kcyBpbiBNb250YW5hLCBVU0E8L3RpdGxlPjxzZWNvbmRhcnktdGl0bGU+
RWNvbG9neSBhbmQgU29jaWV0eTwvc2Vjb25kYXJ5LXRpdGxlPjwvdGl0bGVzPjxwZXJpb2RpY2Fs
PjxmdWxsLXRpdGxlPkVjb2xvZ3kgYW5kIFNvY2lldHk8L2Z1bGwtdGl0bGU+PGFiYnItMT5FY29s
LiBTb2MuPC9hYmJyLTE+PGFiYnItMj5FY29sIFNvYzwvYWJici0yPjwvcGVyaW9kaWNhbD48dm9s
dW1lPjI0PC92b2x1bWU+PG51bWJlcj4yPC9udW1iZXI+PGRhdGVzPjx5ZWFyPjIwMTk8L3llYXI+
PHB1Yi1kYXRlcz48ZGF0ZT5KdWw8L2RhdGU+PC9wdWItZGF0ZXM+PC9kYXRlcz48aXNibj4xNzA4
LTMwODc8L2lzYm4+PGFjY2Vzc2lvbi1udW0+V09TOjAwMDQ4MjcxMjQwMDAyMjwvYWNjZXNzaW9u
LW51bT48dXJscz48cmVsYXRlZC11cmxzPjx1cmw+Jmx0O0dvIHRvIElTSSZndDs6Ly9XT1M6MDAw
NDgyNzEyNDAwMDIyPC91cmw+PC9yZWxhdGVkLXVybHM+PC91cmxzPjxjdXN0b203PjMyPC9jdXN0
b203PjxlbGVjdHJvbmljLXJlc291cmNlLW51bT4xMC41NzUxL2VzLTEwODk3LTI0MDIzMjwvZWxl
Y3Ryb25pYy1yZXNvdXJjZS1udW0+PC9yZWNvcmQ+PC9DaXRlPjwvRW5kTm90ZT5=
</w:fldData>
        </w:fldChar>
      </w:r>
      <w:r w:rsidR="00C14761" w:rsidRPr="00A9434B">
        <w:rPr>
          <w:b w:val="0"/>
          <w:bCs/>
        </w:rPr>
        <w:instrText xml:space="preserve"> ADDIN EN.CITE.DATA </w:instrText>
      </w:r>
      <w:r w:rsidR="00C14761" w:rsidRPr="00A9434B">
        <w:rPr>
          <w:b w:val="0"/>
          <w:bCs/>
          <w:i/>
          <w:iCs/>
        </w:rPr>
      </w:r>
      <w:r w:rsidR="00C14761" w:rsidRPr="00A9434B">
        <w:rPr>
          <w:b w:val="0"/>
          <w:bCs/>
          <w:i/>
          <w:iCs/>
        </w:rPr>
        <w:fldChar w:fldCharType="end"/>
      </w:r>
      <w:r w:rsidR="00C14761" w:rsidRPr="00A9434B">
        <w:rPr>
          <w:b w:val="0"/>
          <w:bCs/>
          <w:i/>
          <w:iCs/>
        </w:rPr>
      </w:r>
      <w:r w:rsidR="00C14761" w:rsidRPr="00A9434B">
        <w:rPr>
          <w:b w:val="0"/>
          <w:bCs/>
          <w:i/>
          <w:iCs/>
        </w:rPr>
        <w:fldChar w:fldCharType="separate"/>
      </w:r>
      <w:r w:rsidR="000E0610" w:rsidRPr="00A9434B">
        <w:rPr>
          <w:b w:val="0"/>
          <w:bCs/>
          <w:i/>
          <w:iCs/>
        </w:rPr>
        <w:fldChar w:fldCharType="begin"/>
      </w:r>
      <w:r w:rsidR="0006613E">
        <w:rPr>
          <w:b w:val="0"/>
          <w:bCs/>
        </w:rPr>
        <w:instrText xml:space="preserve"> ADDIN ZOTERO_ITEM CSL_CITATION {"citationID":"a2b731ecm1t","properties":{"formattedCitation":"(Lubeck et al., 2019; P. Martin et al., 2016)","plainCitation":"(Lubeck et al., 2019; P. Martin et al., 2016)","noteIndex":0},"citationItems":[{"id":27175,"uris":["http://zotero.org/groups/2352922/items/HNDDJUPR"],"itemData":{"id":27175,"type":"article-journal","abstract":"Invasive terrestrial plants globally threaten agricultural and natural systems. Prolific dispersal mechanisms enable “weeds” to colonize across ownership boundaries, constituting a collective action problem where effective control requires contributions from multiple actors. Researchers have long recognized the cross-boundary nature of weed control, yet most studies have focused on whether actor-specific characteristics, such as sociodemographics and cognition, influenced individual weed control behaviors. More recent work has begun to explore the drivers of communal control efforts, i.e., cooperatives, group actions. Few studies have empirically investigated how the collective aspects of weed invasions influence individual control behaviors. Here we provide quantitative evidence of a relationship between collective aspects of the weed control problem and landowners’ willingness to engage in individual weed control efforts. In a mail-back survey of Montana landowners (n = 1327) we found collective factors, such as injunctive norms and the belief that weeds are a cross-boundary problem, were significantly correlated with willingness to engage in three different weed control behaviors. Each behavior was correlated with a unique suite of collective factors suggesting that successful interventions must be behavior-specific. These results add to a growing body of evidence that the collective nature of invasive species control is critical for understanding human behavioral responses.","container-title":"Ecology and Society","DOI":"10.5751/es-10897-240232","ISSN":"1708-3087","issue":"2","journalAbbreviation":"Ecol. Soc.","page":"32","title":"Collective factors drive individual invasive species control behaviors: evidence from private lands in Montana, USA","title-short":"Collective factors drive individual invasive species control behaviors","URL":"https://www.ecologyandsociety.org/vol24/iss2/art32/","volume":"24","author":[{"family":"Lubeck","given":"Alice A."},{"family":"Metcalf","given":"Alexander L."},{"family":"Beckman","given":"Crystal L."},{"family":"Yung","given":"Laurie"},{"family":"Angle","given":"Justin W."}],"issued":{"date-parts":[["2019",7]]}},"label":"page"},{"id":11351,"uris":["http://zotero.org/groups/2352922/items/BMBKHVLX"],"itemData":{"id":11351,"type":"chapter","collection-title":"Water Science and Technology Library","container-title":"Balanced Urban Development: Options and Strategies for Liveable Cities","event-place":"Cham","ISBN":"978-3-319-28112-4","note":"DOI: 10.1007/978-3-319-28112-4_28","page":"465-480","publisher":"Springer","publisher-place":"Cham","title":"Effect of Social and Institutional Fragmentation on Collective Action in Peri-Urban Settings","volume":"72","author":[{"family":"Martin","given":"Paul"},{"family":"Le Gal","given":"Elodie"},{"family":"Choy","given":"Darryl Low"}],"editor":[{"family":"Maheshwari","given":"B."},{"family":"Thoradeniya","given":"B."},{"family":"Singh","given":"V. P."}],"issued":{"date-parts":[["2016"]]}},"label":"page"}],"schema":"https://github.com/citation-style-language/schema/raw/master/csl-citation.json"} </w:instrText>
      </w:r>
      <w:r w:rsidR="000E0610" w:rsidRPr="00A9434B">
        <w:rPr>
          <w:b w:val="0"/>
          <w:bCs/>
          <w:i/>
          <w:iCs/>
        </w:rPr>
        <w:fldChar w:fldCharType="separate"/>
      </w:r>
      <w:r w:rsidR="00C71E80" w:rsidRPr="00A9434B">
        <w:rPr>
          <w:b w:val="0"/>
          <w:bCs/>
        </w:rPr>
        <w:t>(Lubeck et al., 2019; P. Martin et al., 2016)</w:t>
      </w:r>
      <w:r w:rsidR="000E0610" w:rsidRPr="00A9434B">
        <w:rPr>
          <w:b w:val="0"/>
          <w:bCs/>
          <w:i/>
          <w:iCs/>
        </w:rPr>
        <w:fldChar w:fldCharType="end"/>
      </w:r>
      <w:r w:rsidR="00C14761" w:rsidRPr="00A9434B">
        <w:rPr>
          <w:b w:val="0"/>
          <w:bCs/>
          <w:i/>
          <w:iCs/>
        </w:rPr>
        <w:fldChar w:fldCharType="end"/>
      </w:r>
      <w:r w:rsidR="326765F3" w:rsidRPr="00A9434B">
        <w:rPr>
          <w:b w:val="0"/>
          <w:bCs/>
        </w:rPr>
        <w:t>. The transaction costs of administration, supervision</w:t>
      </w:r>
      <w:r w:rsidR="00896CEC">
        <w:rPr>
          <w:b w:val="0"/>
          <w:bCs/>
        </w:rPr>
        <w:t xml:space="preserve"> and</w:t>
      </w:r>
      <w:r w:rsidR="326765F3" w:rsidRPr="00A9434B">
        <w:rPr>
          <w:b w:val="0"/>
          <w:bCs/>
        </w:rPr>
        <w:t xml:space="preserve"> capacity development </w:t>
      </w:r>
      <w:r w:rsidR="2CB248AD" w:rsidRPr="00A9434B">
        <w:rPr>
          <w:b w:val="0"/>
          <w:bCs/>
        </w:rPr>
        <w:t>for</w:t>
      </w:r>
      <w:r w:rsidR="41F4CE4F" w:rsidRPr="00A9434B">
        <w:rPr>
          <w:b w:val="0"/>
          <w:bCs/>
        </w:rPr>
        <w:t xml:space="preserve"> </w:t>
      </w:r>
      <w:r w:rsidR="00C73655">
        <w:rPr>
          <w:b w:val="0"/>
        </w:rPr>
        <w:t xml:space="preserve">implementing management of biological invasions can also undermine collective action </w:t>
      </w:r>
      <w:r w:rsidR="00BF2590" w:rsidRPr="00A9434B">
        <w:rPr>
          <w:b w:val="0"/>
          <w:bCs/>
          <w:i/>
          <w:iCs/>
        </w:rPr>
        <w:fldChar w:fldCharType="begin"/>
      </w:r>
      <w:r w:rsidR="0006613E">
        <w:rPr>
          <w:b w:val="0"/>
          <w:bCs/>
        </w:rPr>
        <w:instrText xml:space="preserve"> ADDIN ZOTERO_ITEM CSL_CITATION {"citationID":"a14m6jmu3br","properties":{"formattedCitation":"(P. Martin et al., 2016)","plainCitation":"(P. Martin et al., 2016)","noteIndex":0},"citationItems":[{"id":11351,"uris":["http://zotero.org/groups/2352922/items/BMBKHVLX"],"itemData":{"id":11351,"type":"chapter","collection-title":"Water Science and Technology Library","container-title":"Balanced Urban Development: Options and Strategies for Liveable Cities","event-place":"Cham","ISBN":"978-3-319-28112-4","note":"DOI: 10.1007/978-3-319-28112-4_28","page":"465-480","publisher":"Springer","publisher-place":"Cham","title":"Effect of Social and Institutional Fragmentation on Collective Action in Peri-Urban Settings","volume":"72","author":[{"family":"Martin","given":"Paul"},{"family":"Le Gal","given":"Elodie"},{"family":"Choy","given":"Darryl Low"}],"editor":[{"family":"Maheshwari","given":"B."},{"family":"Thoradeniya","given":"B."},{"family":"Singh","given":"V. P."}],"issued":{"date-parts":[["2016"]]}},"label":"page"}],"schema":"https://github.com/citation-style-language/schema/raw/master/csl-citation.json"} </w:instrText>
      </w:r>
      <w:r w:rsidR="00BF2590" w:rsidRPr="00A9434B">
        <w:rPr>
          <w:b w:val="0"/>
          <w:bCs/>
          <w:i/>
          <w:iCs/>
        </w:rPr>
        <w:fldChar w:fldCharType="separate"/>
      </w:r>
      <w:r w:rsidR="00C71E80" w:rsidRPr="00A9434B">
        <w:rPr>
          <w:b w:val="0"/>
          <w:bCs/>
        </w:rPr>
        <w:t>(P. Martin et al., 2016)</w:t>
      </w:r>
      <w:r w:rsidR="00BF2590" w:rsidRPr="00A9434B">
        <w:rPr>
          <w:b w:val="0"/>
          <w:bCs/>
          <w:i/>
          <w:iCs/>
        </w:rPr>
        <w:fldChar w:fldCharType="end"/>
      </w:r>
      <w:r w:rsidR="326765F3" w:rsidRPr="00A9434B">
        <w:rPr>
          <w:b w:val="0"/>
          <w:bCs/>
        </w:rPr>
        <w:t>.</w:t>
      </w:r>
    </w:p>
    <w:p w14:paraId="1C6FDDC6" w14:textId="77777777" w:rsidR="00C53EDD" w:rsidRDefault="00C73655" w:rsidP="002027CF">
      <w:pPr>
        <w:pStyle w:val="Caption"/>
      </w:pPr>
      <w:bookmarkStart w:id="140" w:name="_Toc49506833"/>
      <w:bookmarkStart w:id="141" w:name="_Ref104895311"/>
      <w:bookmarkStart w:id="142" w:name="_Ref104896386"/>
      <w:bookmarkStart w:id="143" w:name="_Ref104896520"/>
      <w:bookmarkStart w:id="144" w:name="_Ref104896540"/>
      <w:bookmarkStart w:id="145" w:name="_Ref104896561"/>
      <w:bookmarkStart w:id="146" w:name="_Ref104896498"/>
      <w:r>
        <w:rPr>
          <w:b w:val="0"/>
          <w:noProof/>
          <w:color w:val="000000"/>
        </w:rPr>
        <w:drawing>
          <wp:inline distT="0" distB="0" distL="0" distR="0" wp14:anchorId="7984D16E" wp14:editId="31B2EA59">
            <wp:extent cx="6111240" cy="2996565"/>
            <wp:effectExtent l="0" t="0" r="0" b="635"/>
            <wp:docPr id="1868808431" name="image174.png" descr="A close-up of a list of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4.png" descr="A close-up of a list of text&#10;&#10;Description automatically generated"/>
                    <pic:cNvPicPr preferRelativeResize="0"/>
                  </pic:nvPicPr>
                  <pic:blipFill>
                    <a:blip r:embed="rId37"/>
                    <a:srcRect/>
                    <a:stretch>
                      <a:fillRect/>
                    </a:stretch>
                  </pic:blipFill>
                  <pic:spPr>
                    <a:xfrm>
                      <a:off x="0" y="0"/>
                      <a:ext cx="6111240" cy="2996565"/>
                    </a:xfrm>
                    <a:prstGeom prst="rect">
                      <a:avLst/>
                    </a:prstGeom>
                    <a:ln/>
                  </pic:spPr>
                </pic:pic>
              </a:graphicData>
            </a:graphic>
          </wp:inline>
        </w:drawing>
      </w:r>
    </w:p>
    <w:p w14:paraId="73378DF4" w14:textId="437F4EF1" w:rsidR="00DB0646" w:rsidRPr="00A9434B" w:rsidRDefault="00E94159" w:rsidP="002027CF">
      <w:pPr>
        <w:pStyle w:val="Caption"/>
        <w:rPr>
          <w:iCs/>
        </w:rPr>
      </w:pPr>
      <w:bookmarkStart w:id="147" w:name="_Toc147418303"/>
      <w:r w:rsidRPr="00A9434B">
        <w:t>Figure 6.</w:t>
      </w:r>
      <w:r w:rsidR="007C7AC3">
        <w:fldChar w:fldCharType="begin"/>
      </w:r>
      <w:r w:rsidR="007C7AC3">
        <w:instrText xml:space="preserve"> SEQ Figure_6. \* ARABIC </w:instrText>
      </w:r>
      <w:r w:rsidR="007C7AC3">
        <w:fldChar w:fldCharType="separate"/>
      </w:r>
      <w:r w:rsidR="0011368C">
        <w:rPr>
          <w:noProof/>
        </w:rPr>
        <w:t>8</w:t>
      </w:r>
      <w:r w:rsidR="007C7AC3">
        <w:rPr>
          <w:noProof/>
        </w:rPr>
        <w:fldChar w:fldCharType="end"/>
      </w:r>
      <w:bookmarkEnd w:id="140"/>
      <w:bookmarkEnd w:id="141"/>
      <w:bookmarkEnd w:id="142"/>
      <w:bookmarkEnd w:id="143"/>
      <w:bookmarkEnd w:id="144"/>
      <w:bookmarkEnd w:id="145"/>
      <w:r w:rsidR="00585D0E" w:rsidRPr="00A9434B">
        <w:t>.</w:t>
      </w:r>
      <w:r w:rsidR="00951E4F" w:rsidRPr="00A9434B">
        <w:fldChar w:fldCharType="begin"/>
      </w:r>
      <w:r w:rsidR="00951E4F" w:rsidRPr="00A9434B">
        <w:instrText xml:space="preserve"> ADDIN EN.CITE &lt;EndNote&gt;&lt;Cite&gt;&lt;Author&gt;Rodriguez-Labajos&lt;/Author&gt;&lt;Year&gt;2009&lt;/Year&gt;&lt;RecNum&gt;49176&lt;/RecNum&gt;&lt;DisplayText&gt;(Rodriguez-Labajos, Binimelis et al. 2009)&lt;/DisplayText&gt;&lt;record&gt;&lt;rec-number&gt;49176&lt;/rec-number&gt;&lt;foreign-keys&gt;&lt;key app="EN" db-id="awx9raddr0xx2hev05rxr0z05weepwpt0fex" timestamp="1581497320"&gt;49176&lt;/key&gt;&lt;/foreign-keys&gt;&lt;ref-type name="Journal Article"&gt;17&lt;/ref-type&gt;&lt;contributors&gt;&lt;authors&gt;&lt;author&gt;Rodriguez-Labajos, Beatriz&lt;/author&gt;&lt;author&gt;Binimelis, Rosa&lt;/author&gt;&lt;author&gt;Monterroso, Iliana&lt;/author&gt;&lt;/authors&gt;&lt;/contributors&gt;&lt;titles&gt;&lt;title&gt;Multi-level driving forces of biological invasions&lt;/title&gt;&lt;secondary-title&gt;Ecological Economics&lt;/secondary-title&gt;&lt;/titles&gt;&lt;periodical&gt;&lt;full-title&gt;Ecological Economics&lt;/full-title&gt;&lt;abbr-1&gt;Ecol. Econ.&lt;/abbr-1&gt;&lt;abbr-2&gt;Ecol Econ&lt;/abbr-2&gt;&lt;/periodical&gt;&lt;pages&gt;63-75&lt;/pages&gt;&lt;volume&gt;69&lt;/volume&gt;&lt;number&gt;1&lt;/number&gt;&lt;dates&gt;&lt;year&gt;2009&lt;/year&gt;&lt;pub-dates&gt;&lt;date&gt;Nov 15&lt;/date&gt;&lt;/pub-dates&gt;&lt;/dates&gt;&lt;isbn&gt;0921-8009&lt;/isbn&gt;&lt;accession-num&gt;WOS:000271359400008&lt;/accession-num&gt;&lt;urls&gt;&lt;related-urls&gt;&lt;url&gt;&amp;lt;Go to ISI&amp;gt;://WOS:000271359400008&lt;/url&gt;&lt;/related-urls&gt;&lt;/urls&gt;&lt;electronic-resource-num&gt;10.1016/j.ecolecon.2009.08.022&lt;/electronic-resource-num&gt;&lt;/record&gt;&lt;/Cite&gt;&lt;/EndNote&gt;</w:instrText>
      </w:r>
      <w:r w:rsidR="00951E4F" w:rsidRPr="00A9434B">
        <w:fldChar w:fldCharType="end"/>
      </w:r>
      <w:r w:rsidR="200B4225" w:rsidRPr="00A9434B">
        <w:rPr>
          <w:iCs/>
        </w:rPr>
        <w:t xml:space="preserve"> </w:t>
      </w:r>
      <w:r w:rsidR="200B4225" w:rsidRPr="00A9434B">
        <w:rPr>
          <w:b w:val="0"/>
          <w:bCs w:val="0"/>
          <w:iCs/>
        </w:rPr>
        <w:t xml:space="preserve">An example of </w:t>
      </w:r>
      <w:r w:rsidR="00D17F9A" w:rsidRPr="00A9434B">
        <w:rPr>
          <w:b w:val="0"/>
          <w:bCs w:val="0"/>
          <w:iCs/>
        </w:rPr>
        <w:t xml:space="preserve">the many </w:t>
      </w:r>
      <w:r w:rsidR="00FF2C48" w:rsidRPr="00A9434B">
        <w:rPr>
          <w:b w:val="0"/>
          <w:bCs w:val="0"/>
          <w:iCs/>
        </w:rPr>
        <w:t xml:space="preserve">relevant stakeholders for managing biological invasions </w:t>
      </w:r>
      <w:r w:rsidR="00D17F9A" w:rsidRPr="00A9434B">
        <w:rPr>
          <w:b w:val="0"/>
          <w:bCs w:val="0"/>
          <w:iCs/>
        </w:rPr>
        <w:t>from</w:t>
      </w:r>
      <w:r w:rsidR="00FF2C48" w:rsidRPr="00A9434B">
        <w:rPr>
          <w:b w:val="0"/>
          <w:bCs w:val="0"/>
          <w:iCs/>
        </w:rPr>
        <w:t xml:space="preserve"> the Ebro River, Spain</w:t>
      </w:r>
      <w:r w:rsidR="004155A5" w:rsidRPr="00A9434B">
        <w:rPr>
          <w:b w:val="0"/>
          <w:bCs w:val="0"/>
          <w:iCs/>
        </w:rPr>
        <w:t>.</w:t>
      </w:r>
      <w:bookmarkEnd w:id="146"/>
      <w:r w:rsidR="002027CF" w:rsidRPr="00A9434B">
        <w:rPr>
          <w:iCs/>
        </w:rPr>
        <w:t xml:space="preserve"> </w:t>
      </w:r>
      <w:r w:rsidR="002914A0" w:rsidRPr="00A9434B">
        <w:rPr>
          <w:b w:val="0"/>
          <w:bCs w:val="0"/>
        </w:rPr>
        <w:t>There are</w:t>
      </w:r>
      <w:r w:rsidR="00FF2C48" w:rsidRPr="00A9434B">
        <w:rPr>
          <w:b w:val="0"/>
          <w:bCs w:val="0"/>
        </w:rPr>
        <w:t xml:space="preserve"> four categories of stakeholders (on the left) and examples of stakeholders (on the right) involved in decision</w:t>
      </w:r>
      <w:r w:rsidR="67A5BA1B" w:rsidRPr="00A9434B">
        <w:rPr>
          <w:b w:val="0"/>
          <w:bCs w:val="0"/>
        </w:rPr>
        <w:t>-</w:t>
      </w:r>
      <w:r w:rsidR="00FF2C48" w:rsidRPr="00A9434B">
        <w:rPr>
          <w:b w:val="0"/>
          <w:bCs w:val="0"/>
        </w:rPr>
        <w:t xml:space="preserve">making that affects the outcome of biological invasion, based on freshwater invasive alien species in the Ebro River, Spain. </w:t>
      </w:r>
      <w:r w:rsidR="200B4225" w:rsidRPr="00A9434B">
        <w:rPr>
          <w:b w:val="0"/>
          <w:bCs w:val="0"/>
        </w:rPr>
        <w:t xml:space="preserve">Adapted from </w:t>
      </w:r>
      <w:r w:rsidR="00735DB8" w:rsidRPr="00A9434B">
        <w:rPr>
          <w:b w:val="0"/>
          <w:bCs w:val="0"/>
        </w:rPr>
        <w:t>Rodríguez-Labajos et al.</w:t>
      </w:r>
      <w:r w:rsidR="000F60F2" w:rsidRPr="00A9434B">
        <w:rPr>
          <w:b w:val="0"/>
          <w:bCs w:val="0"/>
        </w:rPr>
        <w:t xml:space="preserve"> </w:t>
      </w:r>
      <w:r w:rsidR="00FF2C48" w:rsidRPr="00A9434B">
        <w:rPr>
          <w:b w:val="0"/>
          <w:bCs w:val="0"/>
          <w:iCs/>
        </w:rPr>
        <w:fldChar w:fldCharType="begin"/>
      </w:r>
      <w:r w:rsidR="0006613E">
        <w:rPr>
          <w:b w:val="0"/>
          <w:bCs w:val="0"/>
        </w:rPr>
        <w:instrText xml:space="preserve"> ADDIN ZOTERO_ITEM CSL_CITATION {"citationID":"a2ekcqec5h0","properties":{"formattedCitation":"(2009)","plainCitation":"(2009)","noteIndex":0},"citationItems":[{"id":24101,"uris":["http://zotero.org/groups/2352922/items/Y37353EQ"],"itemData":{"id":24101,"type":"article-journal","abstract":"Biological invasions are human-induced processes affecting biodiversity. Information on biological invasions can be organized following the categories of the DPSIR model. This paper examines the state of the art in the application of this model to the study and management of biological invasions.","collection-title":"The DPSIR framework for Biodiversity Assessment","container-title":"Ecological Economics","DOI":"10.1016/j.ecolecon.2009.08.022","ISSN":"09218009","issue":"1","journalAbbreviation":"Ecological Economics","language":"en","page":"63-75","source":"DOI.org (Crossref)","title":"Multi-level driving forces of biological invasions","URL":"https://doi.org/10.1016/j.ecolecon.2009.08.022","volume":"69","author":[{"family":"Rodríguez-Labajos","given":"Beatriz"},{"family":"Binimelis","given":"Rosa"},{"family":"Monterroso","given":"Iliana"}],"accessed":{"date-parts":[["2019",11,6]]},"issued":{"date-parts":[["2009",11]]}},"label":"page","suppress-author":true}],"schema":"https://github.com/citation-style-language/schema/raw/master/csl-citation.json"} </w:instrText>
      </w:r>
      <w:r w:rsidR="00FF2C48" w:rsidRPr="00A9434B">
        <w:rPr>
          <w:b w:val="0"/>
          <w:bCs w:val="0"/>
          <w:iCs/>
        </w:rPr>
        <w:fldChar w:fldCharType="separate"/>
      </w:r>
      <w:r w:rsidR="00C71E80" w:rsidRPr="00A9434B">
        <w:rPr>
          <w:b w:val="0"/>
          <w:bCs w:val="0"/>
        </w:rPr>
        <w:t>(2009)</w:t>
      </w:r>
      <w:r w:rsidR="00FF2C48" w:rsidRPr="00A9434B">
        <w:rPr>
          <w:b w:val="0"/>
          <w:bCs w:val="0"/>
          <w:iCs/>
        </w:rPr>
        <w:fldChar w:fldCharType="end"/>
      </w:r>
      <w:r w:rsidR="004E0C12">
        <w:rPr>
          <w:b w:val="0"/>
          <w:bCs w:val="0"/>
          <w:iCs/>
        </w:rPr>
        <w:t xml:space="preserve">, </w:t>
      </w:r>
      <w:hyperlink r:id="rId38" w:history="1">
        <w:r w:rsidR="004E0C12" w:rsidRPr="006A0CE1">
          <w:rPr>
            <w:rStyle w:val="Hyperlink"/>
            <w:b w:val="0"/>
            <w:bCs w:val="0"/>
            <w:iCs/>
          </w:rPr>
          <w:t>https://doi.org/10.1016/j.ecolecon.2009.08.022</w:t>
        </w:r>
      </w:hyperlink>
      <w:r w:rsidR="004E0C12">
        <w:rPr>
          <w:b w:val="0"/>
          <w:bCs w:val="0"/>
          <w:iCs/>
        </w:rPr>
        <w:t>,</w:t>
      </w:r>
      <w:r w:rsidR="005144BF">
        <w:rPr>
          <w:b w:val="0"/>
          <w:bCs w:val="0"/>
          <w:iCs/>
        </w:rPr>
        <w:t xml:space="preserve"> unde</w:t>
      </w:r>
      <w:r w:rsidR="003339F6">
        <w:rPr>
          <w:b w:val="0"/>
          <w:bCs w:val="0"/>
          <w:iCs/>
        </w:rPr>
        <w:t xml:space="preserve">r </w:t>
      </w:r>
      <w:r w:rsidR="004E0C12">
        <w:rPr>
          <w:b w:val="0"/>
          <w:bCs w:val="0"/>
          <w:iCs/>
        </w:rPr>
        <w:t>copyright</w:t>
      </w:r>
      <w:r w:rsidR="003339F6">
        <w:rPr>
          <w:b w:val="0"/>
          <w:bCs w:val="0"/>
          <w:iCs/>
        </w:rPr>
        <w:t xml:space="preserve"> </w:t>
      </w:r>
      <w:r w:rsidR="004E0C12" w:rsidRPr="004E0C12">
        <w:rPr>
          <w:b w:val="0"/>
          <w:bCs w:val="0"/>
          <w:iCs/>
        </w:rPr>
        <w:t>2009 Elsevier B.V.</w:t>
      </w:r>
      <w:bookmarkEnd w:id="147"/>
    </w:p>
    <w:p w14:paraId="354DCF9D" w14:textId="09862376" w:rsidR="00054BA3" w:rsidRPr="00A9434B" w:rsidRDefault="21813E1E" w:rsidP="00585D0E">
      <w:pPr>
        <w:pStyle w:val="Heading5"/>
        <w:rPr>
          <w:b w:val="0"/>
          <w:bCs/>
        </w:rPr>
      </w:pPr>
      <w:bookmarkStart w:id="148" w:name="_Toc75698969"/>
      <w:bookmarkStart w:id="149" w:name="_Toc43321267"/>
      <w:r w:rsidRPr="00A9434B">
        <w:t>(9)</w:t>
      </w:r>
      <w:r w:rsidR="3B68EA62" w:rsidRPr="00A9434B">
        <w:t xml:space="preserve"> </w:t>
      </w:r>
      <w:r w:rsidR="3BC47888" w:rsidRPr="00A9434B">
        <w:t>Awareness, perception and values</w:t>
      </w:r>
      <w:bookmarkEnd w:id="148"/>
      <w:r w:rsidR="00A537AC" w:rsidRPr="00A9434B">
        <w:br/>
      </w:r>
      <w:r w:rsidR="326765F3" w:rsidRPr="00A9434B">
        <w:rPr>
          <w:b w:val="0"/>
          <w:bCs/>
        </w:rPr>
        <w:t>There is often a lack of awareness and understanding</w:t>
      </w:r>
      <w:r w:rsidR="1B21BB40" w:rsidRPr="00A9434B">
        <w:rPr>
          <w:b w:val="0"/>
          <w:bCs/>
        </w:rPr>
        <w:t>, or neglect,</w:t>
      </w:r>
      <w:r w:rsidR="326765F3" w:rsidRPr="00A9434B">
        <w:rPr>
          <w:b w:val="0"/>
          <w:bCs/>
        </w:rPr>
        <w:t xml:space="preserve"> of invasive alien species and their negative environmental, social</w:t>
      </w:r>
      <w:r w:rsidR="00896CEC">
        <w:rPr>
          <w:b w:val="0"/>
          <w:bCs/>
        </w:rPr>
        <w:t xml:space="preserve"> and</w:t>
      </w:r>
      <w:r w:rsidR="326765F3" w:rsidRPr="00A9434B">
        <w:rPr>
          <w:b w:val="0"/>
          <w:bCs/>
        </w:rPr>
        <w:t xml:space="preserve"> economic impacts</w:t>
      </w:r>
      <w:r w:rsidR="5C7D9DDD" w:rsidRPr="00A9434B">
        <w:rPr>
          <w:b w:val="0"/>
          <w:bCs/>
        </w:rPr>
        <w:t>. This is the case</w:t>
      </w:r>
      <w:r w:rsidR="326765F3" w:rsidRPr="00A9434B">
        <w:rPr>
          <w:b w:val="0"/>
          <w:bCs/>
        </w:rPr>
        <w:t xml:space="preserve"> amongst a number of sectors, actors and stakeholder</w:t>
      </w:r>
      <w:r w:rsidR="547E66A8" w:rsidRPr="00A9434B">
        <w:rPr>
          <w:b w:val="0"/>
          <w:bCs/>
        </w:rPr>
        <w:t>s</w:t>
      </w:r>
      <w:r w:rsidR="009D4056" w:rsidRPr="00A9434B">
        <w:rPr>
          <w:b w:val="0"/>
          <w:bCs/>
        </w:rPr>
        <w:t xml:space="preserve"> </w:t>
      </w:r>
      <w:r w:rsidR="326765F3" w:rsidRPr="00A9434B">
        <w:rPr>
          <w:b w:val="0"/>
          <w:bCs/>
        </w:rPr>
        <w:t>including amongst policy</w:t>
      </w:r>
      <w:r w:rsidR="6CE95A8B" w:rsidRPr="00A9434B">
        <w:rPr>
          <w:b w:val="0"/>
          <w:bCs/>
        </w:rPr>
        <w:t xml:space="preserve">makers </w:t>
      </w:r>
      <w:r w:rsidR="00F806B6" w:rsidRPr="00A9434B">
        <w:rPr>
          <w:b w:val="0"/>
          <w:bCs/>
        </w:rPr>
        <w:t>(</w:t>
      </w:r>
      <w:r w:rsidR="0037768C">
        <w:rPr>
          <w:bCs/>
          <w:iCs/>
        </w:rPr>
        <w:t>C</w:t>
      </w:r>
      <w:r w:rsidR="6423E78E" w:rsidRPr="00673554">
        <w:rPr>
          <w:bCs/>
          <w:iCs/>
        </w:rPr>
        <w:t>hapter 1</w:t>
      </w:r>
      <w:r w:rsidR="6423E78E" w:rsidRPr="00673554">
        <w:rPr>
          <w:b w:val="0"/>
          <w:bCs/>
          <w:iCs/>
        </w:rPr>
        <w:t>,</w:t>
      </w:r>
      <w:r w:rsidR="6423E78E" w:rsidRPr="00673554">
        <w:rPr>
          <w:bCs/>
          <w:iCs/>
        </w:rPr>
        <w:t xml:space="preserve"> </w:t>
      </w:r>
      <w:r w:rsidR="5E0CB0CE" w:rsidRPr="00673554">
        <w:rPr>
          <w:bCs/>
          <w:iCs/>
        </w:rPr>
        <w:t>s</w:t>
      </w:r>
      <w:r w:rsidR="6423E78E" w:rsidRPr="00673554">
        <w:rPr>
          <w:bCs/>
          <w:iCs/>
        </w:rPr>
        <w:t>ection 1.5.</w:t>
      </w:r>
      <w:r w:rsidR="009F6721" w:rsidRPr="00673554">
        <w:rPr>
          <w:bCs/>
          <w:iCs/>
        </w:rPr>
        <w:t>2</w:t>
      </w:r>
      <w:r w:rsidR="4AB9B61E" w:rsidRPr="00A9434B">
        <w:rPr>
          <w:b w:val="0"/>
          <w:bCs/>
        </w:rPr>
        <w:t>;</w:t>
      </w:r>
      <w:r w:rsidR="6423E78E" w:rsidRPr="00A9434B">
        <w:rPr>
          <w:b w:val="0"/>
          <w:bCs/>
        </w:rPr>
        <w:t xml:space="preserve"> </w:t>
      </w:r>
      <w:r w:rsidR="00C14761" w:rsidRPr="00A9434B">
        <w:rPr>
          <w:b w:val="0"/>
          <w:bCs/>
          <w:i/>
          <w:iCs/>
        </w:rPr>
        <w:fldChar w:fldCharType="begin">
          <w:fldData xml:space="preserve">PEVuZE5vdGU+PENpdGU+PEF1dGhvcj5TdG9ldHQ8L0F1dGhvcj48WWVhcj4yMDA3PC9ZZWFyPjxS
ZWNOdW0+NDkxODc8L1JlY051bT48RGlzcGxheVRleHQ+KFN0b2V0dCAyMDA3LCBNb29uLCBCbGFj
a21hbiBldCBhbC4gMjAxNSk8L0Rpc3BsYXlUZXh0PjxyZWNvcmQ+PHJlYy1udW1iZXI+NDkxODc8
L3JlYy1udW1iZXI+PGZvcmVpZ24ta2V5cz48a2V5IGFwcD0iRU4iIGRiLWlkPSJhd3g5cmFkZHIw
eHgyaGV2MDVyeHIwejA1d2VlcHdwdDBmZXgiIHRpbWVzdGFtcD0iMTU4MTQ5NzMyMCI+NDkxODc8
L2tleT48L2ZvcmVpZ24ta2V5cz48cmVmLXR5cGUgbmFtZT0iSm91cm5hbCBBcnRpY2xlIj4xNzwv
cmVmLXR5cGU+PGNvbnRyaWJ1dG9ycz48YXV0aG9ycz48YXV0aG9yPlN0b2V0dCwgUGV0ZXIgSi48
L2F1dGhvcj48L2F1dGhvcnM+PC9jb250cmlidXRvcnM+PHRpdGxlcz48dGl0bGU+Q291bnRlci1i
aW9pbnZhc2lvbjogQ29uY2VwdHVhbCBhbmQgZ292ZXJuYW5jZSBjaGFsbGVuZ2VzPC90aXRsZT48
c2Vjb25kYXJ5LXRpdGxlPkVudmlyb25tZW50YWwgUG9saXRpY3M8L3NlY29uZGFyeS10aXRsZT48
L3RpdGxlcz48cGVyaW9kaWNhbD48ZnVsbC10aXRsZT5FbnZpcm9ubWVudGFsIFBvbGl0aWNzPC9m
dWxsLXRpdGxlPjwvcGVyaW9kaWNhbD48cGFnZXM+NDMzLTQ1MjwvcGFnZXM+PHZvbHVtZT4xNjwv
dm9sdW1lPjxudW1iZXI+MzwvbnVtYmVyPjxkYXRlcz48eWVhcj4yMDA3PC95ZWFyPjxwdWItZGF0
ZXM+PGRhdGU+MjAwNzwvZGF0ZT48L3B1Yi1kYXRlcz48L2RhdGVzPjxpc2JuPjA5NjQtNDAxNjwv
aXNibj48YWNjZXNzaW9uLW51bT5XT1M6MDAwMjQ3Mzc0MDAwMDA0PC9hY2Nlc3Npb24tbnVtPjx1
cmxzPjxyZWxhdGVkLXVybHM+PHVybD4mbHQ7R28gdG8gSVNJJmd0OzovL1dPUzowMDAyNDczNzQw
MDAwMDQ8L3VybD48L3JlbGF0ZWQtdXJscz48L3VybHM+PGVsZWN0cm9uaWMtcmVzb3VyY2UtbnVt
PjEwLjEwODAvMDk2NDQwMTA3MDEyNTE2NzI8L2VsZWN0cm9uaWMtcmVzb3VyY2UtbnVtPjwvcmVj
b3JkPjwvQ2l0ZT48Q2l0ZT48QXV0aG9yPk1vb248L0F1dGhvcj48WWVhcj4yMDE1PC9ZZWFyPjxS
ZWNOdW0+NDkxMTQ8L1JlY051bT48cmVjb3JkPjxyZWMtbnVtYmVyPjQ5MTE0PC9yZWMtbnVtYmVy
Pjxmb3JlaWduLWtleXM+PGtleSBhcHA9IkVOIiBkYi1pZD0iYXd4OXJhZGRyMHh4MmhldjA1cnhy
MHowNXdlZXB3cHQwZmV4IiB0aW1lc3RhbXA9IjE1ODE0OTczMjAiPjQ5MTE0PC9rZXk+PC9mb3Jl
aWduLWtleXM+PHJlZi10eXBlIG5hbWU9IkpvdXJuYWwgQXJ0aWNsZSI+MTc8L3JlZi10eXBlPjxj
b250cmlidXRvcnM+PGF1dGhvcnM+PGF1dGhvcj5Nb29uLCBLYXRpZTwvYXV0aG9yPjxhdXRob3I+
QmxhY2ttYW4sIERlYm9yYWggQS48L2F1dGhvcj48YXV0aG9yPkJyZXdlciwgVG9tIEQuPC9hdXRo
b3I+PC9hdXRob3JzPjwvY29udHJpYnV0b3JzPjx0aXRsZXM+PHRpdGxlPlVuZGVyc3RhbmRpbmcg
YW5kIGludGVncmF0aW5nIGtub3dsZWRnZSB0byBpbXByb3ZlIGludmFzaXZlIHNwZWNpZXMgbWFu
YWdlbWVudDwvdGl0bGU+PHNlY29uZGFyeS10aXRsZT5CaW9sb2dpY2FsIEludmFzaW9uczwvc2Vj
b25kYXJ5LXRpdGxlPjwvdGl0bGVzPjxwZXJpb2RpY2FsPjxmdWxsLXRpdGxlPkJpb2xvZ2ljYWwg
SW52YXNpb25zPC9mdWxsLXRpdGxlPjxhYmJyLTE+QmlvbC4gSW52YXNpb25zPC9hYmJyLTE+PGFi
YnItMj5CaW9sIEludmFzaW9uczwvYWJici0yPjwvcGVyaW9kaWNhbD48cGFnZXM+MjY3NS0yNjg5
PC9wYWdlcz48dm9sdW1lPjE3PC92b2x1bWU+PG51bWJlcj45PC9udW1iZXI+PGRhdGVzPjx5ZWFy
PjIwMTU8L3llYXI+PHB1Yi1kYXRlcz48ZGF0ZT5TZXA8L2RhdGU+PC9wdWItZGF0ZXM+PC9kYXRl
cz48aXNibj4xMzg3LTM1NDc8L2lzYm4+PGFjY2Vzc2lvbi1udW0+V09TOjAwMDM1OTQyNzQwMDAx
NDwvYWNjZXNzaW9uLW51bT48dXJscz48cmVsYXRlZC11cmxzPjx1cmw+Jmx0O0dvIHRvIElTSSZn
dDs6Ly9XT1M6MDAwMzU5NDI3NDAwMDE0PC91cmw+PC9yZWxhdGVkLXVybHM+PC91cmxzPjxlbGVj
dHJvbmljLXJlc291cmNlLW51bT4xMC4xMDA3L3MxMDUzMC0wMTUtMDkwNC01PC9lbGVjdHJvbmlj
LXJlc291cmNlLW51bT48L3JlY29yZD48L0NpdGU+PC9FbmROb3RlPgB=
</w:fldData>
        </w:fldChar>
      </w:r>
      <w:r w:rsidR="00C14761" w:rsidRPr="00A9434B">
        <w:rPr>
          <w:b w:val="0"/>
          <w:bCs/>
        </w:rPr>
        <w:instrText xml:space="preserve"> ADDIN EN.CITE </w:instrText>
      </w:r>
      <w:r w:rsidR="00C14761" w:rsidRPr="00A9434B">
        <w:rPr>
          <w:b w:val="0"/>
          <w:bCs/>
          <w:i/>
          <w:iCs/>
        </w:rPr>
        <w:fldChar w:fldCharType="begin">
          <w:fldData xml:space="preserve">PEVuZE5vdGU+PENpdGU+PEF1dGhvcj5TdG9ldHQ8L0F1dGhvcj48WWVhcj4yMDA3PC9ZZWFyPjxS
ZWNOdW0+NDkxODc8L1JlY051bT48RGlzcGxheVRleHQ+KFN0b2V0dCAyMDA3LCBNb29uLCBCbGFj
a21hbiBldCBhbC4gMjAxNSk8L0Rpc3BsYXlUZXh0PjxyZWNvcmQ+PHJlYy1udW1iZXI+NDkxODc8
L3JlYy1udW1iZXI+PGZvcmVpZ24ta2V5cz48a2V5IGFwcD0iRU4iIGRiLWlkPSJhd3g5cmFkZHIw
eHgyaGV2MDVyeHIwejA1d2VlcHdwdDBmZXgiIHRpbWVzdGFtcD0iMTU4MTQ5NzMyMCI+NDkxODc8
L2tleT48L2ZvcmVpZ24ta2V5cz48cmVmLXR5cGUgbmFtZT0iSm91cm5hbCBBcnRpY2xlIj4xNzwv
cmVmLXR5cGU+PGNvbnRyaWJ1dG9ycz48YXV0aG9ycz48YXV0aG9yPlN0b2V0dCwgUGV0ZXIgSi48
L2F1dGhvcj48L2F1dGhvcnM+PC9jb250cmlidXRvcnM+PHRpdGxlcz48dGl0bGU+Q291bnRlci1i
aW9pbnZhc2lvbjogQ29uY2VwdHVhbCBhbmQgZ292ZXJuYW5jZSBjaGFsbGVuZ2VzPC90aXRsZT48
c2Vjb25kYXJ5LXRpdGxlPkVudmlyb25tZW50YWwgUG9saXRpY3M8L3NlY29uZGFyeS10aXRsZT48
L3RpdGxlcz48cGVyaW9kaWNhbD48ZnVsbC10aXRsZT5FbnZpcm9ubWVudGFsIFBvbGl0aWNzPC9m
dWxsLXRpdGxlPjwvcGVyaW9kaWNhbD48cGFnZXM+NDMzLTQ1MjwvcGFnZXM+PHZvbHVtZT4xNjwv
dm9sdW1lPjxudW1iZXI+MzwvbnVtYmVyPjxkYXRlcz48eWVhcj4yMDA3PC95ZWFyPjxwdWItZGF0
ZXM+PGRhdGU+MjAwNzwvZGF0ZT48L3B1Yi1kYXRlcz48L2RhdGVzPjxpc2JuPjA5NjQtNDAxNjwv
aXNibj48YWNjZXNzaW9uLW51bT5XT1M6MDAwMjQ3Mzc0MDAwMDA0PC9hY2Nlc3Npb24tbnVtPjx1
cmxzPjxyZWxhdGVkLXVybHM+PHVybD4mbHQ7R28gdG8gSVNJJmd0OzovL1dPUzowMDAyNDczNzQw
MDAwMDQ8L3VybD48L3JlbGF0ZWQtdXJscz48L3VybHM+PGVsZWN0cm9uaWMtcmVzb3VyY2UtbnVt
PjEwLjEwODAvMDk2NDQwMTA3MDEyNTE2NzI8L2VsZWN0cm9uaWMtcmVzb3VyY2UtbnVtPjwvcmVj
b3JkPjwvQ2l0ZT48Q2l0ZT48QXV0aG9yPk1vb248L0F1dGhvcj48WWVhcj4yMDE1PC9ZZWFyPjxS
ZWNOdW0+NDkxMTQ8L1JlY051bT48cmVjb3JkPjxyZWMtbnVtYmVyPjQ5MTE0PC9yZWMtbnVtYmVy
Pjxmb3JlaWduLWtleXM+PGtleSBhcHA9IkVOIiBkYi1pZD0iYXd4OXJhZGRyMHh4MmhldjA1cnhy
MHowNXdlZXB3cHQwZmV4IiB0aW1lc3RhbXA9IjE1ODE0OTczMjAiPjQ5MTE0PC9rZXk+PC9mb3Jl
aWduLWtleXM+PHJlZi10eXBlIG5hbWU9IkpvdXJuYWwgQXJ0aWNsZSI+MTc8L3JlZi10eXBlPjxj
b250cmlidXRvcnM+PGF1dGhvcnM+PGF1dGhvcj5Nb29uLCBLYXRpZTwvYXV0aG9yPjxhdXRob3I+
QmxhY2ttYW4sIERlYm9yYWggQS48L2F1dGhvcj48YXV0aG9yPkJyZXdlciwgVG9tIEQuPC9hdXRo
b3I+PC9hdXRob3JzPjwvY29udHJpYnV0b3JzPjx0aXRsZXM+PHRpdGxlPlVuZGVyc3RhbmRpbmcg
YW5kIGludGVncmF0aW5nIGtub3dsZWRnZSB0byBpbXByb3ZlIGludmFzaXZlIHNwZWNpZXMgbWFu
YWdlbWVudDwvdGl0bGU+PHNlY29uZGFyeS10aXRsZT5CaW9sb2dpY2FsIEludmFzaW9uczwvc2Vj
b25kYXJ5LXRpdGxlPjwvdGl0bGVzPjxwZXJpb2RpY2FsPjxmdWxsLXRpdGxlPkJpb2xvZ2ljYWwg
SW52YXNpb25zPC9mdWxsLXRpdGxlPjxhYmJyLTE+QmlvbC4gSW52YXNpb25zPC9hYmJyLTE+PGFi
YnItMj5CaW9sIEludmFzaW9uczwvYWJici0yPjwvcGVyaW9kaWNhbD48cGFnZXM+MjY3NS0yNjg5
PC9wYWdlcz48dm9sdW1lPjE3PC92b2x1bWU+PG51bWJlcj45PC9udW1iZXI+PGRhdGVzPjx5ZWFy
PjIwMTU8L3llYXI+PHB1Yi1kYXRlcz48ZGF0ZT5TZXA8L2RhdGU+PC9wdWItZGF0ZXM+PC9kYXRl
cz48aXNibj4xMzg3LTM1NDc8L2lzYm4+PGFjY2Vzc2lvbi1udW0+V09TOjAwMDM1OTQyNzQwMDAx
NDwvYWNjZXNzaW9uLW51bT48dXJscz48cmVsYXRlZC11cmxzPjx1cmw+Jmx0O0dvIHRvIElTSSZn
dDs6Ly9XT1M6MDAwMzU5NDI3NDAwMDE0PC91cmw+PC9yZWxhdGVkLXVybHM+PC91cmxzPjxlbGVj
dHJvbmljLXJlc291cmNlLW51bT4xMC4xMDA3L3MxMDUzMC0wMTUtMDkwNC01PC9lbGVjdHJvbmlj
LXJlc291cmNlLW51bT48L3JlY29yZD48L0NpdGU+PC9FbmROb3RlPgB=
</w:fldData>
        </w:fldChar>
      </w:r>
      <w:r w:rsidR="00C14761" w:rsidRPr="00A9434B">
        <w:rPr>
          <w:b w:val="0"/>
          <w:bCs/>
        </w:rPr>
        <w:instrText xml:space="preserve"> ADDIN EN.CITE.DATA </w:instrText>
      </w:r>
      <w:r w:rsidR="00C14761" w:rsidRPr="00A9434B">
        <w:rPr>
          <w:b w:val="0"/>
          <w:bCs/>
          <w:i/>
          <w:iCs/>
        </w:rPr>
      </w:r>
      <w:r w:rsidR="00C14761" w:rsidRPr="00A9434B">
        <w:rPr>
          <w:b w:val="0"/>
          <w:bCs/>
          <w:i/>
          <w:iCs/>
        </w:rPr>
        <w:fldChar w:fldCharType="end"/>
      </w:r>
      <w:r w:rsidR="00C14761" w:rsidRPr="00A9434B">
        <w:rPr>
          <w:b w:val="0"/>
          <w:bCs/>
          <w:i/>
          <w:iCs/>
        </w:rPr>
      </w:r>
      <w:r w:rsidR="00C14761" w:rsidRPr="00A9434B">
        <w:rPr>
          <w:b w:val="0"/>
          <w:bCs/>
          <w:i/>
          <w:iCs/>
        </w:rPr>
        <w:fldChar w:fldCharType="separate"/>
      </w:r>
      <w:r w:rsidR="00FF2C48" w:rsidRPr="00A9434B">
        <w:rPr>
          <w:b w:val="0"/>
          <w:bCs/>
          <w:i/>
          <w:iCs/>
        </w:rPr>
        <w:fldChar w:fldCharType="begin"/>
      </w:r>
      <w:r w:rsidR="0006613E">
        <w:rPr>
          <w:b w:val="0"/>
          <w:bCs/>
        </w:rPr>
        <w:instrText xml:space="preserve"> ADDIN ZOTERO_ITEM CSL_CITATION {"citationID":"aancagc0ka","properties":{"formattedCitation":"\\uldash{(Moon et al., 2015; Stoett, 2007)}","plainCitation":"(Moon et al., 2015; Stoett, 2007)","dontUpdate":true,"noteIndex":0},"citationItems":[{"id":11438,"uris":["http://zotero.org/groups/2352922/items/P5EALT95"],"itemData":{"id":11438,"type":"article-journal","container-title":"Biological Invasions","DOI":"10.1007/s10530-015-0904-5","ISSN":"1387-3547, 1573-1464","issue":"9","journalAbbreviation":"Biol Invasions","language":"en","page":"2675-2689","source":"DOI.org (Crossref)","title":"Understanding and integrating knowledge to improve invasive species management","URL":"http://link.springer.com/10.1007/s10530-015-0904-5","volume":"17","author":[{"family":"Moon","given":"Katie"},{"family":"Blackman","given":"Deborah A."},{"family":"Brewer","given":"Tom D."}],"accessed":{"date-parts":[["2019",9,11]]},"issued":{"date-parts":[["2015",9]]}},"label":"page"},{"id":56669,"uris":["http://zotero.org/groups/2352922/items/6MYVB4YP","http://zotero.org/groups/2352922/items/AADLXSAH","http://zotero.org/groups/2352922/items/GSRMTZSR"],"itemData":{"id":56669,"type":"article-journal","container-title":"Environmental Politics","DOI":"10.1080/09644010701251672","ISSN":"0964-4016, 1743-8934","issue":"3","journalAbbreviation":"Environmental Politics","language":"en","page":"433-452","source":"DOI.org (Crossref)","title":"Counter-bioinvasion: Conceptual and governance challenges","title-short":"Counter-bioinvasion","URL":"http://www.tandfonline.com/doi/full/10.1080/09644010701251672","volume":"16","author":[{"family":"Stoett","given":"Peter"}],"accessed":{"date-parts":[["2023",6,8]]},"issued":{"date-parts":[["2007",6]]}},"label":"page"}],"schema":"https://github.com/citation-style-language/schema/raw/master/csl-citation.json"} </w:instrText>
      </w:r>
      <w:r w:rsidR="00FF2C48" w:rsidRPr="00A9434B">
        <w:rPr>
          <w:b w:val="0"/>
          <w:bCs/>
          <w:i/>
          <w:iCs/>
        </w:rPr>
        <w:fldChar w:fldCharType="separate"/>
      </w:r>
      <w:r w:rsidR="00735DB8" w:rsidRPr="00A9434B">
        <w:rPr>
          <w:b w:val="0"/>
        </w:rPr>
        <w:t>Moon et al., 2015; Stoett, 2007)</w:t>
      </w:r>
      <w:r w:rsidR="00FF2C48" w:rsidRPr="00A9434B">
        <w:rPr>
          <w:b w:val="0"/>
          <w:bCs/>
          <w:i/>
          <w:iCs/>
        </w:rPr>
        <w:fldChar w:fldCharType="end"/>
      </w:r>
      <w:r w:rsidR="00C14761" w:rsidRPr="00A9434B">
        <w:rPr>
          <w:b w:val="0"/>
          <w:bCs/>
          <w:i/>
          <w:iCs/>
        </w:rPr>
        <w:fldChar w:fldCharType="end"/>
      </w:r>
      <w:r w:rsidR="326765F3" w:rsidRPr="00A9434B">
        <w:rPr>
          <w:b w:val="0"/>
          <w:bCs/>
        </w:rPr>
        <w:t xml:space="preserve">. </w:t>
      </w:r>
      <w:bookmarkEnd w:id="111"/>
      <w:bookmarkEnd w:id="149"/>
      <w:r w:rsidR="326765F3" w:rsidRPr="00A9434B">
        <w:rPr>
          <w:b w:val="0"/>
          <w:bCs/>
        </w:rPr>
        <w:t xml:space="preserve">Perceptions of invasive alien species can also vary widely for </w:t>
      </w:r>
      <w:r w:rsidR="5C7D9DDD" w:rsidRPr="00A9434B">
        <w:rPr>
          <w:b w:val="0"/>
          <w:bCs/>
        </w:rPr>
        <w:t>several</w:t>
      </w:r>
      <w:r w:rsidR="326765F3" w:rsidRPr="00A9434B">
        <w:rPr>
          <w:b w:val="0"/>
          <w:bCs/>
        </w:rPr>
        <w:t xml:space="preserve"> reasons </w:t>
      </w:r>
      <w:r w:rsidR="00BF2590" w:rsidRPr="00F0011F">
        <w:rPr>
          <w:b w:val="0"/>
          <w:bCs/>
          <w:i/>
          <w:iCs/>
        </w:rPr>
        <w:fldChar w:fldCharType="begin"/>
      </w:r>
      <w:r w:rsidR="0006613E">
        <w:rPr>
          <w:b w:val="0"/>
          <w:bCs/>
        </w:rPr>
        <w:instrText xml:space="preserve"> ADDIN ZOTERO_ITEM CSL_CITATION {"citationID":"a87i2p9qai","properties":{"formattedCitation":"(Shackleton, Richardson, et al., 2019; Zengeya &amp; Wilson, 2020)","plainCitation":"(Shackleton, Richardson, et al., 2019; Zengeya &amp; Wilson, 2020)","noteIndex":0},"citationItems":[{"id":56685,"uris":["http://zotero.org/groups/2352922/items/VMEJ4YLE","http://zotero.org/groups/2352922/items/4BWBLIBN"],"itemData":{"id":56685,"type":"article-journal","container-title":"Journal of Environmental Management","DOI":"10.1016/j.jenvman.2018.04.045","ISSN":"03014797","journalAbbreviation":"Journal of Environmental Management","language":"en","page":"10-26","source":"DOI.org (Crossref)","title":"Explaining people's perceptions of invasive alien species: A conceptual framework","title-short":"Explaining people's perceptions of invasive alien species","URL":"https://linkinghub.elsevier.com/retrieve/pii/S0301479718304274","volume":"229","author":[{"family":"Shackleton","given":"Ross T."},{"family":"Richardson","given":"David M."},{"family":"Shackleton","given":"Charlie M."},{"family":"Bennett","given":"Brett"},{"family":"Crowley","given":"Sarah L."},{"family":"Dehnen-Schmutz","given":"Katharina"},{"family":"Estévez","given":"Rodrigo A."},{"family":"Fischer","given":"Anke"},{"family":"Kueffer","given":"Christoph"},{"family":"Kull","given":"Christian A."},{"family":"Marchante","given":"Elizabete"},{"family":"Novoa","given":"Ana"},{"family":"Potgieter","given":"Luke J."},{"family":"Vaas","given":"Jetske"},{"family":"Vaz","given":"Ana S."},{"family":"Larson","given":"Brendon M.H."}],"accessed":{"date-parts":[["2023",6,8]]},"issued":{"date-parts":[["2019",1]]}},"label":"page"},{"id":10270,"uris":["http://zotero.org/groups/2352922/items/SH22NZP4"],"itemData":{"id":10270,"type":"report","abstract":"For more details see: http://iasreport.sanbi.org.za For citations in policy documents: SANBI and CIB 2020. The status of biological invasions and their management in South&lt;br&gt; Africa in 2019. pp.71. South African National Biodiversity Institute, Kirstenbosch and DSI-NRF Centre of Excellence for&lt;br&gt; Invasion Biology, Stellenbosch. http://dx.doi.org/10.5281/zenodo.3947613 For citations in the scientific literature: Zengeya, T.A. &amp;amp; Wilson, J.R. (eds.) 2020. The status of biological invasions and their&lt;br&gt; management in South Africa in 2019. pp.71. South African National Biodiversity Institute, Kirstenbosch and DSI-NRF&lt;br&gt; Centre of Excellence for Invasion Biology, Stellenbosch. http://dx.doi.org/10.5281/zenodo.3947613 Biological invasions are a major threat to South Africa’s biodiversity, economy, and sustainable development. This report is a part of South Africa’s commitment to alleviating these impacts. It is a comprehensive national-scale assessment with contributions from 36 experts from 16 institutions. Drafts of the report were available for comment in two substantive rounds of review, with over 350 comments received from 17 institutions. This report is unique in the world in focussing specifically on invasions and is an important part of South Africa’s global leading position on the issue (the government invests over 1 billion ZAR per year to deal with the problem). The report is based around a suite of 20 indicators that provide details on: 1) how alien species are introduced and move around the country; 2) the status and impacts of 1880 alien species of which 776 are invasive; 3) the degree to which sites are invaded and impacted; and 4) the effectiveness of the full range of interventions that South Africa has used to address the problem. This report provides valuable insights into how South Africa can reduce the negative impacts of biological invasions on ecosystems, the economy, and people while retaining the benefits alien species provide where this is possible and desirable. It collates foundational information essential for researchers of the topic and provides an assessment of interventions that is vital for policy makers and managers. &lt;br&gt; Copyright © 2020 South African National Biodiversity Institute (SANBI). All rights reserved. Reproduction of this publication for educational or other non-commercial purposes is authorised without prior written permission from the copyright holder provided the source is fully acknowledged. Reproduction of this publication for resale or other commercial purposes is prohibited without prior written permission of the copyright holder.","genre":"Final Report","language":"en","license":"Creative Commons Attribution 4.0 International, Embargoed Access","note":"version: Final Report\nDOI: 10.5281/ZENODO.3947613","publisher":"Zenodo","source":"DOI.org (Datacite)","title":"The status of biological invasions and their management in South Africa in 2019","URL":"https://zenodo.org/record/3947613","author":[{"family":"Zengeya","given":"Tsungai A."},{"family":"Wilson","given":"John R."}],"accessed":{"date-parts":[["2021",8,25]]},"issued":{"date-parts":[["2020"]]}},"label":"page"}],"schema":"https://github.com/citation-style-language/schema/raw/master/csl-citation.json"} </w:instrText>
      </w:r>
      <w:r w:rsidR="00BF2590" w:rsidRPr="00F0011F">
        <w:rPr>
          <w:b w:val="0"/>
          <w:bCs/>
          <w:i/>
          <w:iCs/>
        </w:rPr>
        <w:fldChar w:fldCharType="separate"/>
      </w:r>
      <w:r w:rsidR="00F0011F" w:rsidRPr="00F32369">
        <w:rPr>
          <w:b w:val="0"/>
        </w:rPr>
        <w:t>(Shackleton, Richardson, et al., 2019; Zengeya &amp; Wilson, 2020)</w:t>
      </w:r>
      <w:r w:rsidR="00BF2590" w:rsidRPr="00F0011F">
        <w:rPr>
          <w:b w:val="0"/>
          <w:bCs/>
          <w:i/>
          <w:iCs/>
        </w:rPr>
        <w:fldChar w:fldCharType="end"/>
      </w:r>
      <w:r w:rsidR="3EEAD616" w:rsidRPr="00A9434B">
        <w:rPr>
          <w:b w:val="0"/>
          <w:bCs/>
        </w:rPr>
        <w:t xml:space="preserve">, </w:t>
      </w:r>
      <w:r w:rsidR="68099035" w:rsidRPr="00A9434B">
        <w:rPr>
          <w:b w:val="0"/>
          <w:bCs/>
        </w:rPr>
        <w:t>such as</w:t>
      </w:r>
      <w:r w:rsidR="3CE7E591" w:rsidRPr="00A9434B">
        <w:rPr>
          <w:b w:val="0"/>
          <w:bCs/>
        </w:rPr>
        <w:t xml:space="preserve"> </w:t>
      </w:r>
      <w:r w:rsidR="3EEAD616" w:rsidRPr="00A9434B">
        <w:rPr>
          <w:b w:val="0"/>
          <w:bCs/>
        </w:rPr>
        <w:t>a</w:t>
      </w:r>
      <w:r w:rsidR="1661125A" w:rsidRPr="00A9434B">
        <w:rPr>
          <w:b w:val="0"/>
          <w:bCs/>
        </w:rPr>
        <w:t xml:space="preserve"> </w:t>
      </w:r>
      <w:r w:rsidR="3EEAD616" w:rsidRPr="00A9434B">
        <w:rPr>
          <w:b w:val="0"/>
          <w:bCs/>
        </w:rPr>
        <w:t xml:space="preserve">focus on economic (instrumental) versus intrinsic and cultural (relational) </w:t>
      </w:r>
      <w:r w:rsidR="1661125A" w:rsidRPr="00A9434B">
        <w:rPr>
          <w:b w:val="0"/>
          <w:bCs/>
        </w:rPr>
        <w:t>values</w:t>
      </w:r>
      <w:r w:rsidR="00A506B6" w:rsidRPr="00A9434B">
        <w:rPr>
          <w:b w:val="0"/>
          <w:bCs/>
        </w:rPr>
        <w:t xml:space="preserve"> (</w:t>
      </w:r>
      <w:r w:rsidR="0037768C">
        <w:rPr>
          <w:bCs/>
        </w:rPr>
        <w:t>C</w:t>
      </w:r>
      <w:r w:rsidR="00A506B6" w:rsidRPr="00673554">
        <w:rPr>
          <w:bCs/>
        </w:rPr>
        <w:t>hapter 1</w:t>
      </w:r>
      <w:r w:rsidR="00A506B6" w:rsidRPr="0037768C">
        <w:rPr>
          <w:b w:val="0"/>
          <w:bCs/>
        </w:rPr>
        <w:t>,</w:t>
      </w:r>
      <w:r w:rsidR="00A506B6" w:rsidRPr="00673554">
        <w:rPr>
          <w:bCs/>
        </w:rPr>
        <w:t xml:space="preserve"> section 1.5.2</w:t>
      </w:r>
      <w:r w:rsidR="00A506B6" w:rsidRPr="00A9434B">
        <w:rPr>
          <w:b w:val="0"/>
          <w:bCs/>
        </w:rPr>
        <w:t>;</w:t>
      </w:r>
      <w:r w:rsidR="1661125A" w:rsidRPr="00A9434B">
        <w:rPr>
          <w:b w:val="0"/>
          <w:bCs/>
        </w:rPr>
        <w:t xml:space="preserve"> </w:t>
      </w:r>
      <w:r w:rsidR="00C17FB5" w:rsidRPr="00A9434B">
        <w:rPr>
          <w:b w:val="0"/>
          <w:bCs/>
          <w:i/>
          <w:iCs/>
        </w:rPr>
        <w:fldChar w:fldCharType="begin"/>
      </w:r>
      <w:r w:rsidR="0006613E">
        <w:rPr>
          <w:b w:val="0"/>
          <w:bCs/>
        </w:rPr>
        <w:instrText xml:space="preserve"> ADDIN ZOTERO_ITEM CSL_CITATION {"citationID":"al23iguem2","properties":{"formattedCitation":"\\uldash{(Leventon et al., 2021)}","plainCitation":"(Leventon et al., 2021)","dontUpdate":true,"noteIndex":0},"citationItems":[{"id":10824,"uris":["http://zotero.org/groups/2352922/items/FIJXM97V"],"itemData":{"id":10824,"type":"article-journal","abstract":"Abstract\n            The concept of leverage points offers great potential to consider how we can intervene in systems to create transformations for sustainability. In this special issue, we draw together a diverse collection of research that engages with this central idea. The papers cover three broad topics: (1) the use of a ‘leverage points lens’ for systems framings and understandings; (2) how individual interventions can be understood and critiqued from a leverage points perspective; and (3) the implications of a leverage points approach for research practice and action. Across these topics, we present the papers, and embed them within current critical debate in sustainability science. In doing so, we produce nine guiding questions to shape the research and practice of leverage points for sustainability transformation. These nine questions introduce conceptual clarity to untangle some of the deeper questions around which system we are engaging with, whose system counts, and whose sustainability we are seeking to create. They further shape how we deliver a leverage points research practice. We intend, therefore, that our guiding questions open up exploration across systems and worldviews, and help us to dance with systems.","container-title":"Sustainability Science","DOI":"10.1007/s11625-021-00961-8","ISSN":"1862-4065, 1862-4057","issue":"3","journalAbbreviation":"Sustain Sci","language":"en","page":"721-726","source":"DOI.org (Crossref)","title":"Leverage points for sustainability transformations: nine guiding questions for sustainability science and practice","title-short":"Leverage points for sustainability transformations","URL":"https://link.springer.com/10.1007/s11625-021-00961-8","volume":"16","author":[{"family":"Leventon","given":"Julia"},{"family":"Abson","given":"Dave J."},{"family":"Lang","given":"Daniel J."}],"accessed":{"date-parts":[["2021",6,16]]},"issued":{"date-parts":[["2021",5]]}},"label":"page"}],"schema":"https://github.com/citation-style-language/schema/raw/master/csl-citation.json"} </w:instrText>
      </w:r>
      <w:r w:rsidR="00C17FB5" w:rsidRPr="00A9434B">
        <w:rPr>
          <w:b w:val="0"/>
          <w:bCs/>
          <w:i/>
          <w:iCs/>
        </w:rPr>
        <w:fldChar w:fldCharType="separate"/>
      </w:r>
      <w:r w:rsidR="00A506B6" w:rsidRPr="00A9434B">
        <w:rPr>
          <w:b w:val="0"/>
          <w:bCs/>
        </w:rPr>
        <w:t>Leventon et al., 2021)</w:t>
      </w:r>
      <w:r w:rsidR="00C17FB5" w:rsidRPr="00A9434B">
        <w:rPr>
          <w:b w:val="0"/>
          <w:bCs/>
          <w:i/>
          <w:iCs/>
        </w:rPr>
        <w:fldChar w:fldCharType="end"/>
      </w:r>
      <w:r w:rsidR="326765F3" w:rsidRPr="00A9434B">
        <w:rPr>
          <w:b w:val="0"/>
          <w:bCs/>
        </w:rPr>
        <w:t xml:space="preserve">. </w:t>
      </w:r>
      <w:r w:rsidR="3EEAD616" w:rsidRPr="00A9434B">
        <w:rPr>
          <w:b w:val="0"/>
          <w:bCs/>
        </w:rPr>
        <w:t>U</w:t>
      </w:r>
      <w:r w:rsidR="326765F3" w:rsidRPr="00A9434B">
        <w:rPr>
          <w:b w:val="0"/>
          <w:bCs/>
        </w:rPr>
        <w:t xml:space="preserve">nderstanding and </w:t>
      </w:r>
      <w:r w:rsidR="3EEAD616" w:rsidRPr="00A9434B">
        <w:rPr>
          <w:b w:val="0"/>
          <w:bCs/>
        </w:rPr>
        <w:t xml:space="preserve">the </w:t>
      </w:r>
      <w:r w:rsidR="326765F3" w:rsidRPr="00A9434B">
        <w:rPr>
          <w:b w:val="0"/>
          <w:bCs/>
        </w:rPr>
        <w:t xml:space="preserve">concept of </w:t>
      </w:r>
      <w:r w:rsidR="3BC30C5D" w:rsidRPr="00A9434B">
        <w:rPr>
          <w:b w:val="0"/>
          <w:bCs/>
        </w:rPr>
        <w:t xml:space="preserve">biological </w:t>
      </w:r>
      <w:r w:rsidR="326765F3" w:rsidRPr="00A9434B">
        <w:rPr>
          <w:b w:val="0"/>
          <w:bCs/>
        </w:rPr>
        <w:t xml:space="preserve">invasion risk differs across </w:t>
      </w:r>
      <w:r w:rsidR="1661125A" w:rsidRPr="00A9434B">
        <w:rPr>
          <w:b w:val="0"/>
          <w:bCs/>
        </w:rPr>
        <w:t>and within groups</w:t>
      </w:r>
      <w:r w:rsidR="4432F301" w:rsidRPr="00A9434B">
        <w:rPr>
          <w:b w:val="0"/>
          <w:bCs/>
        </w:rPr>
        <w:t xml:space="preserve"> and </w:t>
      </w:r>
      <w:r w:rsidR="310D4752" w:rsidRPr="00A9434B">
        <w:rPr>
          <w:b w:val="0"/>
          <w:bCs/>
        </w:rPr>
        <w:t xml:space="preserve">communities </w:t>
      </w:r>
      <w:r w:rsidR="00C17FB5" w:rsidRPr="00F0011F">
        <w:rPr>
          <w:b w:val="0"/>
          <w:bCs/>
          <w:i/>
          <w:iCs/>
        </w:rPr>
        <w:fldChar w:fldCharType="begin"/>
      </w:r>
      <w:r w:rsidR="0006613E">
        <w:rPr>
          <w:b w:val="0"/>
          <w:bCs/>
        </w:rPr>
        <w:instrText xml:space="preserve"> ADDIN ZOTERO_ITEM CSL_CITATION {"citationID":"a2l44ulvdil","properties":{"formattedCitation":"(Maclean et al., 2022)","plainCitation":"(Maclean et al., 2022)","noteIndex":0},"citationItems":[{"id":56507,"uris":["http://zotero.org/groups/2352922/items/TPSRGWP3","http://zotero.org/groups/2352922/items/RFVNIBJT"],"itemData":{"id":56507,"type":"article-journal","container-title":"Journal of Cultural Geography","DOI":"10.1080/08873631.2021.1911078","ISSN":"0887-3631, 1940-6320","issue":"1","journalAbbreviation":"Journal of Cultural Geography","language":"en","page":"32-54","source":"DOI.org (Crossref)","title":"Reconciling risk and responsibility on Indigenous country: bridging the boundaries to guide knowledge sharing for cross-cultural biosecurity risk management in northern Australia","title-short":"Reconciling risk and responsibility on Indigenous country","URL":"https://www.tandfonline.com/doi/full/10.1080/08873631.2021.1911078","volume":"39","author":[{"family":"Maclean","given":"Kirsten"},{"family":"Robinson","given":"Cathy"},{"family":"Bock","given":"Ellie"},{"family":"Rist","given":"Phil"}],"accessed":{"date-parts":[["2023",6,8]]},"issued":{"date-parts":[["2022",1,2]]}},"label":"page"}],"schema":"https://github.com/citation-style-language/schema/raw/master/csl-citation.json"} </w:instrText>
      </w:r>
      <w:r w:rsidR="00C17FB5" w:rsidRPr="00F0011F">
        <w:rPr>
          <w:b w:val="0"/>
          <w:bCs/>
          <w:i/>
          <w:iCs/>
        </w:rPr>
        <w:fldChar w:fldCharType="separate"/>
      </w:r>
      <w:r w:rsidR="00FD65B1" w:rsidRPr="00F32369">
        <w:rPr>
          <w:b w:val="0"/>
        </w:rPr>
        <w:t>(Maclean et al., 2022)</w:t>
      </w:r>
      <w:r w:rsidR="00C17FB5" w:rsidRPr="00F0011F">
        <w:rPr>
          <w:b w:val="0"/>
          <w:bCs/>
          <w:i/>
          <w:iCs/>
        </w:rPr>
        <w:fldChar w:fldCharType="end"/>
      </w:r>
      <w:r w:rsidR="326765F3" w:rsidRPr="00A9434B">
        <w:rPr>
          <w:b w:val="0"/>
          <w:bCs/>
        </w:rPr>
        <w:t xml:space="preserve">. </w:t>
      </w:r>
      <w:r w:rsidR="00C73655">
        <w:rPr>
          <w:b w:val="0"/>
        </w:rPr>
        <w:t>Local communities, for example, may be very familiar with individual invasive alien species and their negative impacts on good quality of life, but remain unaware of the concept of biological invasions and the context of management and policy</w:t>
      </w:r>
      <w:r w:rsidR="326765F3" w:rsidRPr="00A9434B">
        <w:rPr>
          <w:b w:val="0"/>
          <w:bCs/>
        </w:rPr>
        <w:t xml:space="preserve"> </w:t>
      </w:r>
      <w:r w:rsidR="003F37D3" w:rsidRPr="00A9434B">
        <w:rPr>
          <w:b w:val="0"/>
          <w:bCs/>
          <w:i/>
          <w:iCs/>
        </w:rPr>
        <w:fldChar w:fldCharType="begin"/>
      </w:r>
      <w:r w:rsidR="0006613E">
        <w:rPr>
          <w:b w:val="0"/>
          <w:bCs/>
        </w:rPr>
        <w:instrText xml:space="preserve"> ADDIN ZOTERO_ITEM CSL_CITATION {"citationID":"a2maepcu7t2","properties":{"formattedCitation":"\\uldash{(Shrestha et al., 2019)}","plainCitation":"(Shrestha et al., 2019)","dontUpdate":true,"noteIndex":0},"citationItems":[{"id":56680,"uris":["http://zotero.org/groups/2352922/items/M374C7J2","http://zotero.org/groups/2352922/items/JX5FMNLV"],"itemData":{"id":56680,"type":"article-journal","container-title":"Journal of Environmental Management","DOI":"10.1016/j.jenvman.2018.06.034","ISSN":"03014797","journalAbbreviation":"Journal of Environmental Management","language":"en","page":"38-47","source":"DOI.org (Crossref)","title":"Community perception and prioritization of invasive alien plants in Chitwan-Annapurna Landscape, Nepal","URL":"https://linkinghub.elsevier.com/retrieve/pii/S0301479718306765","volume":"229","author":[{"family":"Shrestha","given":"Bharat Babu"},{"family":"Shrestha","given":"Uttam Babu"},{"family":"Sharma","given":"Krishna Prasad"},{"family":"Thapa-Parajuli","given":"Resham Bahadur"},{"family":"Devkota","given":"Anjana"},{"family":"Siwakoti","given":"Mohan"}],"accessed":{"date-parts":[["2023",6,8]]},"issued":{"date-parts":[["2019",1]]}},"label":"page"}],"schema":"https://github.com/citation-style-language/schema/raw/master/csl-citation.json"} </w:instrText>
      </w:r>
      <w:r w:rsidR="003F37D3" w:rsidRPr="00A9434B">
        <w:rPr>
          <w:b w:val="0"/>
          <w:bCs/>
          <w:i/>
          <w:iCs/>
        </w:rPr>
        <w:fldChar w:fldCharType="separate"/>
      </w:r>
      <w:r w:rsidR="00A506B6" w:rsidRPr="00A9434B">
        <w:rPr>
          <w:b w:val="0"/>
          <w:bCs/>
        </w:rPr>
        <w:t>(Shrestha et al., 2019</w:t>
      </w:r>
      <w:r w:rsidR="003F37D3" w:rsidRPr="00A9434B">
        <w:rPr>
          <w:b w:val="0"/>
          <w:bCs/>
          <w:i/>
          <w:iCs/>
        </w:rPr>
        <w:fldChar w:fldCharType="end"/>
      </w:r>
      <w:r w:rsidR="0BE505EE" w:rsidRPr="00A9434B">
        <w:rPr>
          <w:b w:val="0"/>
          <w:bCs/>
        </w:rPr>
        <w:t>;</w:t>
      </w:r>
      <w:r w:rsidR="3EEAD616" w:rsidRPr="00A9434B">
        <w:rPr>
          <w:b w:val="0"/>
          <w:bCs/>
        </w:rPr>
        <w:t xml:space="preserve"> </w:t>
      </w:r>
      <w:r w:rsidR="3EEAD616" w:rsidRPr="00673554">
        <w:rPr>
          <w:bCs/>
          <w:iCs/>
        </w:rPr>
        <w:t>section 1.6.7.1 (ii)</w:t>
      </w:r>
      <w:r w:rsidR="0BE505EE" w:rsidRPr="00A9434B">
        <w:rPr>
          <w:b w:val="0"/>
          <w:bCs/>
        </w:rPr>
        <w:t>)</w:t>
      </w:r>
      <w:r w:rsidR="326765F3" w:rsidRPr="00A9434B">
        <w:rPr>
          <w:b w:val="0"/>
          <w:bCs/>
        </w:rPr>
        <w:t xml:space="preserve">. Lack of awareness and different values can result </w:t>
      </w:r>
      <w:r w:rsidR="326765F3" w:rsidRPr="00A9434B">
        <w:rPr>
          <w:b w:val="0"/>
          <w:bCs/>
        </w:rPr>
        <w:lastRenderedPageBreak/>
        <w:t xml:space="preserve">in a lack of public support </w:t>
      </w:r>
      <w:r w:rsidR="003F37D3" w:rsidRPr="00A9434B">
        <w:rPr>
          <w:b w:val="0"/>
          <w:bCs/>
          <w:i/>
          <w:iCs/>
        </w:rPr>
        <w:fldChar w:fldCharType="begin"/>
      </w:r>
      <w:r w:rsidR="0006613E">
        <w:rPr>
          <w:b w:val="0"/>
          <w:bCs/>
        </w:rPr>
        <w:instrText xml:space="preserve"> ADDIN ZOTERO_ITEM CSL_CITATION {"citationID":"a2lsohgfcda","properties":{"formattedCitation":"(Vane &amp; Runhaar, 2016)","plainCitation":"(Vane &amp; Runhaar, 2016)","noteIndex":0},"citationItems":[{"id":24185,"uris":["http://zotero.org/groups/2352922/items/HEX98ZDH"],"itemData":{"id":24185,"type":"article-journal","container-title":"Restoration Ecology","DOI":"10.1111/rec.12379","ISSN":"1061-2971","issue":"6","journalAbbreviation":"Restor. Ecol.","page":"743-748","title":"Public support for invasive alien species eradication programs: insights from the Netherlands","volume":"24","author":[{"family":"Vane","given":"Maurice"},{"family":"Runhaar","given":"Hens A. C."}],"issued":{"date-parts":[["2016",11]]}},"label":"page"}],"schema":"https://github.com/citation-style-language/schema/raw/master/csl-citation.json"} </w:instrText>
      </w:r>
      <w:r w:rsidR="003F37D3" w:rsidRPr="00A9434B">
        <w:rPr>
          <w:b w:val="0"/>
          <w:bCs/>
          <w:i/>
          <w:iCs/>
        </w:rPr>
        <w:fldChar w:fldCharType="separate"/>
      </w:r>
      <w:r w:rsidR="00C71E80" w:rsidRPr="00A9434B">
        <w:rPr>
          <w:b w:val="0"/>
          <w:bCs/>
        </w:rPr>
        <w:t>(Vane &amp; Runhaar, 2016)</w:t>
      </w:r>
      <w:r w:rsidR="003F37D3" w:rsidRPr="00A9434B">
        <w:rPr>
          <w:b w:val="0"/>
          <w:bCs/>
          <w:i/>
          <w:iCs/>
        </w:rPr>
        <w:fldChar w:fldCharType="end"/>
      </w:r>
      <w:r w:rsidR="326765F3" w:rsidRPr="00A9434B">
        <w:rPr>
          <w:b w:val="0"/>
          <w:bCs/>
        </w:rPr>
        <w:t xml:space="preserve">, </w:t>
      </w:r>
      <w:r w:rsidR="00C73655">
        <w:rPr>
          <w:b w:val="0"/>
        </w:rPr>
        <w:t xml:space="preserve">exacerbate differing perceptions, and ultimately undermine collective efforts to manage biological invasions </w:t>
      </w:r>
      <w:r w:rsidR="00C14761" w:rsidRPr="00A9434B">
        <w:rPr>
          <w:b w:val="0"/>
          <w:bCs/>
          <w:i/>
          <w:iCs/>
        </w:rPr>
        <w:fldChar w:fldCharType="begin"/>
      </w:r>
      <w:r w:rsidR="00C14761" w:rsidRPr="00A9434B">
        <w:rPr>
          <w:b w:val="0"/>
          <w:bCs/>
        </w:rPr>
        <w:instrText xml:space="preserve"> ADDIN EN.CITE &lt;EndNote&gt;&lt;Cite&gt;&lt;Author&gt;Kohl&lt;/Author&gt;&lt;Year&gt;2019&lt;/Year&gt;&lt;RecNum&gt;48999&lt;/RecNum&gt;&lt;DisplayText&gt;(Kohl, Brossard et al. 2019)&lt;/DisplayText&gt;&lt;record&gt;&lt;rec-number&gt;48999&lt;/rec-number&gt;&lt;foreign-keys&gt;&lt;key app="EN" db-id="awx9raddr0xx2hev05rxr0z05weepwpt0fex" timestamp="1581497320"&gt;48999&lt;/key&gt;&lt;/foreign-keys&gt;&lt;ref-type name="Journal Article"&gt;17&lt;/ref-type&gt;&lt;contributors&gt;&lt;authors&gt;&lt;author&gt;Kohl, P. A.&lt;/author&gt;&lt;author&gt;Brossard, D.&lt;/author&gt;&lt;author&gt;Scheufele, D. A.&lt;/author&gt;&lt;author&gt;Xenos, M. A.&lt;/author&gt;&lt;/authors&gt;&lt;/contributors&gt;&lt;titles&gt;&lt;title&gt;Public views about editing genes in wildlife for conservation&lt;/title&gt;&lt;secondary-title&gt;Conservation Biology&lt;/secondary-title&gt;&lt;/titles&gt;&lt;periodical&gt;&lt;full-title&gt;Conservation Biology&lt;/full-title&gt;&lt;abbr-1&gt;Conserv. Biol.&lt;/abbr-1&gt;&lt;abbr-2&gt;Conserv Biol&lt;/abbr-2&gt;&lt;/periodical&gt;&lt;pages&gt;1286-1295&lt;/pages&gt;&lt;volume&gt;33&lt;/volume&gt;&lt;number&gt;6&lt;/number&gt;&lt;dates&gt;&lt;year&gt;2019&lt;/year&gt;&lt;pub-dates&gt;&lt;date&gt;Dec&lt;/date&gt;&lt;/pub-dates&gt;&lt;/dates&gt;&lt;isbn&gt;0888-8892&lt;/isbn&gt;&lt;accession-num&gt;WOS:000495818000006&lt;/accession-num&gt;&lt;urls&gt;&lt;related-urls&gt;&lt;url&gt;&amp;lt;Go to ISI&amp;gt;://WOS:000495818000006&lt;/url&gt;&lt;/related-urls&gt;&lt;/urls&gt;&lt;electronic-resource-num&gt;10.1111/cobi.13310&lt;/electronic-resource-num&gt;&lt;/record&gt;&lt;/Cite&gt;&lt;/EndNote&gt;</w:instrText>
      </w:r>
      <w:r w:rsidR="00C14761" w:rsidRPr="00A9434B">
        <w:rPr>
          <w:b w:val="0"/>
          <w:bCs/>
          <w:i/>
          <w:iCs/>
        </w:rPr>
        <w:fldChar w:fldCharType="separate"/>
      </w:r>
      <w:r w:rsidR="00FF2C48" w:rsidRPr="00A9434B">
        <w:rPr>
          <w:b w:val="0"/>
          <w:bCs/>
          <w:i/>
          <w:iCs/>
        </w:rPr>
        <w:fldChar w:fldCharType="begin"/>
      </w:r>
      <w:r w:rsidR="0006613E">
        <w:rPr>
          <w:b w:val="0"/>
          <w:bCs/>
        </w:rPr>
        <w:instrText xml:space="preserve"> ADDIN ZOTERO_ITEM CSL_CITATION {"citationID":"a20h69u18gh","properties":{"formattedCitation":"\\uldash{(Kohl et al., 2019)}","plainCitation":"(Kohl et al., 2019)","dontUpdate":true,"noteIndex":0},"citationItems":[{"id":24187,"uris":["http://zotero.org/groups/2352922/items/ZW3C6SWM"],"itemData":{"id":24187,"type":"article-journal","container-title":"Conservation Biology","DOI":"10.1111/cobi.13310","ISSN":"0888-8892","issue":"6","journalAbbreviation":"Conserv. Biol.","page":"1286-1295","title":"Public views about editing genes in wildlife for conservation","volume":"33","author":[{"family":"Kohl","given":"P. A."},{"family":"Brossard","given":"D."},{"family":"Scheufele","given":"D. A."},{"family":"Xenos","given":"M. A."}],"issued":{"date-parts":[["2019",12]]}},"label":"page"}],"schema":"https://github.com/citation-style-language/schema/raw/master/csl-citation.json"} </w:instrText>
      </w:r>
      <w:r w:rsidR="00FF2C48" w:rsidRPr="00A9434B">
        <w:rPr>
          <w:b w:val="0"/>
          <w:bCs/>
          <w:i/>
          <w:iCs/>
        </w:rPr>
        <w:fldChar w:fldCharType="separate"/>
      </w:r>
      <w:r w:rsidR="00A506B6" w:rsidRPr="00A9434B">
        <w:rPr>
          <w:b w:val="0"/>
          <w:bCs/>
        </w:rPr>
        <w:t>(Kohl et al., 2019</w:t>
      </w:r>
      <w:r w:rsidR="00FF2C48" w:rsidRPr="00A9434B">
        <w:rPr>
          <w:b w:val="0"/>
          <w:bCs/>
          <w:i/>
          <w:iCs/>
        </w:rPr>
        <w:fldChar w:fldCharType="end"/>
      </w:r>
      <w:r w:rsidR="00C14761" w:rsidRPr="00A9434B">
        <w:rPr>
          <w:b w:val="0"/>
          <w:bCs/>
          <w:i/>
          <w:iCs/>
        </w:rPr>
        <w:fldChar w:fldCharType="end"/>
      </w:r>
      <w:r w:rsidR="4AB9B61E" w:rsidRPr="00A9434B">
        <w:rPr>
          <w:b w:val="0"/>
          <w:bCs/>
        </w:rPr>
        <w:t>;</w:t>
      </w:r>
      <w:r w:rsidR="75FFF00F" w:rsidRPr="00A9434B">
        <w:rPr>
          <w:b w:val="0"/>
          <w:bCs/>
        </w:rPr>
        <w:t xml:space="preserve"> </w:t>
      </w:r>
      <w:r w:rsidR="0037768C">
        <w:rPr>
          <w:bCs/>
          <w:iCs/>
        </w:rPr>
        <w:t>C</w:t>
      </w:r>
      <w:r w:rsidR="5E0CB0CE" w:rsidRPr="00673554">
        <w:rPr>
          <w:bCs/>
          <w:iCs/>
        </w:rPr>
        <w:t>hapter 3</w:t>
      </w:r>
      <w:r w:rsidR="5E0CB0CE" w:rsidRPr="00673554">
        <w:rPr>
          <w:b w:val="0"/>
          <w:bCs/>
          <w:iCs/>
        </w:rPr>
        <w:t>,</w:t>
      </w:r>
      <w:r w:rsidR="5E0CB0CE" w:rsidRPr="00673554">
        <w:rPr>
          <w:bCs/>
          <w:iCs/>
        </w:rPr>
        <w:t xml:space="preserve"> s</w:t>
      </w:r>
      <w:r w:rsidR="75FFF00F" w:rsidRPr="00673554">
        <w:rPr>
          <w:bCs/>
          <w:iCs/>
        </w:rPr>
        <w:t>ection 3.2.1</w:t>
      </w:r>
      <w:r w:rsidR="761DF4F6" w:rsidRPr="00A9434B">
        <w:rPr>
          <w:b w:val="0"/>
          <w:bCs/>
        </w:rPr>
        <w:t>)</w:t>
      </w:r>
      <w:r w:rsidR="717A906A" w:rsidRPr="00A9434B">
        <w:rPr>
          <w:b w:val="0"/>
          <w:bCs/>
        </w:rPr>
        <w:t>.</w:t>
      </w:r>
      <w:r w:rsidR="326765F3" w:rsidRPr="00A9434B">
        <w:rPr>
          <w:b w:val="0"/>
          <w:bCs/>
        </w:rPr>
        <w:t xml:space="preserve"> </w:t>
      </w:r>
      <w:r w:rsidR="00C638FD">
        <w:rPr>
          <w:b w:val="0"/>
          <w:bCs/>
        </w:rPr>
        <w:t>P</w:t>
      </w:r>
      <w:r w:rsidR="326765F3" w:rsidRPr="00A9434B">
        <w:rPr>
          <w:b w:val="0"/>
          <w:bCs/>
        </w:rPr>
        <w:t xml:space="preserve">ublic and private sector consultation and engagement </w:t>
      </w:r>
      <w:r w:rsidR="00C638FD">
        <w:rPr>
          <w:b w:val="0"/>
          <w:bCs/>
        </w:rPr>
        <w:t>can successfully</w:t>
      </w:r>
      <w:r w:rsidR="00C638FD" w:rsidRPr="00A9434B">
        <w:rPr>
          <w:b w:val="0"/>
          <w:bCs/>
        </w:rPr>
        <w:t xml:space="preserve"> underpin invasive alien species prevention and control efforts</w:t>
      </w:r>
      <w:r w:rsidR="00C638FD">
        <w:rPr>
          <w:b w:val="0"/>
          <w:bCs/>
        </w:rPr>
        <w:t xml:space="preserve"> when</w:t>
      </w:r>
      <w:r w:rsidR="00646691">
        <w:rPr>
          <w:b w:val="0"/>
          <w:bCs/>
        </w:rPr>
        <w:t xml:space="preserve"> they</w:t>
      </w:r>
      <w:r w:rsidR="00875131">
        <w:rPr>
          <w:b w:val="0"/>
          <w:bCs/>
        </w:rPr>
        <w:t xml:space="preserve"> </w:t>
      </w:r>
      <w:r w:rsidR="106EAC98" w:rsidRPr="00A9434B">
        <w:rPr>
          <w:b w:val="0"/>
          <w:bCs/>
        </w:rPr>
        <w:t>includ</w:t>
      </w:r>
      <w:r w:rsidR="00875131">
        <w:rPr>
          <w:b w:val="0"/>
          <w:bCs/>
        </w:rPr>
        <w:t>e</w:t>
      </w:r>
      <w:r w:rsidR="326765F3" w:rsidRPr="00A9434B">
        <w:rPr>
          <w:b w:val="0"/>
          <w:bCs/>
        </w:rPr>
        <w:t xml:space="preserve"> </w:t>
      </w:r>
      <w:r w:rsidR="79D88120" w:rsidRPr="00A9434B">
        <w:rPr>
          <w:b w:val="0"/>
          <w:bCs/>
        </w:rPr>
        <w:t xml:space="preserve">effective </w:t>
      </w:r>
      <w:r w:rsidR="326765F3" w:rsidRPr="00A9434B">
        <w:rPr>
          <w:b w:val="0"/>
          <w:bCs/>
        </w:rPr>
        <w:t xml:space="preserve">risk communication </w:t>
      </w:r>
      <w:r w:rsidR="00C638FD">
        <w:rPr>
          <w:b w:val="0"/>
          <w:bCs/>
        </w:rPr>
        <w:t xml:space="preserve">and rely </w:t>
      </w:r>
      <w:r w:rsidR="326765F3" w:rsidRPr="00A9434B">
        <w:rPr>
          <w:b w:val="0"/>
          <w:bCs/>
        </w:rPr>
        <w:t xml:space="preserve">on </w:t>
      </w:r>
      <w:r w:rsidR="025CE956" w:rsidRPr="00A9434B">
        <w:rPr>
          <w:b w:val="0"/>
          <w:bCs/>
        </w:rPr>
        <w:t xml:space="preserve">the contributions of </w:t>
      </w:r>
      <w:r w:rsidR="326765F3" w:rsidRPr="00A9434B">
        <w:rPr>
          <w:b w:val="0"/>
          <w:bCs/>
        </w:rPr>
        <w:t>stakeholder</w:t>
      </w:r>
      <w:r w:rsidR="025CE956" w:rsidRPr="00A9434B">
        <w:rPr>
          <w:b w:val="0"/>
          <w:bCs/>
        </w:rPr>
        <w:t>s</w:t>
      </w:r>
      <w:r w:rsidR="326765F3" w:rsidRPr="00A9434B">
        <w:rPr>
          <w:b w:val="0"/>
          <w:bCs/>
        </w:rPr>
        <w:t xml:space="preserve"> </w:t>
      </w:r>
      <w:r w:rsidR="5ED0B039" w:rsidRPr="00A9434B">
        <w:rPr>
          <w:b w:val="0"/>
          <w:bCs/>
        </w:rPr>
        <w:t xml:space="preserve">and </w:t>
      </w:r>
      <w:r w:rsidR="4C1F436F" w:rsidRPr="00A9434B">
        <w:rPr>
          <w:b w:val="0"/>
          <w:bCs/>
        </w:rPr>
        <w:t>Indigenous Peoples</w:t>
      </w:r>
      <w:r w:rsidR="310D4752" w:rsidRPr="00A9434B">
        <w:rPr>
          <w:b w:val="0"/>
          <w:bCs/>
        </w:rPr>
        <w:t xml:space="preserve"> and local communities</w:t>
      </w:r>
      <w:r w:rsidR="04EC536E" w:rsidRPr="00A9434B">
        <w:rPr>
          <w:b w:val="0"/>
          <w:bCs/>
        </w:rPr>
        <w:t xml:space="preserve"> </w:t>
      </w:r>
      <w:r w:rsidR="00C14761" w:rsidRPr="003E334B">
        <w:rPr>
          <w:b w:val="0"/>
          <w:bCs/>
          <w:i/>
          <w:iCs/>
        </w:rPr>
        <w:fldChar w:fldCharType="begin">
          <w:fldData xml:space="preserve">PEVuZE5vdGU+PENpdGU+PEF1dGhvcj5Kb25zc29uPC9BdXRob3I+PFllYXI+MjAxNjwvWWVhcj48
UmVjTnVtPjQ5MDk5PC9SZWNOdW0+PERpc3BsYXlUZXh0PihGYWxrZW5tYXJrIDIwMDcsIEpvbnNz
b24sIEJvc3Ryb20gZXQgYWwuIDIwMTYsIEVrYW5heWFrZSwgWGllIGV0IGFsLiAyMDIwKTwvRGlz
cGxheVRleHQ+PHJlY29yZD48cmVjLW51bWJlcj40OTA5OTwvcmVjLW51bWJlcj48Zm9yZWlnbi1r
ZXlzPjxrZXkgYXBwPSJFTiIgZGItaWQ9ImF3eDlyYWRkcjB4eDJoZXYwNXJ4cjB6MDV3ZWVwd3B0
MGZleCIgdGltZXN0YW1wPSIxNTgxNDk3MzIwIj40OTA5OTwva2V5PjwvZm9yZWlnbi1rZXlzPjxy
ZWYtdHlwZSBuYW1lPSJCb29rIFNlY3Rpb24iPjU8L3JlZi10eXBlPjxjb250cmlidXRvcnM+PGF1
dGhvcnM+PGF1dGhvcj5Kb25zc29uLCBBbm5hIE1hcmlhPC9hdXRob3I+PGF1dGhvcj5Cb3N0cm9t
LCBNYWdudXM8L2F1dGhvcj48YXV0aG9yPkRyZXllciwgTWFyaW9uPC9hdXRob3I+PGF1dGhvcj5T
b2RlcnN0cm9tLCBTYXJhPC9hdXRob3I+PC9hdXRob3JzPjxzZWNvbmRhcnktYXV0aG9ycz48YXV0
aG9yPkdpbGVrLCBNLjwvYXV0aG9yPjxhdXRob3I+S2FybHNzb24sIE0uPC9hdXRob3I+PGF1dGhv
cj5MaW5rZSwgUy48L2F1dGhvcj48YXV0aG9yPlNtb2xhcnosIEsuPC9hdXRob3I+PC9zZWNvbmRh
cnktYXV0aG9ycz48L2NvbnRyaWJ1dG9ycz48dGl0bGVzPjx0aXRsZT5SaXNrIENvbW11bmljYXRp
b24gYW5kIHRoZSBSb2xlIG9mIHRoZSBQdWJsaWM6IFRvd2FyZHMgSW5jbHVzaXZlIEVudmlyb25t
ZW50YWwgR292ZXJuYW5jZSBvZiB0aGUgQmFsdGljIFNlYT88L3RpdGxlPjxzZWNvbmRhcnktdGl0
bGU+RW52aXJvbm1lbnRhbCBHb3Zlcm5hbmNlIG9mIHRoZSBCYWx0aWMgU2VhPC9zZWNvbmRhcnkt
dGl0bGU+PHRlcnRpYXJ5LXRpdGxlPk1BUkUgUHVibGljYXRpb24gU2VyaWVzPC90ZXJ0aWFyeS10
aXRsZT48L3RpdGxlcz48cGVyaW9kaWNhbD48ZnVsbC10aXRsZT5FbnZpcm9ubWVudGFsIGdvdmVy
bmFuY2Ugb2YgdGhlIEJhbHRpYyBTZWE8L2Z1bGwtdGl0bGU+PC9wZXJpb2RpY2FsPjxwYWdlcz4y
MDUtMjI3PC9wYWdlcz48dm9sdW1lPjEwPC92b2x1bWU+PGRhdGVzPjx5ZWFyPjIwMTY8L3llYXI+
PC9kYXRlcz48aXNibj45NzgtMy0zMTktMjcwMDYtNzsgOTc4LTMtMzE5LTI3MDA1LTA8L2lzYm4+
PGFjY2Vzc2lvbi1udW0+V09TOjAwMDM4NjY5NTMwMDAxMDwvYWNjZXNzaW9uLW51bT48dXJscz48
cmVsYXRlZC11cmxzPjx1cmw+Jmx0O0dvIHRvIElTSSZndDs6Ly9XT1M6MDAwMzg2Njk1MzAwMDEw
PC91cmw+PC9yZWxhdGVkLXVybHM+PC91cmxzPjxlbGVjdHJvbmljLXJlc291cmNlLW51bT4xMC4x
MDA3Lzk3OC0zLTMxOS0yNzAwNi03Xzk8L2VsZWN0cm9uaWMtcmVzb3VyY2UtbnVtPjwvcmVjb3Jk
PjwvQ2l0ZT48Q2l0ZT48QXV0aG9yPkVrYW5heWFrZTwvQXV0aG9yPjxZZWFyPjIwMjA8L1llYXI+
PFJlY051bT40ODk5NTwvUmVjTnVtPjxyZWNvcmQ+PHJlYy1udW1iZXI+NDg5OTU8L3JlYy1udW1i
ZXI+PGZvcmVpZ24ta2V5cz48a2V5IGFwcD0iRU4iIGRiLWlkPSJhd3g5cmFkZHIweHgyaGV2MDVy
eHIwejA1d2VlcHdwdDBmZXgiIHRpbWVzdGFtcD0iMTU4MTQ5NzMyMCI+NDg5OTU8L2tleT48L2Zv
cmVpZ24ta2V5cz48cmVmLXR5cGUgbmFtZT0iSm91cm5hbCBBcnRpY2xlIj4xNzwvcmVmLXR5cGU+
PGNvbnRyaWJ1dG9ycz48YXV0aG9ycz48YXV0aG9yPkVrYW5heWFrZSwgRS4gTS4gQi4gUC48L2F1
dGhvcj48YXV0aG9yPlhpZSwgWWk8L2F1dGhvcj48YXV0aG9yPklicmFoaW0sIEFidWJha2FyIFNh
ZGlxPC9hdXRob3I+PGF1dGhvcj5LYXJ1bmFyYXRuZSwgTi4gVC4gUC48L2F1dGhvcj48YXV0aG9y
PkFobWFkLCBTaGFoemFkPC9hdXRob3I+PC9hdXRob3JzPjwvY29udHJpYnV0b3JzPjx0aXRsZXM+
PHRpdGxlPkVmZmVjdGl2ZSBnb3Zlcm5hbmNlIGZvciBtYW5hZ2VtZW50IG9mIGludmFzaXZlIGFs
aWVuIHBsYW50czogZXZpZGVuY2UgZnJvbSB0aGUgcGVyc3BlY3RpdmUgb2YgZm9yZXN0IGFuZCB3
aWxkbGlmZSBvZmZpY2VycyBpbiBTcmkgTGFua2E8L3RpdGxlPjxzZWNvbmRhcnktdGl0bGU+UGVl
cmo8L3NlY29uZGFyeS10aXRsZT48L3RpdGxlcz48cGVyaW9kaWNhbD48ZnVsbC10aXRsZT5QZWVy
ajwvZnVsbC10aXRsZT48L3BlcmlvZGljYWw+PHZvbHVtZT44PC92b2x1bWU+PGRhdGVzPjx5ZWFy
PjIwMjA8L3llYXI+PHB1Yi1kYXRlcz48ZGF0ZT5KYW4gNjwvZGF0ZT48L3B1Yi1kYXRlcz48L2Rh
dGVzPjxpc2JuPjIxNjctODM1OTwvaXNibj48YWNjZXNzaW9uLW51bT5XT1M6MDAwNTA2NTc1NzAw
MDE1PC9hY2Nlc3Npb24tbnVtPjx1cmxzPjxyZWxhdGVkLXVybHM+PHVybD4mbHQ7R28gdG8gSVNJ
Jmd0OzovL1dPUzowMDA1MDY1NzU3MDAwMTU8L3VybD48L3JlbGF0ZWQtdXJscz48L3VybHM+PGN1
c3RvbTc+ZTgzNDM8L2N1c3RvbTc+PGVsZWN0cm9uaWMtcmVzb3VyY2UtbnVtPjEwLjc3MTcvcGVl
cmouODM0MzwvZWxlY3Ryb25pYy1yZXNvdXJjZS1udW0+PC9yZWNvcmQ+PC9DaXRlPjxDaXRlPjxB
dXRob3I+RmFsa2VubWFyazwvQXV0aG9yPjxZZWFyPjIwMDc8L1llYXI+PFJlY051bT40OTE4ODwv
UmVjTnVtPjxyZWNvcmQ+PHJlYy1udW1iZXI+NDkxODg8L3JlYy1udW1iZXI+PGZvcmVpZ24ta2V5
cz48a2V5IGFwcD0iRU4iIGRiLWlkPSJhd3g5cmFkZHIweHgyaGV2MDVyeHIwejA1d2VlcHdwdDBm
ZXgiIHRpbWVzdGFtcD0iMTU4MTQ5NzMyMCI+NDkxODg8L2tleT48L2ZvcmVpZ24ta2V5cz48cmVm
LXR5cGUgbmFtZT0iQm9vayBTZWN0aW9uIj41PC9yZWYtdHlwZT48Y29udHJpYnV0b3JzPjxhdXRo
b3JzPjxhdXRob3I+RmFsa2VubWFyaywgTWFsaW48L2F1dGhvcj48L2F1dGhvcnM+PHNlY29uZGFy
eS1hdXRob3JzPjxhdXRob3I+VHVydG9uLCBBLiBSLjwvYXV0aG9yPjxhdXRob3I+SGF0dGluZ2gs
IEguIEouPC9hdXRob3I+PGF1dGhvcj5NYXJlZSwgRy4gQS48L2F1dGhvcj48YXV0aG9yPlJvdXgs
IEQuIEouPC9hdXRob3I+PGF1dGhvcj5DbGFhc3NlbiwgTS48L2F1dGhvcj48YXV0aG9yPlN0cnlk
b20sIFcuIEYuPC9hdXRob3I+PC9zZWNvbmRhcnktYXV0aG9ycz48L2NvbnRyaWJ1dG9ycz48dGl0
bGVzPjx0aXRsZT5Hb29kIGVjb3N5c3RlbSBnb3Zlcm5hbmNlOiBCYWxhbmNpbmcgZWNvc3lzdGVt
cyBhbmQgc29jaWFsIG5lZWRzPC90aXRsZT48c2Vjb25kYXJ5LXRpdGxlPkdvdmVybmFuY2UgYXMg
YSBUcmlhbG9ndWU6IEdvdmVybm1lbnQtU29jaWV0eS1TY2llbmNlIGluIFRyYW5zaXRpb248L3Nl
Y29uZGFyeS10aXRsZT48dGVydGlhcnktdGl0bGU+V2F0ZXIgUmVzb3VyY2VzIERldmVsb3BtZW50
IGFuZCBNYW5hZ2VtZW50PC90ZXJ0aWFyeS10aXRsZT48L3RpdGxlcz48cGFnZXM+NTktNzY8L3Bh
Z2VzPjxkYXRlcz48eWVhcj4yMDA3PC95ZWFyPjwvZGF0ZXM+PGlzYm4+OTc4LTMtNTQwLTQ2MjY1
LTE8L2lzYm4+PGFjY2Vzc2lvbi1udW0+V09TOjAwMDI0MzkyOTMwMDAwNDwvYWNjZXNzaW9uLW51
bT48dXJscz48cmVsYXRlZC11cmxzPjx1cmw+Jmx0O0dvIHRvIElTSSZndDs6Ly9XT1M6MDAwMjQz
OTI5MzAwMDA0PC91cmw+PC9yZWxhdGVkLXVybHM+PC91cmxzPjxlbGVjdHJvbmljLXJlc291cmNl
LW51bT4xMC4xMDA3Lzk3OC0zLTU0MC00NjI2Ni04XzQ8L2VsZWN0cm9uaWMtcmVzb3VyY2UtbnVt
PjwvcmVjb3JkPjwvQ2l0ZT48L0VuZE5vdGU+
</w:fldData>
        </w:fldChar>
      </w:r>
      <w:r w:rsidR="00C14761" w:rsidRPr="00F0011F">
        <w:rPr>
          <w:b w:val="0"/>
          <w:bCs/>
        </w:rPr>
        <w:instrText xml:space="preserve"> ADDIN EN.CITE </w:instrText>
      </w:r>
      <w:r w:rsidR="00C14761" w:rsidRPr="003E334B">
        <w:rPr>
          <w:b w:val="0"/>
          <w:bCs/>
          <w:i/>
          <w:iCs/>
        </w:rPr>
        <w:fldChar w:fldCharType="begin">
          <w:fldData xml:space="preserve">PEVuZE5vdGU+PENpdGU+PEF1dGhvcj5Kb25zc29uPC9BdXRob3I+PFllYXI+MjAxNjwvWWVhcj48
UmVjTnVtPjQ5MDk5PC9SZWNOdW0+PERpc3BsYXlUZXh0PihGYWxrZW5tYXJrIDIwMDcsIEpvbnNz
b24sIEJvc3Ryb20gZXQgYWwuIDIwMTYsIEVrYW5heWFrZSwgWGllIGV0IGFsLiAyMDIwKTwvRGlz
cGxheVRleHQ+PHJlY29yZD48cmVjLW51bWJlcj40OTA5OTwvcmVjLW51bWJlcj48Zm9yZWlnbi1r
ZXlzPjxrZXkgYXBwPSJFTiIgZGItaWQ9ImF3eDlyYWRkcjB4eDJoZXYwNXJ4cjB6MDV3ZWVwd3B0
MGZleCIgdGltZXN0YW1wPSIxNTgxNDk3MzIwIj40OTA5OTwva2V5PjwvZm9yZWlnbi1rZXlzPjxy
ZWYtdHlwZSBuYW1lPSJCb29rIFNlY3Rpb24iPjU8L3JlZi10eXBlPjxjb250cmlidXRvcnM+PGF1
dGhvcnM+PGF1dGhvcj5Kb25zc29uLCBBbm5hIE1hcmlhPC9hdXRob3I+PGF1dGhvcj5Cb3N0cm9t
LCBNYWdudXM8L2F1dGhvcj48YXV0aG9yPkRyZXllciwgTWFyaW9uPC9hdXRob3I+PGF1dGhvcj5T
b2RlcnN0cm9tLCBTYXJhPC9hdXRob3I+PC9hdXRob3JzPjxzZWNvbmRhcnktYXV0aG9ycz48YXV0
aG9yPkdpbGVrLCBNLjwvYXV0aG9yPjxhdXRob3I+S2FybHNzb24sIE0uPC9hdXRob3I+PGF1dGhv
cj5MaW5rZSwgUy48L2F1dGhvcj48YXV0aG9yPlNtb2xhcnosIEsuPC9hdXRob3I+PC9zZWNvbmRh
cnktYXV0aG9ycz48L2NvbnRyaWJ1dG9ycz48dGl0bGVzPjx0aXRsZT5SaXNrIENvbW11bmljYXRp
b24gYW5kIHRoZSBSb2xlIG9mIHRoZSBQdWJsaWM6IFRvd2FyZHMgSW5jbHVzaXZlIEVudmlyb25t
ZW50YWwgR292ZXJuYW5jZSBvZiB0aGUgQmFsdGljIFNlYT88L3RpdGxlPjxzZWNvbmRhcnktdGl0
bGU+RW52aXJvbm1lbnRhbCBHb3Zlcm5hbmNlIG9mIHRoZSBCYWx0aWMgU2VhPC9zZWNvbmRhcnkt
dGl0bGU+PHRlcnRpYXJ5LXRpdGxlPk1BUkUgUHVibGljYXRpb24gU2VyaWVzPC90ZXJ0aWFyeS10
aXRsZT48L3RpdGxlcz48cGVyaW9kaWNhbD48ZnVsbC10aXRsZT5FbnZpcm9ubWVudGFsIGdvdmVy
bmFuY2Ugb2YgdGhlIEJhbHRpYyBTZWE8L2Z1bGwtdGl0bGU+PC9wZXJpb2RpY2FsPjxwYWdlcz4y
MDUtMjI3PC9wYWdlcz48dm9sdW1lPjEwPC92b2x1bWU+PGRhdGVzPjx5ZWFyPjIwMTY8L3llYXI+
PC9kYXRlcz48aXNibj45NzgtMy0zMTktMjcwMDYtNzsgOTc4LTMtMzE5LTI3MDA1LTA8L2lzYm4+
PGFjY2Vzc2lvbi1udW0+V09TOjAwMDM4NjY5NTMwMDAxMDwvYWNjZXNzaW9uLW51bT48dXJscz48
cmVsYXRlZC11cmxzPjx1cmw+Jmx0O0dvIHRvIElTSSZndDs6Ly9XT1M6MDAwMzg2Njk1MzAwMDEw
PC91cmw+PC9yZWxhdGVkLXVybHM+PC91cmxzPjxlbGVjdHJvbmljLXJlc291cmNlLW51bT4xMC4x
MDA3Lzk3OC0zLTMxOS0yNzAwNi03Xzk8L2VsZWN0cm9uaWMtcmVzb3VyY2UtbnVtPjwvcmVjb3Jk
PjwvQ2l0ZT48Q2l0ZT48QXV0aG9yPkVrYW5heWFrZTwvQXV0aG9yPjxZZWFyPjIwMjA8L1llYXI+
PFJlY051bT40ODk5NTwvUmVjTnVtPjxyZWNvcmQ+PHJlYy1udW1iZXI+NDg5OTU8L3JlYy1udW1i
ZXI+PGZvcmVpZ24ta2V5cz48a2V5IGFwcD0iRU4iIGRiLWlkPSJhd3g5cmFkZHIweHgyaGV2MDVy
eHIwejA1d2VlcHdwdDBmZXgiIHRpbWVzdGFtcD0iMTU4MTQ5NzMyMCI+NDg5OTU8L2tleT48L2Zv
cmVpZ24ta2V5cz48cmVmLXR5cGUgbmFtZT0iSm91cm5hbCBBcnRpY2xlIj4xNzwvcmVmLXR5cGU+
PGNvbnRyaWJ1dG9ycz48YXV0aG9ycz48YXV0aG9yPkVrYW5heWFrZSwgRS4gTS4gQi4gUC48L2F1
dGhvcj48YXV0aG9yPlhpZSwgWWk8L2F1dGhvcj48YXV0aG9yPklicmFoaW0sIEFidWJha2FyIFNh
ZGlxPC9hdXRob3I+PGF1dGhvcj5LYXJ1bmFyYXRuZSwgTi4gVC4gUC48L2F1dGhvcj48YXV0aG9y
PkFobWFkLCBTaGFoemFkPC9hdXRob3I+PC9hdXRob3JzPjwvY29udHJpYnV0b3JzPjx0aXRsZXM+
PHRpdGxlPkVmZmVjdGl2ZSBnb3Zlcm5hbmNlIGZvciBtYW5hZ2VtZW50IG9mIGludmFzaXZlIGFs
aWVuIHBsYW50czogZXZpZGVuY2UgZnJvbSB0aGUgcGVyc3BlY3RpdmUgb2YgZm9yZXN0IGFuZCB3
aWxkbGlmZSBvZmZpY2VycyBpbiBTcmkgTGFua2E8L3RpdGxlPjxzZWNvbmRhcnktdGl0bGU+UGVl
cmo8L3NlY29uZGFyeS10aXRsZT48L3RpdGxlcz48cGVyaW9kaWNhbD48ZnVsbC10aXRsZT5QZWVy
ajwvZnVsbC10aXRsZT48L3BlcmlvZGljYWw+PHZvbHVtZT44PC92b2x1bWU+PGRhdGVzPjx5ZWFy
PjIwMjA8L3llYXI+PHB1Yi1kYXRlcz48ZGF0ZT5KYW4gNjwvZGF0ZT48L3B1Yi1kYXRlcz48L2Rh
dGVzPjxpc2JuPjIxNjctODM1OTwvaXNibj48YWNjZXNzaW9uLW51bT5XT1M6MDAwNTA2NTc1NzAw
MDE1PC9hY2Nlc3Npb24tbnVtPjx1cmxzPjxyZWxhdGVkLXVybHM+PHVybD4mbHQ7R28gdG8gSVNJ
Jmd0OzovL1dPUzowMDA1MDY1NzU3MDAwMTU8L3VybD48L3JlbGF0ZWQtdXJscz48L3VybHM+PGN1
c3RvbTc+ZTgzNDM8L2N1c3RvbTc+PGVsZWN0cm9uaWMtcmVzb3VyY2UtbnVtPjEwLjc3MTcvcGVl
cmouODM0MzwvZWxlY3Ryb25pYy1yZXNvdXJjZS1udW0+PC9yZWNvcmQ+PC9DaXRlPjxDaXRlPjxB
dXRob3I+RmFsa2VubWFyazwvQXV0aG9yPjxZZWFyPjIwMDc8L1llYXI+PFJlY051bT40OTE4ODwv
UmVjTnVtPjxyZWNvcmQ+PHJlYy1udW1iZXI+NDkxODg8L3JlYy1udW1iZXI+PGZvcmVpZ24ta2V5
cz48a2V5IGFwcD0iRU4iIGRiLWlkPSJhd3g5cmFkZHIweHgyaGV2MDVyeHIwejA1d2VlcHdwdDBm
ZXgiIHRpbWVzdGFtcD0iMTU4MTQ5NzMyMCI+NDkxODg8L2tleT48L2ZvcmVpZ24ta2V5cz48cmVm
LXR5cGUgbmFtZT0iQm9vayBTZWN0aW9uIj41PC9yZWYtdHlwZT48Y29udHJpYnV0b3JzPjxhdXRo
b3JzPjxhdXRob3I+RmFsa2VubWFyaywgTWFsaW48L2F1dGhvcj48L2F1dGhvcnM+PHNlY29uZGFy
eS1hdXRob3JzPjxhdXRob3I+VHVydG9uLCBBLiBSLjwvYXV0aG9yPjxhdXRob3I+SGF0dGluZ2gs
IEguIEouPC9hdXRob3I+PGF1dGhvcj5NYXJlZSwgRy4gQS48L2F1dGhvcj48YXV0aG9yPlJvdXgs
IEQuIEouPC9hdXRob3I+PGF1dGhvcj5DbGFhc3NlbiwgTS48L2F1dGhvcj48YXV0aG9yPlN0cnlk
b20sIFcuIEYuPC9hdXRob3I+PC9zZWNvbmRhcnktYXV0aG9ycz48L2NvbnRyaWJ1dG9ycz48dGl0
bGVzPjx0aXRsZT5Hb29kIGVjb3N5c3RlbSBnb3Zlcm5hbmNlOiBCYWxhbmNpbmcgZWNvc3lzdGVt
cyBhbmQgc29jaWFsIG5lZWRzPC90aXRsZT48c2Vjb25kYXJ5LXRpdGxlPkdvdmVybmFuY2UgYXMg
YSBUcmlhbG9ndWU6IEdvdmVybm1lbnQtU29jaWV0eS1TY2llbmNlIGluIFRyYW5zaXRpb248L3Nl
Y29uZGFyeS10aXRsZT48dGVydGlhcnktdGl0bGU+V2F0ZXIgUmVzb3VyY2VzIERldmVsb3BtZW50
IGFuZCBNYW5hZ2VtZW50PC90ZXJ0aWFyeS10aXRsZT48L3RpdGxlcz48cGFnZXM+NTktNzY8L3Bh
Z2VzPjxkYXRlcz48eWVhcj4yMDA3PC95ZWFyPjwvZGF0ZXM+PGlzYm4+OTc4LTMtNTQwLTQ2MjY1
LTE8L2lzYm4+PGFjY2Vzc2lvbi1udW0+V09TOjAwMDI0MzkyOTMwMDAwNDwvYWNjZXNzaW9uLW51
bT48dXJscz48cmVsYXRlZC11cmxzPjx1cmw+Jmx0O0dvIHRvIElTSSZndDs6Ly9XT1M6MDAwMjQz
OTI5MzAwMDA0PC91cmw+PC9yZWxhdGVkLXVybHM+PC91cmxzPjxlbGVjdHJvbmljLXJlc291cmNl
LW51bT4xMC4xMDA3Lzk3OC0zLTU0MC00NjI2Ni04XzQ8L2VsZWN0cm9uaWMtcmVzb3VyY2UtbnVt
PjwvcmVjb3JkPjwvQ2l0ZT48L0VuZE5vdGU+
</w:fldData>
        </w:fldChar>
      </w:r>
      <w:r w:rsidR="00C14761" w:rsidRPr="00F0011F">
        <w:rPr>
          <w:b w:val="0"/>
          <w:bCs/>
        </w:rPr>
        <w:instrText xml:space="preserve"> ADDIN EN.CITE.DATA </w:instrText>
      </w:r>
      <w:r w:rsidR="00C14761" w:rsidRPr="003E334B">
        <w:rPr>
          <w:b w:val="0"/>
          <w:bCs/>
          <w:i/>
          <w:iCs/>
        </w:rPr>
      </w:r>
      <w:r w:rsidR="00C14761" w:rsidRPr="003E334B">
        <w:rPr>
          <w:b w:val="0"/>
          <w:bCs/>
          <w:i/>
          <w:iCs/>
        </w:rPr>
        <w:fldChar w:fldCharType="end"/>
      </w:r>
      <w:r w:rsidR="00C14761" w:rsidRPr="003E334B">
        <w:rPr>
          <w:b w:val="0"/>
          <w:bCs/>
          <w:i/>
          <w:iCs/>
        </w:rPr>
      </w:r>
      <w:r w:rsidR="00C14761" w:rsidRPr="003E334B">
        <w:rPr>
          <w:b w:val="0"/>
          <w:bCs/>
          <w:i/>
          <w:iCs/>
        </w:rPr>
        <w:fldChar w:fldCharType="separate"/>
      </w:r>
      <w:r w:rsidR="00FF2C48" w:rsidRPr="003E334B">
        <w:rPr>
          <w:b w:val="0"/>
          <w:bCs/>
          <w:i/>
          <w:iCs/>
        </w:rPr>
        <w:fldChar w:fldCharType="begin"/>
      </w:r>
      <w:r w:rsidR="0006613E">
        <w:rPr>
          <w:b w:val="0"/>
          <w:bCs/>
        </w:rPr>
        <w:instrText xml:space="preserve"> ADDIN ZOTERO_ITEM CSL_CITATION {"citationID":"a2k3bnptq1s","properties":{"formattedCitation":"(Ekanayake et al., 2020; Falkenmark, 2007; Jonsson et al., 2016)","plainCitation":"(Ekanayake et al., 2020; Falkenmark, 2007; Jonsson et al., 2016)","noteIndex":0},"citationItems":[{"id":11350,"uris":["http://zotero.org/groups/2352922/items/U6EMKXQ4"],"itemData":{"id":11350,"type":"article-journal","abstract":"Invasive alien plants (IAPs) are a significant cause of socio-ecological change in Sri Lanka. Many studies have focused on the ecological dimensions of this problem, but few have addressed sociological factors such as the knowledge and perceptions of individuals and groups tasked with addressing IAPs. This study investigates how IAP issues are understood and perceived by professional forest and wildlife officers in Sri Lanka. The data analyzed were gathered using a questionnaire that covered three themes: The respondents' ability to identify IAPs, the impacts of IAPs and the threats they pose, and knowledge regarding control and mitigation. The questionnaire was completed by 186 field officers, and the resulting descriptive statistics and a probit regression analysis were used to analyze the data. The results show that almost all of the participating forest and wildlife officers were aware of the problems associated with IAPs but more than 75% of them lacked an accurate understanding of scientific means for controlling them and control policies established by the government of Sri Lanka. Generally, wildlife officers had a better understanding than forest officers. In addition, the analysis shows that officers' knowledge and perceptions of IAPs were positively correlated with their level of education and position within the organization. The analysis points to several recommendations for Sri Lankan officials when designing and implementing comprehensive policies and professional programs, particularly for lower-level field officers. © 2020 Ekanayake et al.","container-title":"PeerJ","DOI":"10.7717/peerj.8343","ISSN":"2167-8359","issue":"1","page":"e8343","title":"Effective governance for management of invasive alien plants: Evidence from the perspective of forest and wildlife officers in Sri Lanka","URL":"https://www.scopus.com/inward/record.uri?eid=2-s2.0-85078042073&amp;doi=10.7717%2fpeerj.8343&amp;partnerID=40&amp;md5=91fc511e59a5dc9a47ffd78acc069af8","volume":"8","author":[{"family":"Ekanayake","given":"E.M.B.P."},{"family":"Xie","given":"Y."},{"family":"Ibrahim","given":"A.S."},{"family":"Karunaratne","given":"N.T.P."},{"family":"Ahmad","given":"S."}],"issued":{"date-parts":[["2020"]]}},"label":"page"},{"id":24252,"uris":["http://zotero.org/groups/2352922/items/XDBT9A2Z"],"itemData":{"id":24252,"type":"chapter","collection-title":"Water Resources Development and Management","container-title":"Governance as a Trialogue: Government-Society-Science in Transition","event-place":"Berlin, Heidelberg","ISBN":"978-3-540-46265-1","note":"DOI: 10.1007/978-3-540-46266-8_4","page":"59-76","publisher":"Springer","publisher-place":"Berlin, Heidelberg","title":"Good ecosystem governance: Balancing ecosystems and social needs","author":[{"family":"Falkenmark","given":"Malin"}],"editor":[{"family":"Turton","given":"A. R."},{"family":"Hattingh","given":"H. J."},{"family":"Maree","given":"G. A."},{"family":"Roux","given":"D. J."},{"family":"Claassen","given":"M."},{"family":"Strydom","given":"W. F."}],"issued":{"date-parts":[["2007"]]}},"label":"page"},{"id":24204,"uris":["http://zotero.org/groups/2352922/items/79XB9BII"],"itemData":{"id":24204,"type":"chapter","collection-title":"MARE Publication Series","container-title":"Environmental Governance of the Baltic Sea","event-place":"Cham","ISBN":"978-3-319-27006-7","note":"DOI: 10.1007/978-3-319-27006-7_9","page":"205-227","publisher":"Springer","publisher-place":"Cham","title":"Risk Communication and the Role of the Public: Towards Inclusive Environmental Governance of the Baltic Sea?","volume":"10","author":[{"family":"Jonsson","given":"Anna Maria"},{"family":"Bostrom","given":"Magnus"},{"family":"Dreyer","given":"Marion"},{"family":"Soderstrom","given":"Sara"}],"editor":[{"family":"Gilek","given":"M."},{"family":"Karlsson","given":"M."},{"family":"Linke","given":"S."},{"family":"Smolarz","given":"K."}],"issued":{"date-parts":[["2016"]]}},"label":"page"}],"schema":"https://github.com/citation-style-language/schema/raw/master/csl-citation.json"} </w:instrText>
      </w:r>
      <w:r w:rsidR="00FF2C48" w:rsidRPr="003E334B">
        <w:rPr>
          <w:b w:val="0"/>
          <w:bCs/>
          <w:i/>
          <w:iCs/>
        </w:rPr>
        <w:fldChar w:fldCharType="separate"/>
      </w:r>
      <w:r w:rsidR="00FD65B1" w:rsidRPr="00F32369">
        <w:rPr>
          <w:b w:val="0"/>
        </w:rPr>
        <w:t>(Ekanayake et al., 2020; Falkenmark, 2007; Jonsson et al., 2016)</w:t>
      </w:r>
      <w:r w:rsidR="00FF2C48" w:rsidRPr="003E334B">
        <w:rPr>
          <w:b w:val="0"/>
          <w:bCs/>
          <w:i/>
          <w:iCs/>
        </w:rPr>
        <w:fldChar w:fldCharType="end"/>
      </w:r>
      <w:r w:rsidR="00C14761" w:rsidRPr="003E334B">
        <w:rPr>
          <w:b w:val="0"/>
          <w:bCs/>
          <w:i/>
          <w:iCs/>
        </w:rPr>
        <w:fldChar w:fldCharType="end"/>
      </w:r>
      <w:r w:rsidR="326765F3" w:rsidRPr="00F0011F">
        <w:rPr>
          <w:b w:val="0"/>
          <w:bCs/>
        </w:rPr>
        <w:t>.</w:t>
      </w:r>
    </w:p>
    <w:p w14:paraId="05228B30" w14:textId="21063795" w:rsidR="00054BA3" w:rsidRPr="00A9434B" w:rsidRDefault="21813E1E" w:rsidP="00585D0E">
      <w:pPr>
        <w:pStyle w:val="Heading5"/>
        <w:rPr>
          <w:i/>
          <w:iCs/>
        </w:rPr>
      </w:pPr>
      <w:r w:rsidRPr="00A9434B">
        <w:t>(10)</w:t>
      </w:r>
      <w:r w:rsidR="2919D68B" w:rsidRPr="00A9434B">
        <w:t xml:space="preserve"> </w:t>
      </w:r>
      <w:bookmarkStart w:id="150" w:name="_Toc75698970"/>
      <w:r w:rsidR="2919D68B" w:rsidRPr="00A9434B">
        <w:t>Conflicting interests and trade-offs</w:t>
      </w:r>
      <w:bookmarkEnd w:id="150"/>
      <w:r w:rsidR="002E5E8A" w:rsidRPr="00A9434B">
        <w:br/>
      </w:r>
      <w:r w:rsidR="00915FC4">
        <w:rPr>
          <w:b w:val="0"/>
          <w:bCs/>
        </w:rPr>
        <w:t>Conflicting interests and trade-offs</w:t>
      </w:r>
      <w:r w:rsidR="326765F3" w:rsidRPr="00A9434B">
        <w:rPr>
          <w:b w:val="0"/>
          <w:bCs/>
        </w:rPr>
        <w:t xml:space="preserve"> happen when externalities are not considered and when a priori risk assessment is not done</w:t>
      </w:r>
      <w:r w:rsidR="0B715CE9" w:rsidRPr="00A9434B">
        <w:rPr>
          <w:b w:val="0"/>
          <w:bCs/>
        </w:rPr>
        <w:t xml:space="preserve"> </w:t>
      </w:r>
      <w:r w:rsidR="559C0934" w:rsidRPr="00A9434B">
        <w:rPr>
          <w:b w:val="0"/>
          <w:bCs/>
        </w:rPr>
        <w:t>(</w:t>
      </w:r>
      <w:r w:rsidR="775A821C" w:rsidRPr="00A9434B">
        <w:rPr>
          <w:b w:val="0"/>
          <w:bCs/>
        </w:rPr>
        <w:t xml:space="preserve">e.g., </w:t>
      </w:r>
      <w:r w:rsidR="002E5E8A" w:rsidRPr="00A9434B">
        <w:rPr>
          <w:b w:val="0"/>
          <w:bCs/>
          <w:i/>
          <w:iCs/>
        </w:rPr>
        <w:fldChar w:fldCharType="begin"/>
      </w:r>
      <w:r w:rsidR="0006613E">
        <w:rPr>
          <w:b w:val="0"/>
          <w:bCs/>
        </w:rPr>
        <w:instrText xml:space="preserve"> ADDIN ZOTERO_ITEM CSL_CITATION {"citationID":"a232dndj9d1","properties":{"formattedCitation":"\\uldash{(Driscoll et al., 2014)}","plainCitation":"(Driscoll et al., 2014)","dontUpdate":true,"noteIndex":0},"citationItems":[{"id":31179,"uris":["http://zotero.org/groups/2352922/items/7WJ3HEZW"],"itemData":{"id":31179,"type":"article-journal","abstract":"Agricultural intensification is critical to meet global food demand, but intensification threatens native species and degrades ecosystems. Sustainable intensification (SI) is heralded as a new approach for enabling growth in agriculture while minimizing environmental impacts. However, the SI literature has overlooked a major environmental risk. Using data from eight countries on six continents, we show that few governments regulate conventionally bred pasture taxa to limit threats to natural areas, even though most agribusinesses promote taxa with substantial weed risk. New pasture taxa (including species, subspecies, varieties, cultivars, and plant-endophyte combinations) are bred with characteristics typical of invasive species and environmental weeds. By introducing novel genetic and endophyte variation, pasture taxa are imbued with additional capacity for invasion and environmental impact. New strategies to prevent future problems are urgently needed. We highlight opportunities for researchers, agribusiness, and consumers to reduce environmental risks associated with new pasture taxa. We also emphasize four main approaches that governments could consider as they build new policies to limit weed risks, including (i) national lists of taxa that are prohibited based on environmental risk; (ii) a weed risk assessment for all new taxa; (iii) a program to rapidly detect and control new taxa that invade natural areas; and (iv) the polluter-pays principle, so that if a taxon becomes an environmental weed, industry pays for its management. There is mounting pressure to increase livestock production. With foresight and planning, growth in agriculture can be achieved sustainably provided that the scope of SI expands to encompass environmental weed risks.","container-title":"Proceedings of the National Academy of Sciences","DOI":"10.1073/pnas.1409347111","ISSN":"0027-8424, 1091-6490","issue":"46","journalAbbreviation":"PNAS","language":"en","note":"publisher: National Academy of Sciences\nsection: Biological Sciences\nPMID: 25368175","page":"16622-16627","source":"www.pnas.org","title":"New pasture plants intensify invasive species risk","URL":"https://www.pnas.org/content/111/46/16622","volume":"111","author":[{"family":"Driscoll","given":"Don A."},{"family":"Catford","given":"Jane A."},{"family":"Barney","given":"Jacob N."},{"family":"Hulme","given":"Philip E."},{"literal":"Inderjit"},{"family":"Martin","given":"Tara G."},{"family":"Pauchard","given":"Aníbal"},{"family":"Pyšek","given":"Petr"},{"family":"Richardson","given":"David M."},{"family":"Riley","given":"Sophie"},{"family":"Visser","given":"Vernon"}],"accessed":{"date-parts":[["2021",10,29]]},"issued":{"date-parts":[["2014",11,18]]}},"label":"page"}],"schema":"https://github.com/citation-style-language/schema/raw/master/csl-citation.json"} </w:instrText>
      </w:r>
      <w:r w:rsidR="002E5E8A" w:rsidRPr="00A9434B">
        <w:rPr>
          <w:b w:val="0"/>
          <w:bCs/>
          <w:i/>
          <w:iCs/>
        </w:rPr>
        <w:fldChar w:fldCharType="separate"/>
      </w:r>
      <w:r w:rsidR="00A506B6" w:rsidRPr="00A9434B">
        <w:rPr>
          <w:b w:val="0"/>
          <w:bCs/>
        </w:rPr>
        <w:t>Driscoll et al., 2014)</w:t>
      </w:r>
      <w:r w:rsidR="002E5E8A" w:rsidRPr="00A9434B">
        <w:rPr>
          <w:b w:val="0"/>
          <w:bCs/>
          <w:i/>
          <w:iCs/>
        </w:rPr>
        <w:fldChar w:fldCharType="end"/>
      </w:r>
      <w:r w:rsidR="326765F3" w:rsidRPr="00A9434B">
        <w:rPr>
          <w:b w:val="0"/>
          <w:bCs/>
        </w:rPr>
        <w:t>, or is not inclus</w:t>
      </w:r>
      <w:r w:rsidR="4E6BDF6E" w:rsidRPr="00A9434B">
        <w:rPr>
          <w:b w:val="0"/>
          <w:bCs/>
        </w:rPr>
        <w:t>ive o</w:t>
      </w:r>
      <w:r w:rsidR="492F517E" w:rsidRPr="00A9434B">
        <w:rPr>
          <w:b w:val="0"/>
          <w:bCs/>
        </w:rPr>
        <w:t>f</w:t>
      </w:r>
      <w:r w:rsidR="4E6BDF6E" w:rsidRPr="00A9434B">
        <w:rPr>
          <w:b w:val="0"/>
          <w:bCs/>
        </w:rPr>
        <w:t xml:space="preserve"> sectors and stakeholders </w:t>
      </w:r>
      <w:r w:rsidR="002E5E8A" w:rsidRPr="00C27DCE">
        <w:rPr>
          <w:b w:val="0"/>
          <w:bCs/>
          <w:i/>
          <w:iCs/>
        </w:rPr>
        <w:fldChar w:fldCharType="begin"/>
      </w:r>
      <w:r w:rsidR="0006613E" w:rsidRPr="00C27DCE">
        <w:rPr>
          <w:b w:val="0"/>
          <w:bCs/>
        </w:rPr>
        <w:instrText xml:space="preserve"> ADDIN ZOTERO_ITEM CSL_CITATION {"citationID":"a17t2oh5pop","properties":{"formattedCitation":"(Woodford et al., 2016; Zengeya et al., 2017)","plainCitation":"(Woodford et al., 2016; Zengeya et al., 2017)","noteIndex":0},"citationItems":[{"id":23873,"uris":["http://zotero.org/groups/2352922/items/8FSDJWMU"],"itemData":{"id":23873,"type":"article-journal","abstract":"The Anthropocene Epoch is characterized by novel and increasingly complex dependencies between the environment and human civilization, with many challenges of biodiversity management emerging as wicked problems. Problems arising from the management of biological invasions can be either tame (with simple or obvious solutions) or wicked, where difficulty in appropriately defining the problem can make complete solutions impossible to find. We review four case studies that reflect the main goals in the management of biological invasions – prevention, eradication, and impact reduction – assessing the drivers and extent of wickedness in each. We find that a disconnect between the perception and reality of how wicked a problem is can profoundly influence the likelihood of successful management. For example, managing species introductions can be wicked, but shifting from species-focused to vector-focused risk management can greatly reduce the complexity, making it a tame problem. The scope and scale of the overall management goal will also dictate the wickedness of the problem and the achievability of management solutions (cf. eradication and ecosystem restoration). Finally, managing species that have both positive and negative impacts requires engagement with all stakeholders and scenario-based planning. Effective management of invasions requires either recognizing unavoidable wickedness, or circumventing it by seeking alternative management perspectives.","container-title":"NeoBiota","DOI":"10.3897/neobiota.31.10038","ISSN":"1314-2488, 1619-0033","journalAbbreviation":"NB","language":"en","page":"63-86","source":"DOI.org (Crossref)","title":"Confronting the wicked problem of managing biological invasions","URL":"http://neobiota.pensoft.net/articles.php?id=10038","volume":"31","author":[{"family":"Woodford","given":"Darragh J."},{"family":"Richardson","given":"David M."},{"family":"MacIsaac","given":"Hugh J."},{"family":"Mandrak","given":"Nicholas E."},{"family":"Wilgen","given":"Brian W.","non-dropping-particle":"van"},{"family":"Wilson","given":"John R. U."},{"family":"Weyl","given":"Olaf L. F."}],"accessed":{"date-parts":[["2019",11,3]]},"issued":{"date-parts":[["2016",9,14]]}},"label":"page"},{"id":26608,"uris":["http://zotero.org/groups/2352922/items/M4AISKGA","http://zotero.org/groups/2352922/items/TP69H5BB"],"itemData":{"id":26608,"type":"article-journal","abstract":"Background: This paper reviewed the benefits and negative impacts of alien species that are currently listed in the Alien and Invasive Species Regulations of the National Environmental Management: Biodiversity Act (Act no 10 of 2004) and certain alien species that are not yet listed in the regulations for which conflicts of interest complicate management.\nObjectives: Specifically, it identified conflict-generating species, evaluated the causes and driving forces of these conflicts and assessed how the conflicts have affected management.\nMethod: A simple scoring system was used to classify the alien species according to their relative degree of benefits and negative impacts. Conflict-generating species were then identified and further evaluated using an integrated cognitive hierarchy theory and risk perception framework to identify the value systems (intrinsic and economic) and risk perceptions associated with each conflict.\nResults: A total of 552 alien species were assessed. Most of the species were classified as inconsequential (55%) or destructive (29%). Beneficial (10%) and conflict-generating (6%) species made a minor contribution. The majority (46%) of the conflict cases were associated with more than one value system or both values and risk perception. The other conflicts cases were based on intrinsic (40%) and utilitarian (14%) value systems.\nConclusions: Conflicts based on value and risk perceptions are inherently difficult to resolve because authorities need to balance the needs of different stakeholders while meeting the mandate of conserving the environment, ecosystem services and human well-being. This paper uses the identified conflict-generating species to highlight the challenges and trade-offs of managing invasive species in South Africa.","container-title":"Bothalia","DOI":"10.4102/abc.v47i2.2160","ISSN":"2311-9284, 0006-8241","issue":"2","journalAbbreviation":"Bothalia","language":"en","page":"a2160","source":"DOI.org (Crossref)","title":"Managing conflict-generating invasive species in South Africa: Challenges and trade-offs","title-short":"Managing conflict-generating invasive species in South Africa","URL":"https://journals.abcjournal.aosis.co.za/index.php/abc/article/view/2160","volume":"47","author":[{"family":"Zengeya","given":"Tsungai A."},{"family":"Ivey","given":"Philip"},{"family":"Woodford","given":"Darragh J."},{"family":"Weyl","given":"Olaf"},{"family":"Novoa","given":"Ana"},{"family":"Shackleton","given":"Ross"},{"family":"Richardson","given":"David"},{"family":"Van Wilgen","given":"Brian"}],"accessed":{"date-parts":[["2019",11,5]]},"issued":{"date-parts":[["2017",3,31]]}},"label":"page"}],"schema":"https://github.com/citation-style-language/schema/raw/master/csl-citation.json"} </w:instrText>
      </w:r>
      <w:r w:rsidR="002E5E8A" w:rsidRPr="00C27DCE">
        <w:rPr>
          <w:b w:val="0"/>
          <w:bCs/>
          <w:i/>
          <w:iCs/>
        </w:rPr>
        <w:fldChar w:fldCharType="separate"/>
      </w:r>
      <w:r w:rsidR="00E452E2" w:rsidRPr="00C27DCE">
        <w:rPr>
          <w:b w:val="0"/>
          <w:bCs/>
        </w:rPr>
        <w:t>(Woodford et al., 2016; Zengeya et al., 2017)</w:t>
      </w:r>
      <w:r w:rsidR="002E5E8A" w:rsidRPr="00C27DCE">
        <w:rPr>
          <w:b w:val="0"/>
          <w:bCs/>
          <w:i/>
          <w:iCs/>
        </w:rPr>
        <w:fldChar w:fldCharType="end"/>
      </w:r>
      <w:r w:rsidR="20A2BD48" w:rsidRPr="00C27DCE">
        <w:rPr>
          <w:b w:val="0"/>
          <w:bCs/>
        </w:rPr>
        <w:t>.</w:t>
      </w:r>
      <w:r w:rsidR="326765F3" w:rsidRPr="00A9434B">
        <w:rPr>
          <w:b w:val="0"/>
          <w:bCs/>
        </w:rPr>
        <w:t xml:space="preserve"> </w:t>
      </w:r>
      <w:r w:rsidR="2CA93195" w:rsidRPr="00A9434B">
        <w:rPr>
          <w:b w:val="0"/>
          <w:bCs/>
        </w:rPr>
        <w:t xml:space="preserve">Since </w:t>
      </w:r>
      <w:r w:rsidR="5073C6EB" w:rsidRPr="00A9434B">
        <w:rPr>
          <w:b w:val="0"/>
          <w:bCs/>
        </w:rPr>
        <w:t xml:space="preserve">some invasive alien </w:t>
      </w:r>
      <w:r w:rsidR="2CA93195" w:rsidRPr="00A9434B">
        <w:rPr>
          <w:b w:val="0"/>
          <w:bCs/>
        </w:rPr>
        <w:t>s</w:t>
      </w:r>
      <w:r w:rsidR="326765F3" w:rsidRPr="00A9434B">
        <w:rPr>
          <w:b w:val="0"/>
          <w:bCs/>
        </w:rPr>
        <w:t>pecies can have both positive and negative impacts</w:t>
      </w:r>
      <w:r w:rsidR="5507145B" w:rsidRPr="00A9434B">
        <w:rPr>
          <w:b w:val="0"/>
          <w:bCs/>
        </w:rPr>
        <w:t>, control and eradication program</w:t>
      </w:r>
      <w:r w:rsidR="002268F3" w:rsidRPr="00A9434B">
        <w:rPr>
          <w:b w:val="0"/>
          <w:bCs/>
        </w:rPr>
        <w:t>me</w:t>
      </w:r>
      <w:r w:rsidR="5507145B" w:rsidRPr="00A9434B">
        <w:rPr>
          <w:b w:val="0"/>
          <w:bCs/>
        </w:rPr>
        <w:t>s can spark conflict</w:t>
      </w:r>
      <w:r w:rsidR="1661125A" w:rsidRPr="00A9434B">
        <w:rPr>
          <w:b w:val="0"/>
          <w:bCs/>
        </w:rPr>
        <w:t xml:space="preserve"> </w:t>
      </w:r>
      <w:r w:rsidR="00F806B6" w:rsidRPr="00A9434B">
        <w:rPr>
          <w:b w:val="0"/>
          <w:bCs/>
        </w:rPr>
        <w:t>(</w:t>
      </w:r>
      <w:r w:rsidR="0037768C">
        <w:rPr>
          <w:bCs/>
          <w:iCs/>
        </w:rPr>
        <w:t>C</w:t>
      </w:r>
      <w:r w:rsidR="1661125A" w:rsidRPr="00673554">
        <w:rPr>
          <w:bCs/>
          <w:iCs/>
        </w:rPr>
        <w:t>hapter 1</w:t>
      </w:r>
      <w:r w:rsidR="1661125A" w:rsidRPr="00673554">
        <w:rPr>
          <w:b w:val="0"/>
          <w:bCs/>
          <w:iCs/>
        </w:rPr>
        <w:t>,</w:t>
      </w:r>
      <w:r w:rsidR="1661125A" w:rsidRPr="00673554">
        <w:rPr>
          <w:bCs/>
          <w:iCs/>
        </w:rPr>
        <w:t xml:space="preserve"> Figure 1.1</w:t>
      </w:r>
      <w:r w:rsidR="0037768C" w:rsidRPr="00673554">
        <w:rPr>
          <w:b w:val="0"/>
          <w:bCs/>
        </w:rPr>
        <w:t xml:space="preserve">, </w:t>
      </w:r>
      <w:r w:rsidR="00F660A8" w:rsidRPr="00673554">
        <w:rPr>
          <w:bCs/>
          <w:iCs/>
        </w:rPr>
        <w:t>section 1.5.</w:t>
      </w:r>
      <w:r w:rsidR="00F660A8" w:rsidRPr="00673554">
        <w:rPr>
          <w:bCs/>
        </w:rPr>
        <w:t>2</w:t>
      </w:r>
      <w:r w:rsidR="00F660A8" w:rsidRPr="0037768C">
        <w:rPr>
          <w:b w:val="0"/>
          <w:bCs/>
        </w:rPr>
        <w:t>;</w:t>
      </w:r>
      <w:r w:rsidR="00F660A8" w:rsidRPr="00673554">
        <w:rPr>
          <w:bCs/>
        </w:rPr>
        <w:t xml:space="preserve"> </w:t>
      </w:r>
      <w:r w:rsidR="0037768C">
        <w:rPr>
          <w:bCs/>
          <w:iCs/>
        </w:rPr>
        <w:t>C</w:t>
      </w:r>
      <w:r w:rsidR="1661125A" w:rsidRPr="00673554">
        <w:rPr>
          <w:bCs/>
          <w:iCs/>
        </w:rPr>
        <w:t>hapter 4</w:t>
      </w:r>
      <w:r w:rsidR="1661125A" w:rsidRPr="00673554">
        <w:rPr>
          <w:b w:val="0"/>
          <w:bCs/>
          <w:iCs/>
        </w:rPr>
        <w:t>,</w:t>
      </w:r>
      <w:r w:rsidR="1661125A" w:rsidRPr="00673554">
        <w:rPr>
          <w:bCs/>
          <w:iCs/>
        </w:rPr>
        <w:t xml:space="preserve"> section 4.1.</w:t>
      </w:r>
      <w:r w:rsidR="003A7C3E" w:rsidRPr="00673554">
        <w:rPr>
          <w:bCs/>
          <w:iCs/>
        </w:rPr>
        <w:t>2</w:t>
      </w:r>
      <w:r w:rsidR="1661125A" w:rsidRPr="00A9434B">
        <w:rPr>
          <w:b w:val="0"/>
          <w:bCs/>
        </w:rPr>
        <w:t>)</w:t>
      </w:r>
      <w:r w:rsidR="326765F3" w:rsidRPr="00A9434B">
        <w:rPr>
          <w:b w:val="0"/>
          <w:bCs/>
        </w:rPr>
        <w:t xml:space="preserve">. There is also the </w:t>
      </w:r>
      <w:r w:rsidR="46A5894F" w:rsidRPr="00A9434B">
        <w:rPr>
          <w:b w:val="0"/>
          <w:bCs/>
        </w:rPr>
        <w:t xml:space="preserve">often challenging need to strike a </w:t>
      </w:r>
      <w:r w:rsidR="326765F3" w:rsidRPr="00A9434B">
        <w:rPr>
          <w:b w:val="0"/>
          <w:bCs/>
        </w:rPr>
        <w:t>balance between short term needs and the long-term maintenance of good quality of life</w:t>
      </w:r>
      <w:r w:rsidR="002A01E3" w:rsidRPr="00A9434B">
        <w:rPr>
          <w:b w:val="0"/>
          <w:bCs/>
        </w:rPr>
        <w:t>, alongside the uncertainty and challenges in making predictions outlined above</w:t>
      </w:r>
      <w:r w:rsidR="326765F3" w:rsidRPr="00A9434B">
        <w:rPr>
          <w:b w:val="0"/>
          <w:bCs/>
        </w:rPr>
        <w:t>.</w:t>
      </w:r>
    </w:p>
    <w:p w14:paraId="1942590D" w14:textId="77777777" w:rsidR="00C14761" w:rsidRPr="00A9434B" w:rsidRDefault="6E071365" w:rsidP="00C73655">
      <w:pPr>
        <w:pStyle w:val="Heading2"/>
      </w:pPr>
      <w:bookmarkStart w:id="151" w:name="_Toc48479719"/>
      <w:bookmarkStart w:id="152" w:name="_Toc48931061"/>
      <w:bookmarkStart w:id="153" w:name="_Toc49506795"/>
      <w:bookmarkStart w:id="154" w:name="_Toc75698971"/>
      <w:bookmarkStart w:id="155" w:name="_Toc1459258401"/>
      <w:bookmarkStart w:id="156" w:name="_Toc133428298"/>
      <w:bookmarkStart w:id="157" w:name="_Toc133428784"/>
      <w:bookmarkStart w:id="158" w:name="_Toc147417579"/>
      <w:r w:rsidRPr="00A9434B">
        <w:t xml:space="preserve">Options for strengthening the governance </w:t>
      </w:r>
      <w:bookmarkEnd w:id="151"/>
      <w:bookmarkEnd w:id="152"/>
      <w:bookmarkEnd w:id="153"/>
      <w:bookmarkEnd w:id="154"/>
      <w:bookmarkEnd w:id="155"/>
      <w:r w:rsidR="008C4602" w:rsidRPr="00A9434B">
        <w:t>for biological invasions</w:t>
      </w:r>
      <w:bookmarkEnd w:id="156"/>
      <w:bookmarkEnd w:id="157"/>
      <w:bookmarkEnd w:id="158"/>
    </w:p>
    <w:p w14:paraId="215F0C6F" w14:textId="785E815E" w:rsidR="00C14761" w:rsidRPr="00A9434B" w:rsidRDefault="00C14761" w:rsidP="006B3143">
      <w:r w:rsidRPr="00A9434B">
        <w:t xml:space="preserve">“Current environmental challenges call for new interdisciplinary approaches </w:t>
      </w:r>
      <w:r w:rsidR="008A6C66" w:rsidRPr="00A9434B">
        <w:t>at</w:t>
      </w:r>
      <w:r w:rsidRPr="00A9434B">
        <w:t xml:space="preserve"> the interface of natural and social sciences, framed in a context of governance and decision-making by actors from the state, market and civil society” </w:t>
      </w:r>
      <w:r w:rsidRPr="00A9434B">
        <w:fldChar w:fldCharType="begin"/>
      </w:r>
      <w:r w:rsidRPr="00A9434B">
        <w:instrText xml:space="preserve"> ADDIN EN.CITE &lt;EndNote&gt;&lt;Cite&gt;&lt;Author&gt;Padt&lt;/Author&gt;&lt;Year&gt;2014&lt;/Year&gt;&lt;RecNum&gt;48851&lt;/RecNum&gt;&lt;DisplayText&gt;(Padt, Opdam et al. 2014)&lt;/DisplayText&gt;&lt;record&gt;&lt;rec-number&gt;48851&lt;/rec-number&gt;&lt;foreign-keys&gt;&lt;key app="EN" db-id="awx9raddr0xx2hev05rxr0z05weepwpt0fex" timestamp="1574811738"&gt;48851&lt;/key&gt;&lt;/foreign-keys&gt;&lt;ref-type name="Book"&gt;6&lt;/ref-type&gt;&lt;contributors&gt;&lt;authors&gt;&lt;author&gt;Padt, F&lt;/author&gt;&lt;author&gt;Opdam, P.&lt;/author&gt;&lt;author&gt;Polman, N&lt;/author&gt;&lt;author&gt;Termeer, C&lt;/author&gt;&lt;/authors&gt;&lt;/contributors&gt;&lt;titles&gt;&lt;title&gt;Scale-sensitive governance of the environment&lt;/title&gt;&lt;/titles&gt;&lt;section&gt;321&lt;/section&gt;&lt;dates&gt;&lt;year&gt;2014&lt;/year&gt;&lt;/dates&gt;&lt;pub-location&gt;West Sussex, U.K.&lt;/pub-location&gt;&lt;publisher&gt;John Wiley &amp;amp; Sons&lt;/publisher&gt;&lt;isbn&gt;978-1-118-56715-9&lt;/isbn&gt;&lt;urls&gt;&lt;/urls&gt;&lt;/record&gt;&lt;/Cite&gt;&lt;/EndNote&gt;</w:instrText>
      </w:r>
      <w:r w:rsidRPr="00A9434B">
        <w:fldChar w:fldCharType="separate"/>
      </w:r>
      <w:r w:rsidR="006E3A7D" w:rsidRPr="00A9434B">
        <w:fldChar w:fldCharType="begin"/>
      </w:r>
      <w:r w:rsidR="0006613E">
        <w:instrText xml:space="preserve"> ADDIN ZOTERO_ITEM CSL_CITATION {"citationID":"aek2skrb2o","properties":{"formattedCitation":"(Padt et al., 2014)","plainCitation":"(Padt et al., 2014)","noteIndex":0},"citationItems":[{"id":12452,"uris":["http://zotero.org/groups/2352922/items/T7459YM9"],"itemData":{"id":12452,"type":"book","event-place":"West Sussex, U.K.","ISBN":"978-1-118-56715-9","note":"DOI: 10.1002/9781118567135","publisher":"John Wiley &amp; Sons","publisher-place":"West Sussex, U.K.","title":"Scale-sensitive governance of the environment","editor":[{"family":"Padt","given":"F."},{"family":"Opdam","given":"P. F. M."},{"family":"Polman","given":"N. B. P."},{"family":"Termeer","given":"C. J. A. M."}],"issued":{"date-parts":[["2014"]]}},"label":"page"}],"schema":"https://github.com/citation-style-language/schema/raw/master/csl-citation.json"} </w:instrText>
      </w:r>
      <w:r w:rsidR="006E3A7D" w:rsidRPr="00A9434B">
        <w:fldChar w:fldCharType="separate"/>
      </w:r>
      <w:r w:rsidR="00C71E80" w:rsidRPr="00A9434B">
        <w:t>(Padt et al., 2014)</w:t>
      </w:r>
      <w:r w:rsidR="006E3A7D" w:rsidRPr="00A9434B">
        <w:fldChar w:fldCharType="end"/>
      </w:r>
      <w:r w:rsidRPr="00A9434B">
        <w:fldChar w:fldCharType="end"/>
      </w:r>
      <w:r w:rsidR="00606DEE" w:rsidRPr="00A9434B">
        <w:t>.</w:t>
      </w:r>
    </w:p>
    <w:p w14:paraId="2AB13654" w14:textId="6EBB41BE" w:rsidR="00017C04" w:rsidRDefault="00F50AF9">
      <w:pPr>
        <w:rPr>
          <w:i/>
        </w:rPr>
      </w:pPr>
      <w:bookmarkStart w:id="159" w:name="_heading=h.ihv636" w:colFirst="0" w:colLast="0"/>
      <w:bookmarkStart w:id="160" w:name="_heading=h.32hioqz" w:colFirst="0" w:colLast="0"/>
      <w:bookmarkStart w:id="161" w:name="_heading=h.1hmsyys"/>
      <w:bookmarkStart w:id="162" w:name="_heading=h.41mghml" w:colFirst="0" w:colLast="0"/>
      <w:bookmarkStart w:id="163" w:name="_heading=h.2grqrue"/>
      <w:bookmarkStart w:id="164" w:name="_heading=h.vx1227" w:colFirst="0" w:colLast="0"/>
      <w:bookmarkEnd w:id="159"/>
      <w:bookmarkEnd w:id="160"/>
      <w:bookmarkEnd w:id="161"/>
      <w:bookmarkEnd w:id="162"/>
      <w:bookmarkEnd w:id="163"/>
      <w:bookmarkEnd w:id="164"/>
      <w:r>
        <w:t>The challenges outlined in the previous section provide a platform for identifying a range of options for strengthening the governance for biological invasions. Governance-related options that emerged from the literature review</w:t>
      </w:r>
      <w:r w:rsidRPr="00C27DCE">
        <w:rPr>
          <w:vertAlign w:val="superscript"/>
        </w:rPr>
        <w:footnoteReference w:id="6"/>
      </w:r>
      <w:r w:rsidRPr="00C27DCE">
        <w:rPr>
          <w:color w:val="FF0000"/>
          <w:vertAlign w:val="superscript"/>
        </w:rPr>
        <w:t xml:space="preserve"> </w:t>
      </w:r>
      <w:r>
        <w:t xml:space="preserve">are summarized in </w:t>
      </w:r>
      <w:r w:rsidR="00722BA0" w:rsidRPr="004D7189">
        <w:rPr>
          <w:b/>
          <w:bCs/>
        </w:rPr>
        <w:t>Table</w:t>
      </w:r>
      <w:r>
        <w:rPr>
          <w:b/>
        </w:rPr>
        <w:t xml:space="preserve"> 6.6</w:t>
      </w:r>
      <w:r>
        <w:t xml:space="preserve"> under six general topics: strategy; multilevel and multisector governance; coordination and cooperation; policy environments that are enabling; research and information and </w:t>
      </w:r>
      <w:r w:rsidR="00C27DCE">
        <w:t>their</w:t>
      </w:r>
      <w:r>
        <w:t xml:space="preserve"> communication; and governance capability, capacity</w:t>
      </w:r>
      <w:r w:rsidR="00896CEC">
        <w:t xml:space="preserve"> and</w:t>
      </w:r>
      <w:r>
        <w:t xml:space="preserve"> resourcing. Governance provides an overarching instrument for dealing with complex systems and is considered one of the most important factors to achieve desired environmental outcomes </w:t>
      </w:r>
      <w:r w:rsidR="004F698E" w:rsidRPr="00A9434B">
        <w:fldChar w:fldCharType="begin"/>
      </w:r>
      <w:r w:rsidR="0006613E">
        <w:instrText xml:space="preserve"> ADDIN ZOTERO_ITEM CSL_CITATION {"citationID":"a5kotvtq3","properties":{"formattedCitation":"(Bennett &amp; Satterfield, 2018)","plainCitation":"(Bennett &amp; Satterfield, 2018)","noteIndex":0},"citationItems":[{"id":32745,"uris":["http://zotero.org/groups/2352922/items/LN6UG9GJ"],"itemData":{"id":32745,"type":"article-journal","abstract":"Governance is one of the most important factors for ensuring effective environmental management and conservation actions. Yet, there is still a relative paucity of comprehensive and practicable guidance that can be used to frame the evaluation, design, and analysis of systems of environmental governance. This conceptual review and synthesis article seeks to addresses this problem through resituating the broad body of governance literature into a practical framework for environmental governance. Our framework builds on a rich history of governance scholarship to propose that environmental governance has four general aims or objectives – to be effective, to be equitable, to be responsive, and to be robust. Each of these four objectives need to be considered simultaneously across the institutional, structural, and procedural elements of environmental governance. Through a review of the literature, we developed a set of attributes for each of these objectives and relate these to the overall capacity, functioning, and performance of environmental governance. Our aim is to provide a practical and adaptable framework that can be applied to the design, evaluation, and analysis of environmental governance in different social and political contexts, to diverse environmental problems and modes of governance, and at a range of scales.","container-title":"Conservation Letters","DOI":"10.1111/conl.12600","ISSN":"1755-263X","issue":"6","language":"en","note":"_eprint: https://conbio.onlinelibrary.wiley.com/doi/pdf/10.1111/conl.12600","page":"e12600","source":"Wiley Online Library","title":"Environmental governance: A practical framework to guide design, evaluation, and analysis","title-short":"Environmental governance","URL":"https://doi.org/10.1111/conl.12600","volume":"11","author":[{"family":"Bennett","given":"Nathan J."},{"family":"Satterfield","given":"Terre"}],"accessed":{"date-parts":[["2021",8,25]]},"issued":{"date-parts":[["2018"]]}},"label":"page"}],"schema":"https://github.com/citation-style-language/schema/raw/master/csl-citation.json"} </w:instrText>
      </w:r>
      <w:r w:rsidR="004F698E" w:rsidRPr="00A9434B">
        <w:fldChar w:fldCharType="separate"/>
      </w:r>
      <w:r w:rsidR="00C71E80" w:rsidRPr="00A9434B">
        <w:t>(Bennett &amp; Satterfield, 2018)</w:t>
      </w:r>
      <w:r w:rsidR="004F698E" w:rsidRPr="00A9434B">
        <w:fldChar w:fldCharType="end"/>
      </w:r>
      <w:r w:rsidR="326765F3" w:rsidRPr="00A9434B">
        <w:t>.</w:t>
      </w:r>
      <w:r>
        <w:t xml:space="preserve"> The many considerations and elements of successful governance for biological invasions are well illustrated by the case of the invasive alien shrub, </w:t>
      </w:r>
      <w:r>
        <w:rPr>
          <w:i/>
        </w:rPr>
        <w:t xml:space="preserve">Mimosa pigra </w:t>
      </w:r>
      <w:r>
        <w:t xml:space="preserve">(giant sensitive plant), in Zambia </w:t>
      </w:r>
      <w:r w:rsidR="785040C3" w:rsidRPr="00A9434B">
        <w:t>(</w:t>
      </w:r>
      <w:r w:rsidR="00B9562C" w:rsidRPr="00673554">
        <w:rPr>
          <w:b/>
          <w:iCs/>
        </w:rPr>
        <w:fldChar w:fldCharType="begin"/>
      </w:r>
      <w:r w:rsidR="00B9562C" w:rsidRPr="00673554">
        <w:rPr>
          <w:b/>
          <w:iCs/>
        </w:rPr>
        <w:instrText xml:space="preserve"> REF _Ref104898409 \h  \* MERGEFORMAT </w:instrText>
      </w:r>
      <w:r w:rsidR="00B9562C" w:rsidRPr="00673554">
        <w:rPr>
          <w:b/>
          <w:iCs/>
        </w:rPr>
      </w:r>
      <w:r w:rsidR="00B9562C" w:rsidRPr="00673554">
        <w:rPr>
          <w:b/>
          <w:iCs/>
        </w:rPr>
        <w:fldChar w:fldCharType="separate"/>
      </w:r>
      <w:r w:rsidR="0011368C" w:rsidRPr="00673554">
        <w:rPr>
          <w:b/>
          <w:iCs/>
        </w:rPr>
        <w:t>Box 6.4</w:t>
      </w:r>
      <w:r w:rsidR="00B9562C" w:rsidRPr="00673554">
        <w:rPr>
          <w:b/>
          <w:iCs/>
        </w:rPr>
        <w:fldChar w:fldCharType="end"/>
      </w:r>
      <w:r w:rsidR="785040C3" w:rsidRPr="00A9434B">
        <w:t>).</w:t>
      </w:r>
      <w:r>
        <w:t xml:space="preserve"> </w:t>
      </w:r>
    </w:p>
    <w:p w14:paraId="6B7E0DE7" w14:textId="20D614E1" w:rsidR="00017C04" w:rsidRDefault="00F50AF9">
      <w:pPr>
        <w:spacing w:after="0"/>
      </w:pPr>
      <w:r>
        <w:t>As context for the section</w:t>
      </w:r>
      <w:r w:rsidR="00C27DCE">
        <w:t>s</w:t>
      </w:r>
      <w:r>
        <w:t xml:space="preserve"> to follow, three key points can be made about the literature and evidence in support of governance approaches for biological invasions:</w:t>
      </w:r>
    </w:p>
    <w:p w14:paraId="5DE84B81" w14:textId="77777777" w:rsidR="00017C04" w:rsidRDefault="00F50AF9" w:rsidP="00C73655">
      <w:pPr>
        <w:pStyle w:val="ListParagraph"/>
        <w:numPr>
          <w:ilvl w:val="0"/>
          <w:numId w:val="71"/>
        </w:numPr>
        <w:spacing w:before="0"/>
      </w:pPr>
      <w:r w:rsidRPr="00C73655">
        <w:t xml:space="preserve">While there is literature on the topic of biological invasions governance (assessed and drawn upon in the formulation in this section), only a small proportion of this literature critically evaluates, with empirical data in an invasive alien species context, the strengths and weaknesses of particular or alternative governance models and overarching governance systems. </w:t>
      </w:r>
    </w:p>
    <w:p w14:paraId="33A585FB" w14:textId="77777777" w:rsidR="00017C04" w:rsidRDefault="00F50AF9" w:rsidP="00C73655">
      <w:pPr>
        <w:pStyle w:val="ListParagraph"/>
        <w:numPr>
          <w:ilvl w:val="0"/>
          <w:numId w:val="71"/>
        </w:numPr>
      </w:pPr>
      <w:r w:rsidRPr="00C73655">
        <w:t xml:space="preserve">The most useful and evidence-based literature comes from comparatively extensive and relevant work on environmental governance more broadly. </w:t>
      </w:r>
    </w:p>
    <w:p w14:paraId="7011BA29" w14:textId="18452638" w:rsidR="00017C04" w:rsidRDefault="00F50AF9" w:rsidP="00C73655">
      <w:pPr>
        <w:pStyle w:val="ListParagraph"/>
        <w:numPr>
          <w:ilvl w:val="0"/>
          <w:numId w:val="71"/>
        </w:numPr>
      </w:pPr>
      <w:r w:rsidRPr="00C73655">
        <w:t>As a result, many of the options, tools</w:t>
      </w:r>
      <w:r w:rsidR="00896CEC">
        <w:t xml:space="preserve"> and</w:t>
      </w:r>
      <w:r w:rsidRPr="00C73655">
        <w:t xml:space="preserve"> approaches are not particular to biological invasions and evidence for them is steeped in different domains and areas of expertise </w:t>
      </w:r>
      <w:r w:rsidR="00C14761" w:rsidRPr="00A9434B">
        <w:fldChar w:fldCharType="begin"/>
      </w:r>
      <w:r w:rsidR="0006613E">
        <w:instrText xml:space="preserve"> ADDIN ZOTERO_ITEM CSL_CITATION {"citationID":"at18ji88ie","properties":{"formattedCitation":"(Weitz et al., 2017)","plainCitation":"(Weitz et al., 2017)","noteIndex":0},"citationItems":[{"id":30287,"uris":["http://zotero.org/groups/2352922/items/CL6TRYIG"],"itemData":{"id":30287,"type":"article-journal","abstract":"The water-energy-food nexus has become a popular concept in environmental change research and policy debates. Proponents suggest that a nexus approach promotes policy coherence through identifying optimal policy mixes and governance arrangements across the water, energy and food sectors. Although the nexus literature identifies some barriers to achieving coherence it does not clearly explain why the barriers are present, what influences them, and how they can be acted upon. These gaps disconnect the nexus literature from the governance processes it ultimately seeks to influence. This paper examines how the integrative environmental governance literature can help to close these gaps. It extracts insights from seven streams of research literature and discusses their relevance for the nexus literature. We argue that connecting the nexus to decision-making processes requires: i) rethinking the boundaries of nexus analysis vis-à-vis other sectors and levels; ii) elaboration of shared principles that can guide decision-making towards policy coherence − or an appropriate form of fragmentation − in different contexts; iii) viewing policy coherence as a continuous process of changing values and perception rather than as an outcome.","container-title":"Global Environmental Change","DOI":"10.1016/j.gloenvcha.2017.06.006","ISSN":"0959-3780","journalAbbreviation":"Global Environmental Change","language":"en","page":"165-173","source":"ScienceDirect","title":"Closing the governance gaps in the water-energy-food nexus: Insights from integrative governance","title-short":"Closing the governance gaps in the water-energy-food nexus","URL":"https://www.sciencedirect.com/science/article/pii/S0959378017300031","volume":"45","author":[{"family":"Weitz","given":"Nina"},{"family":"Strambo","given":"Claudia"},{"family":"Kemp-Benedict","given":"Eric"},{"family":"Nilsson","given":"Måns"}],"accessed":{"date-parts":[["2021",8,25]]},"issued":{"date-parts":[["2017",7,1]]}},"label":"page"}],"schema":"https://github.com/citation-style-language/schema/raw/master/csl-citation.json"} </w:instrText>
      </w:r>
      <w:r w:rsidR="00C14761" w:rsidRPr="00A9434B">
        <w:fldChar w:fldCharType="separate"/>
      </w:r>
      <w:r w:rsidR="00C71E80" w:rsidRPr="00A9434B">
        <w:t>(Weitz et al., 2017)</w:t>
      </w:r>
      <w:r w:rsidR="00C14761" w:rsidRPr="00A9434B">
        <w:fldChar w:fldCharType="end"/>
      </w:r>
      <w:r w:rsidR="00495518" w:rsidRPr="00A9434B">
        <w:t>.</w:t>
      </w:r>
      <w:r w:rsidRPr="00C73655">
        <w:t xml:space="preserve"> Since an assessment of environmental governance is beyond the scope of this assessment – the field is interdisciplinary and itself developing rapidly – this section draws on some of the general frameworks and thinking on environmental governance that align with insights from biological invasion-specific literature, and refers to key findings in depth only where there is evidence specific to biological invasions.</w:t>
      </w:r>
    </w:p>
    <w:p w14:paraId="731F97C6" w14:textId="457D92DF" w:rsidR="00017C04" w:rsidRPr="00C73655" w:rsidRDefault="00F50AF9" w:rsidP="00C73655">
      <w:pPr>
        <w:pStyle w:val="Caption"/>
        <w:pBdr>
          <w:top w:val="single" w:sz="4" w:space="1" w:color="auto"/>
          <w:left w:val="single" w:sz="4" w:space="1" w:color="auto"/>
          <w:bottom w:val="single" w:sz="4" w:space="1" w:color="auto"/>
          <w:right w:val="single" w:sz="4" w:space="1" w:color="auto"/>
        </w:pBdr>
        <w:shd w:val="clear" w:color="auto" w:fill="E7E6E6" w:themeFill="background2"/>
      </w:pPr>
      <w:bookmarkStart w:id="165" w:name="_heading=h.1v1yuxt" w:colFirst="0" w:colLast="0"/>
      <w:bookmarkStart w:id="166" w:name="_Ref104898409"/>
      <w:bookmarkStart w:id="167" w:name="_Toc147418613"/>
      <w:bookmarkEnd w:id="165"/>
      <w:r w:rsidRPr="00C73655">
        <w:lastRenderedPageBreak/>
        <w:t>Box 6</w:t>
      </w:r>
      <w:r w:rsidR="00E1420F" w:rsidRPr="00A9434B">
        <w:t>.</w:t>
      </w:r>
      <w:r w:rsidR="007C7AC3">
        <w:fldChar w:fldCharType="begin"/>
      </w:r>
      <w:r w:rsidR="007C7AC3">
        <w:instrText xml:space="preserve"> SEQ Box_6. \* ARABIC </w:instrText>
      </w:r>
      <w:r w:rsidR="007C7AC3">
        <w:fldChar w:fldCharType="separate"/>
      </w:r>
      <w:r w:rsidR="0011368C">
        <w:rPr>
          <w:noProof/>
        </w:rPr>
        <w:t>4</w:t>
      </w:r>
      <w:r w:rsidR="007C7AC3">
        <w:rPr>
          <w:noProof/>
        </w:rPr>
        <w:fldChar w:fldCharType="end"/>
      </w:r>
      <w:bookmarkEnd w:id="166"/>
      <w:r w:rsidR="00FF59A9" w:rsidRPr="00A9434B">
        <w:t>.</w:t>
      </w:r>
      <w:r w:rsidRPr="00C73655">
        <w:t xml:space="preserve"> Restoring the Kafue flats: a case study of integrated management and effective governance of the invasive shrub, </w:t>
      </w:r>
      <w:r w:rsidRPr="00C73655">
        <w:rPr>
          <w:i/>
        </w:rPr>
        <w:t>Mimosa pigra</w:t>
      </w:r>
      <w:r w:rsidRPr="00C73655">
        <w:t xml:space="preserve"> in Zambia</w:t>
      </w:r>
      <w:bookmarkEnd w:id="167"/>
    </w:p>
    <w:p w14:paraId="1E0E81E4" w14:textId="22AA4041" w:rsidR="00017C04" w:rsidRDefault="00F50AF9" w:rsidP="00C73655">
      <w:pPr>
        <w:pBdr>
          <w:top w:val="single" w:sz="4" w:space="1" w:color="auto"/>
          <w:left w:val="single" w:sz="4" w:space="1" w:color="auto"/>
          <w:bottom w:val="single" w:sz="4" w:space="1" w:color="auto"/>
          <w:right w:val="single" w:sz="4" w:space="1" w:color="auto"/>
        </w:pBdr>
        <w:shd w:val="clear" w:color="auto" w:fill="E7E6E6" w:themeFill="background2"/>
        <w:spacing w:before="0" w:after="0"/>
        <w:rPr>
          <w:rFonts w:ascii="Calibri" w:eastAsia="Calibri" w:hAnsi="Calibri" w:cs="Calibri"/>
          <w:color w:val="FF0000"/>
          <w:sz w:val="22"/>
          <w:szCs w:val="22"/>
        </w:rPr>
      </w:pPr>
      <w:r>
        <w:rPr>
          <w:b/>
        </w:rPr>
        <w:t>Impact on good quality of life and protected areas:</w:t>
      </w:r>
      <w:r>
        <w:t xml:space="preserve"> </w:t>
      </w:r>
      <w:r w:rsidR="00C27DCE">
        <w:t>I</w:t>
      </w:r>
      <w:r>
        <w:t xml:space="preserve">n the early 1980s, </w:t>
      </w:r>
      <w:r>
        <w:rPr>
          <w:i/>
        </w:rPr>
        <w:t>Mimosa pigra</w:t>
      </w:r>
      <w:r>
        <w:t xml:space="preserve"> (giant sensitive plant)</w:t>
      </w:r>
      <w:r>
        <w:rPr>
          <w:i/>
        </w:rPr>
        <w:t xml:space="preserve"> </w:t>
      </w:r>
      <w:r>
        <w:t>invaded the Kafue Flats - a 6,500km</w:t>
      </w:r>
      <w:r>
        <w:rPr>
          <w:vertAlign w:val="superscript"/>
        </w:rPr>
        <w:t>2</w:t>
      </w:r>
      <w:r>
        <w:t xml:space="preserve"> floodplain located in the southern region of Zambia and a designated Wetland of International Importance under the Ramsar Convention. The flood plain is world-renowned for its abundant floodplain wildlife, including the endemic antelope, </w:t>
      </w:r>
      <w:r>
        <w:rPr>
          <w:i/>
        </w:rPr>
        <w:t>Kobus leche kafuensis</w:t>
      </w:r>
      <w:r>
        <w:t xml:space="preserve"> (Kafue Lechwe), and rich diversity of birdlife including the </w:t>
      </w:r>
      <w:r>
        <w:rPr>
          <w:i/>
        </w:rPr>
        <w:t>Bugeranus carunculatus</w:t>
      </w:r>
      <w:r>
        <w:t xml:space="preserve"> (wattled crane) and </w:t>
      </w:r>
      <w:r>
        <w:rPr>
          <w:i/>
        </w:rPr>
        <w:t>Balearica regulorum</w:t>
      </w:r>
      <w:r>
        <w:t xml:space="preserve"> (gray crowned-crane). The flood plain hosts two national parks, surrounded by buffer zones inhabited by smallholder farmers and fishers, whose livelihoods depend on the land and water resources of the floodplain. It has been suggested that the</w:t>
      </w:r>
      <w:r>
        <w:rPr>
          <w:i/>
        </w:rPr>
        <w:t xml:space="preserve"> Mimosa pigra </w:t>
      </w:r>
      <w:r>
        <w:t xml:space="preserve">invasion was triggered by hydrological alterations resulting from hydropower dams </w:t>
      </w:r>
      <w:r w:rsidR="006E3A7D" w:rsidRPr="00A9434B">
        <w:rPr>
          <w:rFonts w:eastAsia="Calibri"/>
        </w:rPr>
        <w:fldChar w:fldCharType="begin"/>
      </w:r>
      <w:r w:rsidR="0006613E">
        <w:rPr>
          <w:rFonts w:eastAsia="Calibri"/>
        </w:rPr>
        <w:instrText xml:space="preserve"> ADDIN ZOTERO_ITEM CSL_CITATION {"citationID":"a1u6ujup9l","properties":{"formattedCitation":"(Blaser, 2013; Mumba &amp; Thompson, 2005)","plainCitation":"(Blaser, 2013; Mumba &amp; Thompson, 2005)","noteIndex":0},"citationItems":[{"id":53177,"uris":["http://zotero.org/groups/2352922/items/F77A72FN"],"itemData":{"id":53177,"type":"thesis","genre":"Doctoral Thesis","note":"DOI: 10.3929/ethz-a-009933926","publisher":"ETH Zurich","title":"Impact of woody encroachment on soil-plant-herbivore interactions in the Kafue Flats floodplain ecosystem","author":[{"family":"Blaser","given":"Wilma J."}],"issued":{"date-parts":[["2013"]]}},"label":"page"},{"id":53178,"uris":["http://zotero.org/groups/2352922/items/FNAYIG8M"],"itemData":{"id":53178,"type":"article-journal","abstract":"Developmental changes in river basins in Africa have become a reality. Many wetland ecosystems have been impacted by dams and other hydrological interventions resulting in both foreseen and unexpected consequences. The Kafue Flats in southern Zambia is an extensive floodplain system that lies within the middle Kafue river basin. The floodplain is about 255km long and 60km wide, covering an area of approximately 6,500km2. It is currently sandwiched between two large dams which are approximately 270km apart. These dams have completely altered the hydrological regime of the system. Backwater from the downstream dam and releases from upstream have created a permanently flooded area within the floodplain that was not present in the past. Elsewhere, flooding has been reduced. The ecological consequences of these changes for the floodplain, which hosts two national parks (both Ramsar sites), have been extensive. Hydrological and vegetation changes have impacted the habitat for important wildlife communities including the endemic antelope, Kobus leche kafuensis. The most dramatic change in vegetation is associated with the colonisation of parts of the floodplain by the invasive alien plant, Mimosa pigra. This paper discusses these changes and their potential consequences.","collection-title":"Integrated Water Resource Assessment","container-title":"Physics and Chemistry of the Earth, Parts A/B/C","DOI":"10.1016/j.pce.2005.06.009","ISSN":"1474-7065","issue":"6-7","journalAbbreviation":"Physics and Chemistry of the Earth, Parts A/B/C","language":"en","page":"442-447","source":"ScienceDirect","title":"Hydrological and ecological impacts of dams on the Kafue Flats floodplain system, southern Zambia","URL":"https://www.sciencedirect.com/science/article/pii/S1474706505000392","volume":"30","author":[{"family":"Mumba","given":"M."},{"family":"Thompson","given":"J. R."}],"accessed":{"date-parts":[["2022",9,6]]},"issued":{"date-parts":[["2005",1,1]]}},"label":"page"}],"schema":"https://github.com/citation-style-language/schema/raw/master/csl-citation.json"} </w:instrText>
      </w:r>
      <w:r w:rsidR="006E3A7D" w:rsidRPr="00A9434B">
        <w:rPr>
          <w:rFonts w:eastAsia="Calibri"/>
        </w:rPr>
        <w:fldChar w:fldCharType="separate"/>
      </w:r>
      <w:r w:rsidR="00C71E80" w:rsidRPr="00A9434B">
        <w:t>(Blaser, 2013; Mumba &amp; Thompson, 2005)</w:t>
      </w:r>
      <w:r w:rsidR="006E3A7D" w:rsidRPr="00A9434B">
        <w:rPr>
          <w:rFonts w:eastAsia="Calibri"/>
        </w:rPr>
        <w:fldChar w:fldCharType="end"/>
      </w:r>
      <w:r w:rsidR="00E1420F" w:rsidRPr="00A9434B">
        <w:rPr>
          <w:rFonts w:eastAsia="Calibri"/>
        </w:rPr>
        <w:t>.</w:t>
      </w:r>
      <w:r>
        <w:t xml:space="preserve"> What started as a small infestation of about 2 ha spread rapidly and covered over 3000 ha of the floodplain </w:t>
      </w:r>
      <w:r w:rsidR="00D1680B" w:rsidRPr="00A9434B">
        <w:rPr>
          <w:rFonts w:eastAsia="Calibri"/>
        </w:rPr>
        <w:fldChar w:fldCharType="begin"/>
      </w:r>
      <w:r w:rsidR="0006613E">
        <w:rPr>
          <w:rFonts w:eastAsia="Calibri"/>
        </w:rPr>
        <w:instrText xml:space="preserve"> ADDIN ZOTERO_ITEM CSL_CITATION {"citationID":"a1vbu0ooqq0","properties":{"formattedCitation":"(Blaser, 2013; Shanungu, 2009; Solomon Genet, 2007; Thomas, 2007)","plainCitation":"(Blaser, 2013; Shanungu, 2009; Solomon Genet, 2007; Thomas, 2007)","noteIndex":0},"citationItems":[{"id":53177,"uris":["http://zotero.org/groups/2352922/items/F77A72FN"],"itemData":{"id":53177,"type":"thesis","genre":"Doctoral Thesis","note":"DOI: 10.3929/ethz-a-009933926","publisher":"ETH Zurich","title":"Impact of woody encroachment on soil-plant-herbivore interactions in the Kafue Flats floodplain ecosystem","author":[{"family":"Blaser","given":"Wilma J."}],"issued":{"date-parts":[["2013"]]}}},{"id":53175,"uris":["http://zotero.org/groups/2352922/items/KQ99DZL8"],"itemData":{"id":53175,"type":"thesis","genre":"Master of Science in Geo-Information Science and Earth Observation","note":"DOI:10.13140/RG.2.1.4126.7287","publisher":"University of Twente International Institute for Geo-Information Science and Earth Observation (ITC)","title":"Shrub encroachment into grassland and its impact on Kafue Lechwe in Lochinvar National Park, Zambia","URL":"http://www.secheresse.info/spip.php?article72574","author":[{"family":"Solomon Genet","given":"Behranu"}],"issued":{"date-parts":[["2007"]]}},"label":"page"},{"id":53174,"uris":["http://zotero.org/groups/2352922/items/HVL7Y33X"],"itemData":{"id":53174,"type":"article-journal","container-title":"Biodiversity","DOI":"10.1080/14888386.2009.9712844","issue":"2-3","note":"ISBN: 1488-8386\npublisher: Taylor &amp; Francis","page":"56-60","title":"Management of the invasive &lt;i&gt;Mimosa pigra&lt;/i&gt; L. in Lochinvar National Park, Zambia","volume":"10","author":[{"family":"Shanungu","given":"Griffin K."}],"issued":{"date-parts":[["2009"]]}},"label":"page"},{"id":53176,"uris":["http://zotero.org/groups/2352922/items/4G38RGTS"],"itemData":{"id":53176,"type":"thesis","event-place":"Netherlands","genre":"Master of Science in Geo-Information Science and Earth Observation","publisher":"International Institute for Geo-information Science and Earth  Observation","publisher-place":"Netherlands","title":"Mapping and modelling of &lt;i&gt;Mimosa pigra&lt;/i&gt; expansion in Lochinvar National Park, Zambia","URL":"https://webapps.itc.utwente.nl/librarywww/papers_2007/msc/gem/indira.pdf","author":[{"family":"Thomas","given":"I. J."}],"issued":{"date-parts":[["2007"]]}},"label":"page"}],"schema":"https://github.com/citation-style-language/schema/raw/master/csl-citation.json"} </w:instrText>
      </w:r>
      <w:r w:rsidR="00D1680B" w:rsidRPr="00A9434B">
        <w:rPr>
          <w:rFonts w:eastAsia="Calibri"/>
        </w:rPr>
        <w:fldChar w:fldCharType="separate"/>
      </w:r>
      <w:r w:rsidR="00FD65B1" w:rsidRPr="00FD65B1">
        <w:t>(Blaser, 2013; Shanungu, 2009; Solomon Genet, 2007; Thomas, 2007)</w:t>
      </w:r>
      <w:r w:rsidR="00D1680B" w:rsidRPr="00A9434B">
        <w:rPr>
          <w:rFonts w:eastAsia="Calibri"/>
        </w:rPr>
        <w:fldChar w:fldCharType="end"/>
      </w:r>
      <w:r w:rsidR="00E1420F" w:rsidRPr="00A9434B">
        <w:rPr>
          <w:rFonts w:eastAsia="Calibri"/>
        </w:rPr>
        <w:t>.</w:t>
      </w:r>
      <w:r>
        <w:t xml:space="preserve"> Consequently, the native floodplain vegetation was replaced by </w:t>
      </w:r>
      <w:r>
        <w:rPr>
          <w:i/>
        </w:rPr>
        <w:t>Mimosa pigra</w:t>
      </w:r>
      <w:r>
        <w:t xml:space="preserve">, and many wildlife species of conservation concern including the </w:t>
      </w:r>
      <w:r>
        <w:rPr>
          <w:i/>
        </w:rPr>
        <w:t>Kobus leche kafuensis</w:t>
      </w:r>
      <w:r>
        <w:t xml:space="preserve"> and </w:t>
      </w:r>
      <w:r>
        <w:rPr>
          <w:i/>
        </w:rPr>
        <w:t>Bugeranus carunculatus</w:t>
      </w:r>
      <w:r>
        <w:t xml:space="preserve"> were displaced as their habitat shrank (</w:t>
      </w:r>
      <w:r w:rsidR="0037768C">
        <w:rPr>
          <w:b/>
          <w:iCs/>
        </w:rPr>
        <w:t>G</w:t>
      </w:r>
      <w:r w:rsidR="00845241" w:rsidRPr="00673554">
        <w:rPr>
          <w:b/>
          <w:iCs/>
        </w:rPr>
        <w:t>lossary</w:t>
      </w:r>
      <w:r w:rsidR="00845241" w:rsidRPr="00A9434B">
        <w:t>;</w:t>
      </w:r>
      <w:r w:rsidR="00845241" w:rsidRPr="00A9434B">
        <w:rPr>
          <w:rFonts w:eastAsia="Calibri"/>
          <w:iCs/>
        </w:rPr>
        <w:t xml:space="preserve"> </w:t>
      </w:r>
      <w:r w:rsidR="00D1680B" w:rsidRPr="00A9434B">
        <w:rPr>
          <w:rFonts w:eastAsia="Calibri"/>
          <w:iCs/>
        </w:rPr>
        <w:fldChar w:fldCharType="begin"/>
      </w:r>
      <w:r w:rsidR="0006613E">
        <w:rPr>
          <w:rFonts w:eastAsia="Calibri"/>
          <w:iCs/>
        </w:rPr>
        <w:instrText xml:space="preserve"> ADDIN ZOTERO_ITEM CSL_CITATION {"citationID":"a2ik0ffuilq","properties":{"formattedCitation":"(Blaser, 2013)","plainCitation":"(Blaser, 2013)","dontUpdate":true,"noteIndex":0},"citationItems":[{"id":53177,"uris":["http://zotero.org/groups/2352922/items/F77A72FN"],"itemData":{"id":53177,"type":"thesis","genre":"Doctoral Thesis","note":"DOI: 10.3929/ethz-a-009933926","publisher":"ETH Zurich","title":"Impact of woody encroachment on soil-plant-herbivore interactions in the Kafue Flats floodplain ecosystem","author":[{"family":"Blaser","given":"Wilma J."}],"issued":{"date-parts":[["2013"]]}}}],"schema":"https://github.com/citation-style-language/schema/raw/master/csl-citation.json"} </w:instrText>
      </w:r>
      <w:r w:rsidR="00D1680B" w:rsidRPr="00A9434B">
        <w:rPr>
          <w:rFonts w:eastAsia="Calibri"/>
          <w:iCs/>
        </w:rPr>
        <w:fldChar w:fldCharType="separate"/>
      </w:r>
      <w:r w:rsidR="00C71E80" w:rsidRPr="00A9434B">
        <w:t>Blaser, 2013)</w:t>
      </w:r>
      <w:r w:rsidR="00D1680B" w:rsidRPr="00A9434B">
        <w:rPr>
          <w:rFonts w:eastAsia="Calibri"/>
          <w:iCs/>
        </w:rPr>
        <w:fldChar w:fldCharType="end"/>
      </w:r>
      <w:r w:rsidR="00E1420F" w:rsidRPr="00A9434B">
        <w:rPr>
          <w:rFonts w:eastAsia="Calibri"/>
          <w:iCs/>
        </w:rPr>
        <w:t>.</w:t>
      </w:r>
      <w:r>
        <w:t xml:space="preserve"> </w:t>
      </w:r>
    </w:p>
    <w:p w14:paraId="2D99BE27" w14:textId="01003DC3" w:rsidR="00017C04" w:rsidRDefault="00F50AF9" w:rsidP="00C73655">
      <w:pPr>
        <w:pBdr>
          <w:top w:val="single" w:sz="4" w:space="1" w:color="auto"/>
          <w:left w:val="single" w:sz="4" w:space="1" w:color="auto"/>
          <w:bottom w:val="single" w:sz="4" w:space="1" w:color="auto"/>
          <w:right w:val="single" w:sz="4" w:space="1" w:color="auto"/>
        </w:pBdr>
        <w:shd w:val="clear" w:color="auto" w:fill="E7E6E6" w:themeFill="background2"/>
      </w:pPr>
      <w:r>
        <w:rPr>
          <w:b/>
        </w:rPr>
        <w:t>Multiparty governance:</w:t>
      </w:r>
      <w:r>
        <w:t xml:space="preserve"> In 2017, The International Crane Foundation/Endangered Wildlife Trust Partnership (ICF/EWT Partnership), World Wide Fund for Nature (WWF) - Zambia, and Zambian Department of National Parks and Wildlife (DNPW) embarked on a three-year cooperative project to address the continued spread of </w:t>
      </w:r>
      <w:r>
        <w:rPr>
          <w:i/>
        </w:rPr>
        <w:t>Mimosa pigra</w:t>
      </w:r>
      <w:r>
        <w:t xml:space="preserve">, restore the floodplain grasslands and enhance their ability to support important biodiversity of the flats, and control up to 95 per cent of the baseline cover of </w:t>
      </w:r>
      <w:r>
        <w:rPr>
          <w:i/>
        </w:rPr>
        <w:t>Mimosa pigra</w:t>
      </w:r>
      <w:r>
        <w:t xml:space="preserve"> </w:t>
      </w:r>
      <w:r w:rsidR="00C27DCE">
        <w:t xml:space="preserve">in an </w:t>
      </w:r>
      <w:r>
        <w:t xml:space="preserve">effort with substantial community involvement. </w:t>
      </w:r>
    </w:p>
    <w:p w14:paraId="7E20AC17" w14:textId="092CCB2F" w:rsidR="00017C04" w:rsidRDefault="00F50AF9" w:rsidP="00C73655">
      <w:pPr>
        <w:pBdr>
          <w:top w:val="single" w:sz="4" w:space="1" w:color="auto"/>
          <w:left w:val="single" w:sz="4" w:space="1" w:color="auto"/>
          <w:bottom w:val="single" w:sz="4" w:space="1" w:color="auto"/>
          <w:right w:val="single" w:sz="4" w:space="1" w:color="auto"/>
        </w:pBdr>
        <w:shd w:val="clear" w:color="auto" w:fill="E7E6E6" w:themeFill="background2"/>
      </w:pPr>
      <w:r w:rsidRPr="56C59A3A">
        <w:rPr>
          <w:b/>
          <w:bCs/>
        </w:rPr>
        <w:t>Stakeholder and Indigenous Peoples and local communit</w:t>
      </w:r>
      <w:r w:rsidR="00351A46">
        <w:rPr>
          <w:b/>
          <w:bCs/>
        </w:rPr>
        <w:t>ies</w:t>
      </w:r>
      <w:r w:rsidRPr="56C59A3A">
        <w:rPr>
          <w:b/>
          <w:bCs/>
        </w:rPr>
        <w:t xml:space="preserve"> involvement and benefits:</w:t>
      </w:r>
      <w:r>
        <w:t xml:space="preserve"> The project also focused on developing the Zambian Department of National Parks and Wildlife local staff capacity in invasive plant management and habitat restoration. This included ecological research to enhance global understanding of large-scale </w:t>
      </w:r>
      <w:r w:rsidRPr="56C59A3A">
        <w:rPr>
          <w:i/>
          <w:iCs/>
        </w:rPr>
        <w:t>Mimosa pigra</w:t>
      </w:r>
      <w:r>
        <w:t xml:space="preserve"> control methods and their measurable impact on biodiversity, livelihoods options, and the broader economy through agriculture, fisheries</w:t>
      </w:r>
      <w:r w:rsidR="00896CEC">
        <w:t xml:space="preserve"> and</w:t>
      </w:r>
      <w:r>
        <w:t xml:space="preserve"> tourism </w:t>
      </w:r>
      <w:r w:rsidR="004155A5" w:rsidRPr="00A9434B">
        <w:rPr>
          <w:rFonts w:eastAsia="Calibri"/>
          <w:bCs/>
        </w:rPr>
        <w:t>(</w:t>
      </w:r>
      <w:r w:rsidR="004155A5" w:rsidRPr="00673554">
        <w:rPr>
          <w:rFonts w:eastAsia="Calibri"/>
          <w:b/>
          <w:bCs/>
        </w:rPr>
        <w:fldChar w:fldCharType="begin"/>
      </w:r>
      <w:r w:rsidR="004155A5" w:rsidRPr="00673554">
        <w:rPr>
          <w:rFonts w:eastAsia="Calibri"/>
          <w:b/>
          <w:bCs/>
        </w:rPr>
        <w:instrText xml:space="preserve"> REF _Ref104896316 \h  \* MERGEFORMAT </w:instrText>
      </w:r>
      <w:r w:rsidR="004155A5" w:rsidRPr="00673554">
        <w:rPr>
          <w:rFonts w:eastAsia="Calibri"/>
          <w:b/>
          <w:bCs/>
        </w:rPr>
      </w:r>
      <w:r w:rsidR="004155A5" w:rsidRPr="00673554">
        <w:rPr>
          <w:rFonts w:eastAsia="Calibri"/>
          <w:b/>
          <w:bCs/>
        </w:rPr>
        <w:fldChar w:fldCharType="separate"/>
      </w:r>
      <w:r w:rsidR="0011368C" w:rsidRPr="00673554">
        <w:rPr>
          <w:b/>
          <w:bCs/>
        </w:rPr>
        <w:t>Figure 6.9</w:t>
      </w:r>
      <w:r w:rsidR="004155A5" w:rsidRPr="00673554">
        <w:rPr>
          <w:rFonts w:eastAsia="Calibri"/>
          <w:b/>
          <w:bCs/>
        </w:rPr>
        <w:fldChar w:fldCharType="end"/>
      </w:r>
      <w:r w:rsidR="004155A5" w:rsidRPr="00A9434B">
        <w:rPr>
          <w:rFonts w:eastAsia="Calibri"/>
          <w:bCs/>
        </w:rPr>
        <w:t>)</w:t>
      </w:r>
      <w:r w:rsidR="00E1420F" w:rsidRPr="00A9434B">
        <w:rPr>
          <w:rFonts w:eastAsia="Calibri"/>
          <w:bCs/>
        </w:rPr>
        <w:t>.</w:t>
      </w:r>
      <w:r>
        <w:t xml:space="preserve"> The project took an ecosystem approach with a focus on the wider Kafue Flats ecosystem – including the two National Parks and the buffer zones - with a strong emphasis on a multi-sector approach in the management of the invasive</w:t>
      </w:r>
      <w:r w:rsidR="2A51624D">
        <w:t xml:space="preserve"> alien</w:t>
      </w:r>
      <w:r>
        <w:t xml:space="preserve"> species. The project intended to engage non-traditional stakeholders including the private sector. The integrated management approach adopted combined physical, chemical</w:t>
      </w:r>
      <w:r w:rsidR="00896CEC">
        <w:t xml:space="preserve"> and</w:t>
      </w:r>
      <w:r>
        <w:t xml:space="preserve"> biological control options (</w:t>
      </w:r>
      <w:r w:rsidR="0037768C">
        <w:rPr>
          <w:b/>
          <w:bCs/>
          <w:iCs/>
        </w:rPr>
        <w:t>G</w:t>
      </w:r>
      <w:r w:rsidR="009D0A75" w:rsidRPr="00673554">
        <w:rPr>
          <w:b/>
          <w:bCs/>
          <w:iCs/>
        </w:rPr>
        <w:t>lossary</w:t>
      </w:r>
      <w:r>
        <w:t xml:space="preserve">). </w:t>
      </w:r>
    </w:p>
    <w:p w14:paraId="4676EAF6" w14:textId="1EFD08D7" w:rsidR="00017C04" w:rsidRDefault="00F50AF9" w:rsidP="00C73655">
      <w:pPr>
        <w:pBdr>
          <w:top w:val="single" w:sz="4" w:space="1" w:color="auto"/>
          <w:left w:val="single" w:sz="4" w:space="1" w:color="auto"/>
          <w:bottom w:val="single" w:sz="4" w:space="1" w:color="auto"/>
          <w:right w:val="single" w:sz="4" w:space="1" w:color="auto"/>
        </w:pBdr>
        <w:shd w:val="clear" w:color="auto" w:fill="E7E6E6" w:themeFill="background2"/>
      </w:pPr>
      <w:r>
        <w:rPr>
          <w:b/>
        </w:rPr>
        <w:t>Sustainable successes:</w:t>
      </w:r>
      <w:r>
        <w:t xml:space="preserve"> By 2020, all management options described above had been implemented. About 450 workers from local communities were employed to undertake community-based restoration work through large-scale physical removal and chemical spraying of </w:t>
      </w:r>
      <w:r>
        <w:rPr>
          <w:i/>
        </w:rPr>
        <w:t>Mimosa pigra</w:t>
      </w:r>
      <w:r>
        <w:t xml:space="preserve">. Biological control trials through the importation and direct release of the control agent </w:t>
      </w:r>
      <w:r>
        <w:rPr>
          <w:i/>
        </w:rPr>
        <w:t>Carmenta mimosa</w:t>
      </w:r>
      <w:r>
        <w:t xml:space="preserve"> commenced in May 2019. Six months after direct release, a monitoring exercise was undertaken to determine if there were signs of the control agent</w:t>
      </w:r>
      <w:r w:rsidR="00C27DCE">
        <w:t>’</w:t>
      </w:r>
      <w:r>
        <w:t xml:space="preserve">s survival. The presence of adults and actively feeding larvae six months after the introduction indicated that the biocontrol agent survived successfully and was reproducing. By June 2020, the area invaded by </w:t>
      </w:r>
      <w:r>
        <w:rPr>
          <w:i/>
        </w:rPr>
        <w:t>Mimosa pigra</w:t>
      </w:r>
      <w:r>
        <w:t xml:space="preserve"> had been reduced</w:t>
      </w:r>
      <w:r>
        <w:rPr>
          <w:i/>
        </w:rPr>
        <w:t xml:space="preserve"> </w:t>
      </w:r>
      <w:r>
        <w:t xml:space="preserve">by approximately 68.8 per cent of the total invaded area at baseline. Ecological surveys indicate that there is regeneration of native vegetation in areas previously covered by </w:t>
      </w:r>
      <w:r>
        <w:rPr>
          <w:i/>
        </w:rPr>
        <w:t>Mimosa pigra</w:t>
      </w:r>
      <w:r>
        <w:t xml:space="preserve"> and use of the restored sites by herbivores including the </w:t>
      </w:r>
      <w:r>
        <w:rPr>
          <w:i/>
        </w:rPr>
        <w:t>Kobus leche kafuensis</w:t>
      </w:r>
      <w:r>
        <w:t xml:space="preserve">, as well as various species of resident and migratory waterbirds including breeding pairs of </w:t>
      </w:r>
      <w:r>
        <w:rPr>
          <w:i/>
        </w:rPr>
        <w:t>Bugeranus carunculatus</w:t>
      </w:r>
      <w:r>
        <w:t xml:space="preserve"> and </w:t>
      </w:r>
      <w:r>
        <w:rPr>
          <w:i/>
        </w:rPr>
        <w:t>Balearica regulorum</w:t>
      </w:r>
      <w:r>
        <w:t>. Some members of the community employed by the project had been able to use their income to invest in livestock and improved housing while others had used it to educate their children.</w:t>
      </w:r>
    </w:p>
    <w:p w14:paraId="5B20BBE7" w14:textId="77777777" w:rsidR="00017C04" w:rsidRDefault="00F50AF9" w:rsidP="00C73655">
      <w:pPr>
        <w:pBdr>
          <w:top w:val="single" w:sz="4" w:space="1" w:color="auto"/>
          <w:left w:val="single" w:sz="4" w:space="1" w:color="auto"/>
          <w:bottom w:val="single" w:sz="4" w:space="1" w:color="auto"/>
          <w:right w:val="single" w:sz="4" w:space="1" w:color="auto"/>
        </w:pBdr>
        <w:shd w:val="clear" w:color="auto" w:fill="E7E6E6" w:themeFill="background2"/>
      </w:pPr>
      <w:r>
        <w:lastRenderedPageBreak/>
        <w:t xml:space="preserve">Long-term efforts were undertaken to restore water conditions through environmental flow releases from the dam upstream that might limit future </w:t>
      </w:r>
      <w:r>
        <w:rPr>
          <w:i/>
        </w:rPr>
        <w:t>Mimosa pigra</w:t>
      </w:r>
      <w:r>
        <w:t xml:space="preserve"> establishment. </w:t>
      </w:r>
    </w:p>
    <w:p w14:paraId="11D57346" w14:textId="77777777" w:rsidR="00017C04" w:rsidRDefault="00F50AF9" w:rsidP="00C73655">
      <w:pPr>
        <w:pBdr>
          <w:top w:val="single" w:sz="4" w:space="1" w:color="auto"/>
          <w:left w:val="single" w:sz="4" w:space="1" w:color="auto"/>
          <w:bottom w:val="single" w:sz="4" w:space="1" w:color="auto"/>
          <w:right w:val="single" w:sz="4" w:space="1" w:color="auto"/>
        </w:pBdr>
        <w:shd w:val="clear" w:color="auto" w:fill="E7E6E6" w:themeFill="background2"/>
        <w:jc w:val="center"/>
      </w:pPr>
      <w:r>
        <w:rPr>
          <w:noProof/>
        </w:rPr>
        <w:drawing>
          <wp:inline distT="0" distB="0" distL="0" distR="0" wp14:anchorId="23D7154B" wp14:editId="0D589373">
            <wp:extent cx="6111240" cy="2302510"/>
            <wp:effectExtent l="0" t="0" r="0" b="0"/>
            <wp:docPr id="1868808430" name="image181.png" descr="A person in green overalls standing in a swamp&#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81.png" descr="A person in green overalls standing in a swamp&#10;&#10;Description automatically generated"/>
                    <pic:cNvPicPr preferRelativeResize="0"/>
                  </pic:nvPicPr>
                  <pic:blipFill>
                    <a:blip r:embed="rId39"/>
                    <a:srcRect/>
                    <a:stretch>
                      <a:fillRect/>
                    </a:stretch>
                  </pic:blipFill>
                  <pic:spPr>
                    <a:xfrm>
                      <a:off x="0" y="0"/>
                      <a:ext cx="6111240" cy="2302510"/>
                    </a:xfrm>
                    <a:prstGeom prst="rect">
                      <a:avLst/>
                    </a:prstGeom>
                    <a:ln/>
                  </pic:spPr>
                </pic:pic>
              </a:graphicData>
            </a:graphic>
          </wp:inline>
        </w:drawing>
      </w:r>
    </w:p>
    <w:p w14:paraId="44B3FC8D" w14:textId="4AE9828B" w:rsidR="00017C04" w:rsidRPr="00C73655" w:rsidRDefault="00F50AF9" w:rsidP="00C73655">
      <w:pPr>
        <w:pStyle w:val="Caption"/>
        <w:pBdr>
          <w:top w:val="single" w:sz="4" w:space="1" w:color="auto"/>
          <w:left w:val="single" w:sz="4" w:space="1" w:color="auto"/>
          <w:bottom w:val="single" w:sz="4" w:space="1" w:color="auto"/>
          <w:right w:val="single" w:sz="4" w:space="1" w:color="auto"/>
        </w:pBdr>
        <w:shd w:val="clear" w:color="auto" w:fill="E7E6E6" w:themeFill="background2"/>
        <w:rPr>
          <w:color w:val="000000"/>
        </w:rPr>
      </w:pPr>
      <w:bookmarkStart w:id="168" w:name="_heading=h.4f1mdlm" w:colFirst="0" w:colLast="0"/>
      <w:bookmarkStart w:id="169" w:name="_Ref104896316"/>
      <w:bookmarkStart w:id="170" w:name="_Ref127955841"/>
      <w:bookmarkStart w:id="171" w:name="_Toc147418304"/>
      <w:bookmarkEnd w:id="168"/>
      <w:r w:rsidRPr="00C73655">
        <w:rPr>
          <w:bCs w:val="0"/>
        </w:rPr>
        <w:t>Figure 6</w:t>
      </w:r>
      <w:r w:rsidR="00E94159" w:rsidRPr="00C73655">
        <w:rPr>
          <w:bCs w:val="0"/>
        </w:rPr>
        <w:t>.</w:t>
      </w:r>
      <w:r w:rsidR="00E94159" w:rsidRPr="00C73655">
        <w:rPr>
          <w:bCs w:val="0"/>
        </w:rPr>
        <w:fldChar w:fldCharType="begin"/>
      </w:r>
      <w:r w:rsidR="00E94159" w:rsidRPr="00C73655">
        <w:rPr>
          <w:bCs w:val="0"/>
        </w:rPr>
        <w:instrText xml:space="preserve"> SEQ Figure_6. \* ARABIC </w:instrText>
      </w:r>
      <w:r w:rsidR="00E94159" w:rsidRPr="00C73655">
        <w:rPr>
          <w:bCs w:val="0"/>
        </w:rPr>
        <w:fldChar w:fldCharType="separate"/>
      </w:r>
      <w:r w:rsidR="0011368C" w:rsidRPr="00C73655">
        <w:rPr>
          <w:bCs w:val="0"/>
          <w:noProof/>
        </w:rPr>
        <w:t>9</w:t>
      </w:r>
      <w:r w:rsidR="00E94159" w:rsidRPr="00C73655">
        <w:rPr>
          <w:bCs w:val="0"/>
        </w:rPr>
        <w:fldChar w:fldCharType="end"/>
      </w:r>
      <w:bookmarkEnd w:id="169"/>
      <w:r w:rsidR="00D0755F" w:rsidRPr="00C73655">
        <w:rPr>
          <w:bCs w:val="0"/>
        </w:rPr>
        <w:t>.</w:t>
      </w:r>
      <w:r w:rsidRPr="00C73655">
        <w:t xml:space="preserve"> </w:t>
      </w:r>
      <w:r w:rsidRPr="00C73655">
        <w:rPr>
          <w:b w:val="0"/>
          <w:bCs w:val="0"/>
          <w:i/>
          <w:color w:val="000000"/>
        </w:rPr>
        <w:t xml:space="preserve">Mimosa pigra </w:t>
      </w:r>
      <w:r w:rsidRPr="00C73655">
        <w:rPr>
          <w:b w:val="0"/>
          <w:bCs w:val="0"/>
          <w:color w:val="000000"/>
        </w:rPr>
        <w:t xml:space="preserve">(giant sensitive plant) in Zambia. Left: Clearing of </w:t>
      </w:r>
      <w:r w:rsidRPr="00C73655">
        <w:rPr>
          <w:b w:val="0"/>
          <w:bCs w:val="0"/>
          <w:i/>
          <w:color w:val="000000"/>
        </w:rPr>
        <w:t>Mimosa pigra</w:t>
      </w:r>
      <w:r w:rsidRPr="00C73655">
        <w:rPr>
          <w:b w:val="0"/>
          <w:bCs w:val="0"/>
          <w:color w:val="000000"/>
        </w:rPr>
        <w:t xml:space="preserve"> from the Kafue flats floodplain. Right: control of </w:t>
      </w:r>
      <w:r w:rsidRPr="00C73655">
        <w:rPr>
          <w:b w:val="0"/>
          <w:bCs w:val="0"/>
          <w:i/>
          <w:color w:val="000000"/>
        </w:rPr>
        <w:t>Mimosa pigra</w:t>
      </w:r>
      <w:r w:rsidRPr="00C73655">
        <w:rPr>
          <w:b w:val="0"/>
          <w:bCs w:val="0"/>
          <w:color w:val="000000"/>
        </w:rPr>
        <w:t xml:space="preserve"> maintains habitat for the endemic </w:t>
      </w:r>
      <w:r w:rsidRPr="00C73655">
        <w:rPr>
          <w:b w:val="0"/>
          <w:bCs w:val="0"/>
          <w:i/>
          <w:color w:val="000000"/>
        </w:rPr>
        <w:t>Kobus leche kafuensis</w:t>
      </w:r>
      <w:r w:rsidRPr="00C73655">
        <w:rPr>
          <w:b w:val="0"/>
          <w:bCs w:val="0"/>
          <w:color w:val="000000"/>
        </w:rPr>
        <w:t xml:space="preserve"> (Kafue Lechwe) and other biodiversity in this wetland of international importance. </w:t>
      </w:r>
      <w:bookmarkStart w:id="172" w:name="_Ref104892454"/>
      <w:bookmarkEnd w:id="170"/>
      <w:r w:rsidRPr="00C73655">
        <w:rPr>
          <w:b w:val="0"/>
          <w:bCs w:val="0"/>
          <w:color w:val="000000"/>
        </w:rPr>
        <w:t>Photo credits: Gareth Bentley (WWF Zambia) – Copyright (left) / Patrick Bentley (WWF</w:t>
      </w:r>
      <w:r w:rsidR="001D3AFC">
        <w:rPr>
          <w:b w:val="0"/>
          <w:bCs w:val="0"/>
          <w:color w:val="000000"/>
        </w:rPr>
        <w:t xml:space="preserve"> Zambia</w:t>
      </w:r>
      <w:r w:rsidRPr="00C73655">
        <w:rPr>
          <w:b w:val="0"/>
          <w:bCs w:val="0"/>
          <w:color w:val="000000"/>
        </w:rPr>
        <w:t>) – Copyright (right).</w:t>
      </w:r>
      <w:bookmarkEnd w:id="171"/>
    </w:p>
    <w:p w14:paraId="47EC88EF" w14:textId="56700AF6" w:rsidR="00017C04" w:rsidRPr="00C73655" w:rsidRDefault="00F50AF9" w:rsidP="00C73655">
      <w:pPr>
        <w:pStyle w:val="Caption"/>
      </w:pPr>
      <w:bookmarkStart w:id="173" w:name="_heading=h.2u6wntf" w:colFirst="0" w:colLast="0"/>
      <w:bookmarkStart w:id="174" w:name="_Toc147418539"/>
      <w:bookmarkEnd w:id="173"/>
      <w:r w:rsidRPr="00C73655">
        <w:rPr>
          <w:color w:val="000000"/>
        </w:rPr>
        <w:t>Table 6</w:t>
      </w:r>
      <w:r w:rsidR="004B392D" w:rsidRPr="00A9434B">
        <w:t>.</w:t>
      </w:r>
      <w:r w:rsidR="007C7AC3">
        <w:fldChar w:fldCharType="begin"/>
      </w:r>
      <w:r w:rsidR="007C7AC3">
        <w:instrText xml:space="preserve"> SEQ Table_6. \* ARABIC </w:instrText>
      </w:r>
      <w:r w:rsidR="007C7AC3">
        <w:fldChar w:fldCharType="separate"/>
      </w:r>
      <w:r w:rsidR="0011368C">
        <w:rPr>
          <w:noProof/>
        </w:rPr>
        <w:t>6</w:t>
      </w:r>
      <w:r w:rsidR="007C7AC3">
        <w:rPr>
          <w:noProof/>
        </w:rPr>
        <w:fldChar w:fldCharType="end"/>
      </w:r>
      <w:bookmarkEnd w:id="172"/>
      <w:r w:rsidR="00D0755F" w:rsidRPr="00A9434B">
        <w:t>.</w:t>
      </w:r>
      <w:r w:rsidRPr="00C73655">
        <w:t xml:space="preserve"> </w:t>
      </w:r>
      <w:r w:rsidRPr="00C73655">
        <w:rPr>
          <w:b w:val="0"/>
        </w:rPr>
        <w:t>Overview of governance response considerations</w:t>
      </w:r>
      <w:bookmarkEnd w:id="174"/>
    </w:p>
    <w:p w14:paraId="584E1F40" w14:textId="7C242CD2" w:rsidR="00017C04" w:rsidRPr="000A1E49" w:rsidRDefault="00F50AF9">
      <w:pPr>
        <w:spacing w:before="0"/>
      </w:pPr>
      <w:r w:rsidRPr="000A1E49">
        <w:t>This table presents six types of response options (left column), and examples of relevant support tools, methods</w:t>
      </w:r>
      <w:r w:rsidR="00896CEC">
        <w:t xml:space="preserve"> and</w:t>
      </w:r>
      <w:r w:rsidRPr="000A1E49">
        <w:t xml:space="preserve"> frameworks (middle column) alongside examples of publications (right column).</w:t>
      </w:r>
    </w:p>
    <w:tbl>
      <w:tblPr>
        <w:tblW w:w="9209"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00" w:firstRow="0" w:lastRow="0" w:firstColumn="0" w:lastColumn="0" w:noHBand="0" w:noVBand="1"/>
      </w:tblPr>
      <w:tblGrid>
        <w:gridCol w:w="2074"/>
        <w:gridCol w:w="4300"/>
        <w:gridCol w:w="2835"/>
      </w:tblGrid>
      <w:tr w:rsidR="00017C04" w:rsidRPr="000A1E49" w14:paraId="1561477B" w14:textId="77777777" w:rsidTr="00C73655">
        <w:tc>
          <w:tcPr>
            <w:tcW w:w="2074" w:type="dxa"/>
          </w:tcPr>
          <w:p w14:paraId="4811BFB4" w14:textId="77777777" w:rsidR="00017C04" w:rsidRPr="000A1E49" w:rsidRDefault="00F50AF9">
            <w:pPr>
              <w:rPr>
                <w:b/>
              </w:rPr>
            </w:pPr>
            <w:r w:rsidRPr="000A1E49">
              <w:rPr>
                <w:b/>
              </w:rPr>
              <w:t>Response option</w:t>
            </w:r>
          </w:p>
        </w:tc>
        <w:tc>
          <w:tcPr>
            <w:tcW w:w="4300" w:type="dxa"/>
          </w:tcPr>
          <w:p w14:paraId="6BF433FB" w14:textId="12D875C5" w:rsidR="00017C04" w:rsidRPr="000A1E49" w:rsidRDefault="00F50AF9">
            <w:pPr>
              <w:rPr>
                <w:b/>
              </w:rPr>
            </w:pPr>
            <w:r w:rsidRPr="000A1E49">
              <w:rPr>
                <w:b/>
              </w:rPr>
              <w:t>Examples of relevant support tools, methods</w:t>
            </w:r>
            <w:r w:rsidR="00896CEC">
              <w:rPr>
                <w:b/>
              </w:rPr>
              <w:t xml:space="preserve"> and</w:t>
            </w:r>
            <w:r w:rsidRPr="000A1E49">
              <w:rPr>
                <w:b/>
              </w:rPr>
              <w:t xml:space="preserve"> frameworks</w:t>
            </w:r>
          </w:p>
        </w:tc>
        <w:tc>
          <w:tcPr>
            <w:tcW w:w="2835" w:type="dxa"/>
          </w:tcPr>
          <w:p w14:paraId="127B0AFD" w14:textId="77777777" w:rsidR="00017C04" w:rsidRPr="000A1E49" w:rsidRDefault="00F50AF9">
            <w:pPr>
              <w:rPr>
                <w:b/>
              </w:rPr>
            </w:pPr>
            <w:bookmarkStart w:id="175" w:name="_heading=h.19c6y18" w:colFirst="0" w:colLast="0"/>
            <w:bookmarkStart w:id="176" w:name="_Hlk129687917"/>
            <w:bookmarkEnd w:id="175"/>
            <w:r w:rsidRPr="000A1E49">
              <w:rPr>
                <w:b/>
              </w:rPr>
              <w:t>Example publications</w:t>
            </w:r>
            <w:bookmarkEnd w:id="176"/>
          </w:p>
        </w:tc>
      </w:tr>
      <w:tr w:rsidR="00017C04" w:rsidRPr="000A1E49" w14:paraId="31B4709C" w14:textId="77777777" w:rsidTr="00C73655">
        <w:trPr>
          <w:trHeight w:val="3312"/>
        </w:trPr>
        <w:tc>
          <w:tcPr>
            <w:tcW w:w="2074" w:type="dxa"/>
            <w:shd w:val="clear" w:color="auto" w:fill="D9D9D9"/>
            <w:vAlign w:val="center"/>
          </w:tcPr>
          <w:p w14:paraId="4FFFFCAB" w14:textId="77777777" w:rsidR="00017C04" w:rsidRPr="000A1E49" w:rsidRDefault="00F50AF9">
            <w:r w:rsidRPr="000A1E49">
              <w:t>Strategy, including approaches to deal with inherent complexity (</w:t>
            </w:r>
            <w:r w:rsidRPr="000A1E49">
              <w:rPr>
                <w:b/>
              </w:rPr>
              <w:t>sections 6.2</w:t>
            </w:r>
            <w:r w:rsidRPr="000A1E49">
              <w:t xml:space="preserve"> to </w:t>
            </w:r>
            <w:r w:rsidRPr="000A1E49">
              <w:rPr>
                <w:b/>
              </w:rPr>
              <w:t>6.7</w:t>
            </w:r>
            <w:r w:rsidRPr="000A1E49">
              <w:t>)</w:t>
            </w:r>
          </w:p>
        </w:tc>
        <w:tc>
          <w:tcPr>
            <w:tcW w:w="4300" w:type="dxa"/>
            <w:shd w:val="clear" w:color="auto" w:fill="D9D9D9"/>
            <w:vAlign w:val="center"/>
          </w:tcPr>
          <w:p w14:paraId="2A8D14CC" w14:textId="77777777" w:rsidR="00017C04" w:rsidRPr="00C73655" w:rsidRDefault="00F50AF9" w:rsidP="00C73655">
            <w:pPr>
              <w:numPr>
                <w:ilvl w:val="0"/>
                <w:numId w:val="11"/>
              </w:numPr>
              <w:pBdr>
                <w:top w:val="nil"/>
                <w:left w:val="nil"/>
                <w:bottom w:val="nil"/>
                <w:right w:val="nil"/>
                <w:between w:val="nil"/>
              </w:pBdr>
              <w:spacing w:before="0" w:after="0"/>
            </w:pPr>
            <w:r w:rsidRPr="00C73655">
              <w:t>Empirical analysis of invasive alien species policy and governance</w:t>
            </w:r>
          </w:p>
          <w:p w14:paraId="0163A670" w14:textId="77777777" w:rsidR="00017C04" w:rsidRPr="00C73655" w:rsidRDefault="00F50AF9" w:rsidP="00C73655">
            <w:pPr>
              <w:numPr>
                <w:ilvl w:val="0"/>
                <w:numId w:val="11"/>
              </w:numPr>
              <w:pBdr>
                <w:top w:val="nil"/>
                <w:left w:val="nil"/>
                <w:bottom w:val="nil"/>
                <w:right w:val="nil"/>
                <w:between w:val="nil"/>
              </w:pBdr>
              <w:spacing w:before="0" w:after="0"/>
            </w:pPr>
            <w:r w:rsidRPr="00C73655">
              <w:t>Objective review and evaluation</w:t>
            </w:r>
          </w:p>
          <w:p w14:paraId="66F4BF5F" w14:textId="77777777" w:rsidR="00017C04" w:rsidRPr="00C73655" w:rsidRDefault="00F50AF9" w:rsidP="00C73655">
            <w:pPr>
              <w:numPr>
                <w:ilvl w:val="0"/>
                <w:numId w:val="11"/>
              </w:numPr>
              <w:pBdr>
                <w:top w:val="nil"/>
                <w:left w:val="nil"/>
                <w:bottom w:val="nil"/>
                <w:right w:val="nil"/>
                <w:between w:val="nil"/>
              </w:pBdr>
              <w:spacing w:before="0" w:after="0"/>
            </w:pPr>
            <w:r w:rsidRPr="00C73655">
              <w:t xml:space="preserve">National invasive alien species Strategy and Action Plans </w:t>
            </w:r>
          </w:p>
          <w:p w14:paraId="565E918D" w14:textId="77777777" w:rsidR="00017C04" w:rsidRPr="00C73655" w:rsidRDefault="00F50AF9" w:rsidP="00C73655">
            <w:pPr>
              <w:numPr>
                <w:ilvl w:val="0"/>
                <w:numId w:val="11"/>
              </w:numPr>
              <w:pBdr>
                <w:top w:val="nil"/>
                <w:left w:val="nil"/>
                <w:bottom w:val="nil"/>
                <w:right w:val="nil"/>
                <w:between w:val="nil"/>
              </w:pBdr>
              <w:spacing w:before="0" w:after="0"/>
            </w:pPr>
            <w:r w:rsidRPr="00C73655">
              <w:t xml:space="preserve">Sustainability: Environmental – social - economic </w:t>
            </w:r>
          </w:p>
          <w:p w14:paraId="0502C510" w14:textId="77777777" w:rsidR="00017C04" w:rsidRPr="00C73655" w:rsidRDefault="00F50AF9" w:rsidP="00C73655">
            <w:pPr>
              <w:numPr>
                <w:ilvl w:val="0"/>
                <w:numId w:val="11"/>
              </w:numPr>
              <w:pBdr>
                <w:top w:val="nil"/>
                <w:left w:val="nil"/>
                <w:bottom w:val="nil"/>
                <w:right w:val="nil"/>
                <w:between w:val="nil"/>
              </w:pBdr>
              <w:spacing w:before="0" w:after="0"/>
            </w:pPr>
            <w:r w:rsidRPr="00C73655">
              <w:t>Pressure-State-Response type models</w:t>
            </w:r>
          </w:p>
          <w:p w14:paraId="564EAD6F" w14:textId="3528F596" w:rsidR="00017C04" w:rsidRPr="00C73655" w:rsidRDefault="00F50AF9" w:rsidP="00C73655">
            <w:pPr>
              <w:numPr>
                <w:ilvl w:val="0"/>
                <w:numId w:val="11"/>
              </w:numPr>
              <w:pBdr>
                <w:top w:val="nil"/>
                <w:left w:val="nil"/>
                <w:bottom w:val="nil"/>
                <w:right w:val="nil"/>
                <w:between w:val="nil"/>
              </w:pBdr>
              <w:spacing w:before="0" w:after="0"/>
            </w:pPr>
            <w:r w:rsidRPr="00C73655">
              <w:t>Ecosystem</w:t>
            </w:r>
            <w:r w:rsidR="00941B41">
              <w:t>-b</w:t>
            </w:r>
            <w:r w:rsidRPr="00C73655">
              <w:t xml:space="preserve">ased approach to </w:t>
            </w:r>
            <w:r w:rsidR="00941B41">
              <w:t>m</w:t>
            </w:r>
            <w:r w:rsidRPr="00C73655">
              <w:t>anagement (EBM)</w:t>
            </w:r>
          </w:p>
          <w:p w14:paraId="23606520" w14:textId="0155BE87" w:rsidR="00017C04" w:rsidRPr="00C73655" w:rsidRDefault="00F50AF9" w:rsidP="00C73655">
            <w:pPr>
              <w:numPr>
                <w:ilvl w:val="0"/>
                <w:numId w:val="11"/>
              </w:numPr>
              <w:pBdr>
                <w:top w:val="nil"/>
                <w:left w:val="nil"/>
                <w:bottom w:val="nil"/>
                <w:right w:val="nil"/>
                <w:between w:val="nil"/>
              </w:pBdr>
              <w:spacing w:before="0"/>
              <w:rPr>
                <w:b/>
                <w:color w:val="000000"/>
              </w:rPr>
            </w:pPr>
            <w:r w:rsidRPr="00C73655">
              <w:t>Adaptive governance (</w:t>
            </w:r>
            <w:r w:rsidR="0037768C">
              <w:rPr>
                <w:rFonts w:eastAsia="Batang"/>
                <w:b/>
                <w:iCs/>
              </w:rPr>
              <w:t>G</w:t>
            </w:r>
            <w:r w:rsidR="003A6E8D" w:rsidRPr="00673554">
              <w:rPr>
                <w:rFonts w:eastAsia="Batang"/>
                <w:b/>
                <w:iCs/>
              </w:rPr>
              <w:t>lossary</w:t>
            </w:r>
            <w:r w:rsidRPr="00C73655">
              <w:rPr>
                <w:color w:val="000000"/>
              </w:rPr>
              <w:t>) model</w:t>
            </w:r>
          </w:p>
        </w:tc>
        <w:tc>
          <w:tcPr>
            <w:tcW w:w="2835" w:type="dxa"/>
            <w:shd w:val="clear" w:color="auto" w:fill="D9D9D9"/>
            <w:vAlign w:val="center"/>
          </w:tcPr>
          <w:p w14:paraId="0C77F42D" w14:textId="52173AD3" w:rsidR="00893980" w:rsidRPr="00A9434B" w:rsidRDefault="00CA3187" w:rsidP="006B3143">
            <w:pPr>
              <w:rPr>
                <w:rFonts w:eastAsia="Batang"/>
              </w:rPr>
            </w:pPr>
            <w:r w:rsidRPr="00A9434B">
              <w:rPr>
                <w:rFonts w:eastAsia="Batang"/>
              </w:rPr>
              <w:fldChar w:fldCharType="begin">
                <w:fldData xml:space="preserve">PEVuZE5vdGU+PENpdGU+PEF1dGhvcj5NYXJ0aW48L0F1dGhvcj48WWVhcj4yMDE2PC9ZZWFyPjxS
ZWNOdW0+NDkwOTI8L1JlY051bT48RGlzcGxheVRleHQ+KENvb25leSBhbmQgTGFuZyAyMDA3LCBU
ZXJtZWVyLCBEZXd1bGYgZXQgYWwuIDIwMTAsIE1jR2VvY2gsIFNoYXcgZXQgYWwuIDIwMTUsIEJv
c3Ryb20sIEdyb25ob2xtIGV0IGFsLiAyMDE2LCBDaGFmZmluLCBHYXJtZXN0YW5pIGV0IGFsLiAy
MDE2LCBNYXJ0aW4sIExlIEdhbCBldCBhbC4gMjAxNiwgU21vbGFyeiwgQmlza3VwIGV0IGFsLiAy
MDE2LCBSdWRkLCBEaWNrZXktQ29sbGFzIGV0IGFsLiAyMDE4LCBCYXJuaGlsbC1EaWxsaW5nLCBT
ZXJyIGV0IGFsLiAyMDE5KTwvRGlzcGxheVRleHQ+PHJlY29yZD48cmVjLW51bWJlcj40OTA5Mjwv
cmVjLW51bWJlcj48Zm9yZWlnbi1rZXlzPjxrZXkgYXBwPSJFTiIgZGItaWQ9ImF3eDlyYWRkcjB4
eDJoZXYwNXJ4cjB6MDV3ZWVwd3B0MGZleCIgdGltZXN0YW1wPSIxNTgxNDk3MzIwIj40OTA5Mjwv
a2V5PjwvZm9yZWlnbi1rZXlzPjxyZWYtdHlwZSBuYW1lPSJCb29rIFNlY3Rpb24iPjU8L3JlZi10
eXBlPjxjb250cmlidXRvcnM+PGF1dGhvcnM+PGF1dGhvcj5NYXJ0aW4sIFBhdWw8L2F1dGhvcj48
YXV0aG9yPkxlIEdhbCwgRWxvZGllPC9hdXRob3I+PGF1dGhvcj5DaG95LCBEYXJyeWwgTG93PC9h
dXRob3I+PC9hdXRob3JzPjxzZWNvbmRhcnktYXV0aG9ycz48YXV0aG9yPk1haGVzaHdhcmksIEIu
PC9hdXRob3I+PGF1dGhvcj5TaW5naCwgVi4gUC48L2F1dGhvcj48YXV0aG9yPlRob3JhZGVuaXlh
LCBCLjwvYXV0aG9yPjwvc2Vjb25kYXJ5LWF1dGhvcnM+PC9jb250cmlidXRvcnM+PHRpdGxlcz48
dGl0bGU+RWZmZWN0IG9mIFNvY2lhbCBhbmQgSW5zdGl0dXRpb25hbCBGcmFnbWVudGF0aW9uIG9u
IENvbGxlY3RpdmUgQWN0aW9uIGluIFBlcmktVXJiYW4gU2V0dGluZ3M8L3RpdGxlPjxzZWNvbmRh
cnktdGl0bGU+QmFsYW5jZWQgVXJiYW4gRGV2ZWxvcG1lbnQ6IE9wdGlvbnMgYW5kIFN0cmF0ZWdp
ZXMgZm9yIExpdmVhYmxlIENpdGllczwvc2Vjb25kYXJ5LXRpdGxlPjx0ZXJ0aWFyeS10aXRsZT5X
YXRlciBTY2llbmNlIGFuZCBUZWNobm9sb2d5IExpYnJhcnk8L3RlcnRpYXJ5LXRpdGxlPjwvdGl0
bGVzPjxwYWdlcz40NjUtNDgwPC9wYWdlcz48dm9sdW1lPjcyPC92b2x1bWU+PGRhdGVzPjx5ZWFy
PjIwMTY8L3llYXI+PC9kYXRlcz48aXNibj45NzgtMy0zMTktMjgxMTItNDsgOTc4LTMtMzE5LTI4
MTEwLTA8L2lzYm4+PGFjY2Vzc2lvbi1udW0+V09TOjAwMDM5ODkyODkwMDAyOTwvYWNjZXNzaW9u
LW51bT48dXJscz48cmVsYXRlZC11cmxzPjx1cmw+Jmx0O0dvIHRvIElTSSZndDs6Ly9XT1M6MDAw
Mzk4OTI4OTAwMDI5PC91cmw+PC9yZWxhdGVkLXVybHM+PC91cmxzPjxlbGVjdHJvbmljLXJlc291
cmNlLW51bT4xMC4xMDA3Lzk3OC0zLTMxOS0yODExMi00XzI4PC9lbGVjdHJvbmljLXJlc291cmNl
LW51bT48L3JlY29yZD48L0NpdGU+PENpdGU+PEF1dGhvcj5Cb3N0cm9tPC9BdXRob3I+PFllYXI+
MjAxNjwvWWVhcj48UmVjTnVtPjQ5MDk3PC9SZWNOdW0+PHJlY29yZD48cmVjLW51bWJlcj40OTA5
NzwvcmVjLW51bWJlcj48Zm9yZWlnbi1rZXlzPjxrZXkgYXBwPSJFTiIgZGItaWQ9ImF3eDlyYWRk
cjB4eDJoZXYwNXJ4cjB6MDV3ZWVwd3B0MGZleCIgdGltZXN0YW1wPSIxNTgxNDk3MzIwIj40OTA5
Nzwva2V5PjwvZm9yZWlnbi1rZXlzPjxyZWYtdHlwZSBuYW1lPSJCb29rIFNlY3Rpb24iPjU8L3Jl
Zi10eXBlPjxjb250cmlidXRvcnM+PGF1dGhvcnM+PGF1dGhvcj5Cb3N0cm9tLCBNYWdudXM8L2F1
dGhvcj48YXV0aG9yPkdyb25ob2xtLCBTYW08L2F1dGhvcj48YXV0aG9yPkhhc3NsZXIsIEJqb3Ju
PC9hdXRob3I+PC9hdXRob3JzPjxzZWNvbmRhcnktYXV0aG9ycz48YXV0aG9yPkdpbGVrLCBNLjwv
YXV0aG9yPjxhdXRob3I+S2FybHNzb24sIE0uPC9hdXRob3I+PGF1dGhvcj5MaW5rZSwgUy48L2F1
dGhvcj48YXV0aG9yPlNtb2xhcnosIEsuPC9hdXRob3I+PC9zZWNvbmRhcnktYXV0aG9ycz48L2Nv
bnRyaWJ1dG9ycz48dGl0bGVzPjx0aXRsZT5UaGUgRWNvc3lzdGVtIEFwcHJvYWNoIHRvIE1hbmFn
ZW1lbnQgaW4gQmFsdGljIFNlYSBHb3Zlcm5hbmNlOiBUb3dhcmRzIEluY3JlYXNlZCBSZWZsZXhp
dml0eT88L3RpdGxlPjxzZWNvbmRhcnktdGl0bGU+RW52aXJvbm1lbnRhbCBHb3Zlcm5hbmNlIG9m
IHRoZSBCYWx0aWMgU2VhPC9zZWNvbmRhcnktdGl0bGU+PHRlcnRpYXJ5LXRpdGxlPk1BUkUgUHVi
bGljYXRpb24gU2VyaWVzPC90ZXJ0aWFyeS10aXRsZT48L3RpdGxlcz48cGVyaW9kaWNhbD48ZnVs
bC10aXRsZT5FbnZpcm9ubWVudGFsIGdvdmVybmFuY2Ugb2YgdGhlIEJhbHRpYyBTZWE8L2Z1bGwt
dGl0bGU+PC9wZXJpb2RpY2FsPjxwYWdlcz4xNDktMTcyPC9wYWdlcz48dm9sdW1lPjEwPC92b2x1
bWU+PGRhdGVzPjx5ZWFyPjIwMTY8L3llYXI+PC9kYXRlcz48aXNibj45NzgtMy0zMTktMjcwMDYt
NzsgOTc4LTMtMzE5LTI3MDA1LTA8L2lzYm4+PGFjY2Vzc2lvbi1udW0+V09TOjAwMDM4NjY5NTMw
MDAwODwvYWNjZXNzaW9uLW51bT48dXJscz48cmVsYXRlZC11cmxzPjx1cmw+Jmx0O0dvIHRvIElT
SSZndDs6Ly9XT1M6MDAwMzg2Njk1MzAwMDA4PC91cmw+PC9yZWxhdGVkLXVybHM+PC91cmxzPjxl
bGVjdHJvbmljLXJlc291cmNlLW51bT4xMC4xMDA3Lzk3OC0zLTMxOS0yNzAwNi03Xzc8L2VsZWN0
cm9uaWMtcmVzb3VyY2UtbnVtPjwvcmVjb3JkPjwvQ2l0ZT48Q2l0ZT48QXV0aG9yPlJ1ZGQ8L0F1
dGhvcj48WWVhcj4yMDE4PC9ZZWFyPjxSZWNOdW0+NDkwMzA8L1JlY051bT48cmVjb3JkPjxyZWMt
bnVtYmVyPjQ5MDMwPC9yZWMtbnVtYmVyPjxmb3JlaWduLWtleXM+PGtleSBhcHA9IkVOIiBkYi1p
ZD0iYXd4OXJhZGRyMHh4MmhldjA1cnhyMHowNXdlZXB3cHQwZmV4IiB0aW1lc3RhbXA9IjE1ODE0
OTczMjAiPjQ5MDMwPC9rZXk+PC9mb3JlaWduLWtleXM+PHJlZi10eXBlIG5hbWU9IkpvdXJuYWwg
QXJ0aWNsZSI+MTc8L3JlZi10eXBlPjxjb250cmlidXRvcnM+PGF1dGhvcnM+PGF1dGhvcj5SdWRk
LCBNdXJyYXkgQS48L2F1dGhvcj48YXV0aG9yPkRpY2tleS1Db2xsYXMsIE1hcms8L2F1dGhvcj48
YXV0aG9yPkZlcnJldHRpLCBKb2hhbm5hPC9hdXRob3I+PGF1dGhvcj5Kb2hhbm5lc2VuLCBFbGxl
bjwvYXV0aG9yPjxhdXRob3I+TWFjZG9uYWxkLCBOaWNvbCBNLjwvYXV0aG9yPjxhdXRob3I+TWNM
YXVnaGxpbiwgUmljaGFyZDwvYXV0aG9yPjxhdXRob3I+UmFlLCBNYXJnYXJldDwvYXV0aG9yPjxh
dXRob3I+VGhpZWxlLCBUb3JzdGVuPC9hdXRob3I+PGF1dGhvcj5MaW5rLCBKYXNvbiBTLjwvYXV0
aG9yPjwvYXV0aG9ycz48L2NvbnRyaWJ1dG9ycz48dGl0bGVzPjx0aXRsZT5PY2VhbiBFY29zeXN0
ZW0tQmFzZWQgTWFuYWdlbWVudCBNYW5kYXRlcyBhbmQgSW1wbGVtZW50YXRpb24gaW4gdGhlIE5v
cnRoIEF0bGFudGljPC90aXRsZT48c2Vjb25kYXJ5LXRpdGxlPkZyb250aWVycyBpbiBNYXJpbmUg
U2NpZW5jZTwvc2Vjb25kYXJ5LXRpdGxlPjwvdGl0bGVzPjxwZXJpb2RpY2FsPjxmdWxsLXRpdGxl
PkZyb250aWVycyBpbiBNYXJpbmUgU2NpZW5jZTwvZnVsbC10aXRsZT48L3BlcmlvZGljYWw+PHZv
bHVtZT41PC92b2x1bWU+PGRhdGVzPjx5ZWFyPjIwMTg8L3llYXI+PHB1Yi1kYXRlcz48ZGF0ZT5E
ZWMgMTQ8L2RhdGU+PC9wdWItZGF0ZXM+PC9kYXRlcz48YWNjZXNzaW9uLW51bT5XT1M6MDAwNDU3
MjIxMDAwMDAxPC9hY2Nlc3Npb24tbnVtPjx1cmxzPjxyZWxhdGVkLXVybHM+PHVybD4mbHQ7R28g
dG8gSVNJJmd0OzovL1dPUzowMDA0NTcyMjEwMDAwMDE8L3VybD48L3JlbGF0ZWQtdXJscz48L3Vy
bHM+PGN1c3RvbTc+VW5zcCA0ODU8L2N1c3RvbTc+PGVsZWN0cm9uaWMtcmVzb3VyY2UtbnVtPjEw
LjMzODkvZm1hcnMuMjAxOC4wMDQ4NTwvZWxlY3Ryb25pYy1yZXNvdXJjZS1udW0+PC9yZWNvcmQ+
PC9DaXRlPjxDaXRlPjxBdXRob3I+TWNHZW9jaDwvQXV0aG9yPjxZZWFyPjIwMTU8L1llYXI+PFJl
Y051bT42MDwvUmVjTnVtPjxyZWNvcmQ+PHJlYy1udW1iZXI+NzA8L3JlYy1udW1iZXI+PGZvcmVp
Z24ta2V5cz48a2V5IGFwcD0iRU4iIGRiLWlkPSIwZDU1cGF4ZGN2d3BlYmU1NWQxdnJ6NW5lMnBh
dHRwcmFydGEiIHRpbWVzdGFtcD0iMTU5Nzk5MjczNCI+NzA8L2tleT48L2ZvcmVpZ24ta2V5cz48
cmVmLXR5cGUgbmFtZT0iSm91cm5hbCBBcnRpY2xlIj4xNzwvcmVmLXR5cGU+PGNvbnRyaWJ1dG9y
cz48YXV0aG9ycz48YXV0aG9yPk1jR2VvY2gsIE0uIEEuPC9hdXRob3I+PGF1dGhvcj5TaGF3LCBK
LiBELjwvYXV0aG9yPjxhdXRob3I+VGVyYXVkcywgQS48L2F1dGhvcj48YXV0aG9yPkxlZSwgSi4g
RS48L2F1dGhvcj48YXV0aG9yPkNob3duLCBTLiBMLjwvYXV0aG9yPjwvYXV0aG9ycz48L2NvbnRy
aWJ1dG9ycz48dGl0bGVzPjx0aXRsZT5Nb25pdG9yaW5nIGJpb2xvZ2ljYWwgaW52YXNpb24gYWNy
b3NzIHRoZSBicm9hZGVyIEFudGFyY3RpYzogQSBiYXNlbGluZSBhbmQgaW5kaWNhdG9yIGZyYW1l
d29yazwvdGl0bGU+PHNlY29uZGFyeS10aXRsZT5HbG9iYWwgRW52aXJvbm1lbnRhbCBDaGFuZ2Ut
SHVtYW4gYW5kIFBvbGljeSBEaW1lbnNpb25zPC9zZWNvbmRhcnktdGl0bGU+PC90aXRsZXM+PHBl
cmlvZGljYWw+PGZ1bGwtdGl0bGU+R2xvYmFsIEVudmlyb25tZW50YWwgQ2hhbmdlLUh1bWFuIGFu
ZCBQb2xpY3kgRGltZW5zaW9uczwvZnVsbC10aXRsZT48L3BlcmlvZGljYWw+PHBhZ2VzPjEwOC0x
MjU8L3BhZ2VzPjx2b2x1bWU+MzI8L3ZvbHVtZT48ZGF0ZXM+PHllYXI+MjAxNTwveWVhcj48cHVi
LWRhdGVzPjxkYXRlPk1heTwvZGF0ZT48L3B1Yi1kYXRlcz48L2RhdGVzPjxpc2JuPjA5NTktMzc4
MDwvaXNibj48YWNjZXNzaW9uLW51bT5XT1M6MDAwMzU1NzcwNzAwMDExPC9hY2Nlc3Npb24tbnVt
Pjx1cmxzPjxyZWxhdGVkLXVybHM+PHVybD4mbHQ7R28gdG8gSVNJJmd0OzovL1dPUzowMDAzNTU3
NzA3MDAwMTE8L3VybD48L3JlbGF0ZWQtdXJscz48L3VybHM+PGVsZWN0cm9uaWMtcmVzb3VyY2Ut
bnVtPjEwLjEwMTYvai5nbG9lbnZjaGEuMjAxNC4xMi4wMTI8L2VsZWN0cm9uaWMtcmVzb3VyY2Ut
bnVtPjwvcmVjb3JkPjwvQ2l0ZT48Q2l0ZT48QXV0aG9yPlNtb2xhcno8L0F1dGhvcj48WWVhcj4y
MDE2PC9ZZWFyPjxSZWNOdW0+NDkwOTY8L1JlY051bT48cmVjb3JkPjxyZWMtbnVtYmVyPjQ5MDk2
PC9yZWMtbnVtYmVyPjxmb3JlaWduLWtleXM+PGtleSBhcHA9IkVOIiBkYi1pZD0iYXd4OXJhZGRy
MHh4MmhldjA1cnhyMHowNXdlZXB3cHQwZmV4IiB0aW1lc3RhbXA9IjE1ODE0OTczMjAiPjQ5MDk2
PC9rZXk+PC9mb3JlaWduLWtleXM+PHJlZi10eXBlIG5hbWU9IkJvb2sgU2VjdGlvbiI+NTwvcmVm
LXR5cGU+PGNvbnRyaWJ1dG9ycz48YXV0aG9ycz48YXV0aG9yPlNtb2xhcnosIEthdGFyenluYTwv
YXV0aG9yPjxhdXRob3I+Qmlza3VwLCBQYXVsaW5hPC9hdXRob3I+PGF1dGhvcj5aZ3J1bmRvLCBB
bGVrc2FuZHJhPC9hdXRob3I+PC9hdXRob3JzPjxzZWNvbmRhcnktYXV0aG9ycz48YXV0aG9yPkdp
bGVrLCBNLjwvYXV0aG9yPjxhdXRob3I+S2FybHNzb24sIE0uPC9hdXRob3I+PGF1dGhvcj5MaW5r
ZSwgUy48L2F1dGhvcj48YXV0aG9yPlNtb2xhcnosIEsuPC9hdXRob3I+PC9zZWNvbmRhcnktYXV0
aG9ycz48L2NvbnRyaWJ1dG9ycz48dGl0bGVzPjx0aXRsZT5CaW9sb2dpY2FsIEludmFzaW9uczog
QSBDYXNlIFN0dWR5IG9mIEJhbHRpYyBTZWEgRW52aXJvbm1lbnRhbCBHb3Zlcm5hbmNlPC90aXRs
ZT48c2Vjb25kYXJ5LXRpdGxlPkVudmlyb25tZW50YWwgR292ZXJuYW5jZSBvZiB0aGUgQmFsdGlj
IFNlYTwvc2Vjb25kYXJ5LXRpdGxlPjx0ZXJ0aWFyeS10aXRsZT5NQVJFIFB1YmxpY2F0aW9uIFNl
cmllczwvdGVydGlhcnktdGl0bGU+PC90aXRsZXM+PHBlcmlvZGljYWw+PGZ1bGwtdGl0bGU+RW52
aXJvbm1lbnRhbCBnb3Zlcm5hbmNlIG9mIHRoZSBCYWx0aWMgU2VhPC9mdWxsLXRpdGxlPjwvcGVy
aW9kaWNhbD48cGFnZXM+NzMtOTU8L3BhZ2VzPjx2b2x1bWU+MTA8L3ZvbHVtZT48ZGF0ZXM+PHll
YXI+MjAxNjwveWVhcj48L2RhdGVzPjxpc2JuPjk3OC0zLTMxOS0yNzAwNi03OyA5NzgtMy0zMTkt
MjcwMDUtMDwvaXNibj48YWNjZXNzaW9uLW51bT5XT1M6MDAwMzg2Njk1MzAwMDA1PC9hY2Nlc3Np
b24tbnVtPjx1cmxzPjxyZWxhdGVkLXVybHM+PHVybD4mbHQ7R28gdG8gSVNJJmd0OzovL1dPUzow
MDAzODY2OTUzMDAwMDU8L3VybD48L3JlbGF0ZWQtdXJscz48L3VybHM+PGVsZWN0cm9uaWMtcmVz
b3VyY2UtbnVtPjEwLjEwMDcvOTc4LTMtMzE5LTI3MDA2LTdfNDwvZWxlY3Ryb25pYy1yZXNvdXJj
ZS1udW0+PC9yZWNvcmQ+PC9DaXRlPjxDaXRlPjxBdXRob3I+QmFybmhpbGwtRGlsbGluZzwvQXV0
aG9yPjxZZWFyPjIwMTk8L1llYXI+PFJlY051bT40OTAxNjwvUmVjTnVtPjxyZWNvcmQ+PHJlYy1u
dW1iZXI+NDkwMTY8L3JlYy1udW1iZXI+PGZvcmVpZ24ta2V5cz48a2V5IGFwcD0iRU4iIGRiLWlk
PSJhd3g5cmFkZHIweHgyaGV2MDVyeHIwejA1d2VlcHdwdDBmZXgiIHRpbWVzdGFtcD0iMTU4MTQ5
NzMyMCI+NDkwMTY8L2tleT48L2ZvcmVpZ24ta2V5cz48cmVmLXR5cGUgbmFtZT0iSm91cm5hbCBB
cnRpY2xlIj4xNzwvcmVmLXR5cGU+PGNvbnRyaWJ1dG9ycz48YXV0aG9ycz48YXV0aG9yPkJhcm5o
aWxsLURpbGxpbmcsIFMuIEthdGhsZWVuPC9hdXRob3I+PGF1dGhvcj5TZXJyLCBNZWdhbjwvYXV0
aG9yPjxhdXRob3I+QmxvbmRlbCwgRGltaXRyaSBWLjwvYXV0aG9yPjxhdXRob3I+R29kd2luLCBK
b2huPC9hdXRob3I+PC9hdXRob3JzPjwvY29udHJpYnV0b3JzPjx0aXRsZXM+PHRpdGxlPlN1c3Rh
aW5hYmlsaXR5IGFzIGEgRnJhbWV3b3JrIGZvciBDb25zaWRlcmluZyBHZW5lIERyaXZlIE1pY2Ug
Zm9yIEludmFzaXZlIFJvZGVudCBFcmFkaWNhdGlvbjwvdGl0bGU+PHNlY29uZGFyeS10aXRsZT5T
dXN0YWluYWJpbGl0eTwvc2Vjb25kYXJ5LXRpdGxlPjwvdGl0bGVzPjxwZXJpb2RpY2FsPjxmdWxs
LXRpdGxlPlN1c3RhaW5hYmlsaXR5PC9mdWxsLXRpdGxlPjwvcGVyaW9kaWNhbD48dm9sdW1lPjEx
PC92b2x1bWU+PG51bWJlcj41PC9udW1iZXI+PGRhdGVzPjx5ZWFyPjIwMTk8L3llYXI+PHB1Yi1k
YXRlcz48ZGF0ZT5NYXIgMTwvZGF0ZT48L3B1Yi1kYXRlcz48L2RhdGVzPjxpc2JuPjIwNzEtMTA1
MDwvaXNibj48YWNjZXNzaW9uLW51bT5XT1M6MDAwNDYyNjYxMDAwMTE4PC9hY2Nlc3Npb24tbnVt
Pjx1cmxzPjxyZWxhdGVkLXVybHM+PHVybD4mbHQ7R28gdG8gSVNJJmd0OzovL1dPUzowMDA0NjI2
NjEwMDAxMTg8L3VybD48L3JlbGF0ZWQtdXJscz48L3VybHM+PGN1c3RvbTc+MTMzNDwvY3VzdG9t
Nz48ZWxlY3Ryb25pYy1yZXNvdXJjZS1udW0+MTAuMzM5MC9zdTExMDUxMzM0PC9lbGVjdHJvbmlj
LXJlc291cmNlLW51bT48L3JlY29yZD48L0NpdGU+PENpdGU+PEF1dGhvcj5DaGFmZmluPC9BdXRo
b3I+PFllYXI+MjAxNjwvWWVhcj48UmVjTnVtPjQ5MDgxPC9SZWNOdW0+PHJlY29yZD48cmVjLW51
bWJlcj40OTA4MTwvcmVjLW51bWJlcj48Zm9yZWlnbi1rZXlzPjxrZXkgYXBwPSJFTiIgZGItaWQ9
ImF3eDlyYWRkcjB4eDJoZXYwNXJ4cjB6MDV3ZWVwd3B0MGZleCIgdGltZXN0YW1wPSIxNTgxNDk3
MzIwIj40OTA4MTwva2V5PjwvZm9yZWlnbi1rZXlzPjxyZWYtdHlwZSBuYW1lPSJKb3VybmFsIEFy
dGljbGUiPjE3PC9yZWYtdHlwZT48Y29udHJpYnV0b3JzPjxhdXRob3JzPjxhdXRob3I+Q2hhZmZp
biwgQnJpYW4gQy48L2F1dGhvcj48YXV0aG9yPkdhcm1lc3RhbmksIEFoam9uZCBTLjwvYXV0aG9y
PjxhdXRob3I+QW5nZWxlciwgRGF2aWQgRy48L2F1dGhvcj48YXV0aG9yPkhlcnJtYW5uLCBEdXN0
aW4gTC48L2F1dGhvcj48YXV0aG9yPlN0b3csIENyYWlnIEEuPC9hdXRob3I+PGF1dGhvcj5OeXN0
cm9tLCBNYWdudXM8L2F1dGhvcj48YXV0aG9yPlNlbmR6aW1pciwgSmFuPC9hdXRob3I+PGF1dGhv
cj5Ib3B0b24sIE1hdHRoZXcgRS48L2F1dGhvcj48YXV0aG9yPktvbGFzYSwgSnVyZWs8L2F1dGhv
cj48YXV0aG9yPkFsbGVuLCBDcmFpZyBSLjwvYXV0aG9yPjwvYXV0aG9ycz48L2NvbnRyaWJ1dG9y
cz48dGl0bGVzPjx0aXRsZT5CaW9sb2dpY2FsIGludmFzaW9ucywgZWNvbG9naWNhbCByZXNpbGll
bmNlIGFuZCBhZGFwdGl2ZSBnb3Zlcm5hbmNlPC90aXRsZT48c2Vjb25kYXJ5LXRpdGxlPkpvdXJu
YWwgb2YgRW52aXJvbm1lbnRhbCBNYW5hZ2VtZW50PC9zZWNvbmRhcnktdGl0bGU+PC90aXRsZXM+
PHBlcmlvZGljYWw+PGZ1bGwtdGl0bGU+Sm91cm5hbCBvZiBFbnZpcm9ubWVudGFsIE1hbmFnZW1l
bnQ8L2Z1bGwtdGl0bGU+PGFiYnItMT5KLiBFbnZpcm9uLiBNYW5hZ2UuPC9hYmJyLTE+PGFiYnIt
Mj5KIEVudmlyb24gTWFuYWdlPC9hYmJyLTI+PC9wZXJpb2RpY2FsPjxwYWdlcz4zOTktNDA3PC9w
YWdlcz48dm9sdW1lPjE4Mzwvdm9sdW1lPjxkYXRlcz48eWVhcj4yMDE2PC95ZWFyPjxwdWItZGF0
ZXM+PGRhdGU+RGVjIDE8L2RhdGU+PC9wdWItZGF0ZXM+PC9kYXRlcz48aXNibj4wMzAxLTQ3OTc8
L2lzYm4+PGFjY2Vzc2lvbi1udW0+V09TOjAwMDM4NjQxNDMwMDAwNzwvYWNjZXNzaW9uLW51bT48
dXJscz48cmVsYXRlZC11cmxzPjx1cmw+Jmx0O0dvIHRvIElTSSZndDs6Ly9XT1M6MDAwMzg2NDE0
MzAwMDA3PC91cmw+PC9yZWxhdGVkLXVybHM+PC91cmxzPjxlbGVjdHJvbmljLXJlc291cmNlLW51
bT4xMC4xMDE2L2ouamVudm1hbi4yMDE2LjA0LjA0MDwvZWxlY3Ryb25pYy1yZXNvdXJjZS1udW0+
PC9yZWNvcmQ+PC9DaXRlPjxDaXRlPjxBdXRob3I+Q29vbmV5PC9BdXRob3I+PFllYXI+MjAwNzwv
WWVhcj48UmVjTnVtPjQ5MTg0PC9SZWNOdW0+PHJlY29yZD48cmVjLW51bWJlcj40OTE4NDwvcmVj
LW51bWJlcj48Zm9yZWlnbi1rZXlzPjxrZXkgYXBwPSJFTiIgZGItaWQ9ImF3eDlyYWRkcjB4eDJo
ZXYwNXJ4cjB6MDV3ZWVwd3B0MGZleCIgdGltZXN0YW1wPSIxNTgxNDk3MzIwIj40OTE4NDwva2V5
PjwvZm9yZWlnbi1rZXlzPjxyZWYtdHlwZSBuYW1lPSJKb3VybmFsIEFydGljbGUiPjE3PC9yZWYt
dHlwZT48Y29udHJpYnV0b3JzPjxhdXRob3JzPjxhdXRob3I+Q29vbmV5LCBSb3NpZTwvYXV0aG9y
PjxhdXRob3I+TGFuZywgQW5kcmV3IFQuIEYuPC9hdXRob3I+PC9hdXRob3JzPjwvY29udHJpYnV0
b3JzPjx0aXRsZXM+PHRpdGxlPlRha2luZyB1bmNlcnRhaW50eSBzZXJpb3VzbHk6IEFkYXB0aXZl
IGdvdmVybmFuY2UgYW5kIGludGVybmF0aW9uYWwgdHJhZGU8L3RpdGxlPjxzZWNvbmRhcnktdGl0
bGU+RXVyb3BlYW4gSm91cm5hbCBvZiBJbnRlcm5hdGlvbmFsIExhdzwvc2Vjb25kYXJ5LXRpdGxl
PjwvdGl0bGVzPjxwZXJpb2RpY2FsPjxmdWxsLXRpdGxlPkV1cm9wZWFuIGpvdXJuYWwgb2YgaW50
ZXJuYXRpb25hbCBsYXc8L2Z1bGwtdGl0bGU+PGFiYnItMT5FdXIuIEouIEludC4gTGF3PC9hYmJy
LTE+PGFiYnItMj5FdXIgSiBJbnQgTGF3PC9hYmJyLTI+PC9wZXJpb2RpY2FsPjxwYWdlcz41MjMt
NTUxPC9wYWdlcz48dm9sdW1lPjE4PC92b2x1bWU+PG51bWJlcj4zPC9udW1iZXI+PGRhdGVzPjx5
ZWFyPjIwMDc8L3llYXI+PHB1Yi1kYXRlcz48ZGF0ZT5KdW48L2RhdGU+PC9wdWItZGF0ZXM+PC9k
YXRlcz48aXNibj4wOTM4LTU0Mjg8L2lzYm4+PGFjY2Vzc2lvbi1udW0+V09TOjAwMDI1MTE2Njgw
MDAwNjwvYWNjZXNzaW9uLW51bT48dXJscz48cmVsYXRlZC11cmxzPjx1cmw+Jmx0O0dvIHRvIElT
SSZndDs6Ly9XT1M6MDAwMjUxMTY2ODAwMDA2PC91cmw+PC9yZWxhdGVkLXVybHM+PC91cmxzPjxl
bGVjdHJvbmljLXJlc291cmNlLW51bT4xMC4xMDkzL2VqaWwvY2htMDMwPC9lbGVjdHJvbmljLXJl
c291cmNlLW51bT48L3JlY29yZD48L0NpdGU+PENpdGU+PEF1dGhvcj5UZXJtZWVyPC9BdXRob3I+
PFllYXI+MjAxMDwvWWVhcj48UmVjTnVtPjQ5MjU1PC9SZWNOdW0+PHJlY29yZD48cmVjLW51bWJl
cj40OTI1NTwvcmVjLW51bWJlcj48Zm9yZWlnbi1rZXlzPjxrZXkgYXBwPSJFTiIgZGItaWQ9ImF3
eDlyYWRkcjB4eDJoZXYwNXJ4cjB6MDV3ZWVwd3B0MGZleCIgdGltZXN0YW1wPSIxNTkyMTEwOTM5
Ij40OTI1NTwva2V5PjwvZm9yZWlnbi1rZXlzPjxyZWYtdHlwZSBuYW1lPSJKb3VybmFsIEFydGlj
bGUiPjE3PC9yZWYtdHlwZT48Y29udHJpYnV0b3JzPjxhdXRob3JzPjxhdXRob3I+VGVybWVlciwg
Q2F0cmllbiBKQU08L2F1dGhvcj48YXV0aG9yPkRld3VsZiwgQXJ0PC9hdXRob3I+PGF1dGhvcj5W
YW4gTGllc2hvdXQsIE1hYXJ0amU8L2F1dGhvcj48L2F1dGhvcnM+PC9jb250cmlidXRvcnM+PHRp
dGxlcz48dGl0bGU+RGlzZW50YW5nbGluZyBzY2FsZSBhcHByb2FjaGVzIGluIGdvdmVybmFuY2Ug
cmVzZWFyY2g6IGNvbXBhcmluZyBtb25vY2VudHJpYywgbXVsdGlsZXZlbCwgYW5kIGFkYXB0aXZl
IGdvdmVybmFuY2U8L3RpdGxlPjxzZWNvbmRhcnktdGl0bGU+RWNvbG9neSBhbmQgc29jaWV0eTwv
c2Vjb25kYXJ5LXRpdGxlPjwvdGl0bGVzPjxwZXJpb2RpY2FsPjxmdWxsLXRpdGxlPkVjb2xvZ3kg
YW5kIFNvY2lldHk8L2Z1bGwtdGl0bGU+PGFiYnItMT5FY29sLiBTb2MuPC9hYmJyLTE+PGFiYnIt
Mj5FY29sIFNvYzwvYWJici0yPjwvcGVyaW9kaWNhbD48dm9sdW1lPjE1PC92b2x1bWU+PG51bWJl
cj40PC9udW1iZXI+PGRhdGVzPjx5ZWFyPjIwMTA8L3llYXI+PC9kYXRlcz48aXNibj4xNzA4LTMw
ODc8L2lzYm4+PHVybHM+PC91cmxzPjwvcmVjb3JkPjwvQ2l0ZT48L0VuZE5vdGU+AG==
</w:fldData>
              </w:fldChar>
            </w:r>
            <w:r w:rsidRPr="00A9434B">
              <w:rPr>
                <w:rFonts w:eastAsia="Batang"/>
              </w:rPr>
              <w:instrText xml:space="preserve"> ADDIN EN.CITE </w:instrText>
            </w:r>
            <w:r w:rsidRPr="00A9434B">
              <w:rPr>
                <w:rFonts w:eastAsia="Batang"/>
              </w:rPr>
              <w:fldChar w:fldCharType="begin">
                <w:fldData xml:space="preserve">PEVuZE5vdGU+PENpdGU+PEF1dGhvcj5NYXJ0aW48L0F1dGhvcj48WWVhcj4yMDE2PC9ZZWFyPjxS
ZWNOdW0+NDkwOTI8L1JlY051bT48RGlzcGxheVRleHQ+KENvb25leSBhbmQgTGFuZyAyMDA3LCBU
ZXJtZWVyLCBEZXd1bGYgZXQgYWwuIDIwMTAsIE1jR2VvY2gsIFNoYXcgZXQgYWwuIDIwMTUsIEJv
c3Ryb20sIEdyb25ob2xtIGV0IGFsLiAyMDE2LCBDaGFmZmluLCBHYXJtZXN0YW5pIGV0IGFsLiAy
MDE2LCBNYXJ0aW4sIExlIEdhbCBldCBhbC4gMjAxNiwgU21vbGFyeiwgQmlza3VwIGV0IGFsLiAy
MDE2LCBSdWRkLCBEaWNrZXktQ29sbGFzIGV0IGFsLiAyMDE4LCBCYXJuaGlsbC1EaWxsaW5nLCBT
ZXJyIGV0IGFsLiAyMDE5KTwvRGlzcGxheVRleHQ+PHJlY29yZD48cmVjLW51bWJlcj40OTA5Mjwv
cmVjLW51bWJlcj48Zm9yZWlnbi1rZXlzPjxrZXkgYXBwPSJFTiIgZGItaWQ9ImF3eDlyYWRkcjB4
eDJoZXYwNXJ4cjB6MDV3ZWVwd3B0MGZleCIgdGltZXN0YW1wPSIxNTgxNDk3MzIwIj40OTA5Mjwv
a2V5PjwvZm9yZWlnbi1rZXlzPjxyZWYtdHlwZSBuYW1lPSJCb29rIFNlY3Rpb24iPjU8L3JlZi10
eXBlPjxjb250cmlidXRvcnM+PGF1dGhvcnM+PGF1dGhvcj5NYXJ0aW4sIFBhdWw8L2F1dGhvcj48
YXV0aG9yPkxlIEdhbCwgRWxvZGllPC9hdXRob3I+PGF1dGhvcj5DaG95LCBEYXJyeWwgTG93PC9h
dXRob3I+PC9hdXRob3JzPjxzZWNvbmRhcnktYXV0aG9ycz48YXV0aG9yPk1haGVzaHdhcmksIEIu
PC9hdXRob3I+PGF1dGhvcj5TaW5naCwgVi4gUC48L2F1dGhvcj48YXV0aG9yPlRob3JhZGVuaXlh
LCBCLjwvYXV0aG9yPjwvc2Vjb25kYXJ5LWF1dGhvcnM+PC9jb250cmlidXRvcnM+PHRpdGxlcz48
dGl0bGU+RWZmZWN0IG9mIFNvY2lhbCBhbmQgSW5zdGl0dXRpb25hbCBGcmFnbWVudGF0aW9uIG9u
IENvbGxlY3RpdmUgQWN0aW9uIGluIFBlcmktVXJiYW4gU2V0dGluZ3M8L3RpdGxlPjxzZWNvbmRh
cnktdGl0bGU+QmFsYW5jZWQgVXJiYW4gRGV2ZWxvcG1lbnQ6IE9wdGlvbnMgYW5kIFN0cmF0ZWdp
ZXMgZm9yIExpdmVhYmxlIENpdGllczwvc2Vjb25kYXJ5LXRpdGxlPjx0ZXJ0aWFyeS10aXRsZT5X
YXRlciBTY2llbmNlIGFuZCBUZWNobm9sb2d5IExpYnJhcnk8L3RlcnRpYXJ5LXRpdGxlPjwvdGl0
bGVzPjxwYWdlcz40NjUtNDgwPC9wYWdlcz48dm9sdW1lPjcyPC92b2x1bWU+PGRhdGVzPjx5ZWFy
PjIwMTY8L3llYXI+PC9kYXRlcz48aXNibj45NzgtMy0zMTktMjgxMTItNDsgOTc4LTMtMzE5LTI4
MTEwLTA8L2lzYm4+PGFjY2Vzc2lvbi1udW0+V09TOjAwMDM5ODkyODkwMDAyOTwvYWNjZXNzaW9u
LW51bT48dXJscz48cmVsYXRlZC11cmxzPjx1cmw+Jmx0O0dvIHRvIElTSSZndDs6Ly9XT1M6MDAw
Mzk4OTI4OTAwMDI5PC91cmw+PC9yZWxhdGVkLXVybHM+PC91cmxzPjxlbGVjdHJvbmljLXJlc291
cmNlLW51bT4xMC4xMDA3Lzk3OC0zLTMxOS0yODExMi00XzI4PC9lbGVjdHJvbmljLXJlc291cmNl
LW51bT48L3JlY29yZD48L0NpdGU+PENpdGU+PEF1dGhvcj5Cb3N0cm9tPC9BdXRob3I+PFllYXI+
MjAxNjwvWWVhcj48UmVjTnVtPjQ5MDk3PC9SZWNOdW0+PHJlY29yZD48cmVjLW51bWJlcj40OTA5
NzwvcmVjLW51bWJlcj48Zm9yZWlnbi1rZXlzPjxrZXkgYXBwPSJFTiIgZGItaWQ9ImF3eDlyYWRk
cjB4eDJoZXYwNXJ4cjB6MDV3ZWVwd3B0MGZleCIgdGltZXN0YW1wPSIxNTgxNDk3MzIwIj40OTA5
Nzwva2V5PjwvZm9yZWlnbi1rZXlzPjxyZWYtdHlwZSBuYW1lPSJCb29rIFNlY3Rpb24iPjU8L3Jl
Zi10eXBlPjxjb250cmlidXRvcnM+PGF1dGhvcnM+PGF1dGhvcj5Cb3N0cm9tLCBNYWdudXM8L2F1
dGhvcj48YXV0aG9yPkdyb25ob2xtLCBTYW08L2F1dGhvcj48YXV0aG9yPkhhc3NsZXIsIEJqb3Ju
PC9hdXRob3I+PC9hdXRob3JzPjxzZWNvbmRhcnktYXV0aG9ycz48YXV0aG9yPkdpbGVrLCBNLjwv
YXV0aG9yPjxhdXRob3I+S2FybHNzb24sIE0uPC9hdXRob3I+PGF1dGhvcj5MaW5rZSwgUy48L2F1
dGhvcj48YXV0aG9yPlNtb2xhcnosIEsuPC9hdXRob3I+PC9zZWNvbmRhcnktYXV0aG9ycz48L2Nv
bnRyaWJ1dG9ycz48dGl0bGVzPjx0aXRsZT5UaGUgRWNvc3lzdGVtIEFwcHJvYWNoIHRvIE1hbmFn
ZW1lbnQgaW4gQmFsdGljIFNlYSBHb3Zlcm5hbmNlOiBUb3dhcmRzIEluY3JlYXNlZCBSZWZsZXhp
dml0eT88L3RpdGxlPjxzZWNvbmRhcnktdGl0bGU+RW52aXJvbm1lbnRhbCBHb3Zlcm5hbmNlIG9m
IHRoZSBCYWx0aWMgU2VhPC9zZWNvbmRhcnktdGl0bGU+PHRlcnRpYXJ5LXRpdGxlPk1BUkUgUHVi
bGljYXRpb24gU2VyaWVzPC90ZXJ0aWFyeS10aXRsZT48L3RpdGxlcz48cGVyaW9kaWNhbD48ZnVs
bC10aXRsZT5FbnZpcm9ubWVudGFsIGdvdmVybmFuY2Ugb2YgdGhlIEJhbHRpYyBTZWE8L2Z1bGwt
dGl0bGU+PC9wZXJpb2RpY2FsPjxwYWdlcz4xNDktMTcyPC9wYWdlcz48dm9sdW1lPjEwPC92b2x1
bWU+PGRhdGVzPjx5ZWFyPjIwMTY8L3llYXI+PC9kYXRlcz48aXNibj45NzgtMy0zMTktMjcwMDYt
NzsgOTc4LTMtMzE5LTI3MDA1LTA8L2lzYm4+PGFjY2Vzc2lvbi1udW0+V09TOjAwMDM4NjY5NTMw
MDAwODwvYWNjZXNzaW9uLW51bT48dXJscz48cmVsYXRlZC11cmxzPjx1cmw+Jmx0O0dvIHRvIElT
SSZndDs6Ly9XT1M6MDAwMzg2Njk1MzAwMDA4PC91cmw+PC9yZWxhdGVkLXVybHM+PC91cmxzPjxl
bGVjdHJvbmljLXJlc291cmNlLW51bT4xMC4xMDA3Lzk3OC0zLTMxOS0yNzAwNi03Xzc8L2VsZWN0
cm9uaWMtcmVzb3VyY2UtbnVtPjwvcmVjb3JkPjwvQ2l0ZT48Q2l0ZT48QXV0aG9yPlJ1ZGQ8L0F1
dGhvcj48WWVhcj4yMDE4PC9ZZWFyPjxSZWNOdW0+NDkwMzA8L1JlY051bT48cmVjb3JkPjxyZWMt
bnVtYmVyPjQ5MDMwPC9yZWMtbnVtYmVyPjxmb3JlaWduLWtleXM+PGtleSBhcHA9IkVOIiBkYi1p
ZD0iYXd4OXJhZGRyMHh4MmhldjA1cnhyMHowNXdlZXB3cHQwZmV4IiB0aW1lc3RhbXA9IjE1ODE0
OTczMjAiPjQ5MDMwPC9rZXk+PC9mb3JlaWduLWtleXM+PHJlZi10eXBlIG5hbWU9IkpvdXJuYWwg
QXJ0aWNsZSI+MTc8L3JlZi10eXBlPjxjb250cmlidXRvcnM+PGF1dGhvcnM+PGF1dGhvcj5SdWRk
LCBNdXJyYXkgQS48L2F1dGhvcj48YXV0aG9yPkRpY2tleS1Db2xsYXMsIE1hcms8L2F1dGhvcj48
YXV0aG9yPkZlcnJldHRpLCBKb2hhbm5hPC9hdXRob3I+PGF1dGhvcj5Kb2hhbm5lc2VuLCBFbGxl
bjwvYXV0aG9yPjxhdXRob3I+TWFjZG9uYWxkLCBOaWNvbCBNLjwvYXV0aG9yPjxhdXRob3I+TWNM
YXVnaGxpbiwgUmljaGFyZDwvYXV0aG9yPjxhdXRob3I+UmFlLCBNYXJnYXJldDwvYXV0aG9yPjxh
dXRob3I+VGhpZWxlLCBUb3JzdGVuPC9hdXRob3I+PGF1dGhvcj5MaW5rLCBKYXNvbiBTLjwvYXV0
aG9yPjwvYXV0aG9ycz48L2NvbnRyaWJ1dG9ycz48dGl0bGVzPjx0aXRsZT5PY2VhbiBFY29zeXN0
ZW0tQmFzZWQgTWFuYWdlbWVudCBNYW5kYXRlcyBhbmQgSW1wbGVtZW50YXRpb24gaW4gdGhlIE5v
cnRoIEF0bGFudGljPC90aXRsZT48c2Vjb25kYXJ5LXRpdGxlPkZyb250aWVycyBpbiBNYXJpbmUg
U2NpZW5jZTwvc2Vjb25kYXJ5LXRpdGxlPjwvdGl0bGVzPjxwZXJpb2RpY2FsPjxmdWxsLXRpdGxl
PkZyb250aWVycyBpbiBNYXJpbmUgU2NpZW5jZTwvZnVsbC10aXRsZT48L3BlcmlvZGljYWw+PHZv
bHVtZT41PC92b2x1bWU+PGRhdGVzPjx5ZWFyPjIwMTg8L3llYXI+PHB1Yi1kYXRlcz48ZGF0ZT5E
ZWMgMTQ8L2RhdGU+PC9wdWItZGF0ZXM+PC9kYXRlcz48YWNjZXNzaW9uLW51bT5XT1M6MDAwNDU3
MjIxMDAwMDAxPC9hY2Nlc3Npb24tbnVtPjx1cmxzPjxyZWxhdGVkLXVybHM+PHVybD4mbHQ7R28g
dG8gSVNJJmd0OzovL1dPUzowMDA0NTcyMjEwMDAwMDE8L3VybD48L3JlbGF0ZWQtdXJscz48L3Vy
bHM+PGN1c3RvbTc+VW5zcCA0ODU8L2N1c3RvbTc+PGVsZWN0cm9uaWMtcmVzb3VyY2UtbnVtPjEw
LjMzODkvZm1hcnMuMjAxOC4wMDQ4NTwvZWxlY3Ryb25pYy1yZXNvdXJjZS1udW0+PC9yZWNvcmQ+
PC9DaXRlPjxDaXRlPjxBdXRob3I+TWNHZW9jaDwvQXV0aG9yPjxZZWFyPjIwMTU8L1llYXI+PFJl
Y051bT42MDwvUmVjTnVtPjxyZWNvcmQ+PHJlYy1udW1iZXI+NzA8L3JlYy1udW1iZXI+PGZvcmVp
Z24ta2V5cz48a2V5IGFwcD0iRU4iIGRiLWlkPSIwZDU1cGF4ZGN2d3BlYmU1NWQxdnJ6NW5lMnBh
dHRwcmFydGEiIHRpbWVzdGFtcD0iMTU5Nzk5MjczNCI+NzA8L2tleT48L2ZvcmVpZ24ta2V5cz48
cmVmLXR5cGUgbmFtZT0iSm91cm5hbCBBcnRpY2xlIj4xNzwvcmVmLXR5cGU+PGNvbnRyaWJ1dG9y
cz48YXV0aG9ycz48YXV0aG9yPk1jR2VvY2gsIE0uIEEuPC9hdXRob3I+PGF1dGhvcj5TaGF3LCBK
LiBELjwvYXV0aG9yPjxhdXRob3I+VGVyYXVkcywgQS48L2F1dGhvcj48YXV0aG9yPkxlZSwgSi4g
RS48L2F1dGhvcj48YXV0aG9yPkNob3duLCBTLiBMLjwvYXV0aG9yPjwvYXV0aG9ycz48L2NvbnRy
aWJ1dG9ycz48dGl0bGVzPjx0aXRsZT5Nb25pdG9yaW5nIGJpb2xvZ2ljYWwgaW52YXNpb24gYWNy
b3NzIHRoZSBicm9hZGVyIEFudGFyY3RpYzogQSBiYXNlbGluZSBhbmQgaW5kaWNhdG9yIGZyYW1l
d29yazwvdGl0bGU+PHNlY29uZGFyeS10aXRsZT5HbG9iYWwgRW52aXJvbm1lbnRhbCBDaGFuZ2Ut
SHVtYW4gYW5kIFBvbGljeSBEaW1lbnNpb25zPC9zZWNvbmRhcnktdGl0bGU+PC90aXRsZXM+PHBl
cmlvZGljYWw+PGZ1bGwtdGl0bGU+R2xvYmFsIEVudmlyb25tZW50YWwgQ2hhbmdlLUh1bWFuIGFu
ZCBQb2xpY3kgRGltZW5zaW9uczwvZnVsbC10aXRsZT48L3BlcmlvZGljYWw+PHBhZ2VzPjEwOC0x
MjU8L3BhZ2VzPjx2b2x1bWU+MzI8L3ZvbHVtZT48ZGF0ZXM+PHllYXI+MjAxNTwveWVhcj48cHVi
LWRhdGVzPjxkYXRlPk1heTwvZGF0ZT48L3B1Yi1kYXRlcz48L2RhdGVzPjxpc2JuPjA5NTktMzc4
MDwvaXNibj48YWNjZXNzaW9uLW51bT5XT1M6MDAwMzU1NzcwNzAwMDExPC9hY2Nlc3Npb24tbnVt
Pjx1cmxzPjxyZWxhdGVkLXVybHM+PHVybD4mbHQ7R28gdG8gSVNJJmd0OzovL1dPUzowMDAzNTU3
NzA3MDAwMTE8L3VybD48L3JlbGF0ZWQtdXJscz48L3VybHM+PGVsZWN0cm9uaWMtcmVzb3VyY2Ut
bnVtPjEwLjEwMTYvai5nbG9lbnZjaGEuMjAxNC4xMi4wMTI8L2VsZWN0cm9uaWMtcmVzb3VyY2Ut
bnVtPjwvcmVjb3JkPjwvQ2l0ZT48Q2l0ZT48QXV0aG9yPlNtb2xhcno8L0F1dGhvcj48WWVhcj4y
MDE2PC9ZZWFyPjxSZWNOdW0+NDkwOTY8L1JlY051bT48cmVjb3JkPjxyZWMtbnVtYmVyPjQ5MDk2
PC9yZWMtbnVtYmVyPjxmb3JlaWduLWtleXM+PGtleSBhcHA9IkVOIiBkYi1pZD0iYXd4OXJhZGRy
MHh4MmhldjA1cnhyMHowNXdlZXB3cHQwZmV4IiB0aW1lc3RhbXA9IjE1ODE0OTczMjAiPjQ5MDk2
PC9rZXk+PC9mb3JlaWduLWtleXM+PHJlZi10eXBlIG5hbWU9IkJvb2sgU2VjdGlvbiI+NTwvcmVm
LXR5cGU+PGNvbnRyaWJ1dG9ycz48YXV0aG9ycz48YXV0aG9yPlNtb2xhcnosIEthdGFyenluYTwv
YXV0aG9yPjxhdXRob3I+Qmlza3VwLCBQYXVsaW5hPC9hdXRob3I+PGF1dGhvcj5aZ3J1bmRvLCBB
bGVrc2FuZHJhPC9hdXRob3I+PC9hdXRob3JzPjxzZWNvbmRhcnktYXV0aG9ycz48YXV0aG9yPkdp
bGVrLCBNLjwvYXV0aG9yPjxhdXRob3I+S2FybHNzb24sIE0uPC9hdXRob3I+PGF1dGhvcj5MaW5r
ZSwgUy48L2F1dGhvcj48YXV0aG9yPlNtb2xhcnosIEsuPC9hdXRob3I+PC9zZWNvbmRhcnktYXV0
aG9ycz48L2NvbnRyaWJ1dG9ycz48dGl0bGVzPjx0aXRsZT5CaW9sb2dpY2FsIEludmFzaW9uczog
QSBDYXNlIFN0dWR5IG9mIEJhbHRpYyBTZWEgRW52aXJvbm1lbnRhbCBHb3Zlcm5hbmNlPC90aXRs
ZT48c2Vjb25kYXJ5LXRpdGxlPkVudmlyb25tZW50YWwgR292ZXJuYW5jZSBvZiB0aGUgQmFsdGlj
IFNlYTwvc2Vjb25kYXJ5LXRpdGxlPjx0ZXJ0aWFyeS10aXRsZT5NQVJFIFB1YmxpY2F0aW9uIFNl
cmllczwvdGVydGlhcnktdGl0bGU+PC90aXRsZXM+PHBlcmlvZGljYWw+PGZ1bGwtdGl0bGU+RW52
aXJvbm1lbnRhbCBnb3Zlcm5hbmNlIG9mIHRoZSBCYWx0aWMgU2VhPC9mdWxsLXRpdGxlPjwvcGVy
aW9kaWNhbD48cGFnZXM+NzMtOTU8L3BhZ2VzPjx2b2x1bWU+MTA8L3ZvbHVtZT48ZGF0ZXM+PHll
YXI+MjAxNjwveWVhcj48L2RhdGVzPjxpc2JuPjk3OC0zLTMxOS0yNzAwNi03OyA5NzgtMy0zMTkt
MjcwMDUtMDwvaXNibj48YWNjZXNzaW9uLW51bT5XT1M6MDAwMzg2Njk1MzAwMDA1PC9hY2Nlc3Np
b24tbnVtPjx1cmxzPjxyZWxhdGVkLXVybHM+PHVybD4mbHQ7R28gdG8gSVNJJmd0OzovL1dPUzow
MDAzODY2OTUzMDAwMDU8L3VybD48L3JlbGF0ZWQtdXJscz48L3VybHM+PGVsZWN0cm9uaWMtcmVz
b3VyY2UtbnVtPjEwLjEwMDcvOTc4LTMtMzE5LTI3MDA2LTdfNDwvZWxlY3Ryb25pYy1yZXNvdXJj
ZS1udW0+PC9yZWNvcmQ+PC9DaXRlPjxDaXRlPjxBdXRob3I+QmFybmhpbGwtRGlsbGluZzwvQXV0
aG9yPjxZZWFyPjIwMTk8L1llYXI+PFJlY051bT40OTAxNjwvUmVjTnVtPjxyZWNvcmQ+PHJlYy1u
dW1iZXI+NDkwMTY8L3JlYy1udW1iZXI+PGZvcmVpZ24ta2V5cz48a2V5IGFwcD0iRU4iIGRiLWlk
PSJhd3g5cmFkZHIweHgyaGV2MDVyeHIwejA1d2VlcHdwdDBmZXgiIHRpbWVzdGFtcD0iMTU4MTQ5
NzMyMCI+NDkwMTY8L2tleT48L2ZvcmVpZ24ta2V5cz48cmVmLXR5cGUgbmFtZT0iSm91cm5hbCBB
cnRpY2xlIj4xNzwvcmVmLXR5cGU+PGNvbnRyaWJ1dG9ycz48YXV0aG9ycz48YXV0aG9yPkJhcm5o
aWxsLURpbGxpbmcsIFMuIEthdGhsZWVuPC9hdXRob3I+PGF1dGhvcj5TZXJyLCBNZWdhbjwvYXV0
aG9yPjxhdXRob3I+QmxvbmRlbCwgRGltaXRyaSBWLjwvYXV0aG9yPjxhdXRob3I+R29kd2luLCBK
b2huPC9hdXRob3I+PC9hdXRob3JzPjwvY29udHJpYnV0b3JzPjx0aXRsZXM+PHRpdGxlPlN1c3Rh
aW5hYmlsaXR5IGFzIGEgRnJhbWV3b3JrIGZvciBDb25zaWRlcmluZyBHZW5lIERyaXZlIE1pY2Ug
Zm9yIEludmFzaXZlIFJvZGVudCBFcmFkaWNhdGlvbjwvdGl0bGU+PHNlY29uZGFyeS10aXRsZT5T
dXN0YWluYWJpbGl0eTwvc2Vjb25kYXJ5LXRpdGxlPjwvdGl0bGVzPjxwZXJpb2RpY2FsPjxmdWxs
LXRpdGxlPlN1c3RhaW5hYmlsaXR5PC9mdWxsLXRpdGxlPjwvcGVyaW9kaWNhbD48dm9sdW1lPjEx
PC92b2x1bWU+PG51bWJlcj41PC9udW1iZXI+PGRhdGVzPjx5ZWFyPjIwMTk8L3llYXI+PHB1Yi1k
YXRlcz48ZGF0ZT5NYXIgMTwvZGF0ZT48L3B1Yi1kYXRlcz48L2RhdGVzPjxpc2JuPjIwNzEtMTA1
MDwvaXNibj48YWNjZXNzaW9uLW51bT5XT1M6MDAwNDYyNjYxMDAwMTE4PC9hY2Nlc3Npb24tbnVt
Pjx1cmxzPjxyZWxhdGVkLXVybHM+PHVybD4mbHQ7R28gdG8gSVNJJmd0OzovL1dPUzowMDA0NjI2
NjEwMDAxMTg8L3VybD48L3JlbGF0ZWQtdXJscz48L3VybHM+PGN1c3RvbTc+MTMzNDwvY3VzdG9t
Nz48ZWxlY3Ryb25pYy1yZXNvdXJjZS1udW0+MTAuMzM5MC9zdTExMDUxMzM0PC9lbGVjdHJvbmlj
LXJlc291cmNlLW51bT48L3JlY29yZD48L0NpdGU+PENpdGU+PEF1dGhvcj5DaGFmZmluPC9BdXRo
b3I+PFllYXI+MjAxNjwvWWVhcj48UmVjTnVtPjQ5MDgxPC9SZWNOdW0+PHJlY29yZD48cmVjLW51
bWJlcj40OTA4MTwvcmVjLW51bWJlcj48Zm9yZWlnbi1rZXlzPjxrZXkgYXBwPSJFTiIgZGItaWQ9
ImF3eDlyYWRkcjB4eDJoZXYwNXJ4cjB6MDV3ZWVwd3B0MGZleCIgdGltZXN0YW1wPSIxNTgxNDk3
MzIwIj40OTA4MTwva2V5PjwvZm9yZWlnbi1rZXlzPjxyZWYtdHlwZSBuYW1lPSJKb3VybmFsIEFy
dGljbGUiPjE3PC9yZWYtdHlwZT48Y29udHJpYnV0b3JzPjxhdXRob3JzPjxhdXRob3I+Q2hhZmZp
biwgQnJpYW4gQy48L2F1dGhvcj48YXV0aG9yPkdhcm1lc3RhbmksIEFoam9uZCBTLjwvYXV0aG9y
PjxhdXRob3I+QW5nZWxlciwgRGF2aWQgRy48L2F1dGhvcj48YXV0aG9yPkhlcnJtYW5uLCBEdXN0
aW4gTC48L2F1dGhvcj48YXV0aG9yPlN0b3csIENyYWlnIEEuPC9hdXRob3I+PGF1dGhvcj5OeXN0
cm9tLCBNYWdudXM8L2F1dGhvcj48YXV0aG9yPlNlbmR6aW1pciwgSmFuPC9hdXRob3I+PGF1dGhv
cj5Ib3B0b24sIE1hdHRoZXcgRS48L2F1dGhvcj48YXV0aG9yPktvbGFzYSwgSnVyZWs8L2F1dGhv
cj48YXV0aG9yPkFsbGVuLCBDcmFpZyBSLjwvYXV0aG9yPjwvYXV0aG9ycz48L2NvbnRyaWJ1dG9y
cz48dGl0bGVzPjx0aXRsZT5CaW9sb2dpY2FsIGludmFzaW9ucywgZWNvbG9naWNhbCByZXNpbGll
bmNlIGFuZCBhZGFwdGl2ZSBnb3Zlcm5hbmNlPC90aXRsZT48c2Vjb25kYXJ5LXRpdGxlPkpvdXJu
YWwgb2YgRW52aXJvbm1lbnRhbCBNYW5hZ2VtZW50PC9zZWNvbmRhcnktdGl0bGU+PC90aXRsZXM+
PHBlcmlvZGljYWw+PGZ1bGwtdGl0bGU+Sm91cm5hbCBvZiBFbnZpcm9ubWVudGFsIE1hbmFnZW1l
bnQ8L2Z1bGwtdGl0bGU+PGFiYnItMT5KLiBFbnZpcm9uLiBNYW5hZ2UuPC9hYmJyLTE+PGFiYnIt
Mj5KIEVudmlyb24gTWFuYWdlPC9hYmJyLTI+PC9wZXJpb2RpY2FsPjxwYWdlcz4zOTktNDA3PC9w
YWdlcz48dm9sdW1lPjE4Mzwvdm9sdW1lPjxkYXRlcz48eWVhcj4yMDE2PC95ZWFyPjxwdWItZGF0
ZXM+PGRhdGU+RGVjIDE8L2RhdGU+PC9wdWItZGF0ZXM+PC9kYXRlcz48aXNibj4wMzAxLTQ3OTc8
L2lzYm4+PGFjY2Vzc2lvbi1udW0+V09TOjAwMDM4NjQxNDMwMDAwNzwvYWNjZXNzaW9uLW51bT48
dXJscz48cmVsYXRlZC11cmxzPjx1cmw+Jmx0O0dvIHRvIElTSSZndDs6Ly9XT1M6MDAwMzg2NDE0
MzAwMDA3PC91cmw+PC9yZWxhdGVkLXVybHM+PC91cmxzPjxlbGVjdHJvbmljLXJlc291cmNlLW51
bT4xMC4xMDE2L2ouamVudm1hbi4yMDE2LjA0LjA0MDwvZWxlY3Ryb25pYy1yZXNvdXJjZS1udW0+
PC9yZWNvcmQ+PC9DaXRlPjxDaXRlPjxBdXRob3I+Q29vbmV5PC9BdXRob3I+PFllYXI+MjAwNzwv
WWVhcj48UmVjTnVtPjQ5MTg0PC9SZWNOdW0+PHJlY29yZD48cmVjLW51bWJlcj40OTE4NDwvcmVj
LW51bWJlcj48Zm9yZWlnbi1rZXlzPjxrZXkgYXBwPSJFTiIgZGItaWQ9ImF3eDlyYWRkcjB4eDJo
ZXYwNXJ4cjB6MDV3ZWVwd3B0MGZleCIgdGltZXN0YW1wPSIxNTgxNDk3MzIwIj40OTE4NDwva2V5
PjwvZm9yZWlnbi1rZXlzPjxyZWYtdHlwZSBuYW1lPSJKb3VybmFsIEFydGljbGUiPjE3PC9yZWYt
dHlwZT48Y29udHJpYnV0b3JzPjxhdXRob3JzPjxhdXRob3I+Q29vbmV5LCBSb3NpZTwvYXV0aG9y
PjxhdXRob3I+TGFuZywgQW5kcmV3IFQuIEYuPC9hdXRob3I+PC9hdXRob3JzPjwvY29udHJpYnV0
b3JzPjx0aXRsZXM+PHRpdGxlPlRha2luZyB1bmNlcnRhaW50eSBzZXJpb3VzbHk6IEFkYXB0aXZl
IGdvdmVybmFuY2UgYW5kIGludGVybmF0aW9uYWwgdHJhZGU8L3RpdGxlPjxzZWNvbmRhcnktdGl0
bGU+RXVyb3BlYW4gSm91cm5hbCBvZiBJbnRlcm5hdGlvbmFsIExhdzwvc2Vjb25kYXJ5LXRpdGxl
PjwvdGl0bGVzPjxwZXJpb2RpY2FsPjxmdWxsLXRpdGxlPkV1cm9wZWFuIGpvdXJuYWwgb2YgaW50
ZXJuYXRpb25hbCBsYXc8L2Z1bGwtdGl0bGU+PGFiYnItMT5FdXIuIEouIEludC4gTGF3PC9hYmJy
LTE+PGFiYnItMj5FdXIgSiBJbnQgTGF3PC9hYmJyLTI+PC9wZXJpb2RpY2FsPjxwYWdlcz41MjMt
NTUxPC9wYWdlcz48dm9sdW1lPjE4PC92b2x1bWU+PG51bWJlcj4zPC9udW1iZXI+PGRhdGVzPjx5
ZWFyPjIwMDc8L3llYXI+PHB1Yi1kYXRlcz48ZGF0ZT5KdW48L2RhdGU+PC9wdWItZGF0ZXM+PC9k
YXRlcz48aXNibj4wOTM4LTU0Mjg8L2lzYm4+PGFjY2Vzc2lvbi1udW0+V09TOjAwMDI1MTE2Njgw
MDAwNjwvYWNjZXNzaW9uLW51bT48dXJscz48cmVsYXRlZC11cmxzPjx1cmw+Jmx0O0dvIHRvIElT
SSZndDs6Ly9XT1M6MDAwMjUxMTY2ODAwMDA2PC91cmw+PC9yZWxhdGVkLXVybHM+PC91cmxzPjxl
bGVjdHJvbmljLXJlc291cmNlLW51bT4xMC4xMDkzL2VqaWwvY2htMDMwPC9lbGVjdHJvbmljLXJl
c291cmNlLW51bT48L3JlY29yZD48L0NpdGU+PENpdGU+PEF1dGhvcj5UZXJtZWVyPC9BdXRob3I+
PFllYXI+MjAxMDwvWWVhcj48UmVjTnVtPjQ5MjU1PC9SZWNOdW0+PHJlY29yZD48cmVjLW51bWJl
cj40OTI1NTwvcmVjLW51bWJlcj48Zm9yZWlnbi1rZXlzPjxrZXkgYXBwPSJFTiIgZGItaWQ9ImF3
eDlyYWRkcjB4eDJoZXYwNXJ4cjB6MDV3ZWVwd3B0MGZleCIgdGltZXN0YW1wPSIxNTkyMTEwOTM5
Ij40OTI1NTwva2V5PjwvZm9yZWlnbi1rZXlzPjxyZWYtdHlwZSBuYW1lPSJKb3VybmFsIEFydGlj
bGUiPjE3PC9yZWYtdHlwZT48Y29udHJpYnV0b3JzPjxhdXRob3JzPjxhdXRob3I+VGVybWVlciwg
Q2F0cmllbiBKQU08L2F1dGhvcj48YXV0aG9yPkRld3VsZiwgQXJ0PC9hdXRob3I+PGF1dGhvcj5W
YW4gTGllc2hvdXQsIE1hYXJ0amU8L2F1dGhvcj48L2F1dGhvcnM+PC9jb250cmlidXRvcnM+PHRp
dGxlcz48dGl0bGU+RGlzZW50YW5nbGluZyBzY2FsZSBhcHByb2FjaGVzIGluIGdvdmVybmFuY2Ug
cmVzZWFyY2g6IGNvbXBhcmluZyBtb25vY2VudHJpYywgbXVsdGlsZXZlbCwgYW5kIGFkYXB0aXZl
IGdvdmVybmFuY2U8L3RpdGxlPjxzZWNvbmRhcnktdGl0bGU+RWNvbG9neSBhbmQgc29jaWV0eTwv
c2Vjb25kYXJ5LXRpdGxlPjwvdGl0bGVzPjxwZXJpb2RpY2FsPjxmdWxsLXRpdGxlPkVjb2xvZ3kg
YW5kIFNvY2lldHk8L2Z1bGwtdGl0bGU+PGFiYnItMT5FY29sLiBTb2MuPC9hYmJyLTE+PGFiYnIt
Mj5FY29sIFNvYzwvYWJici0yPjwvcGVyaW9kaWNhbD48dm9sdW1lPjE1PC92b2x1bWU+PG51bWJl
cj40PC9udW1iZXI+PGRhdGVzPjx5ZWFyPjIwMTA8L3llYXI+PC9kYXRlcz48aXNibj4xNzA4LTMw
ODc8L2lzYm4+PHVybHM+PC91cmxzPjwvcmVjb3JkPjwvQ2l0ZT48L0VuZE5vdGU+AG==
</w:fldData>
              </w:fldChar>
            </w:r>
            <w:r w:rsidRPr="00A9434B">
              <w:rPr>
                <w:rFonts w:eastAsia="Batang"/>
              </w:rPr>
              <w:instrText xml:space="preserve"> ADDIN EN.CITE.DATA </w:instrText>
            </w:r>
            <w:r w:rsidRPr="00A9434B">
              <w:rPr>
                <w:rFonts w:eastAsia="Batang"/>
              </w:rPr>
            </w:r>
            <w:r w:rsidRPr="00A9434B">
              <w:rPr>
                <w:rFonts w:eastAsia="Batang"/>
              </w:rPr>
              <w:fldChar w:fldCharType="end"/>
            </w:r>
            <w:r w:rsidRPr="00A9434B">
              <w:rPr>
                <w:rFonts w:eastAsia="Batang"/>
              </w:rPr>
            </w:r>
            <w:r w:rsidRPr="00A9434B">
              <w:rPr>
                <w:rFonts w:eastAsia="Batang"/>
              </w:rPr>
              <w:fldChar w:fldCharType="separate"/>
            </w:r>
            <w:r w:rsidR="00A76B11" w:rsidRPr="00A9434B">
              <w:rPr>
                <w:rFonts w:eastAsia="Batang"/>
              </w:rPr>
              <w:fldChar w:fldCharType="begin"/>
            </w:r>
            <w:r w:rsidR="0006613E">
              <w:rPr>
                <w:rFonts w:eastAsia="Batang"/>
              </w:rPr>
              <w:instrText xml:space="preserve"> ADDIN ZOTERO_ITEM CSL_CITATION {"citationID":"paIDc8Zx","properties":{"formattedCitation":"(Barnhill-Dilling et al., 2019; Bostr\\uc0\\u246{}m et al., 2016; Chaffin et al., 2016; Cooney &amp; Lang, 2007; P. Martin et al., 2016; McGeoch, Shaw, et al., 2015; Rudd et al., 2018; Smolarz et al., 2016; Termeer et al., 2010)","plainCitation":"(Barnhill-Dilling et al., 2019; Boström et al., 2016; Chaffin et al., 2016; Cooney &amp; Lang, 2007; P. Martin et al., 2016; McGeoch, Shaw, et al., 2015; Rudd et al., 2018; Smolarz et al., 2016; Termeer et al., 2010)","dontUpdate":true,"noteIndex":0},"citationItems":[{"id":11516,"uris":["http://zotero.org/groups/2352922/items/Y5JDKBQE"],"itemData":{"id":11516,"type":"article-journal","abstract":"Gene drives represent a dynamic and controversial set of technologies with applications that range from mosquito control to the conservation of biological diversity on islands. Currently, gene drives are being developed in mice that may one day serve as an important tool for reducing invasive rodent pests, a key threat to island biodiversity and economies. Gene drives in mice are still in development in laboratories, and wild release of modified mice is likely a distant reality. However, technological changes outpace the existing capacity of regulatory frameworks, and thus require integrated governance frameworks. We suggest sustainability-which gives equal consideration to the environment, economy, and society-as one framework for addressing complexity and uncertainty in the governance of emerging gene drive technologies for invasive species management. We explore the impacts of rodent gene drives on island environments, including potential conservation and restoration of island biodiversity. We outline considerations for rodent gene drives on island economies, including impacts on agricultural and tourism losses, and reductions in biosecurity costs. Finally, we address the social dimension as an essential space for deliberation that will be integral to evaluating the potential deployment of gene drive rodents on islands. © 2019 by the authors.","container-title":"Sustainability","DOI":"10.3390/su11051334","issue":"5","page":"1334","title":"Sustainability as a framework for considering gene drive mice for invasive rodent eradication","URL":"https://www.scopus.com/inward/record.uri?eid=2-s2.0-85062831026&amp;doi=10.3390%2fsu11051334&amp;partnerID=40&amp;md5=750cea28316b86ae9f0742e159eab4ef","volume":"11","author":[{"family":"Barnhill-Dilling","given":"S.K."},{"family":"Serr","given":"M."},{"family":"Blondel","given":"D.V."},{"family":"Godwin","given":"J."}],"issued":{"date-parts":[["2019"]]}},"label":"page"},{"id":11493,"uris":["http://zotero.org/groups/2352922/items/3P28L9PQ"],"itemData":{"id":11493,"type":"chapter","collection-title":"MARE Publication Series","container-title":"Environmental Governance of the Baltic Sea","event-place":"Cham","ISBN":"978-3-319-27006-7","note":"DOI: 10.1007/978-3-319-27006-7_7","page":"149-172","publisher":"Springer","publisher-place":"Cham","title":"The Ecosystem Approach to Management in Baltic Sea Governance: Towards Increased Reflexivity?","volume":"10","author":[{"family":"Boström","given":"Magnus"},{"family":"Grönholm","given":"Sam"},{"family":"Hassler","given":"Björn"}],"editor":[{"family":"Gilek","given":"M."},{"family":"Karlsson","given":"M."},{"family":"Linke","given":"S."},{"family":"Smolarz","given":"K."}],"issued":{"date-parts":[["2016"]]}},"label":"page"},{"id":32912,"uris":["http://zotero.org/groups/2352922/items/AVLWQJ36"],"itemData":{"id":32912,"type":"article-journal","abstract":"In a world of increasing interconnections in global trade as well as rapid change in climate and land cover, the accelerating introduction and spread of invasive species is a critical concern due to associated negative social and ecological impacts, both real and perceived. Much of the societal response to invasive species to date has been associated with negative economic consequences of invasions. This response has shaped a war-like approach to addressing invasions, one with an agenda of eradications and intense ecological restoration efforts towards prior or more desirable ecological regimes. This trajectory often ignores the concept of ecological resilience and associated approaches of resilience-based governance. We argue that the relationship between ecological resilience and invasive species has been understudied to the detriment of attempts to govern invasions, and that most management actions fail, primarily because they do not incorporate adaptive, learning-based approaches. Invasive species can decrease resilience by reducing the biodiversity that underpins ecological functions and processes, making ecosystems more prone to regime shifts. However, invasions do not always result in a shift to an alternative regime; invasions can also increase resilience by introducing novelty, replacing lost ecological functions or adding redundancy that strengthens already existing structures and processes in an ecosystem. This paper examines the potential impacts of species invasions on the resilience of ecosystems and suggests that resilience-based approaches can inform policy by linking the governance of biological invasions to the negotiation of tradeoffs between ecosystem services.","container-title":"Journal of Environmental Management","DOI":"10.1016/j.jenvman.2016.04.040","ISSN":"03014797","issue":"Pt 2","journalAbbreviation":"Journal of Environmental Management","language":"en","page":"399-407","source":"DOI.org (Crossref)","title":"Biological invasions, ecological resilience and adaptive governance","URL":"https://linkinghub.elsevier.com/retrieve/pii/S0301479716302110","volume":"183","author":[{"family":"Chaffin","given":"Brian C."},{"family":"Garmestani","given":"Ahjond S."},{"family":"Angeler","given":"David G."},{"family":"Herrmann","given":"Dustin L."},{"family":"Stow","given":"Craig A."},{"family":"Nyström","given":"Magnus"},{"family":"Sendzimir","given":"Jan"},{"family":"Hopton","given":"Matthew E."},{"family":"Kolasa","given":"Jurek"},{"family":"Allen","given":"Craig R."}],"accessed":{"date-parts":[["2019",11,3]]},"issued":{"date-parts":[["2016",12]]}},"label":"page"},{"id":23953,"uris":["http://zotero.org/groups/2352922/items/LNEIC2ZH"],"itemData":{"id":23953,"type":"article-journal","abstract":"Abstract.  The problem of uncertainty presents a major challenge for institutions of international governance. In this article we draw lessons from a variety of","container-title":"European journal of international law","DOI":"10.1093/ejil/chm030","ISSN":"0938-5428","issue":"3","journalAbbreviation":"Eur. J. Int. Law","language":"en","page":"523-551","source":"academic.oup.com","title":"Taking uncertainty seriously: Adaptive governance and international trade","title-short":"Taking Uncertainty Seriously","URL":"https://academic.oup.com/ejil/article/18/3/523/363613","volume":"18","author":[{"family":"Cooney","given":"Rosie"},{"family":"Lang","given":"Andrew T. F."}],"accessed":{"date-parts":[["2019",10,21]]},"issued":{"date-parts":[["2007",6]]}},"label":"page"},{"id":11351,"uris":["http://zotero.org/groups/2352922/items/BMBKHVLX"],"itemData":{"id":11351,"type":"chapter","collection-title":"Water Science and Technology Library","container-title":"Balanced Urban Development: Options and Strategies for Liveable Cities","event-place":"Cham","ISBN":"978-3-319-28112-4","note":"DOI: 10.1007/978-3-319-28112-4_28","page":"465-480","publisher":"Springer","publisher-place":"Cham","title":"Effect of Social and Institutional Fragmentation on Collective Action in Peri-Urban Settings","volume":"72","author":[{"family":"Martin","given":"Paul"},{"family":"Le Gal","given":"Elodie"},{"family":"Choy","given":"Darryl Low"}],"editor":[{"family":"Maheshwari","given":"B."},{"family":"Thoradeniya","given":"B."},{"family":"Singh","given":"V. P."}],"issued":{"date-parts":[["2016"]]}},"label":"page"},{"id":28920,"uris":["http://zotero.org/groups/2352922/items/W24H55GQ"],"itemData":{"id":28920,"type":"article-journal","abstract":"Biological invasion is one of the key threats to the conservation of the broader Antarctic region. We provide an evidence-based assessment of the status of biological invasion in the region as a basis for future monitoring and management. We adapted the indicator framework for global biological invasion monitoring by collating information on (i) numbers of alien species and those invasive species impacting biodiversity (ii) trends in the extinction risks of native species impacted by invasive species and (iii) trends in relevant agreements, management intention and species eradications. Drivers of invasion including risk-associated human activities and trends were also evaluated. The number and trends in activities associated with invasion risk are broadly distributed across the region and increasing. Over 560 alien species from a wide range of taxa occupy the region, concentrated largely on the Southern Ocean Islands, with a high proportion of these considered to be invasive and to have negative biodiversity impacts. There has been a decline in the conservation status of species in the region that are impacted by invasives. Although policy responses to deal with the problem have increased since the 1970s, as have the number of successful eradications, management implementation statistics are patchy and progress in this area less apparent. The Antarctic Biological Invasions Indicator (ABII) provides a system for information exchange across the region and a vehicle for targeted monitoring and surveillance. It also enables inclusion of the region in global efforts to track both IAS and interventions for managing the threat. In a region that appears particularly prone to impacts from alien species, substantial further effort is needed to implement and monitor the effectiveness of management responses. (C) 2015 Elsevier Ltd. All rights reserved.","container-title":"Global Environmental Change","DOI":"10.1016/j.gloenvcha.2014.12.012","ISSN":"0959-3780","language":"English","page":"108-125","title":"Monitoring biological invasion across the broader Antarctic: A baseline and indicator framework","URL":"https://doi.org/10.1016/j.gloenvcha.2014.12.012","volume":"32","author":[{"family":"McGeoch","given":"Melodie A."},{"family":"Shaw","given":"Justine D."},{"family":"Terauds","given":"Aleks"},{"family":"Lee","given":"Jennifer E."},{"family":"Chown","given":"Steven L."}],"issued":{"date-parts":[["2015",5]]}},"label":"page"},{"id":24078,"uris":["http://zotero.org/groups/2352922/items/QVBYT7RA"],"itemData":{"id":24078,"type":"article-journal","container-title":"Frontiers in Marine Science","DOI":"10.3389/fmars.2018.00485","title":"Ocean Ecosystem-Based Management Mandates and Implementation in the North Atlantic","volume":"5","author":[{"family":"Rudd","given":"Murray A."},{"family":"Dickey-Collas","given":"Mark"},{"family":"Ferretti","given":"Johanna"},{"family":"Johannesen","given":"Ellen"},{"family":"Macdonald","given":"Nicol M."},{"family":"McLaughlin","given":"Richard"},{"family":"Rae","given":"Margaret"},{"family":"Thiele","given":"Torsten"},{"family":"Link","given":"Jason S."}],"issued":{"date-parts":[["2018",12,14]]}},"label":"page"},{"id":11449,"uris":["http://zotero.org/groups/2352922/items/K5CN724I"],"itemData":{"id":11449,"type":"chapter","collection-title":"MARE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label":"page"},{"id":11542,"uris":["http://zotero.org/groups/2352922/items/42SUSHIG"],"itemData":{"id":11542,"type":"article-journal","container-title":"Ecology and Society","ISSN":"1708-3087","issue":"4","journalAbbreviation":"Ecol. Soc.","page":"29","title":"Disentangling scale approaches in governance research: comparing monocentric, multilevel, and adaptive governance","URL":"http://www.ecologyandsociety.org/vol15/iss4/art29/","volume":"15","author":[{"family":"Termeer","given":"C. J. A. M."},{"family":"Dewulf","given":"Art"},{"family":"Van Lieshout","given":"Maartje"}],"issued":{"date-parts":[["2010"]]}},"label":"page"}],"schema":"https://github.com/citation-style-language/schema/raw/master/csl-citation.json"} </w:instrText>
            </w:r>
            <w:r w:rsidR="00A76B11" w:rsidRPr="00A9434B">
              <w:rPr>
                <w:rFonts w:eastAsia="Batang"/>
              </w:rPr>
              <w:fldChar w:fldCharType="separate"/>
            </w:r>
            <w:r w:rsidR="00E452E2" w:rsidRPr="00E452E2">
              <w:t>Barnhill-Dilling et al., 2019; Boström et al., 2016; Chaffin et al., 2016; Cooney &amp; Lang, 2007; P. Martin et al., 2016; McGeoch, Shaw, et al., 2015; Rudd et al., 2018; Smolarz et al., 2016; Termeer et al., 2010</w:t>
            </w:r>
            <w:r w:rsidR="00A76B11" w:rsidRPr="00A9434B">
              <w:rPr>
                <w:rFonts w:eastAsia="Batang"/>
              </w:rPr>
              <w:fldChar w:fldCharType="end"/>
            </w:r>
          </w:p>
          <w:p w14:paraId="5843878F" w14:textId="6DDE4904" w:rsidR="00017C04" w:rsidRPr="00C73655" w:rsidRDefault="00CA3187">
            <w:r w:rsidRPr="00A9434B">
              <w:rPr>
                <w:rFonts w:eastAsia="Batang"/>
              </w:rPr>
              <w:fldChar w:fldCharType="end"/>
            </w:r>
          </w:p>
        </w:tc>
      </w:tr>
      <w:tr w:rsidR="00017C04" w:rsidRPr="000A1E49" w14:paraId="35030B0E" w14:textId="77777777" w:rsidTr="00C73655">
        <w:trPr>
          <w:trHeight w:val="1042"/>
        </w:trPr>
        <w:tc>
          <w:tcPr>
            <w:tcW w:w="2074" w:type="dxa"/>
            <w:vAlign w:val="center"/>
          </w:tcPr>
          <w:p w14:paraId="7250ED95" w14:textId="77777777" w:rsidR="00017C04" w:rsidRPr="000A1E49" w:rsidRDefault="00F50AF9">
            <w:pPr>
              <w:spacing w:before="0" w:after="0"/>
            </w:pPr>
            <w:r w:rsidRPr="000A1E49">
              <w:t xml:space="preserve">Multi-level and sectoral integration </w:t>
            </w:r>
          </w:p>
          <w:p w14:paraId="25B74FF6" w14:textId="77777777" w:rsidR="00017C04" w:rsidRPr="000A1E49" w:rsidRDefault="00F50AF9">
            <w:pPr>
              <w:spacing w:before="0" w:after="0"/>
            </w:pPr>
            <w:r w:rsidRPr="000A1E49">
              <w:t>(</w:t>
            </w:r>
            <w:r w:rsidRPr="000A1E49">
              <w:rPr>
                <w:b/>
              </w:rPr>
              <w:t>sections 6.3</w:t>
            </w:r>
            <w:r w:rsidRPr="000A1E49">
              <w:t>,</w:t>
            </w:r>
            <w:r w:rsidRPr="000A1E49">
              <w:rPr>
                <w:b/>
              </w:rPr>
              <w:t xml:space="preserve"> 6.7</w:t>
            </w:r>
            <w:r w:rsidRPr="000A1E49">
              <w:t>)</w:t>
            </w:r>
          </w:p>
        </w:tc>
        <w:tc>
          <w:tcPr>
            <w:tcW w:w="4300" w:type="dxa"/>
            <w:vAlign w:val="center"/>
          </w:tcPr>
          <w:p w14:paraId="04835A53"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Integrated governance for biological invasions</w:t>
            </w:r>
          </w:p>
          <w:p w14:paraId="3E2CE058"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 xml:space="preserve">Transnational environmental alliances </w:t>
            </w:r>
          </w:p>
          <w:p w14:paraId="5AA760AA"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Conflict resolution</w:t>
            </w:r>
          </w:p>
          <w:p w14:paraId="62344BA6"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Negotiation of values</w:t>
            </w:r>
          </w:p>
          <w:p w14:paraId="0B46FCBE" w14:textId="1B45C3E4"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 xml:space="preserve">Inter-agency coordination to co-ordinate across policies and agencies and to monitor (stakeholder and Indigenous </w:t>
            </w:r>
            <w:r w:rsidRPr="00C73655">
              <w:rPr>
                <w:color w:val="000000"/>
              </w:rPr>
              <w:lastRenderedPageBreak/>
              <w:t>Peoples and local communit</w:t>
            </w:r>
            <w:r w:rsidR="00351A46">
              <w:rPr>
                <w:color w:val="000000"/>
              </w:rPr>
              <w:t>ies</w:t>
            </w:r>
            <w:r w:rsidRPr="00C73655">
              <w:rPr>
                <w:color w:val="000000"/>
              </w:rPr>
              <w:t xml:space="preserve">-wide or) government-wide activity. </w:t>
            </w:r>
          </w:p>
          <w:p w14:paraId="3D5ACBE8" w14:textId="5155FA74"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Multidisciplinary, comparative research on invasive alien species policy regimes (</w:t>
            </w:r>
            <w:r w:rsidR="0037768C">
              <w:rPr>
                <w:rFonts w:eastAsia="Batang"/>
                <w:b/>
                <w:iCs/>
              </w:rPr>
              <w:t>G</w:t>
            </w:r>
            <w:r w:rsidR="003B5BF5" w:rsidRPr="00673554">
              <w:rPr>
                <w:rFonts w:eastAsia="Batang"/>
                <w:b/>
                <w:iCs/>
              </w:rPr>
              <w:t>lossary</w:t>
            </w:r>
            <w:r w:rsidRPr="00C73655">
              <w:rPr>
                <w:color w:val="000000"/>
              </w:rPr>
              <w:t>)</w:t>
            </w:r>
          </w:p>
        </w:tc>
        <w:tc>
          <w:tcPr>
            <w:tcW w:w="2835" w:type="dxa"/>
            <w:shd w:val="clear" w:color="auto" w:fill="auto"/>
            <w:vAlign w:val="center"/>
          </w:tcPr>
          <w:p w14:paraId="5F4D56AD" w14:textId="1BEAED8D" w:rsidR="00017C04" w:rsidRPr="00C73655" w:rsidRDefault="003620F7">
            <w:pPr>
              <w:spacing w:before="0" w:after="0"/>
              <w:rPr>
                <w:lang w:val="da-DK"/>
              </w:rPr>
            </w:pPr>
            <w:r w:rsidRPr="00A9434B">
              <w:rPr>
                <w:rFonts w:eastAsia="Batang"/>
              </w:rPr>
              <w:lastRenderedPageBreak/>
              <w:fldChar w:fldCharType="begin"/>
            </w:r>
            <w:r w:rsidR="002D2756">
              <w:rPr>
                <w:rFonts w:eastAsia="Batang"/>
              </w:rPr>
              <w:instrText xml:space="preserve"> ADDIN ZOTERO_ITEM CSL_CITATION {"citationID":"a2dh1e17h01","properties":{"formattedCitation":"(Bennett &amp; Satterfield, 2018; Daviter, 2017; Herrick, 2019; Justo-Hanani &amp; Dayan, 2020; Visseren-Hamakers, 2015; Weitz et al., 2017)","plainCitation":"(Bennett &amp; Satterfield, 2018; Daviter, 2017; Herrick, 2019; Justo-Hanani &amp; Dayan, 2020; Visseren-Hamakers, 2015; Weitz et al., 2017)","dontUpdate":true,"noteIndex":0},"citationItems":[{"id":32745,"uris":["http://zotero.org/groups/2352922/items/LN6UG9GJ"],"itemData":{"id":32745,"type":"article-journal","abstract":"Governance is one of the most important factors for ensuring effective environmental management and conservation actions. Yet, there is still a relative paucity of comprehensive and practicable guidance that can be used to frame the evaluation, design, and analysis of systems of environmental governance. This conceptual review and synthesis article seeks to addresses this problem through resituating the broad body of governance literature into a practical framework for environmental governance. Our framework builds on a rich history of governance scholarship to propose that environmental governance has four general aims or objectives – to be effective, to be equitable, to be responsive, and to be robust. Each of these four objectives need to be considered simultaneously across the institutional, structural, and procedural elements of environmental governance. Through a review of the literature, we developed a set of attributes for each of these objectives and relate these to the overall capacity, functioning, and performance of environmental governance. Our aim is to provide a practical and adaptable framework that can be applied to the design, evaluation, and analysis of environmental governance in different social and political contexts, to diverse environmental problems and modes of governance, and at a range of scales.","container-title":"Conservation Letters","DOI":"10.1111/conl.12600","ISSN":"1755-263X","issue":"6","language":"en","note":"_eprint: https://conbio.onlinelibrary.wiley.com/doi/pdf/10.1111/conl.12600","page":"e12600","source":"Wiley Online Library","title":"Environmental governance: A practical framework to guide design, evaluation, and analysis","title-short":"Environmental governance","URL":"https://doi.org/10.1111/conl.12600","volume":"11","author":[{"family":"Bennett","given":"Nathan J."},{"family":"Satterfield","given":"Terre"}],"accessed":{"date-parts":[["2021",8,25]]},"issued":{"date-parts":[["2018"]]}},"label":"page"},{"id":53568,"uris":["http://zotero.org/groups/2352922/items/5SYHFE2I"],"itemData":{"id":53568,"type":"article-journal","container-title":"Policy Studies","DOI":"10.1080/01442872.2017.1384543","ISSN":"0144-2872","issue":"6","page":"571-588","title":"Coping, taming or solving: alternative approaches to the governance of wicked problems","volume":"38","author":[{"family":"Daviter","given":"F."}],"issued":{"date-parts":[["2017"]]}},"label":"page"},{"id":23536,"uris":["http://zotero.org/groups/2352922/items/CJ7IDGDF"],"itemData":{"id":23536,"type":"article-journal","abstract":"By some accounts, invasive species pose the second greatest threat to global biodiversity after habitat destruction. In addition to their ecological impacts, invasive species cause a wide range of economic and social damages. In recent years, scholars and policy officials have called for recalibration of U.S. invasive species policy, with some advocating a tightly integrated policy regime addressing a broad spectrum of activity, including predictive assessment of invasion pathways, prevention of introduction and spread, control of established populations, eradication of selected populations, and establishment of high</w:instrText>
            </w:r>
            <w:r w:rsidR="002D2756">
              <w:rPr>
                <w:rFonts w:ascii="ＭＳ 明朝" w:eastAsia="ＭＳ 明朝" w:hAnsi="ＭＳ 明朝" w:cs="ＭＳ 明朝" w:hint="eastAsia"/>
              </w:rPr>
              <w:instrText>‐</w:instrText>
            </w:r>
            <w:r w:rsidR="002D2756">
              <w:rPr>
                <w:rFonts w:eastAsia="Batang"/>
              </w:rPr>
              <w:instrText xml:space="preserve">level coordination bodies. In this paper, I draw upon the policy integration literature and apply a regime construct to review the proposition that the existing mix of U.S. invasive species policies can and should be more tightly integrated. By way of conclusion, I suggest that the current policy mix is not exhausted and recommend a program evaluation process framed to characterize and assess factors and conditions that might influence the comparative effectiveness of strategic alternatives to integration, such as coping and taming.","container-title":"Environmental Policy and Governance","DOI":"10.1002/eet.1852","ISSN":"1756-932X","issue":"4","page":"262-278","source":"Wiley Online Library","title":"A review of the U.S. invasive species policy mix: Questioning the prospect of an integrated regime","URL":"https://onlinelibrary.wiley.com/doi/abs/10.1002/eet.1852","volume":"29","author":[{"family":"Herrick","given":"Charles N."}],"issued":{"date-parts":[["2019",7]]}},"label":"page"},{"id":10800,"uris":["http://zotero.org/groups/2352922/items/Y6ZN7KKY","http://zotero.org/groups/2352922/items/NZICFLFU"],"itemData":{"id":10800,"type":"article-journal","abstract":"The precautionary nature of risk regulation in the European Union (EU) and the United States (US) is an ongoing debate. Theoretical contentions over ‘who is more precautionary’ confirm that the degree of relative precaution may lead to different levels of protection, but also suggest that precaution needs to be evaluated against different parts of the regulatory process. This paper addresses a new case of transatlantic split which has occurred with the adoption of the EU regulation on alien invasive species. This regulation aims to drive important changes at the trade–environment nexus and reflects Europe’s integrated policy approach to environmental, health, and safety risks. We have carried out a comparative analysis by examining parts of the regulatory process. We argue that differences in legal and policy frameworks, risk assessment, and risk management structures have left the EU and the US wide apart as to their risk governance ambitions. The EU exhibits more precautionary approach with regard to these parts, as compared to the US. Our finding suggests that policy divergence, as reflected in this case, is true for both stringency and regulatory process, expanding literature discussions on precaution in these systems. Yet, with the EU’s regulation being relatively new, there are still implementation issues up for debate.","archive":"ProQuest One Academic; Social Science Premium Collection","archive_location":"2489438711","container-title":"Policy Sciences","DOI":"10.1007/s11077-020-09409-9","ISSN":"00322687","issue":"1","language":"English","note":"publisher-place: Dordrecht\npublisher: Springer Nature B.V.","page":"3-20","title":"Risk regulation and precaution in Europe and the United States: the case of bioinvasion","URL":"http://ez.library.latrobe.edu.au/login?url=https://www.proquest.com/scholarly-journals/risk-regulation-precaution-europe-united-states/docview/2489438711/se-2?accountid=12001","volume":"54","author":[{"literal":"Justo-Hanani Ronit"},{"literal":"Dayan Tamar"}],"issued":{"date-parts":[["2021",3]]}},"label":"page"},{"id":30284,"uris":["http://zotero.org/groups/2352922/items/3MWGCWSD"],"itemData":{"id":30284,"type":"article-journal","abstract":"The issue of regime complexity in global environmental governance is widely recognized. The academic debate on regime fragmentation has itself however been rather fragmented, with discussions circling around different concepts, including inter-organizational relations, polycentric governance, integrated management, landscape governance, environmental policy integration, coordination, mainstreaming, coherence, policy mixes, governance architectures and systems, regime complexes, institutional interaction, metagovernance and the nexus approach. Moreover, the topic of relationships between different policies is also discussed among practitioners, where the call for synergies is increasingly heard. This article brings together these discussions under the common heading of integrative environmental governance (IEG). The article provides a literature review, and argues for an IEG perspective in which the relationships between governance instruments take center stage.","container-title":"Current Opinion in Environmental Sustainability","DOI":"https://doi.org/10.1016/j.cosust.2015.05.008","ISSN":"1877-3435","page":"136-143","title":"Integrative environmental governance: enhancing governance in the era of synergies","volume":"14","author":[{"family":"Visseren-Hamakers","given":"Ingrid J."}],"issued":{"date-parts":[["2015"]]}},"label":"page"},{"id":30287,"uris":["http://zotero.org/groups/2352922/items/CL6TRYIG"],"itemData":{"id":30287,"type":"article-journal","abstract":"The water-energy-food nexus has become a popular concept in environmental change research and policy debates. Proponents suggest that a nexus approach promotes policy coherence through identifying optimal policy mixes and governance arrangements across the water, energy and food sectors. Although the nexus literature identifies some barriers to achieving coherence it does not clearly explain why the barriers are present, what influences them, and how they can be acted upon. These gaps disconnect the nexus literature from the governance processes it ultimately seeks to influence. This paper examines how the integrative environmental governance literature can help to close these gaps. It extracts insights from seven streams of research literature and discusses their relevance for the nexus literature. We argue that connecting the nexus to decision-making processes requires: i) rethinking the boundaries of nexus analysis vis-à-vis other sectors and levels; ii) elaboration of shared principles that can guide decision-making towards policy coherence − or an appropriate form of fragmentation − in different contexts; iii) viewing policy coherence as a continuous process of changing values and perception rather than as an outcome.","container-title":"Global Environmental Change","DOI":"10.1016/j.gloenvcha.2017.06.006","ISSN":"0959-3780","journalAbbreviation":"Global Environmental Change","language":"en","page":"165-173","source":"ScienceDirect","title":"Closing the governance gaps in the water-energy-food nexus: Insights from integrative governance","title-short":"Closing the governance gaps in the water-energy-food nexus","URL":"https://www.sciencedirect.com/science/article/pii/S0959378017300031","volume":"45","author":[{"family":"Weitz","given":"Nina"},{"family":"Strambo","given":"Claudia"},{"family":"Kemp-Benedict","given":"Eric"},{"family":"Nilsson","given":"Måns"}],"accessed":{"date-parts":[["2021",8,25]]},"issued":{"date-parts":[["2017",7,1]]}},"label":"page"}],"schema":"https://github.com/citation-style-language/schema/raw/master/csl-citation.json"} </w:instrText>
            </w:r>
            <w:r w:rsidRPr="00A9434B">
              <w:rPr>
                <w:rFonts w:eastAsia="Batang"/>
              </w:rPr>
              <w:fldChar w:fldCharType="separate"/>
            </w:r>
            <w:r w:rsidR="00C71E80" w:rsidRPr="00A9434B">
              <w:t>Bennett &amp; Satterfield, 2018; Daviter, 2017; Herrick, 2019; Justo-Hanani &amp; Dayan, 2020; Visseren-Hamakers, 2015; Weitz et al., 2017</w:t>
            </w:r>
            <w:r w:rsidRPr="00A9434B">
              <w:rPr>
                <w:rFonts w:eastAsia="Batang"/>
              </w:rPr>
              <w:fldChar w:fldCharType="end"/>
            </w:r>
          </w:p>
        </w:tc>
      </w:tr>
      <w:tr w:rsidR="00017C04" w:rsidRPr="000A1E49" w14:paraId="26D10002" w14:textId="77777777" w:rsidTr="00C73655">
        <w:trPr>
          <w:trHeight w:val="2587"/>
        </w:trPr>
        <w:tc>
          <w:tcPr>
            <w:tcW w:w="2074" w:type="dxa"/>
            <w:shd w:val="clear" w:color="auto" w:fill="D9D9D9"/>
            <w:vAlign w:val="center"/>
          </w:tcPr>
          <w:p w14:paraId="3C5A53C5" w14:textId="08320E27" w:rsidR="00017C04" w:rsidRPr="000A1E49" w:rsidRDefault="005E45C1">
            <w:pPr>
              <w:spacing w:before="0" w:after="0"/>
            </w:pPr>
            <w:r w:rsidRPr="000A1E49">
              <w:t>Coordination and collaboration across international and regional mechanisms</w:t>
            </w:r>
            <w:r w:rsidRPr="000A1E49" w:rsidDel="005E45C1">
              <w:t xml:space="preserve"> </w:t>
            </w:r>
            <w:r w:rsidR="00F50AF9" w:rsidRPr="000A1E49">
              <w:t>(</w:t>
            </w:r>
            <w:r w:rsidR="00F50AF9" w:rsidRPr="000A1E49">
              <w:rPr>
                <w:b/>
              </w:rPr>
              <w:t>section 6.2.3.4</w:t>
            </w:r>
            <w:r w:rsidR="00F50AF9" w:rsidRPr="000A1E49">
              <w:t>)</w:t>
            </w:r>
          </w:p>
        </w:tc>
        <w:tc>
          <w:tcPr>
            <w:tcW w:w="4300" w:type="dxa"/>
            <w:shd w:val="clear" w:color="auto" w:fill="D9D9D9"/>
            <w:vAlign w:val="center"/>
          </w:tcPr>
          <w:p w14:paraId="704C7445" w14:textId="036F245C" w:rsidR="00017C04" w:rsidRPr="00C73655" w:rsidRDefault="00F50AF9" w:rsidP="00C12647">
            <w:pPr>
              <w:numPr>
                <w:ilvl w:val="0"/>
                <w:numId w:val="11"/>
              </w:numPr>
              <w:pBdr>
                <w:top w:val="nil"/>
                <w:left w:val="nil"/>
                <w:bottom w:val="nil"/>
                <w:right w:val="nil"/>
                <w:between w:val="nil"/>
              </w:pBdr>
              <w:spacing w:before="0" w:after="0"/>
            </w:pPr>
            <w:r w:rsidRPr="00C73655">
              <w:t>Stakeholder and Indigenous Peoples and local communit</w:t>
            </w:r>
            <w:r w:rsidR="00351A46">
              <w:t>ies</w:t>
            </w:r>
            <w:r w:rsidRPr="00C73655">
              <w:t xml:space="preserve"> mapping</w:t>
            </w:r>
          </w:p>
          <w:p w14:paraId="401574C0" w14:textId="77777777" w:rsidR="00017C04" w:rsidRPr="00C73655" w:rsidRDefault="00F50AF9" w:rsidP="00C12647">
            <w:pPr>
              <w:numPr>
                <w:ilvl w:val="0"/>
                <w:numId w:val="11"/>
              </w:numPr>
              <w:pBdr>
                <w:top w:val="nil"/>
                <w:left w:val="nil"/>
                <w:bottom w:val="nil"/>
                <w:right w:val="nil"/>
                <w:between w:val="nil"/>
              </w:pBdr>
              <w:spacing w:before="0" w:after="0"/>
            </w:pPr>
            <w:r w:rsidRPr="00C73655">
              <w:t>Actor network analysis</w:t>
            </w:r>
          </w:p>
          <w:p w14:paraId="122CC2FE" w14:textId="77777777" w:rsidR="00017C04" w:rsidRPr="00C73655" w:rsidRDefault="00F50AF9" w:rsidP="00C12647">
            <w:pPr>
              <w:numPr>
                <w:ilvl w:val="0"/>
                <w:numId w:val="11"/>
              </w:numPr>
              <w:pBdr>
                <w:top w:val="nil"/>
                <w:left w:val="nil"/>
                <w:bottom w:val="nil"/>
                <w:right w:val="nil"/>
                <w:between w:val="nil"/>
              </w:pBdr>
              <w:spacing w:before="0" w:after="0"/>
            </w:pPr>
            <w:r w:rsidRPr="00C73655">
              <w:t>Measures to build public support</w:t>
            </w:r>
          </w:p>
          <w:p w14:paraId="5A414A90" w14:textId="5BC77525" w:rsidR="00017C04" w:rsidRPr="00C73655" w:rsidRDefault="00F50AF9" w:rsidP="00C12647">
            <w:pPr>
              <w:numPr>
                <w:ilvl w:val="0"/>
                <w:numId w:val="11"/>
              </w:numPr>
              <w:pBdr>
                <w:top w:val="nil"/>
                <w:left w:val="nil"/>
                <w:bottom w:val="nil"/>
                <w:right w:val="nil"/>
                <w:between w:val="nil"/>
              </w:pBdr>
              <w:spacing w:before="0" w:after="0"/>
              <w:rPr>
                <w:color w:val="000000"/>
              </w:rPr>
            </w:pPr>
            <w:r w:rsidRPr="00C73655">
              <w:t>Bridging organizations (</w:t>
            </w:r>
            <w:r w:rsidR="0037768C">
              <w:rPr>
                <w:rFonts w:eastAsia="Batang"/>
                <w:b/>
                <w:iCs/>
              </w:rPr>
              <w:t>G</w:t>
            </w:r>
            <w:r w:rsidR="009B426B" w:rsidRPr="00673554">
              <w:rPr>
                <w:rFonts w:eastAsia="Batang"/>
                <w:b/>
                <w:iCs/>
              </w:rPr>
              <w:t>lossary</w:t>
            </w:r>
            <w:r w:rsidRPr="00C73655">
              <w:rPr>
                <w:color w:val="000000"/>
              </w:rPr>
              <w:t>)</w:t>
            </w:r>
          </w:p>
          <w:p w14:paraId="15D64A4F" w14:textId="77777777" w:rsidR="00017C04" w:rsidRPr="00C73655" w:rsidRDefault="00F50AF9" w:rsidP="00C12647">
            <w:pPr>
              <w:numPr>
                <w:ilvl w:val="0"/>
                <w:numId w:val="11"/>
              </w:numPr>
              <w:pBdr>
                <w:top w:val="nil"/>
                <w:left w:val="nil"/>
                <w:bottom w:val="nil"/>
                <w:right w:val="nil"/>
                <w:between w:val="nil"/>
              </w:pBdr>
              <w:spacing w:before="0" w:after="0"/>
              <w:rPr>
                <w:color w:val="000000"/>
              </w:rPr>
            </w:pPr>
            <w:r w:rsidRPr="00C73655">
              <w:rPr>
                <w:color w:val="000000"/>
              </w:rPr>
              <w:t>Extension personnel</w:t>
            </w:r>
          </w:p>
          <w:p w14:paraId="58ED83ED" w14:textId="77777777" w:rsidR="00017C04" w:rsidRPr="00C73655" w:rsidRDefault="00F50AF9" w:rsidP="00C12647">
            <w:pPr>
              <w:numPr>
                <w:ilvl w:val="0"/>
                <w:numId w:val="11"/>
              </w:numPr>
              <w:pBdr>
                <w:top w:val="nil"/>
                <w:left w:val="nil"/>
                <w:bottom w:val="nil"/>
                <w:right w:val="nil"/>
                <w:between w:val="nil"/>
              </w:pBdr>
              <w:spacing w:before="0" w:after="0"/>
              <w:rPr>
                <w:color w:val="000000"/>
              </w:rPr>
            </w:pPr>
            <w:r w:rsidRPr="00C73655">
              <w:rPr>
                <w:color w:val="000000"/>
              </w:rPr>
              <w:t>Institutions that build cooperation amongst relevant actors</w:t>
            </w:r>
          </w:p>
          <w:p w14:paraId="2AEB0306" w14:textId="77777777" w:rsidR="00017C04" w:rsidRPr="00C73655" w:rsidRDefault="00F50AF9" w:rsidP="00C12647">
            <w:pPr>
              <w:numPr>
                <w:ilvl w:val="0"/>
                <w:numId w:val="11"/>
              </w:numPr>
              <w:pBdr>
                <w:top w:val="nil"/>
                <w:left w:val="nil"/>
                <w:bottom w:val="nil"/>
                <w:right w:val="nil"/>
                <w:between w:val="nil"/>
              </w:pBdr>
              <w:spacing w:before="0" w:after="0"/>
              <w:rPr>
                <w:color w:val="000000"/>
              </w:rPr>
            </w:pPr>
            <w:r w:rsidRPr="00C73655">
              <w:rPr>
                <w:color w:val="000000"/>
              </w:rPr>
              <w:t>International cooperation on information sharing, monitoring, implementation and best practice</w:t>
            </w:r>
          </w:p>
        </w:tc>
        <w:tc>
          <w:tcPr>
            <w:tcW w:w="2835" w:type="dxa"/>
            <w:shd w:val="clear" w:color="auto" w:fill="D9D9D9"/>
            <w:vAlign w:val="center"/>
          </w:tcPr>
          <w:p w14:paraId="7CCD0F55" w14:textId="77777777" w:rsidR="00893980" w:rsidRPr="00A9434B" w:rsidRDefault="00CA3187" w:rsidP="00B86627">
            <w:pPr>
              <w:spacing w:before="0" w:after="0"/>
              <w:rPr>
                <w:rFonts w:eastAsia="Batang"/>
              </w:rPr>
            </w:pPr>
            <w:r w:rsidRPr="00A9434B">
              <w:rPr>
                <w:rFonts w:eastAsia="Batang"/>
              </w:rPr>
              <w:fldChar w:fldCharType="begin">
                <w:fldData xml:space="preserve">PEVuZE5vdGU+PENpdGU+PEF1dGhvcj5HaWxuYTwvQXV0aG9yPjxZZWFyPjIwMTQ8L1llYXI+PFJl
Y051bT4zODwvUmVjTnVtPjxEaXNwbGF5VGV4dD4oQW5ndWxvIGFuZCBHaWxuYSAyMDA4LCBDb29r
LCBMaXUgZXQgYWwuIDIwMTAsIFN0b2V0dCAyMDEwLCBHaWxuYSwgS3V6bWEgZXQgYWwuIDIwMTQs
IEx1YmVsbCwgSmFzbnkgZXQgYWwuIDIwMTcsIE5vdXJhbmksIERlY2tlciBldCBhbC4gMjAxOSk8
L0Rpc3BsYXlUZXh0PjxyZWNvcmQ+PHJlYy1udW1iZXI+NTA8L3JlYy1udW1iZXI+PGZvcmVpZ24t
a2V5cz48a2V5IGFwcD0iRU4iIGRiLWlkPSIwZDU1cGF4ZGN2d3BlYmU1NWQxdnJ6NW5lMnBhdHRw
cmFydGEiIHRpbWVzdGFtcD0iMTU5Nzk5MjczMyI+NTA8L2tleT48L2ZvcmVpZ24ta2V5cz48cmVm
LXR5cGUgbmFtZT0iSm91cm5hbCBBcnRpY2xlIj4xNzwvcmVmLXR5cGU+PGNvbnRyaWJ1dG9ycz48
YXV0aG9ycz48YXV0aG9yPkdpbG5hLCBCZW48L2F1dGhvcj48YXV0aG9yPkt1em1hLCBKZW5uaWZl
cjwvYXV0aG9yPjxhdXRob3I+T3R0cywgU3RlcGhhbmllIFNob3dhbHRlcjwvYXV0aG9yPjwvYXV0
aG9ycz48L2NvbnRyaWJ1dG9ycz48dGl0bGVzPjx0aXRsZT5Hb3Zlcm5hbmNlIG9mIGdlbmV0aWMg
YmlvY29udHJvbCB0ZWNobm9sb2dpZXMgZm9yIGludmFzaXZlIGZpc2g8L3RpdGxlPjxzZWNvbmRh
cnktdGl0bGU+QmlvbG9naWNhbCBJbnZhc2lvbnM8L3NlY29uZGFyeS10aXRsZT48L3RpdGxlcz48
cGVyaW9kaWNhbD48ZnVsbC10aXRsZT5CaW9sb2dpY2FsIEludmFzaW9uczwvZnVsbC10aXRsZT48
L3BlcmlvZGljYWw+PHBhZ2VzPjEyOTktMTMxMjwvcGFnZXM+PHZvbHVtZT4xNjwvdm9sdW1lPjxu
dW1iZXI+NjwvbnVtYmVyPjxkYXRlcz48eWVhcj4yMDE0PC95ZWFyPjxwdWItZGF0ZXM+PGRhdGU+
SnVuPC9kYXRlPjwvcHViLWRhdGVzPjwvZGF0ZXM+PGlzYm4+MTM4Ny0zNTQ3PC9pc2JuPjxhY2Nl
c3Npb24tbnVtPldPUzowMDAzMzg0NDQ1MDAwMDk8L2FjY2Vzc2lvbi1udW0+PHVybHM+PHJlbGF0
ZWQtdXJscz48dXJsPiZsdDtHbyB0byBJU0kmZ3Q7Oi8vV09TOjAwMDMzODQ0NDUwMDAwOTwvdXJs
PjwvcmVsYXRlZC11cmxzPjwvdXJscz48ZWxlY3Ryb25pYy1yZXNvdXJjZS1udW0+MTAuMTAwNy9z
MTA1MzAtMDEyLTAzNjcteDwvZWxlY3Ryb25pYy1yZXNvdXJjZS1udW0+PC9yZWNvcmQ+PC9DaXRl
PjxDaXRlPjxBdXRob3I+QW5ndWxvPC9BdXRob3I+PFllYXI+MjAwODwvWWVhcj48UmVjTnVtPjQ5
MTgyPC9SZWNOdW0+PHJlY29yZD48cmVjLW51bWJlcj40OTE4MjwvcmVjLW51bWJlcj48Zm9yZWln
bi1rZXlzPjxrZXkgYXBwPSJFTiIgZGItaWQ9ImF3eDlyYWRkcjB4eDJoZXYwNXJ4cjB6MDV3ZWVw
d3B0MGZleCIgdGltZXN0YW1wPSIxNTgxNDk3MzIwIj40OTE4Mjwva2V5PjwvZm9yZWlnbi1rZXlz
PjxyZWYtdHlwZSBuYW1lPSJKb3VybmFsIEFydGljbGUiPjE3PC9yZWYtdHlwZT48Y29udHJpYnV0
b3JzPjxhdXRob3JzPjxhdXRob3I+QW5ndWxvLCBFbGVuYTwvYXV0aG9yPjxhdXRob3I+R2lsbmEs
IEJlbjwvYXV0aG9yPjwvYXV0aG9ycz48L2NvbnRyaWJ1dG9ycz48dGl0bGVzPjx0aXRsZT5XaGVu
IGJpb3RlY2ggY3Jvc3NlcyBib3JkZXJzPC90aXRsZT48c2Vjb25kYXJ5LXRpdGxlPk5hdHVyZSBC
aW90ZWNobm9sb2d5PC9zZWNvbmRhcnktdGl0bGU+PC90aXRsZXM+PHBlcmlvZGljYWw+PGZ1bGwt
dGl0bGU+TmF0dXJlIEJpb3RlY2hub2xvZ3k8L2Z1bGwtdGl0bGU+PGFiYnItMT5OYXQuIEJpb3Rl
Y2hub2wuPC9hYmJyLTE+PGFiYnItMj5OYXQgQmlvdGVjaG5vbDwvYWJici0yPjwvcGVyaW9kaWNh
bD48cGFnZXM+Mjc3LTI4MjwvcGFnZXM+PHZvbHVtZT4yNjwvdm9sdW1lPjxudW1iZXI+MzwvbnVt
YmVyPjxkYXRlcz48eWVhcj4yMDA4PC95ZWFyPjxwdWItZGF0ZXM+PGRhdGU+TWFyPC9kYXRlPjwv
cHViLWRhdGVzPjwvZGF0ZXM+PGlzYm4+MTA4Ny0wMTU2PC9pc2JuPjxhY2Nlc3Npb24tbnVtPldP
UzowMDAyNTQxMjM0MDAwMTU8L2FjY2Vzc2lvbi1udW0+PHVybHM+PHJlbGF0ZWQtdXJscz48dXJs
PiZsdDtHbyB0byBJU0kmZ3Q7Oi8vV09TOjAwMDI1NDEyMzQwMDAxNTwvdXJsPjwvcmVsYXRlZC11
cmxzPjwvdXJscz48ZWxlY3Ryb25pYy1yZXNvdXJjZS1udW0+MTAuMTAzOC9uYnQwMzA4LTI3Nzwv
ZWxlY3Ryb25pYy1yZXNvdXJjZS1udW0+PC9yZWNvcmQ+PC9DaXRlPjxDaXRlPjxBdXRob3I+Tm91
cmFuaTwvQXV0aG9yPjxZZWFyPjIwMTk8L1llYXI+PFJlY051bT40OTAwNDwvUmVjTnVtPjxyZWNv
cmQ+PHJlYy1udW1iZXI+NDkwMDQ8L3JlYy1udW1iZXI+PGZvcmVpZ24ta2V5cz48a2V5IGFwcD0i
RU4iIGRiLWlkPSJhd3g5cmFkZHIweHgyaGV2MDVyeHIwejA1d2VlcHdwdDBmZXgiIHRpbWVzdGFt
cD0iMTU4MTQ5NzMyMCI+NDkwMDQ8L2tleT48L2ZvcmVpZ24ta2V5cz48cmVmLXR5cGUgbmFtZT0i
Sm91cm5hbCBBcnRpY2xlIj4xNzwvcmVmLXR5cGU+PGNvbnRyaWJ1dG9ycz48YXV0aG9ycz48YXV0
aG9yPk5vdXJhbmksIFNhbGx5IFcuPC9hdXRob3I+PGF1dGhvcj5EZWNrZXIsIERhbmllbCBKLjwv
YXV0aG9yPjxhdXRob3I+S3Jhc255LCBNYXJpYW5uZSBFLjwvYXV0aG9yPjwvYXV0aG9ycz48L2Nv
bnRyaWJ1dG9ycz48dGl0bGVzPjx0aXRsZT5FeHRlbnNpb24gYXMgYSBNdWx0aWxldmVsIEJyaWRn
aW5nIE9yZ2FuaXphdGlvbjogU3VwcG9ydGluZyBOZXR3b3JrZWQgRW52aXJvbm1lbnRhbCBHb3Zl
cm5hbmNlPC90aXRsZT48c2Vjb25kYXJ5LXRpdGxlPkpvdXJuYWwgb2YgRXh0ZW5zaW9uPC9zZWNv
bmRhcnktdGl0bGU+PC90aXRsZXM+PHBlcmlvZGljYWw+PGZ1bGwtdGl0bGU+Sm91cm5hbCBvZiBF
eHRlbnNpb248L2Z1bGwtdGl0bGU+PC9wZXJpb2RpY2FsPjx2b2x1bWU+NTc8L3ZvbHVtZT48bnVt
YmVyPjU8L251bWJlcj48ZGF0ZXM+PHllYXI+MjAxOTwveWVhcj48cHViLWRhdGVzPjxkYXRlPk9j
dDwvZGF0ZT48L3B1Yi1kYXRlcz48L2RhdGVzPjxpc2JuPjAwMjItMDE0MDwvaXNibj48YWNjZXNz
aW9uLW51bT5XT1M6MDAwNDkwNzY1ODAwMDAyPC9hY2Nlc3Npb24tbnVtPjx1cmxzPjxyZWxhdGVk
LXVybHM+PHVybD4mbHQ7R28gdG8gSVNJJmd0OzovL1dPUzowMDA0OTA3NjU4MDAwMDI8L3VybD48
L3JlbGF0ZWQtdXJscz48L3VybHM+PGN1c3RvbTc+NWZlYTI8L2N1c3RvbTc+PC9yZWNvcmQ+PC9D
aXRlPjxDaXRlPjxBdXRob3I+U3RvZXR0PC9BdXRob3I+PFllYXI+MjAxMDwvWWVhcj48UmVjTnVt
PjQ5MTczPC9SZWNOdW0+PHJlY29yZD48cmVjLW51bWJlcj40OTE3MzwvcmVjLW51bWJlcj48Zm9y
ZWlnbi1rZXlzPjxrZXkgYXBwPSJFTiIgZGItaWQ9ImF3eDlyYWRkcjB4eDJoZXYwNXJ4cjB6MDV3
ZWVwd3B0MGZleCIgdGltZXN0YW1wPSIxNTgxNDk3MzIwIj40OTE3Mzwva2V5PjwvZm9yZWlnbi1r
ZXlzPjxyZWYtdHlwZSBuYW1lPSJKb3VybmFsIEFydGljbGUiPjE3PC9yZWYtdHlwZT48Y29udHJp
YnV0b3JzPjxhdXRob3JzPjxhdXRob3I+U3RvZXR0LCBQZXRlcjwvYXV0aG9yPjwvYXV0aG9ycz48
L2NvbnRyaWJ1dG9ycz48dGl0bGVzPjx0aXRsZT5GcmFtaW5nIEJpb2ludmFzaW9uOiBCaW9kaXZl
cnNpdHksIENsaW1hdGUgQ2hhbmdlLCBTZWN1cml0eSwgVHJhZGUsIGFuZCBHbG9iYWwgR292ZXJu
YW5jZTwvdGl0bGU+PHNlY29uZGFyeS10aXRsZT5HbG9iYWwgR292ZXJuYW5jZTwvc2Vjb25kYXJ5
LXRpdGxlPjwvdGl0bGVzPjxwZXJpb2RpY2FsPjxmdWxsLXRpdGxlPkdsb2JhbCBHb3Zlcm5hbmNl
PC9mdWxsLXRpdGxlPjwvcGVyaW9kaWNhbD48cGFnZXM+MTAzLTEyMDwvcGFnZXM+PHZvbHVtZT4x
Njwvdm9sdW1lPjxudW1iZXI+MTwvbnVtYmVyPjxkYXRlcz48eWVhcj4yMDEwPC95ZWFyPjxwdWIt
ZGF0ZXM+PGRhdGU+SmFuLU1hcjwvZGF0ZT48L3B1Yi1kYXRlcz48L2RhdGVzPjxpc2JuPjEwNzUt
Mjg0NjwvaXNibj48YWNjZXNzaW9uLW51bT5XT1M6MDAwMjc0ODgwMDAwMDA3PC9hY2Nlc3Npb24t
bnVtPjx1cmxzPjxyZWxhdGVkLXVybHM+PHVybD4mbHQ7R28gdG8gSVNJJmd0OzovL1dPUzowMDAy
NzQ4ODAwMDAwMDc8L3VybD48L3JlbGF0ZWQtdXJscz48L3VybHM+PC9yZWNvcmQ+PC9DaXRlPjxD
aXRlPjxBdXRob3I+Q29vazwvQXV0aG9yPjxZZWFyPjIwMTA8L1llYXI+PFJlY051bT40OTE3MDwv
UmVjTnVtPjxyZWNvcmQ+PHJlYy1udW1iZXI+NDkxNzA8L3JlYy1udW1iZXI+PGZvcmVpZ24ta2V5
cz48a2V5IGFwcD0iRU4iIGRiLWlkPSJhd3g5cmFkZHIweHgyaGV2MDVyeHIwejA1d2VlcHdwdDBm
ZXgiIHRpbWVzdGFtcD0iMTU4MTQ5NzMyMCI+NDkxNzA8L2tleT48L2ZvcmVpZ24ta2V5cz48cmVm
LXR5cGUgbmFtZT0iSm91cm5hbCBBcnRpY2xlIj4xNzwvcmVmLXR5cGU+PGNvbnRyaWJ1dG9ycz48
YXV0aG9ycz48YXV0aG9yPkNvb2ssIERhdmlkIEMuPC9hdXRob3I+PGF1dGhvcj5MaXUsIFNodWFu
ZzwvYXV0aG9yPjxhdXRob3I+TXVycGh5LCBCcmVuZGFuPC9hdXRob3I+PGF1dGhvcj5Mb25zZGFs
ZSwgVy4gTWFyazwvYXV0aG9yPjwvYXV0aG9ycz48L2NvbnRyaWJ1dG9ycz48dGl0bGVzPjx0aXRs
ZT5BZGFwdGl2ZSBBcHByb2FjaGVzIHRvIEJpb3NlY3VyaXR5IEdvdmVybmFuY2U8L3RpdGxlPjxz
ZWNvbmRhcnktdGl0bGU+UmlzayBBbmFseXNpczwvc2Vjb25kYXJ5LXRpdGxlPjwvdGl0bGVzPjxw
ZXJpb2RpY2FsPjxmdWxsLXRpdGxlPlJpc2sgQW5hbHlzaXM8L2Z1bGwtdGl0bGU+PGFiYnItMT5S
aXNrIEFuYWwuPC9hYmJyLTE+PGFiYnItMj5SaXNrIEFuYWw8L2FiYnItMj48L3BlcmlvZGljYWw+
PHBhZ2VzPjEzMDMtMTMxNDwvcGFnZXM+PHZvbHVtZT4zMDwvdm9sdW1lPjxudW1iZXI+OTwvbnVt
YmVyPjxkYXRlcz48eWVhcj4yMDEwPC95ZWFyPjxwdWItZGF0ZXM+PGRhdGU+U2VwPC9kYXRlPjwv
cHViLWRhdGVzPjwvZGF0ZXM+PGlzYm4+MDI3Mi00MzMyPC9pc2JuPjxhY2Nlc3Npb24tbnVtPldP
UzowMDAyODE4MzQ2MDAwMDI8L2FjY2Vzc2lvbi1udW0+PHVybHM+PHJlbGF0ZWQtdXJscz48dXJs
PiZsdDtHbyB0byBJU0kmZ3Q7Oi8vV09TOjAwMDI4MTgzNDYwMDAwMjwvdXJsPjwvcmVsYXRlZC11
cmxzPjwvdXJscz48ZWxlY3Ryb25pYy1yZXNvdXJjZS1udW0+MTAuMTExMS9qLjE1MzktNjkyNC4y
MDEwLjAxNDM5Lng8L2VsZWN0cm9uaWMtcmVzb3VyY2UtbnVtPjwvcmVjb3JkPjwvQ2l0ZT48Q2l0
ZT48QXV0aG9yPkx1YmVsbDwvQXV0aG9yPjxZZWFyPjIwMTc8L1llYXI+PFJlY051bT4xNTwvUmVj
TnVtPjxyZWNvcmQ+PHJlYy1udW1iZXI+Mjc8L3JlYy1udW1iZXI+PGZvcmVpZ24ta2V5cz48a2V5
IGFwcD0iRU4iIGRiLWlkPSIwZDU1cGF4ZGN2d3BlYmU1NWQxdnJ6NW5lMnBhdHRwcmFydGEiIHRp
bWVzdGFtcD0iMTU5Nzk5MjczMyI+Mjc8L2tleT48L2ZvcmVpZ24ta2V5cz48cmVmLXR5cGUgbmFt
ZT0iSm91cm5hbCBBcnRpY2xlIj4xNzwvcmVmLXR5cGU+PGNvbnRyaWJ1dG9ycz48YXV0aG9ycz48
YXV0aG9yPkx1YmVsbCwgTWFyazwvYXV0aG9yPjxhdXRob3I+SmFzbnksIExvcmllbjwvYXV0aG9y
PjxhdXRob3I+SGFzdGluZ3MsIEFsYW48L2F1dGhvcj48L2F1dGhvcnM+PC9jb250cmlidXRvcnM+
PHRpdGxlcz48dGl0bGU+TmV0d29yayBHb3Zlcm5hbmNlIGZvciBJbnZhc2l2ZSBTcGVjaWVzIE1h
bmFnZW1lbnQ8L3RpdGxlPjxzZWNvbmRhcnktdGl0bGU+Q29uc2VydmF0aW9uIExldHRlcnM8L3Nl
Y29uZGFyeS10aXRsZT48L3RpdGxlcz48cGVyaW9kaWNhbD48ZnVsbC10aXRsZT5Db25zZXJ2YXRp
b24gTGV0dGVyczwvZnVsbC10aXRsZT48L3BlcmlvZGljYWw+PHBhZ2VzPjY5OS03MDc8L3BhZ2Vz
Pjx2b2x1bWU+MTA8L3ZvbHVtZT48bnVtYmVyPjY8L251bWJlcj48ZGF0ZXM+PHllYXI+MjAxNzwv
eWVhcj48cHViLWRhdGVzPjxkYXRlPk5vdi1EZWM8L2RhdGU+PC9wdWItZGF0ZXM+PC9kYXRlcz48
aXNibj4xNzU1LTI2M1g8L2lzYm4+PGFjY2Vzc2lvbi1udW0+V09TOjAwMDQxNzkxNzgwMDAwNjwv
YWNjZXNzaW9uLW51bT48dXJscz48cmVsYXRlZC11cmxzPjx1cmw+Jmx0O0dvIHRvIElTSSZndDs6
Ly9XT1M6MDAwNDE3OTE3ODAwMDA2PC91cmw+PC9yZWxhdGVkLXVybHM+PC91cmxzPjxlbGVjdHJv
bmljLXJlc291cmNlLW51bT4xMC4xMTExL2NvbmwuMTIzMTE8L2VsZWN0cm9uaWMtcmVzb3VyY2Ut
bnVtPjwvcmVjb3JkPjwvQ2l0ZT48L0VuZE5vdGU+
</w:fldData>
              </w:fldChar>
            </w:r>
            <w:r w:rsidRPr="00A9434B">
              <w:rPr>
                <w:rFonts w:eastAsia="Batang"/>
              </w:rPr>
              <w:instrText xml:space="preserve"> ADDIN EN.CITE </w:instrText>
            </w:r>
            <w:r w:rsidRPr="00A9434B">
              <w:rPr>
                <w:rFonts w:eastAsia="Batang"/>
              </w:rPr>
              <w:fldChar w:fldCharType="begin">
                <w:fldData xml:space="preserve">PEVuZE5vdGU+PENpdGU+PEF1dGhvcj5HaWxuYTwvQXV0aG9yPjxZZWFyPjIwMTQ8L1llYXI+PFJl
Y051bT4zODwvUmVjTnVtPjxEaXNwbGF5VGV4dD4oQW5ndWxvIGFuZCBHaWxuYSAyMDA4LCBDb29r
LCBMaXUgZXQgYWwuIDIwMTAsIFN0b2V0dCAyMDEwLCBHaWxuYSwgS3V6bWEgZXQgYWwuIDIwMTQs
IEx1YmVsbCwgSmFzbnkgZXQgYWwuIDIwMTcsIE5vdXJhbmksIERlY2tlciBldCBhbC4gMjAxOSk8
L0Rpc3BsYXlUZXh0PjxyZWNvcmQ+PHJlYy1udW1iZXI+NTA8L3JlYy1udW1iZXI+PGZvcmVpZ24t
a2V5cz48a2V5IGFwcD0iRU4iIGRiLWlkPSIwZDU1cGF4ZGN2d3BlYmU1NWQxdnJ6NW5lMnBhdHRw
cmFydGEiIHRpbWVzdGFtcD0iMTU5Nzk5MjczMyI+NTA8L2tleT48L2ZvcmVpZ24ta2V5cz48cmVm
LXR5cGUgbmFtZT0iSm91cm5hbCBBcnRpY2xlIj4xNzwvcmVmLXR5cGU+PGNvbnRyaWJ1dG9ycz48
YXV0aG9ycz48YXV0aG9yPkdpbG5hLCBCZW48L2F1dGhvcj48YXV0aG9yPkt1em1hLCBKZW5uaWZl
cjwvYXV0aG9yPjxhdXRob3I+T3R0cywgU3RlcGhhbmllIFNob3dhbHRlcjwvYXV0aG9yPjwvYXV0
aG9ycz48L2NvbnRyaWJ1dG9ycz48dGl0bGVzPjx0aXRsZT5Hb3Zlcm5hbmNlIG9mIGdlbmV0aWMg
YmlvY29udHJvbCB0ZWNobm9sb2dpZXMgZm9yIGludmFzaXZlIGZpc2g8L3RpdGxlPjxzZWNvbmRh
cnktdGl0bGU+QmlvbG9naWNhbCBJbnZhc2lvbnM8L3NlY29uZGFyeS10aXRsZT48L3RpdGxlcz48
cGVyaW9kaWNhbD48ZnVsbC10aXRsZT5CaW9sb2dpY2FsIEludmFzaW9uczwvZnVsbC10aXRsZT48
L3BlcmlvZGljYWw+PHBhZ2VzPjEyOTktMTMxMjwvcGFnZXM+PHZvbHVtZT4xNjwvdm9sdW1lPjxu
dW1iZXI+NjwvbnVtYmVyPjxkYXRlcz48eWVhcj4yMDE0PC95ZWFyPjxwdWItZGF0ZXM+PGRhdGU+
SnVuPC9kYXRlPjwvcHViLWRhdGVzPjwvZGF0ZXM+PGlzYm4+MTM4Ny0zNTQ3PC9pc2JuPjxhY2Nl
c3Npb24tbnVtPldPUzowMDAzMzg0NDQ1MDAwMDk8L2FjY2Vzc2lvbi1udW0+PHVybHM+PHJlbGF0
ZWQtdXJscz48dXJsPiZsdDtHbyB0byBJU0kmZ3Q7Oi8vV09TOjAwMDMzODQ0NDUwMDAwOTwvdXJs
PjwvcmVsYXRlZC11cmxzPjwvdXJscz48ZWxlY3Ryb25pYy1yZXNvdXJjZS1udW0+MTAuMTAwNy9z
MTA1MzAtMDEyLTAzNjcteDwvZWxlY3Ryb25pYy1yZXNvdXJjZS1udW0+PC9yZWNvcmQ+PC9DaXRl
PjxDaXRlPjxBdXRob3I+QW5ndWxvPC9BdXRob3I+PFllYXI+MjAwODwvWWVhcj48UmVjTnVtPjQ5
MTgyPC9SZWNOdW0+PHJlY29yZD48cmVjLW51bWJlcj40OTE4MjwvcmVjLW51bWJlcj48Zm9yZWln
bi1rZXlzPjxrZXkgYXBwPSJFTiIgZGItaWQ9ImF3eDlyYWRkcjB4eDJoZXYwNXJ4cjB6MDV3ZWVw
d3B0MGZleCIgdGltZXN0YW1wPSIxNTgxNDk3MzIwIj40OTE4Mjwva2V5PjwvZm9yZWlnbi1rZXlz
PjxyZWYtdHlwZSBuYW1lPSJKb3VybmFsIEFydGljbGUiPjE3PC9yZWYtdHlwZT48Y29udHJpYnV0
b3JzPjxhdXRob3JzPjxhdXRob3I+QW5ndWxvLCBFbGVuYTwvYXV0aG9yPjxhdXRob3I+R2lsbmEs
IEJlbjwvYXV0aG9yPjwvYXV0aG9ycz48L2NvbnRyaWJ1dG9ycz48dGl0bGVzPjx0aXRsZT5XaGVu
IGJpb3RlY2ggY3Jvc3NlcyBib3JkZXJzPC90aXRsZT48c2Vjb25kYXJ5LXRpdGxlPk5hdHVyZSBC
aW90ZWNobm9sb2d5PC9zZWNvbmRhcnktdGl0bGU+PC90aXRsZXM+PHBlcmlvZGljYWw+PGZ1bGwt
dGl0bGU+TmF0dXJlIEJpb3RlY2hub2xvZ3k8L2Z1bGwtdGl0bGU+PGFiYnItMT5OYXQuIEJpb3Rl
Y2hub2wuPC9hYmJyLTE+PGFiYnItMj5OYXQgQmlvdGVjaG5vbDwvYWJici0yPjwvcGVyaW9kaWNh
bD48cGFnZXM+Mjc3LTI4MjwvcGFnZXM+PHZvbHVtZT4yNjwvdm9sdW1lPjxudW1iZXI+MzwvbnVt
YmVyPjxkYXRlcz48eWVhcj4yMDA4PC95ZWFyPjxwdWItZGF0ZXM+PGRhdGU+TWFyPC9kYXRlPjwv
cHViLWRhdGVzPjwvZGF0ZXM+PGlzYm4+MTA4Ny0wMTU2PC9pc2JuPjxhY2Nlc3Npb24tbnVtPldP
UzowMDAyNTQxMjM0MDAwMTU8L2FjY2Vzc2lvbi1udW0+PHVybHM+PHJlbGF0ZWQtdXJscz48dXJs
PiZsdDtHbyB0byBJU0kmZ3Q7Oi8vV09TOjAwMDI1NDEyMzQwMDAxNTwvdXJsPjwvcmVsYXRlZC11
cmxzPjwvdXJscz48ZWxlY3Ryb25pYy1yZXNvdXJjZS1udW0+MTAuMTAzOC9uYnQwMzA4LTI3Nzwv
ZWxlY3Ryb25pYy1yZXNvdXJjZS1udW0+PC9yZWNvcmQ+PC9DaXRlPjxDaXRlPjxBdXRob3I+Tm91
cmFuaTwvQXV0aG9yPjxZZWFyPjIwMTk8L1llYXI+PFJlY051bT40OTAwNDwvUmVjTnVtPjxyZWNv
cmQ+PHJlYy1udW1iZXI+NDkwMDQ8L3JlYy1udW1iZXI+PGZvcmVpZ24ta2V5cz48a2V5IGFwcD0i
RU4iIGRiLWlkPSJhd3g5cmFkZHIweHgyaGV2MDVyeHIwejA1d2VlcHdwdDBmZXgiIHRpbWVzdGFt
cD0iMTU4MTQ5NzMyMCI+NDkwMDQ8L2tleT48L2ZvcmVpZ24ta2V5cz48cmVmLXR5cGUgbmFtZT0i
Sm91cm5hbCBBcnRpY2xlIj4xNzwvcmVmLXR5cGU+PGNvbnRyaWJ1dG9ycz48YXV0aG9ycz48YXV0
aG9yPk5vdXJhbmksIFNhbGx5IFcuPC9hdXRob3I+PGF1dGhvcj5EZWNrZXIsIERhbmllbCBKLjwv
YXV0aG9yPjxhdXRob3I+S3Jhc255LCBNYXJpYW5uZSBFLjwvYXV0aG9yPjwvYXV0aG9ycz48L2Nv
bnRyaWJ1dG9ycz48dGl0bGVzPjx0aXRsZT5FeHRlbnNpb24gYXMgYSBNdWx0aWxldmVsIEJyaWRn
aW5nIE9yZ2FuaXphdGlvbjogU3VwcG9ydGluZyBOZXR3b3JrZWQgRW52aXJvbm1lbnRhbCBHb3Zl
cm5hbmNlPC90aXRsZT48c2Vjb25kYXJ5LXRpdGxlPkpvdXJuYWwgb2YgRXh0ZW5zaW9uPC9zZWNv
bmRhcnktdGl0bGU+PC90aXRsZXM+PHBlcmlvZGljYWw+PGZ1bGwtdGl0bGU+Sm91cm5hbCBvZiBF
eHRlbnNpb248L2Z1bGwtdGl0bGU+PC9wZXJpb2RpY2FsPjx2b2x1bWU+NTc8L3ZvbHVtZT48bnVt
YmVyPjU8L251bWJlcj48ZGF0ZXM+PHllYXI+MjAxOTwveWVhcj48cHViLWRhdGVzPjxkYXRlPk9j
dDwvZGF0ZT48L3B1Yi1kYXRlcz48L2RhdGVzPjxpc2JuPjAwMjItMDE0MDwvaXNibj48YWNjZXNz
aW9uLW51bT5XT1M6MDAwNDkwNzY1ODAwMDAyPC9hY2Nlc3Npb24tbnVtPjx1cmxzPjxyZWxhdGVk
LXVybHM+PHVybD4mbHQ7R28gdG8gSVNJJmd0OzovL1dPUzowMDA0OTA3NjU4MDAwMDI8L3VybD48
L3JlbGF0ZWQtdXJscz48L3VybHM+PGN1c3RvbTc+NWZlYTI8L2N1c3RvbTc+PC9yZWNvcmQ+PC9D
aXRlPjxDaXRlPjxBdXRob3I+U3RvZXR0PC9BdXRob3I+PFllYXI+MjAxMDwvWWVhcj48UmVjTnVt
PjQ5MTczPC9SZWNOdW0+PHJlY29yZD48cmVjLW51bWJlcj40OTE3MzwvcmVjLW51bWJlcj48Zm9y
ZWlnbi1rZXlzPjxrZXkgYXBwPSJFTiIgZGItaWQ9ImF3eDlyYWRkcjB4eDJoZXYwNXJ4cjB6MDV3
ZWVwd3B0MGZleCIgdGltZXN0YW1wPSIxNTgxNDk3MzIwIj40OTE3Mzwva2V5PjwvZm9yZWlnbi1r
ZXlzPjxyZWYtdHlwZSBuYW1lPSJKb3VybmFsIEFydGljbGUiPjE3PC9yZWYtdHlwZT48Y29udHJp
YnV0b3JzPjxhdXRob3JzPjxhdXRob3I+U3RvZXR0LCBQZXRlcjwvYXV0aG9yPjwvYXV0aG9ycz48
L2NvbnRyaWJ1dG9ycz48dGl0bGVzPjx0aXRsZT5GcmFtaW5nIEJpb2ludmFzaW9uOiBCaW9kaXZl
cnNpdHksIENsaW1hdGUgQ2hhbmdlLCBTZWN1cml0eSwgVHJhZGUsIGFuZCBHbG9iYWwgR292ZXJu
YW5jZTwvdGl0bGU+PHNlY29uZGFyeS10aXRsZT5HbG9iYWwgR292ZXJuYW5jZTwvc2Vjb25kYXJ5
LXRpdGxlPjwvdGl0bGVzPjxwZXJpb2RpY2FsPjxmdWxsLXRpdGxlPkdsb2JhbCBHb3Zlcm5hbmNl
PC9mdWxsLXRpdGxlPjwvcGVyaW9kaWNhbD48cGFnZXM+MTAzLTEyMDwvcGFnZXM+PHZvbHVtZT4x
Njwvdm9sdW1lPjxudW1iZXI+MTwvbnVtYmVyPjxkYXRlcz48eWVhcj4yMDEwPC95ZWFyPjxwdWIt
ZGF0ZXM+PGRhdGU+SmFuLU1hcjwvZGF0ZT48L3B1Yi1kYXRlcz48L2RhdGVzPjxpc2JuPjEwNzUt
Mjg0NjwvaXNibj48YWNjZXNzaW9uLW51bT5XT1M6MDAwMjc0ODgwMDAwMDA3PC9hY2Nlc3Npb24t
bnVtPjx1cmxzPjxyZWxhdGVkLXVybHM+PHVybD4mbHQ7R28gdG8gSVNJJmd0OzovL1dPUzowMDAy
NzQ4ODAwMDAwMDc8L3VybD48L3JlbGF0ZWQtdXJscz48L3VybHM+PC9yZWNvcmQ+PC9DaXRlPjxD
aXRlPjxBdXRob3I+Q29vazwvQXV0aG9yPjxZZWFyPjIwMTA8L1llYXI+PFJlY051bT40OTE3MDwv
UmVjTnVtPjxyZWNvcmQ+PHJlYy1udW1iZXI+NDkxNzA8L3JlYy1udW1iZXI+PGZvcmVpZ24ta2V5
cz48a2V5IGFwcD0iRU4iIGRiLWlkPSJhd3g5cmFkZHIweHgyaGV2MDVyeHIwejA1d2VlcHdwdDBm
ZXgiIHRpbWVzdGFtcD0iMTU4MTQ5NzMyMCI+NDkxNzA8L2tleT48L2ZvcmVpZ24ta2V5cz48cmVm
LXR5cGUgbmFtZT0iSm91cm5hbCBBcnRpY2xlIj4xNzwvcmVmLXR5cGU+PGNvbnRyaWJ1dG9ycz48
YXV0aG9ycz48YXV0aG9yPkNvb2ssIERhdmlkIEMuPC9hdXRob3I+PGF1dGhvcj5MaXUsIFNodWFu
ZzwvYXV0aG9yPjxhdXRob3I+TXVycGh5LCBCcmVuZGFuPC9hdXRob3I+PGF1dGhvcj5Mb25zZGFs
ZSwgVy4gTWFyazwvYXV0aG9yPjwvYXV0aG9ycz48L2NvbnRyaWJ1dG9ycz48dGl0bGVzPjx0aXRs
ZT5BZGFwdGl2ZSBBcHByb2FjaGVzIHRvIEJpb3NlY3VyaXR5IEdvdmVybmFuY2U8L3RpdGxlPjxz
ZWNvbmRhcnktdGl0bGU+UmlzayBBbmFseXNpczwvc2Vjb25kYXJ5LXRpdGxlPjwvdGl0bGVzPjxw
ZXJpb2RpY2FsPjxmdWxsLXRpdGxlPlJpc2sgQW5hbHlzaXM8L2Z1bGwtdGl0bGU+PGFiYnItMT5S
aXNrIEFuYWwuPC9hYmJyLTE+PGFiYnItMj5SaXNrIEFuYWw8L2FiYnItMj48L3BlcmlvZGljYWw+
PHBhZ2VzPjEzMDMtMTMxNDwvcGFnZXM+PHZvbHVtZT4zMDwvdm9sdW1lPjxudW1iZXI+OTwvbnVt
YmVyPjxkYXRlcz48eWVhcj4yMDEwPC95ZWFyPjxwdWItZGF0ZXM+PGRhdGU+U2VwPC9kYXRlPjwv
cHViLWRhdGVzPjwvZGF0ZXM+PGlzYm4+MDI3Mi00MzMyPC9pc2JuPjxhY2Nlc3Npb24tbnVtPldP
UzowMDAyODE4MzQ2MDAwMDI8L2FjY2Vzc2lvbi1udW0+PHVybHM+PHJlbGF0ZWQtdXJscz48dXJs
PiZsdDtHbyB0byBJU0kmZ3Q7Oi8vV09TOjAwMDI4MTgzNDYwMDAwMjwvdXJsPjwvcmVsYXRlZC11
cmxzPjwvdXJscz48ZWxlY3Ryb25pYy1yZXNvdXJjZS1udW0+MTAuMTExMS9qLjE1MzktNjkyNC4y
MDEwLjAxNDM5Lng8L2VsZWN0cm9uaWMtcmVzb3VyY2UtbnVtPjwvcmVjb3JkPjwvQ2l0ZT48Q2l0
ZT48QXV0aG9yPkx1YmVsbDwvQXV0aG9yPjxZZWFyPjIwMTc8L1llYXI+PFJlY051bT4xNTwvUmVj
TnVtPjxyZWNvcmQ+PHJlYy1udW1iZXI+Mjc8L3JlYy1udW1iZXI+PGZvcmVpZ24ta2V5cz48a2V5
IGFwcD0iRU4iIGRiLWlkPSIwZDU1cGF4ZGN2d3BlYmU1NWQxdnJ6NW5lMnBhdHRwcmFydGEiIHRp
bWVzdGFtcD0iMTU5Nzk5MjczMyI+Mjc8L2tleT48L2ZvcmVpZ24ta2V5cz48cmVmLXR5cGUgbmFt
ZT0iSm91cm5hbCBBcnRpY2xlIj4xNzwvcmVmLXR5cGU+PGNvbnRyaWJ1dG9ycz48YXV0aG9ycz48
YXV0aG9yPkx1YmVsbCwgTWFyazwvYXV0aG9yPjxhdXRob3I+SmFzbnksIExvcmllbjwvYXV0aG9y
PjxhdXRob3I+SGFzdGluZ3MsIEFsYW48L2F1dGhvcj48L2F1dGhvcnM+PC9jb250cmlidXRvcnM+
PHRpdGxlcz48dGl0bGU+TmV0d29yayBHb3Zlcm5hbmNlIGZvciBJbnZhc2l2ZSBTcGVjaWVzIE1h
bmFnZW1lbnQ8L3RpdGxlPjxzZWNvbmRhcnktdGl0bGU+Q29uc2VydmF0aW9uIExldHRlcnM8L3Nl
Y29uZGFyeS10aXRsZT48L3RpdGxlcz48cGVyaW9kaWNhbD48ZnVsbC10aXRsZT5Db25zZXJ2YXRp
b24gTGV0dGVyczwvZnVsbC10aXRsZT48L3BlcmlvZGljYWw+PHBhZ2VzPjY5OS03MDc8L3BhZ2Vz
Pjx2b2x1bWU+MTA8L3ZvbHVtZT48bnVtYmVyPjY8L251bWJlcj48ZGF0ZXM+PHllYXI+MjAxNzwv
eWVhcj48cHViLWRhdGVzPjxkYXRlPk5vdi1EZWM8L2RhdGU+PC9wdWItZGF0ZXM+PC9kYXRlcz48
aXNibj4xNzU1LTI2M1g8L2lzYm4+PGFjY2Vzc2lvbi1udW0+V09TOjAwMDQxNzkxNzgwMDAwNjwv
YWNjZXNzaW9uLW51bT48dXJscz48cmVsYXRlZC11cmxzPjx1cmw+Jmx0O0dvIHRvIElTSSZndDs6
Ly9XT1M6MDAwNDE3OTE3ODAwMDA2PC91cmw+PC9yZWxhdGVkLXVybHM+PC91cmxzPjxlbGVjdHJv
bmljLXJlc291cmNlLW51bT4xMC4xMTExL2NvbmwuMTIzMTE8L2VsZWN0cm9uaWMtcmVzb3VyY2Ut
bnVtPjwvcmVjb3JkPjwvQ2l0ZT48L0VuZE5vdGU+
</w:fldData>
              </w:fldChar>
            </w:r>
            <w:r w:rsidRPr="00A9434B">
              <w:rPr>
                <w:rFonts w:eastAsia="Batang"/>
              </w:rPr>
              <w:instrText xml:space="preserve"> ADDIN EN.CITE.DATA </w:instrText>
            </w:r>
            <w:r w:rsidRPr="00A9434B">
              <w:rPr>
                <w:rFonts w:eastAsia="Batang"/>
              </w:rPr>
            </w:r>
            <w:r w:rsidRPr="00A9434B">
              <w:rPr>
                <w:rFonts w:eastAsia="Batang"/>
              </w:rPr>
              <w:fldChar w:fldCharType="end"/>
            </w:r>
            <w:r w:rsidRPr="00A9434B">
              <w:rPr>
                <w:rFonts w:eastAsia="Batang"/>
              </w:rPr>
            </w:r>
            <w:r w:rsidRPr="00A9434B">
              <w:rPr>
                <w:rFonts w:eastAsia="Batang"/>
              </w:rPr>
              <w:fldChar w:fldCharType="separate"/>
            </w:r>
          </w:p>
          <w:p w14:paraId="61D22763" w14:textId="57DC9CD1" w:rsidR="00893980" w:rsidRPr="00A9434B" w:rsidRDefault="00893980" w:rsidP="00B86627">
            <w:pPr>
              <w:spacing w:before="0" w:after="0"/>
              <w:rPr>
                <w:rFonts w:eastAsia="Batang"/>
              </w:rPr>
            </w:pPr>
            <w:r w:rsidRPr="00A9434B">
              <w:rPr>
                <w:rFonts w:eastAsia="Batang"/>
              </w:rPr>
              <w:fldChar w:fldCharType="begin"/>
            </w:r>
            <w:r w:rsidR="0006613E">
              <w:rPr>
                <w:rFonts w:eastAsia="Batang"/>
              </w:rPr>
              <w:instrText xml:space="preserve"> ADDIN ZOTERO_ITEM CSL_CITATION {"citationID":"a1hvjj3ama7","properties":{"formattedCitation":"(Angulo &amp; Gilna, 2008; D. C. Cook et al., 2010; Gilna et al., 2014; Lubell et al., 2017a; Nourani et al., 2019; Stoett, 2010)","plainCitation":"(Angulo &amp; Gilna, 2008; D. C. Cook et al., 2010; Gilna et al., 2014; Lubell et al., 2017a; Nourani et al., 2019; Stoett, 2010)","dontUpdate":true,"noteIndex":0},"citationItems":[{"id":53308,"uris":["http://zotero.org/groups/2352922/items/Q8UZZU9S","http://zotero.org/groups/2352922/items/ZLRUXARM"],"itemData":{"id":53308,"type":"article-journal","container-title":"Nature Biotechnology","DOI":"10.1038/nbt0308-277","ISSN":"1087-0156","issue":"3","page":"277-282","title":"When biotech crosses borders","volume":"26","author":[{"family":"Angulo","given":"Elena"},{"family":"Gilna","given":"Ben"}],"issued":{"date-parts":[["2008",3]]}},"label":"page"},{"id":10809,"uris":["http://zotero.org/groups/2352922/items/WCG8AH7V"],"itemData":{"id":10809,"type":"article-journal","container-title":"Risk Analysis","DOI":"10.1111/j.1539-6924.2010.01439.x","ISSN":"02724332","issue":"9","language":"en","page":"1303-1314","source":"DOI.org (Crossref)","title":"Adaptive Approaches to Biosecurity Governance","title-short":"Adaptive Approaches to Biosecurity Governance","URL":"http://doi.wiley.com/10.1111/j.1539-6924.2010.01439.x","volume":"30","author":[{"family":"Cook","given":"David C."},{"family":"Liu","given":"Shuang"},{"family":"Murphy","given":"Brendan"},{"family":"Lonsdale","given":"W. Mark"}],"accessed":{"date-parts":[["2021",5,27]]},"issued":{"date-parts":[["2010",9]]}},"label":"page"},{"id":24255,"uris":["http://zotero.org/groups/2352922/items/66ZSWCJ4"],"itemData":{"id":24255,"type":"article-journal","abstract":"The modification of living agents for biological control can be collectively regarded as genetic biocontrol (GBC). Applications to invasive fish are an area of significant work in GBC, employing a diversity of techniques. Some of these techniques are governed by particular legislation, policy or treaty, (e.g., transgenesis), while others deliver agents with similar properties with minimal regulation. Together, this heterogeneity of governance and biology creates a number of challenges for effective use of GBC. In some cases, there are gaps and inconsistencies that pose real threats to biodiversity, and the long term sustainability of oversight arrangements as they currently stand is questionable. Researchers and would-be users of GBC for invasive fish must proactively engage with a variety of stakeholders to improve governance (in fish and other taxa), which we contend may include reconfiguration of relevant national governance systems, meaningful stakeholder dialogue and the creation of a new international treaty dedicated to biological control. © 2013 Springer Science+Business Media Dordrecht.","container-title":"Biological Invasions","DOI":"10.1007/s10530-012-0367-x","ISSN":"1387-3547","issue":"6","journalAbbreviation":"Biol. Invasions","page":"1299-1312","title":"Governance of genetic biocontrol technologies for invasive fish","URL":"https://www.scopus.com/inward/record.uri?eid=2-s2.0-84900002278&amp;doi=10.1007%2fs10530-012-0367-x&amp;partnerID=40&amp;md5=a931c889fdbcaa1110214fc654fb511c","volume":"16","author":[{"family":"Gilna","given":"Ben"},{"family":"Kuzma","given":"Jennifer"},{"family":"Otts","given":"Stephanie Showalter"}],"issued":{"date-parts":[["2014",6]]}},"label":"page"},{"id":29543,"uris":["http://zotero.org/groups/2352922/items/ZEAPGNJU"],"itemData":{"id":29543,"type":"article-journal","container-title":"Conservation Letters","DOI":"10.1111/conl.12311","ISSN":"1755-263X, 1755-263X","issue":"6","journalAbbreviation":"CONSERVATION LETTERS","language":"en","page":"699-707","source":"DOI.org (Crossref)","title":"Network Governance for Invasive Species Management","URL":"https://onlinelibrary.wiley.com/doi/10.1111/conl.12311","volume":"10","author":[{"family":"Lubell","given":"Mark"},{"family":"Jasny","given":"Lorien"},{"family":"Hastings","given":"Alan"}],"accessed":{"date-parts":[["2021",8,3]]},"issued":{"date-parts":[["2017",11]]}},"label":"page"},{"id":23792,"uris":["http://zotero.org/groups/2352922/items/7MKNKPM5"],"itemData":{"id":23792,"type":"article-journal","container-title":"Journal of Extension","ISSN":"0022-0140","issue":"5","title":"Extension as a Multilevel Bridging Organization: Supporting Networked Environmental Governance","URL":"https://archives.joe.org/joe/2019october/a2.php","volume":"57","author":[{"family":"Nourani","given":"Sally W."},{"family":"Decker","given":"Daniel J."},{"family":"Krasny","given":"Marianne E."}],"issued":{"date-parts":[["2019",10]]}},"label":"page"},{"id":56668,"uris":["http://zotero.org/groups/2352922/items/SPT8ZQBR","http://zotero.org/groups/2352922/items/MVPMRFM8"],"itemData":{"id":56668,"type":"article-journal","container-title":"Global Governance: A Review of Multilateralism and International Organizations","DOI":"10.1163/19426720-01601007","ISSN":"1075-2846, 1942-6720","issue":"1","journalAbbreviation":"GG","page":"103-120","source":"DOI.org (Crossref)","title":"Framing Bioinvasion: Biodiversity, Climate Change, Security, Trade, and Global Governance","title-short":"Framing Bioinvasion","URL":"https://brill.com/view/journals/gg/16/1/article-p103_7.xml","volume":"16","author":[{"family":"Stoett","given":"Peter"}],"accessed":{"date-parts":[["2023",6,8]]},"issued":{"date-parts":[["2010",12,19]]}},"label":"page"}],"schema":"https://github.com/citation-style-language/schema/raw/master/csl-citation.json"} </w:instrText>
            </w:r>
            <w:r w:rsidRPr="00A9434B">
              <w:rPr>
                <w:rFonts w:eastAsia="Batang"/>
              </w:rPr>
              <w:fldChar w:fldCharType="separate"/>
            </w:r>
            <w:r w:rsidR="00C71E80" w:rsidRPr="00A9434B">
              <w:t>Angulo &amp; Gilna, 2008; D. C. Cook et al., 2010; Gilna et al., 2014; Lubell et al., 2017a; Nourani et al., 2019; Stoett, 2010</w:t>
            </w:r>
            <w:r w:rsidRPr="00A9434B">
              <w:rPr>
                <w:rFonts w:eastAsia="Batang"/>
              </w:rPr>
              <w:fldChar w:fldCharType="end"/>
            </w:r>
          </w:p>
          <w:p w14:paraId="49FA6A68" w14:textId="3C1AD997" w:rsidR="00017C04" w:rsidRPr="00C73655" w:rsidRDefault="00CA3187">
            <w:pPr>
              <w:spacing w:before="0" w:after="0"/>
              <w:rPr>
                <w:lang w:val="da-DK"/>
              </w:rPr>
            </w:pPr>
            <w:r w:rsidRPr="00A9434B">
              <w:rPr>
                <w:rFonts w:eastAsia="Batang"/>
              </w:rPr>
              <w:fldChar w:fldCharType="end"/>
            </w:r>
          </w:p>
        </w:tc>
      </w:tr>
      <w:tr w:rsidR="00017C04" w:rsidRPr="000A1E49" w14:paraId="5A6A2A69" w14:textId="77777777" w:rsidTr="00C73655">
        <w:trPr>
          <w:trHeight w:val="475"/>
        </w:trPr>
        <w:tc>
          <w:tcPr>
            <w:tcW w:w="2074" w:type="dxa"/>
            <w:shd w:val="clear" w:color="auto" w:fill="auto"/>
            <w:vAlign w:val="center"/>
          </w:tcPr>
          <w:p w14:paraId="3AFA199B" w14:textId="77777777" w:rsidR="00017C04" w:rsidRPr="000A1E49" w:rsidRDefault="00F50AF9">
            <w:pPr>
              <w:spacing w:before="0" w:after="0"/>
            </w:pPr>
            <w:bookmarkStart w:id="177" w:name="_heading=h.3tbugp1" w:colFirst="0" w:colLast="0"/>
            <w:bookmarkEnd w:id="177"/>
            <w:r w:rsidRPr="000A1E49">
              <w:t>Policy that is enabling, including the consideration of inclusion, the distribution of power and adaptation</w:t>
            </w:r>
          </w:p>
          <w:p w14:paraId="27B510B9" w14:textId="77777777" w:rsidR="00017C04" w:rsidRPr="000A1E49" w:rsidRDefault="00F50AF9">
            <w:pPr>
              <w:spacing w:before="0" w:after="0"/>
            </w:pPr>
            <w:r w:rsidRPr="000A1E49">
              <w:t>(</w:t>
            </w:r>
            <w:r w:rsidRPr="000A1E49">
              <w:rPr>
                <w:b/>
              </w:rPr>
              <w:t>sections 6.4</w:t>
            </w:r>
            <w:r w:rsidRPr="000A1E49">
              <w:t>,</w:t>
            </w:r>
            <w:r w:rsidRPr="000A1E49">
              <w:rPr>
                <w:b/>
              </w:rPr>
              <w:t xml:space="preserve"> 6.5</w:t>
            </w:r>
            <w:r w:rsidRPr="000A1E49">
              <w:t>)</w:t>
            </w:r>
          </w:p>
          <w:p w14:paraId="684F52A2" w14:textId="77777777" w:rsidR="00017C04" w:rsidRPr="000A1E49" w:rsidRDefault="00017C04">
            <w:pPr>
              <w:spacing w:before="0" w:after="0"/>
            </w:pPr>
          </w:p>
        </w:tc>
        <w:tc>
          <w:tcPr>
            <w:tcW w:w="4300" w:type="dxa"/>
            <w:shd w:val="clear" w:color="auto" w:fill="auto"/>
            <w:vAlign w:val="center"/>
          </w:tcPr>
          <w:p w14:paraId="4622115B"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Policy risk analysis</w:t>
            </w:r>
          </w:p>
          <w:p w14:paraId="2400973E"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Assess the distribution of costs and benefits of governance actions</w:t>
            </w:r>
          </w:p>
          <w:p w14:paraId="45B6EE6E" w14:textId="58C02158"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Stakeholder and Indigenous Peoples and local communit</w:t>
            </w:r>
            <w:r w:rsidR="00351A46">
              <w:rPr>
                <w:color w:val="000000"/>
              </w:rPr>
              <w:t>ies</w:t>
            </w:r>
            <w:r w:rsidRPr="00C73655">
              <w:rPr>
                <w:color w:val="000000"/>
              </w:rPr>
              <w:t xml:space="preserve"> mapping</w:t>
            </w:r>
          </w:p>
          <w:p w14:paraId="15E5C1B0"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Ecosystem Based approach to Management (EBM)</w:t>
            </w:r>
          </w:p>
          <w:p w14:paraId="2A443A9B"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 xml:space="preserve">Mechanisms to identify the need for and enable the establishment of temporary task forces </w:t>
            </w:r>
          </w:p>
          <w:p w14:paraId="16891298" w14:textId="2370AD23"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Networked, polycentric governance (</w:t>
            </w:r>
            <w:r w:rsidR="008F7100">
              <w:rPr>
                <w:rFonts w:eastAsia="Batang"/>
                <w:b/>
                <w:iCs/>
              </w:rPr>
              <w:t>G</w:t>
            </w:r>
            <w:r w:rsidR="00441648" w:rsidRPr="00673554">
              <w:rPr>
                <w:rFonts w:eastAsia="Batang"/>
                <w:b/>
                <w:iCs/>
              </w:rPr>
              <w:t>lossary</w:t>
            </w:r>
            <w:r w:rsidRPr="00C73655">
              <w:rPr>
                <w:color w:val="000000"/>
              </w:rPr>
              <w:t>)</w:t>
            </w:r>
          </w:p>
          <w:p w14:paraId="239B133C"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Legitimize decision-making at local scales</w:t>
            </w:r>
          </w:p>
          <w:p w14:paraId="0F3D9940"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“Landcare” model</w:t>
            </w:r>
          </w:p>
        </w:tc>
        <w:tc>
          <w:tcPr>
            <w:tcW w:w="2835" w:type="dxa"/>
            <w:shd w:val="clear" w:color="auto" w:fill="auto"/>
            <w:vAlign w:val="center"/>
          </w:tcPr>
          <w:p w14:paraId="492CE56C" w14:textId="3B1DF0AF" w:rsidR="00017C04" w:rsidRPr="00C73655" w:rsidRDefault="00CA3187">
            <w:pPr>
              <w:spacing w:before="0" w:after="0"/>
              <w:rPr>
                <w:lang w:val="da-DK"/>
              </w:rPr>
            </w:pPr>
            <w:r w:rsidRPr="00A9434B">
              <w:rPr>
                <w:rFonts w:eastAsia="Batang"/>
              </w:rPr>
              <w:fldChar w:fldCharType="begin">
                <w:fldData xml:space="preserve">PEVuZE5vdGU+PENpdGU+PEF1dGhvcj5TbW9sYXJ6PC9BdXRob3I+PFllYXI+MjAxNjwvWWVhcj48
UmVjTnVtPjQ5MDk2PC9SZWNOdW0+PERpc3BsYXlUZXh0PihNb29uLCBCbGFja21hbiBldCBhbC4g
MjAxNSwgQ2hhZmZpbiwgR2FybWVzdGFuaSBldCBhbC4gMjAxNiwgTGlua2UsIEdpbGVrIGV0IGFs
LiAyMDE2LCBNYXJzaGFsbCwgQ29sZW1hbiBldCBhbC4gMjAxNiwgTWFydGluLCBMZSBHYWwgZXQg
YWwuIDIwMTYsIFNtb2xhcnosIEJpc2t1cCBldCBhbC4gMjAxNiwgTWFydGluIGFuZCBUYXlsb3Ig
MjAxOCwgUGVsdHplciwgQmVsbGluZ2hhbSBldCBhbC4gMjAxOSk8L0Rpc3BsYXlUZXh0PjxyZWNv
cmQ+PHJlYy1udW1iZXI+NDkwOTY8L3JlYy1udW1iZXI+PGZvcmVpZ24ta2V5cz48a2V5IGFwcD0i
RU4iIGRiLWlkPSJhd3g5cmFkZHIweHgyaGV2MDVyeHIwejA1d2VlcHdwdDBmZXgiIHRpbWVzdGFt
cD0iMTU4MTQ5NzMyMCI+NDkwOTY8L2tleT48L2ZvcmVpZ24ta2V5cz48cmVmLXR5cGUgbmFtZT0i
Qm9vayBTZWN0aW9uIj41PC9yZWYtdHlwZT48Y29udHJpYnV0b3JzPjxhdXRob3JzPjxhdXRob3I+
U21vbGFyeiwgS2F0YXJ6eW5hPC9hdXRob3I+PGF1dGhvcj5CaXNrdXAsIFBhdWxpbmE8L2F1dGhv
cj48YXV0aG9yPlpncnVuZG8sIEFsZWtzYW5kcmE8L2F1dGhvcj48L2F1dGhvcnM+PHNlY29uZGFy
eS1hdXRob3JzPjxhdXRob3I+R2lsZWssIE0uPC9hdXRob3I+PGF1dGhvcj5LYXJsc3NvbiwgTS48
L2F1dGhvcj48YXV0aG9yPkxpbmtlLCBTLjwvYXV0aG9yPjxhdXRob3I+U21vbGFyeiwgSy48L2F1
dGhvcj48L3NlY29uZGFyeS1hdXRob3JzPjwvY29udHJpYnV0b3JzPjx0aXRsZXM+PHRpdGxlPkJp
b2xvZ2ljYWwgSW52YXNpb25zOiBBIENhc2UgU3R1ZHkgb2YgQmFsdGljIFNlYSBFbnZpcm9ubWVu
dGFsIEdvdmVybmFuY2U8L3RpdGxlPjxzZWNvbmRhcnktdGl0bGU+RW52aXJvbm1lbnRhbCBHb3Zl
cm5hbmNlIG9mIHRoZSBCYWx0aWMgU2VhPC9zZWNvbmRhcnktdGl0bGU+PHRlcnRpYXJ5LXRpdGxl
Pk1BUkUgUHVibGljYXRpb24gU2VyaWVzPC90ZXJ0aWFyeS10aXRsZT48L3RpdGxlcz48cGVyaW9k
aWNhbD48ZnVsbC10aXRsZT5FbnZpcm9ubWVudGFsIGdvdmVybmFuY2Ugb2YgdGhlIEJhbHRpYyBT
ZWE8L2Z1bGwtdGl0bGU+PC9wZXJpb2RpY2FsPjxwYWdlcz43My05NTwvcGFnZXM+PHZvbHVtZT4x
MDwvdm9sdW1lPjxkYXRlcz48eWVhcj4yMDE2PC95ZWFyPjwvZGF0ZXM+PGlzYm4+OTc4LTMtMzE5
LTI3MDA2LTc7IDk3OC0zLTMxOS0yNzAwNS0wPC9pc2JuPjxhY2Nlc3Npb24tbnVtPldPUzowMDAz
ODY2OTUzMDAwMDU8L2FjY2Vzc2lvbi1udW0+PHVybHM+PHJlbGF0ZWQtdXJscz48dXJsPiZsdDtH
byB0byBJU0kmZ3Q7Oi8vV09TOjAwMDM4NjY5NTMwMDAwNTwvdXJsPjwvcmVsYXRlZC11cmxzPjwv
dXJscz48ZWxlY3Ryb25pYy1yZXNvdXJjZS1udW0+MTAuMTAwNy85NzgtMy0zMTktMjcwMDYtN180
PC9lbGVjdHJvbmljLXJlc291cmNlLW51bT48L3JlY29yZD48L0NpdGU+PENpdGU+PEF1dGhvcj5N
b29uPC9BdXRob3I+PFllYXI+MjAxNTwvWWVhcj48UmVjTnVtPjQ5MTE0PC9SZWNOdW0+PHJlY29y
ZD48cmVjLW51bWJlcj40OTExNDwvcmVjLW51bWJlcj48Zm9yZWlnbi1rZXlzPjxrZXkgYXBwPSJF
TiIgZGItaWQ9ImF3eDlyYWRkcjB4eDJoZXYwNXJ4cjB6MDV3ZWVwd3B0MGZleCIgdGltZXN0YW1w
PSIxNTgxNDk3MzIwIj40OTExNDwva2V5PjwvZm9yZWlnbi1rZXlzPjxyZWYtdHlwZSBuYW1lPSJK
b3VybmFsIEFydGljbGUiPjE3PC9yZWYtdHlwZT48Y29udHJpYnV0b3JzPjxhdXRob3JzPjxhdXRo
b3I+TW9vbiwgS2F0aWU8L2F1dGhvcj48YXV0aG9yPkJsYWNrbWFuLCBEZWJvcmFoIEEuPC9hdXRo
b3I+PGF1dGhvcj5CcmV3ZXIsIFRvbSBELjwvYXV0aG9yPjwvYXV0aG9ycz48L2NvbnRyaWJ1dG9y
cz48dGl0bGVzPjx0aXRsZT5VbmRlcnN0YW5kaW5nIGFuZCBpbnRlZ3JhdGluZyBrbm93bGVkZ2Ug
dG8gaW1wcm92ZSBpbnZhc2l2ZSBzcGVjaWVzIG1hbmFnZW1lbnQ8L3RpdGxlPjxzZWNvbmRhcnkt
dGl0bGU+QmlvbG9naWNhbCBJbnZhc2lvbnM8L3NlY29uZGFyeS10aXRsZT48L3RpdGxlcz48cGVy
aW9kaWNhbD48ZnVsbC10aXRsZT5CaW9sb2dpY2FsIEludmFzaW9uczwvZnVsbC10aXRsZT48YWJi
ci0xPkJpb2wuIEludmFzaW9uczwvYWJici0xPjxhYmJyLTI+QmlvbCBJbnZhc2lvbnM8L2FiYnIt
Mj48L3BlcmlvZGljYWw+PHBhZ2VzPjI2NzUtMjY4OTwvcGFnZXM+PHZvbHVtZT4xNzwvdm9sdW1l
PjxudW1iZXI+OTwvbnVtYmVyPjxkYXRlcz48eWVhcj4yMDE1PC95ZWFyPjxwdWItZGF0ZXM+PGRh
dGU+U2VwPC9kYXRlPjwvcHViLWRhdGVzPjwvZGF0ZXM+PGlzYm4+MTM4Ny0zNTQ3PC9pc2JuPjxh
Y2Nlc3Npb24tbnVtPldPUzowMDAzNTk0Mjc0MDAwMTQ8L2FjY2Vzc2lvbi1udW0+PHVybHM+PHJl
bGF0ZWQtdXJscz48dXJsPiZsdDtHbyB0byBJU0kmZ3Q7Oi8vV09TOjAwMDM1OTQyNzQwMDAxNDwv
dXJsPjwvcmVsYXRlZC11cmxzPjwvdXJscz48ZWxlY3Ryb25pYy1yZXNvdXJjZS1udW0+MTAuMTAw
Ny9zMTA1MzAtMDE1LTA5MDQtNTwvZWxlY3Ryb25pYy1yZXNvdXJjZS1udW0+PC9yZWNvcmQ+PC9D
aXRlPjxDaXRlPjxBdXRob3I+UGVsdHplcjwvQXV0aG9yPjxZZWFyPjIwMTk8L1llYXI+PFJlY051
bT40OTAwODwvUmVjTnVtPjxyZWNvcmQ+PHJlYy1udW1iZXI+NDkwMDg8L3JlYy1udW1iZXI+PGZv
cmVpZ24ta2V5cz48a2V5IGFwcD0iRU4iIGRiLWlkPSJhd3g5cmFkZHIweHgyaGV2MDVyeHIwejA1
d2VlcHdwdDBmZXgiIHRpbWVzdGFtcD0iMTU4MTQ5NzMyMCI+NDkwMDg8L2tleT48L2ZvcmVpZ24t
a2V5cz48cmVmLXR5cGUgbmFtZT0iSm91cm5hbCBBcnRpY2xlIj4xNzwvcmVmLXR5cGU+PGNvbnRy
aWJ1dG9ycz48YXV0aG9ycz48YXV0aG9yPlBlbHR6ZXIsIER1YW5lIEEuPC9hdXRob3I+PGF1dGhv
cj5CZWxsaW5naGFtLCBQZXRlciBKLjwvYXV0aG9yPjxhdXRob3I+RGlja2llLCBJYW4gQS48L2F1
dGhvcj48YXV0aG9yPkhvdWxpc3RvbiwgR2FyeTwvYXV0aG9yPjxhdXRob3I+SHVsbWUsIFBoaWxp
cCBFLjwvYXV0aG9yPjxhdXRob3I+THl2ZXIsIFBoaWwgTyZhcG9zO0I8L2F1dGhvcj48YXV0aG9y
Pk1jR2xvbmUsIE1hdHRoZXc8L2F1dGhvcj48YXV0aG9yPlJpY2hhcmRzb24sIFNhcmFoIEouPC9h
dXRob3I+PGF1dGhvcj5Xb29kLCBKYW1pZTwvYXV0aG9yPjwvYXV0aG9ycz48L2NvbnRyaWJ1dG9y
cz48dGl0bGVzPjx0aXRsZT5TY2FsZSBhbmQgY29tcGxleGl0eSBpbXBsaWNhdGlvbnMgb2YgbWFr
aW5nIE5ldyBaZWFsYW5kIHByZWRhdG9yLWZyZWUgYnkgMjA1MDwvdGl0bGU+PHNlY29uZGFyeS10
aXRsZT5Kb3VybmFsIG9mIHRoZSBSb3lhbCBTb2NpZXR5IG9mIE5ldyBaZWFsYW5kPC9zZWNvbmRh
cnktdGl0bGU+PC90aXRsZXM+PHBlcmlvZGljYWw+PGZ1bGwtdGl0bGU+Sm91cm5hbCBvZiB0aGUg
Um95YWwgU29jaWV0eSBvZiBOZXcgWmVhbGFuZDwvZnVsbC10aXRsZT48YWJici0xPkouIFIuIFNv
Yy4gTi4gWi48L2FiYnItMT48YWJici0yPkogUiBTb2MgTiBaPC9hYmJyLTI+PC9wZXJpb2RpY2Fs
PjxwYWdlcz40MTItNDM5PC9wYWdlcz48dm9sdW1lPjQ5PC92b2x1bWU+PG51bWJlcj4zPC9udW1i
ZXI+PGRhdGVzPjx5ZWFyPjIwMTk8L3llYXI+PHB1Yi1kYXRlcz48ZGF0ZT5KdWwgMzwvZGF0ZT48
L3B1Yi1kYXRlcz48L2RhdGVzPjxpc2JuPjAzMDMtNjc1ODwvaXNibj48YWNjZXNzaW9uLW51bT5X
T1M6MDAwNDgzNTI4NTAwMDAxPC9hY2Nlc3Npb24tbnVtPjx1cmxzPjxyZWxhdGVkLXVybHM+PHVy
bD4mbHQ7R28gdG8gSVNJJmd0OzovL1dPUzowMDA0ODM1Mjg1MDAwMDE8L3VybD48L3JlbGF0ZWQt
dXJscz48L3VybHM+PGVsZWN0cm9uaWMtcmVzb3VyY2UtbnVtPjEwLjEwODAvMDMwMzY3NTguMjAx
OS4xNjUzOTQwPC9lbGVjdHJvbmljLXJlc291cmNlLW51bT48L3JlY29yZD48L0NpdGU+PENpdGU+
PEF1dGhvcj5NYXJzaGFsbDwvQXV0aG9yPjxZZWFyPjIwMTY8L1llYXI+PFJlY051bT40OTA4NDwv
UmVjTnVtPjxyZWNvcmQ+PHJlYy1udW1iZXI+NDkwODQ8L3JlYy1udW1iZXI+PGZvcmVpZ24ta2V5
cz48a2V5IGFwcD0iRU4iIGRiLWlkPSJhd3g5cmFkZHIweHgyaGV2MDVyeHIwejA1d2VlcHdwdDBm
ZXgiIHRpbWVzdGFtcD0iMTU4MTQ5NzMyMCI+NDkwODQ8L2tleT48L2ZvcmVpZ24ta2V5cz48cmVm
LXR5cGUgbmFtZT0iSm91cm5hbCBBcnRpY2xlIj4xNzwvcmVmLXR5cGU+PGNvbnRyaWJ1dG9ycz48
YXV0aG9ycz48YXV0aG9yPk1hcnNoYWxsLCBHcmFoYW0gUi48L2F1dGhvcj48YXV0aG9yPkNvbGVt
YW4sIE1pY2hhZWwgSi48L2F1dGhvcj48YXV0aG9yPlNpbmRlbCwgQnJpYW4gTS48L2F1dGhvcj48
YXV0aG9yPlJlZXZlLCBJYW4gSi48L2F1dGhvcj48YXV0aG9yPkJlcm5leSwgUGV0ZXIgSi48L2F1
dGhvcj48L2F1dGhvcnM+PC9jb250cmlidXRvcnM+PHRpdGxlcz48dGl0bGU+Q29sbGVjdGl2ZSBh
Y3Rpb24gaW4gaW52YXNpdmUgc3BlY2llcyBjb250cm9sLCBhbmQgcHJvc3BlY3RzIGZvciBjb21t
dW5pdHktYmFzZWQgZ292ZXJuYW5jZTogVGhlIGNhc2Ugb2Ygc2VycmF0ZWQgdHVzc29jayAoTmFz
c2VsbGEgdHJpY2hvdG9tYSkgaW4gTmV3IFNvdXRoIFdhbGVzLCBBdXN0cmFsaWE8L3RpdGxlPjxz
ZWNvbmRhcnktdGl0bGU+TGFuZCBVc2UgUG9saWN5PC9zZWNvbmRhcnktdGl0bGU+PC90aXRsZXM+
PHBlcmlvZGljYWw+PGZ1bGwtdGl0bGU+TGFuZCBVc2UgUG9saWN5PC9mdWxsLXRpdGxlPjwvcGVy
aW9kaWNhbD48cGFnZXM+MTAwLTExMTwvcGFnZXM+PHZvbHVtZT41Njwvdm9sdW1lPjxkYXRlcz48
eWVhcj4yMDE2PC95ZWFyPjxwdWItZGF0ZXM+PGRhdGU+Tm92PC9kYXRlPjwvcHViLWRhdGVzPjwv
ZGF0ZXM+PGlzYm4+MDI2NC04Mzc3PC9pc2JuPjxhY2Nlc3Npb24tbnVtPldPUzowMDAzNzk1NTcw
MDAwMTE8L2FjY2Vzc2lvbi1udW0+PHVybHM+PHJlbGF0ZWQtdXJscz48dXJsPiZsdDtHbyB0byBJ
U0kmZ3Q7Oi8vV09TOjAwMDM3OTU1NzAwMDAxMTwvdXJsPjwvcmVsYXRlZC11cmxzPjwvdXJscz48
ZWxlY3Ryb25pYy1yZXNvdXJjZS1udW0+MTAuMTAxNi9qLmxhbmR1c2Vwb2wuMjAxNi4wNC4wMjg8
L2VsZWN0cm9uaWMtcmVzb3VyY2UtbnVtPjwvcmVjb3JkPjwvQ2l0ZT48Q2l0ZT48QXV0aG9yPkxp
bmtlPC9BdXRob3I+PFllYXI+MjAxNjwvWWVhcj48UmVjTnVtPjQ5MDk4PC9SZWNOdW0+PHJlY29y
ZD48cmVjLW51bWJlcj40OTA5ODwvcmVjLW51bWJlcj48Zm9yZWlnbi1rZXlzPjxrZXkgYXBwPSJF
TiIgZGItaWQ9ImF3eDlyYWRkcjB4eDJoZXYwNXJ4cjB6MDV3ZWVwd3B0MGZleCIgdGltZXN0YW1w
PSIxNTgxNDk3MzIwIj40OTA5ODwva2V5PjwvZm9yZWlnbi1rZXlzPjxyZWYtdHlwZSBuYW1lPSJC
b29rIFNlY3Rpb24iPjU8L3JlZi10eXBlPjxjb250cmlidXRvcnM+PGF1dGhvcnM+PGF1dGhvcj5M
aW5rZSwgU2ViYXN0aWFuPC9hdXRob3I+PGF1dGhvcj5HaWxlaywgTWljaGFlbDwvYXV0aG9yPjxh
dXRob3I+S2FybHNzb24sIE1pa2FlbDwvYXV0aG9yPjwvYXV0aG9ycz48c2Vjb25kYXJ5LWF1dGhv
cnM+PGF1dGhvcj5HaWxlaywgTS48L2F1dGhvcj48YXV0aG9yPkthcmxzc29uLCBNLjwvYXV0aG9y
PjxhdXRob3I+TGlua2UsIFMuPC9hdXRob3I+PGF1dGhvcj5TbW9sYXJ6LCBLLjwvYXV0aG9yPjwv
c2Vjb25kYXJ5LWF1dGhvcnM+PC9jb250cmlidXRvcnM+PHRpdGxlcz48dGl0bGU+U2NpZW5jZS1Q
b2xpY3kgSW50ZXJmYWNlcyBpbiBCYWx0aWMgU2VhIEVudmlyb25tZW50YWwgR292ZXJuYW5jZTog
VG93YXJkcyBSZWdpb25hbCBDb29wZXJhdGlvbiBhbmQgTWFuYWdlbWVudCBvZiBVbmNlcnRhaW50
eT88L3RpdGxlPjxzZWNvbmRhcnktdGl0bGU+RW52aXJvbm1lbnRhbCBHb3Zlcm5hbmNlIG9mIHRo
ZSBCYWx0aWMgU2VhPC9zZWNvbmRhcnktdGl0bGU+PHRlcnRpYXJ5LXRpdGxlPk1BUkUgUHVibGlj
YXRpb24gU2VyaWVzPC90ZXJ0aWFyeS10aXRsZT48L3RpdGxlcz48cGVyaW9kaWNhbD48ZnVsbC10
aXRsZT5FbnZpcm9ubWVudGFsIGdvdmVybmFuY2Ugb2YgdGhlIEJhbHRpYyBTZWE8L2Z1bGwtdGl0
bGU+PC9wZXJpb2RpY2FsPjxwYWdlcz4xNzMtMjAzPC9wYWdlcz48dm9sdW1lPjEwPC92b2x1bWU+
PGRhdGVzPjx5ZWFyPjIwMTY8L3llYXI+PC9kYXRlcz48aXNibj45NzgtMy0zMTktMjcwMDYtNzsg
OTc4LTMtMzE5LTI3MDA1LTA8L2lzYm4+PGFjY2Vzc2lvbi1udW0+V09TOjAwMDM4NjY5NTMwMDAw
OTwvYWNjZXNzaW9uLW51bT48dXJscz48cmVsYXRlZC11cmxzPjx1cmw+Jmx0O0dvIHRvIElTSSZn
dDs6Ly9XT1M6MDAwMzg2Njk1MzAwMDA5PC91cmw+PC9yZWxhdGVkLXVybHM+PC91cmxzPjxlbGVj
dHJvbmljLXJlc291cmNlLW51bT4xMC4xMDA3Lzk3OC0zLTMxOS0yNzAwNi03Xzg8L2VsZWN0cm9u
aWMtcmVzb3VyY2UtbnVtPjwvcmVjb3JkPjwvQ2l0ZT48Q2l0ZT48QXV0aG9yPkNoYWZmaW48L0F1
dGhvcj48WWVhcj4yMDE2PC9ZZWFyPjxSZWNOdW0+NDkwODE8L1JlY051bT48cmVjb3JkPjxyZWMt
bnVtYmVyPjQ5MDgxPC9yZWMtbnVtYmVyPjxmb3JlaWduLWtleXM+PGtleSBhcHA9IkVOIiBkYi1p
ZD0iYXd4OXJhZGRyMHh4MmhldjA1cnhyMHowNXdlZXB3cHQwZmV4IiB0aW1lc3RhbXA9IjE1ODE0
OTczMjAiPjQ5MDgxPC9rZXk+PC9mb3JlaWduLWtleXM+PHJlZi10eXBlIG5hbWU9IkpvdXJuYWwg
QXJ0aWNsZSI+MTc8L3JlZi10eXBlPjxjb250cmlidXRvcnM+PGF1dGhvcnM+PGF1dGhvcj5DaGFm
ZmluLCBCcmlhbiBDLjwvYXV0aG9yPjxhdXRob3I+R2FybWVzdGFuaSwgQWhqb25kIFMuPC9hdXRo
b3I+PGF1dGhvcj5BbmdlbGVyLCBEYXZpZCBHLjwvYXV0aG9yPjxhdXRob3I+SGVycm1hbm4sIER1
c3RpbiBMLjwvYXV0aG9yPjxhdXRob3I+U3RvdywgQ3JhaWcgQS48L2F1dGhvcj48YXV0aG9yPk55
c3Ryb20sIE1hZ251czwvYXV0aG9yPjxhdXRob3I+U2VuZHppbWlyLCBKYW48L2F1dGhvcj48YXV0
aG9yPkhvcHRvbiwgTWF0dGhldyBFLjwvYXV0aG9yPjxhdXRob3I+S29sYXNhLCBKdXJlazwvYXV0
aG9yPjxhdXRob3I+QWxsZW4sIENyYWlnIFIuPC9hdXRob3I+PC9hdXRob3JzPjwvY29udHJpYnV0
b3JzPjx0aXRsZXM+PHRpdGxlPkJpb2xvZ2ljYWwgaW52YXNpb25zLCBlY29sb2dpY2FsIHJlc2ls
aWVuY2UgYW5kIGFkYXB0aXZlIGdvdmVybmFuY2U8L3RpdGxlPjxzZWNvbmRhcnktdGl0bGU+Sm91
cm5hbCBvZiBFbnZpcm9ubWVudGFsIE1hbmFnZW1lbnQ8L3NlY29uZGFyeS10aXRsZT48L3RpdGxl
cz48cGVyaW9kaWNhbD48ZnVsbC10aXRsZT5Kb3VybmFsIG9mIEVudmlyb25tZW50YWwgTWFuYWdl
bWVudDwvZnVsbC10aXRsZT48YWJici0xPkouIEVudmlyb24uIE1hbmFnZS48L2FiYnItMT48YWJi
ci0yPkogRW52aXJvbiBNYW5hZ2U8L2FiYnItMj48L3BlcmlvZGljYWw+PHBhZ2VzPjM5OS00MDc8
L3BhZ2VzPjx2b2x1bWU+MTgzPC92b2x1bWU+PGRhdGVzPjx5ZWFyPjIwMTY8L3llYXI+PHB1Yi1k
YXRlcz48ZGF0ZT5EZWMgMTwvZGF0ZT48L3B1Yi1kYXRlcz48L2RhdGVzPjxpc2JuPjAzMDEtNDc5
NzwvaXNibj48YWNjZXNzaW9uLW51bT5XT1M6MDAwMzg2NDE0MzAwMDA3PC9hY2Nlc3Npb24tbnVt
Pjx1cmxzPjxyZWxhdGVkLXVybHM+PHVybD4mbHQ7R28gdG8gSVNJJmd0OzovL1dPUzowMDAzODY0
MTQzMDAwMDc8L3VybD48L3JlbGF0ZWQtdXJscz48L3VybHM+PGVsZWN0cm9uaWMtcmVzb3VyY2Ut
bnVtPjEwLjEwMTYvai5qZW52bWFuLjIwMTYuMDQuMDQwPC9lbGVjdHJvbmljLXJlc291cmNlLW51
bT48L3JlY29yZD48L0NpdGU+PENpdGU+PEF1dGhvcj5NYXJ0aW48L0F1dGhvcj48WWVhcj4yMDE2
PC9ZZWFyPjxSZWNOdW0+NDkwOTI8L1JlY051bT48cmVjb3JkPjxyZWMtbnVtYmVyPjQ5MDkyPC9y
ZWMtbnVtYmVyPjxmb3JlaWduLWtleXM+PGtleSBhcHA9IkVOIiBkYi1pZD0iYXd4OXJhZGRyMHh4
MmhldjA1cnhyMHowNXdlZXB3cHQwZmV4IiB0aW1lc3RhbXA9IjE1ODE0OTczMjAiPjQ5MDkyPC9r
ZXk+PC9mb3JlaWduLWtleXM+PHJlZi10eXBlIG5hbWU9IkJvb2sgU2VjdGlvbiI+NTwvcmVmLXR5
cGU+PGNvbnRyaWJ1dG9ycz48YXV0aG9ycz48YXV0aG9yPk1hcnRpbiwgUGF1bDwvYXV0aG9yPjxh
dXRob3I+TGUgR2FsLCBFbG9kaWU8L2F1dGhvcj48YXV0aG9yPkNob3ksIERhcnJ5bCBMb3c8L2F1
dGhvcj48L2F1dGhvcnM+PHNlY29uZGFyeS1hdXRob3JzPjxhdXRob3I+TWFoZXNod2FyaSwgQi48
L2F1dGhvcj48YXV0aG9yPlNpbmdoLCBWLiBQLjwvYXV0aG9yPjxhdXRob3I+VGhvcmFkZW5peWEs
IEIuPC9hdXRob3I+PC9zZWNvbmRhcnktYXV0aG9ycz48L2NvbnRyaWJ1dG9ycz48dGl0bGVzPjx0
aXRsZT5FZmZlY3Qgb2YgU29jaWFsIGFuZCBJbnN0aXR1dGlvbmFsIEZyYWdtZW50YXRpb24gb24g
Q29sbGVjdGl2ZSBBY3Rpb24gaW4gUGVyaS1VcmJhbiBTZXR0aW5nczwvdGl0bGU+PHNlY29uZGFy
eS10aXRsZT5CYWxhbmNlZCBVcmJhbiBEZXZlbG9wbWVudDogT3B0aW9ucyBhbmQgU3RyYXRlZ2ll
cyBmb3IgTGl2ZWFibGUgQ2l0aWVzPC9zZWNvbmRhcnktdGl0bGU+PHRlcnRpYXJ5LXRpdGxlPldh
dGVyIFNjaWVuY2UgYW5kIFRlY2hub2xvZ3kgTGlicmFyeTwvdGVydGlhcnktdGl0bGU+PC90aXRs
ZXM+PHBhZ2VzPjQ2NS00ODA8L3BhZ2VzPjx2b2x1bWU+NzI8L3ZvbHVtZT48ZGF0ZXM+PHllYXI+
MjAxNjwveWVhcj48L2RhdGVzPjxpc2JuPjk3OC0zLTMxOS0yODExMi00OyA5NzgtMy0zMTktMjgx
MTAtMDwvaXNibj48YWNjZXNzaW9uLW51bT5XT1M6MDAwMzk4OTI4OTAwMDI5PC9hY2Nlc3Npb24t
bnVtPjx1cmxzPjxyZWxhdGVkLXVybHM+PHVybD4mbHQ7R28gdG8gSVNJJmd0OzovL1dPUzowMDAz
OTg5Mjg5MDAwMjk8L3VybD48L3JlbGF0ZWQtdXJscz48L3VybHM+PGVsZWN0cm9uaWMtcmVzb3Vy
Y2UtbnVtPjEwLjEwMDcvOTc4LTMtMzE5LTI4MTEyLTRfMjg8L2VsZWN0cm9uaWMtcmVzb3VyY2Ut
bnVtPjwvcmVjb3JkPjwvQ2l0ZT48Q2l0ZT48QXV0aG9yPk1hcnRpbjwvQXV0aG9yPjxZZWFyPjIw
MTg8L1llYXI+PFJlY051bT40OTAzMzwvUmVjTnVtPjxyZWNvcmQ+PHJlYy1udW1iZXI+NDkwMzM8
L3JlYy1udW1iZXI+PGZvcmVpZ24ta2V5cz48a2V5IGFwcD0iRU4iIGRiLWlkPSJhd3g5cmFkZHIw
eHgyaGV2MDVyeHIwejA1d2VlcHdwdDBmZXgiIHRpbWVzdGFtcD0iMTU4MTQ5NzMyMCI+NDkwMzM8
L2tleT48L2ZvcmVpZ24ta2V5cz48cmVmLXR5cGUgbmFtZT0iSm91cm5hbCBBcnRpY2xlIj4xNzwv
cmVmLXR5cGU+PGNvbnRyaWJ1dG9ycz48YXV0aG9ycz48YXV0aG9yPk1hcnRpbiwgUGF1bDwvYXV0
aG9yPjxhdXRob3I+VGF5bG9yLCBOYXRhbGllPC9hdXRob3I+PC9hdXRob3JzPjwvY29udHJpYnV0
b3JzPjx0aXRsZXM+PHRpdGxlPkVudmlyb25tZW50YWwgU3Rld2FyZHNoaXAgRHV0aWVzIGluIEJp
b3NlY3VyaXR5OiBJc3N1ZXMgYW5kIENoYWxsZW5nZXM8L3RpdGxlPjxzZWNvbmRhcnktdGl0bGU+
RW52aXJvbm1lbnRhbCBhbmQgUGxhbm5pbmcgTGF3IEpvdXJuYWw8L3NlY29uZGFyeS10aXRsZT48
L3RpdGxlcz48cGVyaW9kaWNhbD48ZnVsbC10aXRsZT5FbnZpcm9ubWVudGFsIGFuZCBwbGFubmlu
ZyBsYXcgam91cm5hbDwvZnVsbC10aXRsZT48YWJici0xPkVudmlyb24uIFBsYW4uIExhdyBKLjwv
YWJici0xPjxhYmJyLTI+RW52aXJvbiBQbGFuIExhdyBKPC9hYmJyLTI+PC9wZXJpb2RpY2FsPjxw
YWdlcz43NDMtNzYyPC9wYWdlcz48dm9sdW1lPjM1PC92b2x1bWU+PG51bWJlcj42PC9udW1iZXI+
PGRhdGVzPjx5ZWFyPjIwMTg8L3llYXI+PHB1Yi1kYXRlcz48ZGF0ZT5Ob3Y8L2RhdGU+PC9wdWIt
ZGF0ZXM+PC9kYXRlcz48aXNibj4wODEzLTMwMFg8L2lzYm4+PGFjY2Vzc2lvbi1udW0+V09TOjAw
MDQ1MTc5NDEwMDAwNjwvYWNjZXNzaW9uLW51bT48dXJscz48cmVsYXRlZC11cmxzPjx1cmw+Jmx0
O0dvIHRvIElTSSZndDs6Ly9XT1M6MDAwNDUxNzk0MTAwMDA2PC91cmw+PC9yZWxhdGVkLXVybHM+
PC91cmxzPjwvcmVjb3JkPjwvQ2l0ZT48L0VuZE5vdGU+AG==
</w:fldData>
              </w:fldChar>
            </w:r>
            <w:r w:rsidRPr="00A9434B">
              <w:rPr>
                <w:rFonts w:eastAsia="Batang"/>
              </w:rPr>
              <w:instrText xml:space="preserve"> ADDIN EN.CITE </w:instrText>
            </w:r>
            <w:r w:rsidRPr="00A9434B">
              <w:rPr>
                <w:rFonts w:eastAsia="Batang"/>
              </w:rPr>
              <w:fldChar w:fldCharType="begin">
                <w:fldData xml:space="preserve">PEVuZE5vdGU+PENpdGU+PEF1dGhvcj5TbW9sYXJ6PC9BdXRob3I+PFllYXI+MjAxNjwvWWVhcj48
UmVjTnVtPjQ5MDk2PC9SZWNOdW0+PERpc3BsYXlUZXh0PihNb29uLCBCbGFja21hbiBldCBhbC4g
MjAxNSwgQ2hhZmZpbiwgR2FybWVzdGFuaSBldCBhbC4gMjAxNiwgTGlua2UsIEdpbGVrIGV0IGFs
LiAyMDE2LCBNYXJzaGFsbCwgQ29sZW1hbiBldCBhbC4gMjAxNiwgTWFydGluLCBMZSBHYWwgZXQg
YWwuIDIwMTYsIFNtb2xhcnosIEJpc2t1cCBldCBhbC4gMjAxNiwgTWFydGluIGFuZCBUYXlsb3Ig
MjAxOCwgUGVsdHplciwgQmVsbGluZ2hhbSBldCBhbC4gMjAxOSk8L0Rpc3BsYXlUZXh0PjxyZWNv
cmQ+PHJlYy1udW1iZXI+NDkwOTY8L3JlYy1udW1iZXI+PGZvcmVpZ24ta2V5cz48a2V5IGFwcD0i
RU4iIGRiLWlkPSJhd3g5cmFkZHIweHgyaGV2MDVyeHIwejA1d2VlcHdwdDBmZXgiIHRpbWVzdGFt
cD0iMTU4MTQ5NzMyMCI+NDkwOTY8L2tleT48L2ZvcmVpZ24ta2V5cz48cmVmLXR5cGUgbmFtZT0i
Qm9vayBTZWN0aW9uIj41PC9yZWYtdHlwZT48Y29udHJpYnV0b3JzPjxhdXRob3JzPjxhdXRob3I+
U21vbGFyeiwgS2F0YXJ6eW5hPC9hdXRob3I+PGF1dGhvcj5CaXNrdXAsIFBhdWxpbmE8L2F1dGhv
cj48YXV0aG9yPlpncnVuZG8sIEFsZWtzYW5kcmE8L2F1dGhvcj48L2F1dGhvcnM+PHNlY29uZGFy
eS1hdXRob3JzPjxhdXRob3I+R2lsZWssIE0uPC9hdXRob3I+PGF1dGhvcj5LYXJsc3NvbiwgTS48
L2F1dGhvcj48YXV0aG9yPkxpbmtlLCBTLjwvYXV0aG9yPjxhdXRob3I+U21vbGFyeiwgSy48L2F1
dGhvcj48L3NlY29uZGFyeS1hdXRob3JzPjwvY29udHJpYnV0b3JzPjx0aXRsZXM+PHRpdGxlPkJp
b2xvZ2ljYWwgSW52YXNpb25zOiBBIENhc2UgU3R1ZHkgb2YgQmFsdGljIFNlYSBFbnZpcm9ubWVu
dGFsIEdvdmVybmFuY2U8L3RpdGxlPjxzZWNvbmRhcnktdGl0bGU+RW52aXJvbm1lbnRhbCBHb3Zl
cm5hbmNlIG9mIHRoZSBCYWx0aWMgU2VhPC9zZWNvbmRhcnktdGl0bGU+PHRlcnRpYXJ5LXRpdGxl
Pk1BUkUgUHVibGljYXRpb24gU2VyaWVzPC90ZXJ0aWFyeS10aXRsZT48L3RpdGxlcz48cGVyaW9k
aWNhbD48ZnVsbC10aXRsZT5FbnZpcm9ubWVudGFsIGdvdmVybmFuY2Ugb2YgdGhlIEJhbHRpYyBT
ZWE8L2Z1bGwtdGl0bGU+PC9wZXJpb2RpY2FsPjxwYWdlcz43My05NTwvcGFnZXM+PHZvbHVtZT4x
MDwvdm9sdW1lPjxkYXRlcz48eWVhcj4yMDE2PC95ZWFyPjwvZGF0ZXM+PGlzYm4+OTc4LTMtMzE5
LTI3MDA2LTc7IDk3OC0zLTMxOS0yNzAwNS0wPC9pc2JuPjxhY2Nlc3Npb24tbnVtPldPUzowMDAz
ODY2OTUzMDAwMDU8L2FjY2Vzc2lvbi1udW0+PHVybHM+PHJlbGF0ZWQtdXJscz48dXJsPiZsdDtH
byB0byBJU0kmZ3Q7Oi8vV09TOjAwMDM4NjY5NTMwMDAwNTwvdXJsPjwvcmVsYXRlZC11cmxzPjwv
dXJscz48ZWxlY3Ryb25pYy1yZXNvdXJjZS1udW0+MTAuMTAwNy85NzgtMy0zMTktMjcwMDYtN180
PC9lbGVjdHJvbmljLXJlc291cmNlLW51bT48L3JlY29yZD48L0NpdGU+PENpdGU+PEF1dGhvcj5N
b29uPC9BdXRob3I+PFllYXI+MjAxNTwvWWVhcj48UmVjTnVtPjQ5MTE0PC9SZWNOdW0+PHJlY29y
ZD48cmVjLW51bWJlcj40OTExNDwvcmVjLW51bWJlcj48Zm9yZWlnbi1rZXlzPjxrZXkgYXBwPSJF
TiIgZGItaWQ9ImF3eDlyYWRkcjB4eDJoZXYwNXJ4cjB6MDV3ZWVwd3B0MGZleCIgdGltZXN0YW1w
PSIxNTgxNDk3MzIwIj40OTExNDwva2V5PjwvZm9yZWlnbi1rZXlzPjxyZWYtdHlwZSBuYW1lPSJK
b3VybmFsIEFydGljbGUiPjE3PC9yZWYtdHlwZT48Y29udHJpYnV0b3JzPjxhdXRob3JzPjxhdXRo
b3I+TW9vbiwgS2F0aWU8L2F1dGhvcj48YXV0aG9yPkJsYWNrbWFuLCBEZWJvcmFoIEEuPC9hdXRo
b3I+PGF1dGhvcj5CcmV3ZXIsIFRvbSBELjwvYXV0aG9yPjwvYXV0aG9ycz48L2NvbnRyaWJ1dG9y
cz48dGl0bGVzPjx0aXRsZT5VbmRlcnN0YW5kaW5nIGFuZCBpbnRlZ3JhdGluZyBrbm93bGVkZ2Ug
dG8gaW1wcm92ZSBpbnZhc2l2ZSBzcGVjaWVzIG1hbmFnZW1lbnQ8L3RpdGxlPjxzZWNvbmRhcnkt
dGl0bGU+QmlvbG9naWNhbCBJbnZhc2lvbnM8L3NlY29uZGFyeS10aXRsZT48L3RpdGxlcz48cGVy
aW9kaWNhbD48ZnVsbC10aXRsZT5CaW9sb2dpY2FsIEludmFzaW9uczwvZnVsbC10aXRsZT48YWJi
ci0xPkJpb2wuIEludmFzaW9uczwvYWJici0xPjxhYmJyLTI+QmlvbCBJbnZhc2lvbnM8L2FiYnIt
Mj48L3BlcmlvZGljYWw+PHBhZ2VzPjI2NzUtMjY4OTwvcGFnZXM+PHZvbHVtZT4xNzwvdm9sdW1l
PjxudW1iZXI+OTwvbnVtYmVyPjxkYXRlcz48eWVhcj4yMDE1PC95ZWFyPjxwdWItZGF0ZXM+PGRh
dGU+U2VwPC9kYXRlPjwvcHViLWRhdGVzPjwvZGF0ZXM+PGlzYm4+MTM4Ny0zNTQ3PC9pc2JuPjxh
Y2Nlc3Npb24tbnVtPldPUzowMDAzNTk0Mjc0MDAwMTQ8L2FjY2Vzc2lvbi1udW0+PHVybHM+PHJl
bGF0ZWQtdXJscz48dXJsPiZsdDtHbyB0byBJU0kmZ3Q7Oi8vV09TOjAwMDM1OTQyNzQwMDAxNDwv
dXJsPjwvcmVsYXRlZC11cmxzPjwvdXJscz48ZWxlY3Ryb25pYy1yZXNvdXJjZS1udW0+MTAuMTAw
Ny9zMTA1MzAtMDE1LTA5MDQtNTwvZWxlY3Ryb25pYy1yZXNvdXJjZS1udW0+PC9yZWNvcmQ+PC9D
aXRlPjxDaXRlPjxBdXRob3I+UGVsdHplcjwvQXV0aG9yPjxZZWFyPjIwMTk8L1llYXI+PFJlY051
bT40OTAwODwvUmVjTnVtPjxyZWNvcmQ+PHJlYy1udW1iZXI+NDkwMDg8L3JlYy1udW1iZXI+PGZv
cmVpZ24ta2V5cz48a2V5IGFwcD0iRU4iIGRiLWlkPSJhd3g5cmFkZHIweHgyaGV2MDVyeHIwejA1
d2VlcHdwdDBmZXgiIHRpbWVzdGFtcD0iMTU4MTQ5NzMyMCI+NDkwMDg8L2tleT48L2ZvcmVpZ24t
a2V5cz48cmVmLXR5cGUgbmFtZT0iSm91cm5hbCBBcnRpY2xlIj4xNzwvcmVmLXR5cGU+PGNvbnRy
aWJ1dG9ycz48YXV0aG9ycz48YXV0aG9yPlBlbHR6ZXIsIER1YW5lIEEuPC9hdXRob3I+PGF1dGhv
cj5CZWxsaW5naGFtLCBQZXRlciBKLjwvYXV0aG9yPjxhdXRob3I+RGlja2llLCBJYW4gQS48L2F1
dGhvcj48YXV0aG9yPkhvdWxpc3RvbiwgR2FyeTwvYXV0aG9yPjxhdXRob3I+SHVsbWUsIFBoaWxp
cCBFLjwvYXV0aG9yPjxhdXRob3I+THl2ZXIsIFBoaWwgTyZhcG9zO0I8L2F1dGhvcj48YXV0aG9y
Pk1jR2xvbmUsIE1hdHRoZXc8L2F1dGhvcj48YXV0aG9yPlJpY2hhcmRzb24sIFNhcmFoIEouPC9h
dXRob3I+PGF1dGhvcj5Xb29kLCBKYW1pZTwvYXV0aG9yPjwvYXV0aG9ycz48L2NvbnRyaWJ1dG9y
cz48dGl0bGVzPjx0aXRsZT5TY2FsZSBhbmQgY29tcGxleGl0eSBpbXBsaWNhdGlvbnMgb2YgbWFr
aW5nIE5ldyBaZWFsYW5kIHByZWRhdG9yLWZyZWUgYnkgMjA1MDwvdGl0bGU+PHNlY29uZGFyeS10
aXRsZT5Kb3VybmFsIG9mIHRoZSBSb3lhbCBTb2NpZXR5IG9mIE5ldyBaZWFsYW5kPC9zZWNvbmRh
cnktdGl0bGU+PC90aXRsZXM+PHBlcmlvZGljYWw+PGZ1bGwtdGl0bGU+Sm91cm5hbCBvZiB0aGUg
Um95YWwgU29jaWV0eSBvZiBOZXcgWmVhbGFuZDwvZnVsbC10aXRsZT48YWJici0xPkouIFIuIFNv
Yy4gTi4gWi48L2FiYnItMT48YWJici0yPkogUiBTb2MgTiBaPC9hYmJyLTI+PC9wZXJpb2RpY2Fs
PjxwYWdlcz40MTItNDM5PC9wYWdlcz48dm9sdW1lPjQ5PC92b2x1bWU+PG51bWJlcj4zPC9udW1i
ZXI+PGRhdGVzPjx5ZWFyPjIwMTk8L3llYXI+PHB1Yi1kYXRlcz48ZGF0ZT5KdWwgMzwvZGF0ZT48
L3B1Yi1kYXRlcz48L2RhdGVzPjxpc2JuPjAzMDMtNjc1ODwvaXNibj48YWNjZXNzaW9uLW51bT5X
T1M6MDAwNDgzNTI4NTAwMDAxPC9hY2Nlc3Npb24tbnVtPjx1cmxzPjxyZWxhdGVkLXVybHM+PHVy
bD4mbHQ7R28gdG8gSVNJJmd0OzovL1dPUzowMDA0ODM1Mjg1MDAwMDE8L3VybD48L3JlbGF0ZWQt
dXJscz48L3VybHM+PGVsZWN0cm9uaWMtcmVzb3VyY2UtbnVtPjEwLjEwODAvMDMwMzY3NTguMjAx
OS4xNjUzOTQwPC9lbGVjdHJvbmljLXJlc291cmNlLW51bT48L3JlY29yZD48L0NpdGU+PENpdGU+
PEF1dGhvcj5NYXJzaGFsbDwvQXV0aG9yPjxZZWFyPjIwMTY8L1llYXI+PFJlY051bT40OTA4NDwv
UmVjTnVtPjxyZWNvcmQ+PHJlYy1udW1iZXI+NDkwODQ8L3JlYy1udW1iZXI+PGZvcmVpZ24ta2V5
cz48a2V5IGFwcD0iRU4iIGRiLWlkPSJhd3g5cmFkZHIweHgyaGV2MDVyeHIwejA1d2VlcHdwdDBm
ZXgiIHRpbWVzdGFtcD0iMTU4MTQ5NzMyMCI+NDkwODQ8L2tleT48L2ZvcmVpZ24ta2V5cz48cmVm
LXR5cGUgbmFtZT0iSm91cm5hbCBBcnRpY2xlIj4xNzwvcmVmLXR5cGU+PGNvbnRyaWJ1dG9ycz48
YXV0aG9ycz48YXV0aG9yPk1hcnNoYWxsLCBHcmFoYW0gUi48L2F1dGhvcj48YXV0aG9yPkNvbGVt
YW4sIE1pY2hhZWwgSi48L2F1dGhvcj48YXV0aG9yPlNpbmRlbCwgQnJpYW4gTS48L2F1dGhvcj48
YXV0aG9yPlJlZXZlLCBJYW4gSi48L2F1dGhvcj48YXV0aG9yPkJlcm5leSwgUGV0ZXIgSi48L2F1
dGhvcj48L2F1dGhvcnM+PC9jb250cmlidXRvcnM+PHRpdGxlcz48dGl0bGU+Q29sbGVjdGl2ZSBh
Y3Rpb24gaW4gaW52YXNpdmUgc3BlY2llcyBjb250cm9sLCBhbmQgcHJvc3BlY3RzIGZvciBjb21t
dW5pdHktYmFzZWQgZ292ZXJuYW5jZTogVGhlIGNhc2Ugb2Ygc2VycmF0ZWQgdHVzc29jayAoTmFz
c2VsbGEgdHJpY2hvdG9tYSkgaW4gTmV3IFNvdXRoIFdhbGVzLCBBdXN0cmFsaWE8L3RpdGxlPjxz
ZWNvbmRhcnktdGl0bGU+TGFuZCBVc2UgUG9saWN5PC9zZWNvbmRhcnktdGl0bGU+PC90aXRsZXM+
PHBlcmlvZGljYWw+PGZ1bGwtdGl0bGU+TGFuZCBVc2UgUG9saWN5PC9mdWxsLXRpdGxlPjwvcGVy
aW9kaWNhbD48cGFnZXM+MTAwLTExMTwvcGFnZXM+PHZvbHVtZT41Njwvdm9sdW1lPjxkYXRlcz48
eWVhcj4yMDE2PC95ZWFyPjxwdWItZGF0ZXM+PGRhdGU+Tm92PC9kYXRlPjwvcHViLWRhdGVzPjwv
ZGF0ZXM+PGlzYm4+MDI2NC04Mzc3PC9pc2JuPjxhY2Nlc3Npb24tbnVtPldPUzowMDAzNzk1NTcw
MDAwMTE8L2FjY2Vzc2lvbi1udW0+PHVybHM+PHJlbGF0ZWQtdXJscz48dXJsPiZsdDtHbyB0byBJ
U0kmZ3Q7Oi8vV09TOjAwMDM3OTU1NzAwMDAxMTwvdXJsPjwvcmVsYXRlZC11cmxzPjwvdXJscz48
ZWxlY3Ryb25pYy1yZXNvdXJjZS1udW0+MTAuMTAxNi9qLmxhbmR1c2Vwb2wuMjAxNi4wNC4wMjg8
L2VsZWN0cm9uaWMtcmVzb3VyY2UtbnVtPjwvcmVjb3JkPjwvQ2l0ZT48Q2l0ZT48QXV0aG9yPkxp
bmtlPC9BdXRob3I+PFllYXI+MjAxNjwvWWVhcj48UmVjTnVtPjQ5MDk4PC9SZWNOdW0+PHJlY29y
ZD48cmVjLW51bWJlcj40OTA5ODwvcmVjLW51bWJlcj48Zm9yZWlnbi1rZXlzPjxrZXkgYXBwPSJF
TiIgZGItaWQ9ImF3eDlyYWRkcjB4eDJoZXYwNXJ4cjB6MDV3ZWVwd3B0MGZleCIgdGltZXN0YW1w
PSIxNTgxNDk3MzIwIj40OTA5ODwva2V5PjwvZm9yZWlnbi1rZXlzPjxyZWYtdHlwZSBuYW1lPSJC
b29rIFNlY3Rpb24iPjU8L3JlZi10eXBlPjxjb250cmlidXRvcnM+PGF1dGhvcnM+PGF1dGhvcj5M
aW5rZSwgU2ViYXN0aWFuPC9hdXRob3I+PGF1dGhvcj5HaWxlaywgTWljaGFlbDwvYXV0aG9yPjxh
dXRob3I+S2FybHNzb24sIE1pa2FlbDwvYXV0aG9yPjwvYXV0aG9ycz48c2Vjb25kYXJ5LWF1dGhv
cnM+PGF1dGhvcj5HaWxlaywgTS48L2F1dGhvcj48YXV0aG9yPkthcmxzc29uLCBNLjwvYXV0aG9y
PjxhdXRob3I+TGlua2UsIFMuPC9hdXRob3I+PGF1dGhvcj5TbW9sYXJ6LCBLLjwvYXV0aG9yPjwv
c2Vjb25kYXJ5LWF1dGhvcnM+PC9jb250cmlidXRvcnM+PHRpdGxlcz48dGl0bGU+U2NpZW5jZS1Q
b2xpY3kgSW50ZXJmYWNlcyBpbiBCYWx0aWMgU2VhIEVudmlyb25tZW50YWwgR292ZXJuYW5jZTog
VG93YXJkcyBSZWdpb25hbCBDb29wZXJhdGlvbiBhbmQgTWFuYWdlbWVudCBvZiBVbmNlcnRhaW50
eT88L3RpdGxlPjxzZWNvbmRhcnktdGl0bGU+RW52aXJvbm1lbnRhbCBHb3Zlcm5hbmNlIG9mIHRo
ZSBCYWx0aWMgU2VhPC9zZWNvbmRhcnktdGl0bGU+PHRlcnRpYXJ5LXRpdGxlPk1BUkUgUHVibGlj
YXRpb24gU2VyaWVzPC90ZXJ0aWFyeS10aXRsZT48L3RpdGxlcz48cGVyaW9kaWNhbD48ZnVsbC10
aXRsZT5FbnZpcm9ubWVudGFsIGdvdmVybmFuY2Ugb2YgdGhlIEJhbHRpYyBTZWE8L2Z1bGwtdGl0
bGU+PC9wZXJpb2RpY2FsPjxwYWdlcz4xNzMtMjAzPC9wYWdlcz48dm9sdW1lPjEwPC92b2x1bWU+
PGRhdGVzPjx5ZWFyPjIwMTY8L3llYXI+PC9kYXRlcz48aXNibj45NzgtMy0zMTktMjcwMDYtNzsg
OTc4LTMtMzE5LTI3MDA1LTA8L2lzYm4+PGFjY2Vzc2lvbi1udW0+V09TOjAwMDM4NjY5NTMwMDAw
OTwvYWNjZXNzaW9uLW51bT48dXJscz48cmVsYXRlZC11cmxzPjx1cmw+Jmx0O0dvIHRvIElTSSZn
dDs6Ly9XT1M6MDAwMzg2Njk1MzAwMDA5PC91cmw+PC9yZWxhdGVkLXVybHM+PC91cmxzPjxlbGVj
dHJvbmljLXJlc291cmNlLW51bT4xMC4xMDA3Lzk3OC0zLTMxOS0yNzAwNi03Xzg8L2VsZWN0cm9u
aWMtcmVzb3VyY2UtbnVtPjwvcmVjb3JkPjwvQ2l0ZT48Q2l0ZT48QXV0aG9yPkNoYWZmaW48L0F1
dGhvcj48WWVhcj4yMDE2PC9ZZWFyPjxSZWNOdW0+NDkwODE8L1JlY051bT48cmVjb3JkPjxyZWMt
bnVtYmVyPjQ5MDgxPC9yZWMtbnVtYmVyPjxmb3JlaWduLWtleXM+PGtleSBhcHA9IkVOIiBkYi1p
ZD0iYXd4OXJhZGRyMHh4MmhldjA1cnhyMHowNXdlZXB3cHQwZmV4IiB0aW1lc3RhbXA9IjE1ODE0
OTczMjAiPjQ5MDgxPC9rZXk+PC9mb3JlaWduLWtleXM+PHJlZi10eXBlIG5hbWU9IkpvdXJuYWwg
QXJ0aWNsZSI+MTc8L3JlZi10eXBlPjxjb250cmlidXRvcnM+PGF1dGhvcnM+PGF1dGhvcj5DaGFm
ZmluLCBCcmlhbiBDLjwvYXV0aG9yPjxhdXRob3I+R2FybWVzdGFuaSwgQWhqb25kIFMuPC9hdXRo
b3I+PGF1dGhvcj5BbmdlbGVyLCBEYXZpZCBHLjwvYXV0aG9yPjxhdXRob3I+SGVycm1hbm4sIER1
c3RpbiBMLjwvYXV0aG9yPjxhdXRob3I+U3RvdywgQ3JhaWcgQS48L2F1dGhvcj48YXV0aG9yPk55
c3Ryb20sIE1hZ251czwvYXV0aG9yPjxhdXRob3I+U2VuZHppbWlyLCBKYW48L2F1dGhvcj48YXV0
aG9yPkhvcHRvbiwgTWF0dGhldyBFLjwvYXV0aG9yPjxhdXRob3I+S29sYXNhLCBKdXJlazwvYXV0
aG9yPjxhdXRob3I+QWxsZW4sIENyYWlnIFIuPC9hdXRob3I+PC9hdXRob3JzPjwvY29udHJpYnV0
b3JzPjx0aXRsZXM+PHRpdGxlPkJpb2xvZ2ljYWwgaW52YXNpb25zLCBlY29sb2dpY2FsIHJlc2ls
aWVuY2UgYW5kIGFkYXB0aXZlIGdvdmVybmFuY2U8L3RpdGxlPjxzZWNvbmRhcnktdGl0bGU+Sm91
cm5hbCBvZiBFbnZpcm9ubWVudGFsIE1hbmFnZW1lbnQ8L3NlY29uZGFyeS10aXRsZT48L3RpdGxl
cz48cGVyaW9kaWNhbD48ZnVsbC10aXRsZT5Kb3VybmFsIG9mIEVudmlyb25tZW50YWwgTWFuYWdl
bWVudDwvZnVsbC10aXRsZT48YWJici0xPkouIEVudmlyb24uIE1hbmFnZS48L2FiYnItMT48YWJi
ci0yPkogRW52aXJvbiBNYW5hZ2U8L2FiYnItMj48L3BlcmlvZGljYWw+PHBhZ2VzPjM5OS00MDc8
L3BhZ2VzPjx2b2x1bWU+MTgzPC92b2x1bWU+PGRhdGVzPjx5ZWFyPjIwMTY8L3llYXI+PHB1Yi1k
YXRlcz48ZGF0ZT5EZWMgMTwvZGF0ZT48L3B1Yi1kYXRlcz48L2RhdGVzPjxpc2JuPjAzMDEtNDc5
NzwvaXNibj48YWNjZXNzaW9uLW51bT5XT1M6MDAwMzg2NDE0MzAwMDA3PC9hY2Nlc3Npb24tbnVt
Pjx1cmxzPjxyZWxhdGVkLXVybHM+PHVybD4mbHQ7R28gdG8gSVNJJmd0OzovL1dPUzowMDAzODY0
MTQzMDAwMDc8L3VybD48L3JlbGF0ZWQtdXJscz48L3VybHM+PGVsZWN0cm9uaWMtcmVzb3VyY2Ut
bnVtPjEwLjEwMTYvai5qZW52bWFuLjIwMTYuMDQuMDQwPC9lbGVjdHJvbmljLXJlc291cmNlLW51
bT48L3JlY29yZD48L0NpdGU+PENpdGU+PEF1dGhvcj5NYXJ0aW48L0F1dGhvcj48WWVhcj4yMDE2
PC9ZZWFyPjxSZWNOdW0+NDkwOTI8L1JlY051bT48cmVjb3JkPjxyZWMtbnVtYmVyPjQ5MDkyPC9y
ZWMtbnVtYmVyPjxmb3JlaWduLWtleXM+PGtleSBhcHA9IkVOIiBkYi1pZD0iYXd4OXJhZGRyMHh4
MmhldjA1cnhyMHowNXdlZXB3cHQwZmV4IiB0aW1lc3RhbXA9IjE1ODE0OTczMjAiPjQ5MDkyPC9r
ZXk+PC9mb3JlaWduLWtleXM+PHJlZi10eXBlIG5hbWU9IkJvb2sgU2VjdGlvbiI+NTwvcmVmLXR5
cGU+PGNvbnRyaWJ1dG9ycz48YXV0aG9ycz48YXV0aG9yPk1hcnRpbiwgUGF1bDwvYXV0aG9yPjxh
dXRob3I+TGUgR2FsLCBFbG9kaWU8L2F1dGhvcj48YXV0aG9yPkNob3ksIERhcnJ5bCBMb3c8L2F1
dGhvcj48L2F1dGhvcnM+PHNlY29uZGFyeS1hdXRob3JzPjxhdXRob3I+TWFoZXNod2FyaSwgQi48
L2F1dGhvcj48YXV0aG9yPlNpbmdoLCBWLiBQLjwvYXV0aG9yPjxhdXRob3I+VGhvcmFkZW5peWEs
IEIuPC9hdXRob3I+PC9zZWNvbmRhcnktYXV0aG9ycz48L2NvbnRyaWJ1dG9ycz48dGl0bGVzPjx0
aXRsZT5FZmZlY3Qgb2YgU29jaWFsIGFuZCBJbnN0aXR1dGlvbmFsIEZyYWdtZW50YXRpb24gb24g
Q29sbGVjdGl2ZSBBY3Rpb24gaW4gUGVyaS1VcmJhbiBTZXR0aW5nczwvdGl0bGU+PHNlY29uZGFy
eS10aXRsZT5CYWxhbmNlZCBVcmJhbiBEZXZlbG9wbWVudDogT3B0aW9ucyBhbmQgU3RyYXRlZ2ll
cyBmb3IgTGl2ZWFibGUgQ2l0aWVzPC9zZWNvbmRhcnktdGl0bGU+PHRlcnRpYXJ5LXRpdGxlPldh
dGVyIFNjaWVuY2UgYW5kIFRlY2hub2xvZ3kgTGlicmFyeTwvdGVydGlhcnktdGl0bGU+PC90aXRs
ZXM+PHBhZ2VzPjQ2NS00ODA8L3BhZ2VzPjx2b2x1bWU+NzI8L3ZvbHVtZT48ZGF0ZXM+PHllYXI+
MjAxNjwveWVhcj48L2RhdGVzPjxpc2JuPjk3OC0zLTMxOS0yODExMi00OyA5NzgtMy0zMTktMjgx
MTAtMDwvaXNibj48YWNjZXNzaW9uLW51bT5XT1M6MDAwMzk4OTI4OTAwMDI5PC9hY2Nlc3Npb24t
bnVtPjx1cmxzPjxyZWxhdGVkLXVybHM+PHVybD4mbHQ7R28gdG8gSVNJJmd0OzovL1dPUzowMDAz
OTg5Mjg5MDAwMjk8L3VybD48L3JlbGF0ZWQtdXJscz48L3VybHM+PGVsZWN0cm9uaWMtcmVzb3Vy
Y2UtbnVtPjEwLjEwMDcvOTc4LTMtMzE5LTI4MTEyLTRfMjg8L2VsZWN0cm9uaWMtcmVzb3VyY2Ut
bnVtPjwvcmVjb3JkPjwvQ2l0ZT48Q2l0ZT48QXV0aG9yPk1hcnRpbjwvQXV0aG9yPjxZZWFyPjIw
MTg8L1llYXI+PFJlY051bT40OTAzMzwvUmVjTnVtPjxyZWNvcmQ+PHJlYy1udW1iZXI+NDkwMzM8
L3JlYy1udW1iZXI+PGZvcmVpZ24ta2V5cz48a2V5IGFwcD0iRU4iIGRiLWlkPSJhd3g5cmFkZHIw
eHgyaGV2MDVyeHIwejA1d2VlcHdwdDBmZXgiIHRpbWVzdGFtcD0iMTU4MTQ5NzMyMCI+NDkwMzM8
L2tleT48L2ZvcmVpZ24ta2V5cz48cmVmLXR5cGUgbmFtZT0iSm91cm5hbCBBcnRpY2xlIj4xNzwv
cmVmLXR5cGU+PGNvbnRyaWJ1dG9ycz48YXV0aG9ycz48YXV0aG9yPk1hcnRpbiwgUGF1bDwvYXV0
aG9yPjxhdXRob3I+VGF5bG9yLCBOYXRhbGllPC9hdXRob3I+PC9hdXRob3JzPjwvY29udHJpYnV0
b3JzPjx0aXRsZXM+PHRpdGxlPkVudmlyb25tZW50YWwgU3Rld2FyZHNoaXAgRHV0aWVzIGluIEJp
b3NlY3VyaXR5OiBJc3N1ZXMgYW5kIENoYWxsZW5nZXM8L3RpdGxlPjxzZWNvbmRhcnktdGl0bGU+
RW52aXJvbm1lbnRhbCBhbmQgUGxhbm5pbmcgTGF3IEpvdXJuYWw8L3NlY29uZGFyeS10aXRsZT48
L3RpdGxlcz48cGVyaW9kaWNhbD48ZnVsbC10aXRsZT5FbnZpcm9ubWVudGFsIGFuZCBwbGFubmlu
ZyBsYXcgam91cm5hbDwvZnVsbC10aXRsZT48YWJici0xPkVudmlyb24uIFBsYW4uIExhdyBKLjwv
YWJici0xPjxhYmJyLTI+RW52aXJvbiBQbGFuIExhdyBKPC9hYmJyLTI+PC9wZXJpb2RpY2FsPjxw
YWdlcz43NDMtNzYyPC9wYWdlcz48dm9sdW1lPjM1PC92b2x1bWU+PG51bWJlcj42PC9udW1iZXI+
PGRhdGVzPjx5ZWFyPjIwMTg8L3llYXI+PHB1Yi1kYXRlcz48ZGF0ZT5Ob3Y8L2RhdGU+PC9wdWIt
ZGF0ZXM+PC9kYXRlcz48aXNibj4wODEzLTMwMFg8L2lzYm4+PGFjY2Vzc2lvbi1udW0+V09TOjAw
MDQ1MTc5NDEwMDAwNjwvYWNjZXNzaW9uLW51bT48dXJscz48cmVsYXRlZC11cmxzPjx1cmw+Jmx0
O0dvIHRvIElTSSZndDs6Ly9XT1M6MDAwNDUxNzk0MTAwMDA2PC91cmw+PC9yZWxhdGVkLXVybHM+
PC91cmxzPjwvcmVjb3JkPjwvQ2l0ZT48L0VuZE5vdGU+AG==
</w:fldData>
              </w:fldChar>
            </w:r>
            <w:r w:rsidRPr="00A9434B">
              <w:rPr>
                <w:rFonts w:eastAsia="Batang"/>
              </w:rPr>
              <w:instrText xml:space="preserve"> ADDIN EN.CITE.DATA </w:instrText>
            </w:r>
            <w:r w:rsidRPr="00A9434B">
              <w:rPr>
                <w:rFonts w:eastAsia="Batang"/>
              </w:rPr>
            </w:r>
            <w:r w:rsidRPr="00A9434B">
              <w:rPr>
                <w:rFonts w:eastAsia="Batang"/>
              </w:rPr>
              <w:fldChar w:fldCharType="end"/>
            </w:r>
            <w:r w:rsidRPr="00A9434B">
              <w:rPr>
                <w:rFonts w:eastAsia="Batang"/>
              </w:rPr>
            </w:r>
            <w:r w:rsidRPr="00A9434B">
              <w:rPr>
                <w:rFonts w:eastAsia="Batang"/>
              </w:rPr>
              <w:fldChar w:fldCharType="separate"/>
            </w:r>
            <w:r w:rsidR="004228F0" w:rsidRPr="00A9434B">
              <w:rPr>
                <w:rFonts w:eastAsia="Batang"/>
              </w:rPr>
              <w:fldChar w:fldCharType="begin"/>
            </w:r>
            <w:r w:rsidR="0006613E">
              <w:rPr>
                <w:rFonts w:eastAsia="Batang"/>
              </w:rPr>
              <w:instrText xml:space="preserve"> ADDIN ZOTERO_ITEM CSL_CITATION {"citationID":"mbLHLt5B","properties":{"formattedCitation":"(Catacutan et al., 2009; Chaffin et al., 2016; Linke et al., 2016; Marshall et al., 2016; P. Martin et al., 2016; P. Martin &amp; Taylor, 2018; McKiernan, 2018; Moon et al., 2015; Peltzer et al., 2019; Smolarz et al., 2016)","plainCitation":"(Catacutan et al., 2009; Chaffin et al., 2016; Linke et al., 2016; Marshall et al., 2016; P. Martin et al., 2016; P. Martin &amp; Taylor, 2018; McKiernan, 2018; Moon et al., 2015; Peltzer et al., 2019; Smolarz et al., 2016)","dontUpdate":true,"noteIndex":0},"citationItems":[{"id":54796,"uris":["http://zotero.org/groups/2352922/items/GHQC63E3"],"itemData":{"id":54796,"type":"report","event-place":"Nairobi, Kenya","publisher":"World Agroforestry Centre","publisher-place":"Nairobi, Kenya","title":"Landcare:Local action – global progress","URL":"http://apps.worldagroforestry.org/downloads/Publications/PDFS/B16017.pdf","author":[{"family":"Catacutan","given":"D"},{"family":"Neely","given":"C"},{"family":"Johnson","given":"M"},{"family":"Poussard","given":"H"},{"family":"Youl","given":"R"}],"accessed":{"date-parts":[["2023",3,14]]},"issued":{"date-parts":[["2009"]]}},"label":"page"},{"id":32912,"uris":["http://zotero.org/groups/2352922/items/AVLWQJ36"],"itemData":{"id":32912,"type":"article-journal","abstract":"In a world of increasing interconnections in global trade as well as rapid change in climate and land cover, the accelerating introduction and spread of invasive species is a critical concern due to associated negative social and ecological impacts, both real and perceived. Much of the societal response to invasive species to date has been associated with negative economic consequences of invasions. This response has shaped a war-like approach to addressing invasions, one with an agenda of eradications and intense ecological restoration efforts towards prior or more desirable ecological regimes. This trajectory often ignores the concept of ecological resilience and associated approaches of resilience-based governance. We argue that the relationship between ecological resilience and invasive species has been understudied to the detriment of attempts to govern invasions, and that most management actions fail, primarily because they do not incorporate adaptive, learning-based approaches. Invasive species can decrease resilience by reducing the biodiversity that underpins ecological functions and processes, making ecosystems more prone to regime shifts. However, invasions do not always result in a shift to an alternative regime; invasions can also increase resilience by introducing novelty, replacing lost ecological functions or adding redundancy that strengthens already existing structures and processes in an ecosystem. This paper examines the potential impacts of species invasions on the resilience of ecosystems and suggests that resilience-based approaches can inform policy by linking the governance of biological invasions to the negotiation of tradeoffs between ecosystem services.","container-title":"Journal of Environmental Management","DOI":"10.1016/j.jenvman.2016.04.040","ISSN":"03014797","issue":"Pt 2","journalAbbreviation":"Journal of Environmental Management","language":"en","page":"399-407","source":"DOI.org (Crossref)","title":"Biological invasions, ecological resilience and adaptive governance","URL":"https://linkinghub.elsevier.com/retrieve/pii/S0301479716302110","volume":"183","author":[{"family":"Chaffin","given":"Brian C."},{"family":"Garmestani","given":"Ahjond S."},{"family":"Angeler","given":"David G."},{"family":"Herrmann","given":"Dustin L."},{"family":"Stow","given":"Craig A."},{"family":"Nyström","given":"Magnus"},{"family":"Sendzimir","given":"Jan"},{"family":"Hopton","given":"Matthew E."},{"family":"Kolasa","given":"Jurek"},{"family":"Allen","given":"Craig R."}],"accessed":{"date-parts":[["2019",11,3]]},"issued":{"date-parts":[["2016",12]]}},"label":"page"},{"id":24019,"uris":["http://zotero.org/groups/2352922/items/XM93LHZS"],"itemData":{"id":24019,"type":"chapter","collection-title":"MARE Publication Series","container-title":"Environmental Governance of the Baltic Sea","event-place":"Cham","ISBN":"978-3-319-27006-7","note":"DOI: 10.1007/978-3-319-27006-7_8","page":"173-203","publisher":"Springer","publisher-place":"Cham","title":"Science-Policy Interfaces in Baltic Sea Environmental Governance: Towards Regional Cooperation and Management of Uncertainty?","URL":"https://link.springer.com/chapter/10.1007/978-3-319-27006-7_8","volume":"10","author":[{"family":"Linke","given":"Sebastian"},{"family":"Gilek","given":"Michael"},{"family":"Karlsson","given":"Mikael"}],"editor":[{"family":"Gilek","given":"M."},{"family":"Karlsson","given":"M."},{"family":"Linke","given":"S."},{"family":"Smolarz","given":"K."}],"issued":{"date-parts":[["2016"]]}},"label":"page"},{"id":10010,"uris":["http://zotero.org/groups/2352922/items/MZTX9XFJ"],"itemData":{"id":10010,"type":"article-journal","abstract":"Responsibility for solving collective action problems in invasive species control has conventionally been assigned to government. The large continuing costs arising from invasive species demonstrate the limitations of government-centred (monocentric) approaches to governance in this domain, and indicate a need for polycentric alternatives which complement government capacities with those of landholders and their community organisations. We sought to add to existing knowledge about collective action problems for invasive species management, and to explore the potential for community-based, polycentric approaches to improve management in this domain, through workshops and a survey of landholders regarding the weed serrated tussock (Nassella trichotoma) in two regions of New South Wales, Australia. Serrated tussock threatens the private interests of a substantial proportion of landholders in the two regions. Private landholders recognise how management of this weed on their own properties poses a collective action problem, where success is dependent on the diligent control efforts of neighbouring private and public landholders. They are more likely to consider issues relating to horizontal social capital (e.g. relationships with public and private neighbours) as barriers to effective serrated tussock control on their own property, than issues relating to information and education about this species. Community-based approaches to this weed have the potential to improve its management across the landscape, and a great majority of private landholders appear willing to participate in such a program. Such an approach will require the active participation of public land managers, continued coercion of non-cooperative landholders, and can be developed from the foundation of existing institutional arrangements for land management, taking into account unique regional relationships and characteristics. It should complement and build on, rather than replace existing legislative, research, and extension approaches.","container-title":"Land Use Policy","DOI":"10.1016/j.landusepol.2016.04.028","ISSN":"0264-8377","journalAbbreviation":"Land Use Policy","language":"en","page":"100-111","title":"Collective action in invasive species control, and prospects for community-based governance: The case of serrated tussock (&lt;i&gt;Nassella trichotoma&lt;/i&gt;) in New South Wales, Australia","title-short":"Collective action in invasive species control, and prospects for community-based governance","URL":"https://linkinghub.elsevier.com/retrieve/pii/S0264837715301745","volume":"56","author":[{"family":"Marshall","given":"Graham R."},{"family":"Coleman","given":"Michael J."},{"family":"Sindel","given":"Brian M."},{"family":"Reeve","given":"Ian J."},{"family":"Berney","given":"Peter J."}],"issued":{"date-parts":[["2016",11]]}},"label":"page"},{"id":11351,"uris":["http://zotero.org/groups/2352922/items/BMBKHVLX"],"itemData":{"id":11351,"type":"chapter","collection-title":"Water Science and Technology Library","container-title":"Balanced Urban Development: Options and Strategies for Liveable Cities","event-place":"Cham","ISBN":"978-3-319-28112-4","note":"DOI: 10.1007/978-3-319-28112-4_28","page":"465-480","publisher":"Springer","publisher-place":"Cham","title":"Effect of Social and Institutional Fragmentation on Collective Action in Peri-Urban Settings","volume":"72","author":[{"family":"Martin","given":"Paul"},{"family":"Le Gal","given":"Elodie"},{"family":"Choy","given":"Darryl Low"}],"editor":[{"family":"Maheshwari","given":"B."},{"family":"Thoradeniya","given":"B."},{"family":"Singh","given":"V. P."}],"issued":{"date-parts":[["2016"]]}},"label":"page"},{"id":23809,"uris":["http://zotero.org/groups/2352922/items/GMLBRS2S"],"itemData":{"id":23809,"type":"article-journal","container-title":"Environmental and planning law journal","DOI":"10.3316/agispt.20181228005297","ISSN":"0813-300X","issue":"6","journalAbbreviation":"Environ. Plan. Law J.","page":"743-762","title":"Environmental Stewardship Duties in Biosecurity: Issues and Challenges","volume":"35","author":[{"family":"Martin","given":"Paul"},{"family":"Taylor","given":"Natalie"}],"issued":{"date-parts":[["2018",11]]}},"label":"page"},{"id":52846,"uris":["http://zotero.org/groups/2352922/items/S8J6K9IA"],"itemData":{"id":52846,"type":"article-journal","abstract":"Rural-amenity migration is changing the social and ecological compositions of landscapes globally. The in-migration of new landholders is contributing to significant biophysical changes to rural landscapes, as well as the weakening of collective awareness, knowledge and skills needed to manage natural resources. This is leading to the proliferation of environmental harm. This paper focuses on invasive plants as one such harm, detailing how collective action is developed and challenged in a rural landscape undergoing increasing property turnover and diversifying management priorities. Focusing on the role of a Landcare group, located in southern New South Wales, Australia, I explore how social capital – with a particular focus on trust and social norms – is mobilised to recruit newly arrived residents and maintain commitment among landholders to manage invasive plants. This research provides insights into how policy can better steer management interventions, particularly how to develop and maintain collective action in diversifying rural landscapes.","container-title":"Journal of Environmental Planning and Management","DOI":"10.1080/09640568.2017.1351930","ISSN":"0964-0568","issue":"8","note":"publisher: Routledge\n_eprint: https://doi.org/10.1080/09640568.2017.1351930","page":"1419-1437","source":"Taylor and Francis+NEJM","title":"Managing invasive plants in a rural-amenity landscape: the role of social capital and Landcare","title-short":"Managing invasive plants in a rural-amenity landscape","URL":"https://doi.org/10.1080/09640568.2017.1351930","volume":"61","author":[{"family":"McKiernan","given":"Shaun"}],"accessed":{"date-parts":[["2022",8,4]]},"issued":{"date-parts":[["2018",7,3]]}},"label":"page"},{"id":11438,"uris":["http://zotero.org/groups/2352922/items/P5EALT95"],"itemData":{"id":11438,"type":"article-journal","container-title":"Biological Invasions","DOI":"10.1007/s10530-015-0904-5","ISSN":"1387-3547, 1573-1464","issue":"9","journalAbbreviation":"Biol Invasions","language":"en","page":"2675-2689","source":"DOI.org (Crossref)","title":"Understanding and integrating knowledge to improve invasive species management","URL":"http://link.springer.com/10.1007/s10530-015-0904-5","volume":"17","author":[{"family":"Moon","given":"Katie"},{"family":"Blackman","given":"Deborah A."},{"family":"Brewer","given":"Tom D."}],"accessed":{"date-parts":[["2019",9,11]]},"issued":{"date-parts":[["2015",9]]}},"label":"page"},{"id":56552,"uris":["http://zotero.org/groups/2352922/items/WGE4W9R8","http://zotero.org/groups/2352922/items/9NHCBRXF"],"itemData":{"id":56552,"type":"article-journal","container-title":"Journal of the Royal Society of New Zealand","DOI":"10.1080/03036758.2019.1653940","ISSN":"0303-6758, 1175-8899","issue":"3","journalAbbreviation":"Journal of the Royal Society of New Zealand","language":"en","page":"412-439","source":"DOI.org (Crossref)","title":"Scale and complexity implications of making New Zealand predator-free by 2050","URL":"https://www.tandfonline.com/doi/full/10.1080/03036758.2019.1653940","volume":"49","author":[{"family":"Peltzer","given":"Duane A."},{"family":"Bellingham","given":"Peter J."},{"family":"Dickie","given":"Ian A."},{"family":"Houliston","given":"Gary"},{"family":"Hulme","given":"Philip E."},{"family":"Lyver","given":"Phil O’B."},{"family":"McGlone","given":"Matthew"},{"family":"Richardson","given":"Sarah J."},{"family":"Wood","given":"Jamie"}],"accessed":{"date-parts":[["2023",6,8]]},"issued":{"date-parts":[["2019",7,3]]}},"label":"page"},{"id":11449,"uris":["http://zotero.org/groups/2352922/items/K5CN724I"],"itemData":{"id":11449,"type":"chapter","collection-title":"MARE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label":"page"}],"schema":"https://github.com/citation-style-language/schema/raw/master/csl-citation.json"} </w:instrText>
            </w:r>
            <w:r w:rsidR="004228F0" w:rsidRPr="00A9434B">
              <w:rPr>
                <w:rFonts w:eastAsia="Batang"/>
              </w:rPr>
              <w:fldChar w:fldCharType="separate"/>
            </w:r>
            <w:r w:rsidR="00160DDB" w:rsidRPr="00A9434B">
              <w:t>Catacutan et al., 2009; Chaffin et al., 2016; Linke et al., 2016; Marshall et al., 2016; P. Martin et al., 2016; P. Martin &amp; Taylor, 2018; McKiernan, 2018; Moon et al., 2015; Peltzer et al., 2019; Smolarz et al., 2016</w:t>
            </w:r>
            <w:r w:rsidR="004228F0" w:rsidRPr="00A9434B">
              <w:rPr>
                <w:rFonts w:eastAsia="Batang"/>
              </w:rPr>
              <w:fldChar w:fldCharType="end"/>
            </w:r>
            <w:r w:rsidRPr="00A9434B">
              <w:rPr>
                <w:rFonts w:eastAsia="Batang"/>
              </w:rPr>
              <w:fldChar w:fldCharType="end"/>
            </w:r>
          </w:p>
        </w:tc>
      </w:tr>
      <w:tr w:rsidR="00017C04" w:rsidRPr="000A1E49" w14:paraId="13549955" w14:textId="77777777" w:rsidTr="00C73655">
        <w:trPr>
          <w:trHeight w:val="3708"/>
        </w:trPr>
        <w:tc>
          <w:tcPr>
            <w:tcW w:w="2074" w:type="dxa"/>
            <w:shd w:val="clear" w:color="auto" w:fill="D9D9D9"/>
            <w:vAlign w:val="center"/>
          </w:tcPr>
          <w:p w14:paraId="35E9F79B" w14:textId="77777777" w:rsidR="00017C04" w:rsidRPr="000A1E49" w:rsidRDefault="00F50AF9">
            <w:pPr>
              <w:spacing w:before="0" w:after="0"/>
            </w:pPr>
            <w:r w:rsidRPr="000A1E49">
              <w:t xml:space="preserve">Effective communication of research, information and learning </w:t>
            </w:r>
          </w:p>
          <w:p w14:paraId="6BCCB9A4" w14:textId="77777777" w:rsidR="00017C04" w:rsidRPr="000A1E49" w:rsidRDefault="00F50AF9">
            <w:pPr>
              <w:spacing w:before="0" w:after="0"/>
            </w:pPr>
            <w:r w:rsidRPr="000A1E49">
              <w:t>(</w:t>
            </w:r>
            <w:r w:rsidRPr="000A1E49">
              <w:rPr>
                <w:b/>
              </w:rPr>
              <w:t>section 6.6</w:t>
            </w:r>
            <w:r w:rsidRPr="000A1E49">
              <w:t>)</w:t>
            </w:r>
          </w:p>
        </w:tc>
        <w:tc>
          <w:tcPr>
            <w:tcW w:w="4300" w:type="dxa"/>
            <w:shd w:val="clear" w:color="auto" w:fill="D9D9D9"/>
            <w:vAlign w:val="center"/>
          </w:tcPr>
          <w:p w14:paraId="27FABB98"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Biosecurity collectives for information sharing</w:t>
            </w:r>
          </w:p>
          <w:p w14:paraId="58FB892A"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Structured process by which knowledge can influence relevant actors</w:t>
            </w:r>
          </w:p>
          <w:p w14:paraId="44C9ED05"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Knowledge sharing platforms and infrastructures at multiple scales</w:t>
            </w:r>
          </w:p>
          <w:p w14:paraId="1196ADB7"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Clear assignment of responsibilities for risk communication</w:t>
            </w:r>
          </w:p>
          <w:p w14:paraId="5C92F13D"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Public information campaigns</w:t>
            </w:r>
          </w:p>
          <w:p w14:paraId="0C3D8E00" w14:textId="41B71890"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Context</w:t>
            </w:r>
            <w:r w:rsidR="00A37761">
              <w:rPr>
                <w:color w:val="000000"/>
              </w:rPr>
              <w:t>-</w:t>
            </w:r>
            <w:r w:rsidRPr="00C73655">
              <w:rPr>
                <w:color w:val="000000"/>
              </w:rPr>
              <w:t xml:space="preserve">specific messaging to encourage strategic behaviour </w:t>
            </w:r>
          </w:p>
          <w:p w14:paraId="307D4B80"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Information brokers</w:t>
            </w:r>
          </w:p>
        </w:tc>
        <w:tc>
          <w:tcPr>
            <w:tcW w:w="2835" w:type="dxa"/>
            <w:shd w:val="clear" w:color="auto" w:fill="D9D9D9"/>
            <w:vAlign w:val="center"/>
          </w:tcPr>
          <w:p w14:paraId="03D26AAD" w14:textId="77777777" w:rsidR="00CD7FEA" w:rsidRPr="00A9434B" w:rsidRDefault="00CA3187" w:rsidP="00B86627">
            <w:pPr>
              <w:spacing w:before="0" w:after="0"/>
              <w:rPr>
                <w:rFonts w:eastAsia="Batang"/>
              </w:rPr>
            </w:pPr>
            <w:r w:rsidRPr="00A9434B">
              <w:rPr>
                <w:rFonts w:eastAsia="Batang"/>
              </w:rPr>
              <w:fldChar w:fldCharType="begin">
                <w:fldData xml:space="preserve">PEVuZE5vdGU+PENpdGU+PEF1dGhvcj5Nb29uPC9BdXRob3I+PFllYXI+MjAxNTwvWWVhcj48UmVj
TnVtPjQ5MTE0PC9SZWNOdW0+PERpc3BsYXlUZXh0PihDb29uZXkgYW5kIExhbmcgMjAwNywgQ29v
aywgS3Jpc3RlbnNlbiBldCBhbC4gMjAxNCwgTW9vbiwgQmxhY2ttYW4gZXQgYWwuIDIwMTUsIEpv
bnNzb24sIEJvc3Ryb20gZXQgYWwuIDIwMTYsIFZhbk5pam5hdHRlbiAyMDE2LCBMdWJlY2ssIE1l
dGNhbGYgZXQgYWwuIDIwMTksIE5vdXJhbmksIERlY2tlciBldCBhbC4gMjAxOSk8L0Rpc3BsYXlU
ZXh0PjxyZWNvcmQ+PHJlYy1udW1iZXI+NDkxMTQ8L3JlYy1udW1iZXI+PGZvcmVpZ24ta2V5cz48
a2V5IGFwcD0iRU4iIGRiLWlkPSJhd3g5cmFkZHIweHgyaGV2MDVyeHIwejA1d2VlcHdwdDBmZXgi
IHRpbWVzdGFtcD0iMTU4MTQ5NzMyMCI+NDkxMTQ8L2tleT48L2ZvcmVpZ24ta2V5cz48cmVmLXR5
cGUgbmFtZT0iSm91cm5hbCBBcnRpY2xlIj4xNzwvcmVmLXR5cGU+PGNvbnRyaWJ1dG9ycz48YXV0
aG9ycz48YXV0aG9yPk1vb24sIEthdGllPC9hdXRob3I+PGF1dGhvcj5CbGFja21hbiwgRGVib3Jh
aCBBLjwvYXV0aG9yPjxhdXRob3I+QnJld2VyLCBUb20gRC48L2F1dGhvcj48L2F1dGhvcnM+PC9j
b250cmlidXRvcnM+PHRpdGxlcz48dGl0bGU+VW5kZXJzdGFuZGluZyBhbmQgaW50ZWdyYXRpbmcg
a25vd2xlZGdlIHRvIGltcHJvdmUgaW52YXNpdmUgc3BlY2llcyBtYW5hZ2VtZW50PC90aXRsZT48
c2Vjb25kYXJ5LXRpdGxlPkJpb2xvZ2ljYWwgSW52YXNpb25zPC9zZWNvbmRhcnktdGl0bGU+PC90
aXRsZXM+PHBlcmlvZGljYWw+PGZ1bGwtdGl0bGU+QmlvbG9naWNhbCBJbnZhc2lvbnM8L2Z1bGwt
dGl0bGU+PGFiYnItMT5CaW9sLiBJbnZhc2lvbnM8L2FiYnItMT48YWJici0yPkJpb2wgSW52YXNp
b25zPC9hYmJyLTI+PC9wZXJpb2RpY2FsPjxwYWdlcz4yNjc1LTI2ODk8L3BhZ2VzPjx2b2x1bWU+
MTc8L3ZvbHVtZT48bnVtYmVyPjk8L251bWJlcj48ZGF0ZXM+PHllYXI+MjAxNTwveWVhcj48cHVi
LWRhdGVzPjxkYXRlPlNlcDwvZGF0ZT48L3B1Yi1kYXRlcz48L2RhdGVzPjxpc2JuPjEzODctMzU0
NzwvaXNibj48YWNjZXNzaW9uLW51bT5XT1M6MDAwMzU5NDI3NDAwMDE0PC9hY2Nlc3Npb24tbnVt
Pjx1cmxzPjxyZWxhdGVkLXVybHM+PHVybD4mbHQ7R28gdG8gSVNJJmd0OzovL1dPUzowMDAzNTk0
Mjc0MDAwMTQ8L3VybD48L3JlbGF0ZWQtdXJscz48L3VybHM+PGVsZWN0cm9uaWMtcmVzb3VyY2Ut
bnVtPjEwLjEwMDcvczEwNTMwLTAxNS0wOTA0LTU8L2VsZWN0cm9uaWMtcmVzb3VyY2UtbnVtPjwv
cmVjb3JkPjwvQ2l0ZT48Q2l0ZT48QXV0aG9yPlZhbk5pam5hdHRlbjwvQXV0aG9yPjxZZWFyPjIw
MTY8L1llYXI+PFJlY051bT40OTEwNTwvUmVjTnVtPjxyZWNvcmQ+PHJlYy1udW1iZXI+NDkxMDU8
L3JlYy1udW1iZXI+PGZvcmVpZ24ta2V5cz48a2V5IGFwcD0iRU4iIGRiLWlkPSJhd3g5cmFkZHIw
eHgyaGV2MDVyeHIwejA1d2VlcHdwdDBmZXgiIHRpbWVzdGFtcD0iMTU4MTQ5NzMyMCI+NDkxMDU8
L2tleT48L2ZvcmVpZ24ta2V5cz48cmVmLXR5cGUgbmFtZT0iSm91cm5hbCBBcnRpY2xlIj4xNzwv
cmVmLXR5cGU+PGNvbnRyaWJ1dG9ycz48YXV0aG9ycz48YXV0aG9yPlZhbk5pam5hdHRlbiwgRGVi
b3JhIEwuPC9hdXRob3I+PC9hdXRob3JzPjwvY29udHJpYnV0b3JzPjx0aXRsZXM+PHRpdGxlPlRo
ZSBBcXVhdGljIEludmFzaW9uOiBBc3NlbWJsaW5nIFRyYW5zYm91bmRhcnkgR292ZXJuYW5jZSBD
YXBhY2l0eSBmb3IgUHJldmVudGlvbiBhbmQgRGV0ZWN0aW9uPC90aXRsZT48c2Vjb25kYXJ5LXRp
dGxlPkludGVybmF0aW9uYWwgSm91cm5hbCBvZiBXYXRlciBHb3Zlcm5hbmNlPC9zZWNvbmRhcnkt
dGl0bGU+PC90aXRsZXM+PHBlcmlvZGljYWw+PGZ1bGwtdGl0bGU+SW50ZXJuYXRpb25hbCBKb3Vy
bmFsIG9mIFdhdGVyIEdvdmVybmFuY2U8L2Z1bGwtdGl0bGU+PC9wZXJpb2RpY2FsPjx2b2x1bWU+
NDwvdm9sdW1lPjxkYXRlcz48eWVhcj4yMDE2PC95ZWFyPjxwdWItZGF0ZXM+PGRhdGU+MjAxNjwv
ZGF0ZT48L3B1Yi1kYXRlcz48L2RhdGVzPjxpc2JuPjIyMTEtNDQ5MTwvaXNibj48YWNjZXNzaW9u
LW51bT5XT1M6MDAwNDcyMTQxMjAwMDA3PC9hY2Nlc3Npb24tbnVtPjx1cmxzPjxyZWxhdGVkLXVy
bHM+PHVybD4mbHQ7R28gdG8gSVNJJmd0OzovL1dPUzowMDA0NzIxNDEyMDAwMDc8L3VybD48L3Jl
bGF0ZWQtdXJscz48L3VybHM+PGN1c3RvbTc+VW5zcCA2PC9jdXN0b203PjxlbGVjdHJvbmljLXJl
c291cmNlLW51bT4xMC43NTY0LzE1LWlqd2c4NDwvZWxlY3Ryb25pYy1yZXNvdXJjZS1udW0+PC9y
ZWNvcmQ+PC9DaXRlPjxDaXRlPjxBdXRob3I+Sm9uc3NvbjwvQXV0aG9yPjxZZWFyPjIwMTY8L1ll
YXI+PFJlY051bT40OTA5OTwvUmVjTnVtPjxyZWNvcmQ+PHJlYy1udW1iZXI+NDkwOTk8L3JlYy1u
dW1iZXI+PGZvcmVpZ24ta2V5cz48a2V5IGFwcD0iRU4iIGRiLWlkPSJhd3g5cmFkZHIweHgyaGV2
MDVyeHIwejA1d2VlcHdwdDBmZXgiIHRpbWVzdGFtcD0iMTU4MTQ5NzMyMCI+NDkwOTk8L2tleT48
L2ZvcmVpZ24ta2V5cz48cmVmLXR5cGUgbmFtZT0iQm9vayBTZWN0aW9uIj41PC9yZWYtdHlwZT48
Y29udHJpYnV0b3JzPjxhdXRob3JzPjxhdXRob3I+Sm9uc3NvbiwgQW5uYSBNYXJpYTwvYXV0aG9y
PjxhdXRob3I+Qm9zdHJvbSwgTWFnbnVzPC9hdXRob3I+PGF1dGhvcj5EcmV5ZXIsIE1hcmlvbjwv
YXV0aG9yPjxhdXRob3I+U29kZXJzdHJvbSwgU2FyYTwvYXV0aG9yPjwvYXV0aG9ycz48c2Vjb25k
YXJ5LWF1dGhvcnM+PGF1dGhvcj5HaWxlaywgTS48L2F1dGhvcj48YXV0aG9yPkthcmxzc29uLCBN
LjwvYXV0aG9yPjxhdXRob3I+TGlua2UsIFMuPC9hdXRob3I+PGF1dGhvcj5TbW9sYXJ6LCBLLjwv
YXV0aG9yPjwvc2Vjb25kYXJ5LWF1dGhvcnM+PC9jb250cmlidXRvcnM+PHRpdGxlcz48dGl0bGU+
UmlzayBDb21tdW5pY2F0aW9uIGFuZCB0aGUgUm9sZSBvZiB0aGUgUHVibGljOiBUb3dhcmRzIElu
Y2x1c2l2ZSBFbnZpcm9ubWVudGFsIEdvdmVybmFuY2Ugb2YgdGhlIEJhbHRpYyBTZWE/PC90aXRs
ZT48c2Vjb25kYXJ5LXRpdGxlPkVudmlyb25tZW50YWwgR292ZXJuYW5jZSBvZiB0aGUgQmFsdGlj
IFNlYTwvc2Vjb25kYXJ5LXRpdGxlPjx0ZXJ0aWFyeS10aXRsZT5NQVJFIFB1YmxpY2F0aW9uIFNl
cmllczwvdGVydGlhcnktdGl0bGU+PC90aXRsZXM+PHBlcmlvZGljYWw+PGZ1bGwtdGl0bGU+RW52
aXJvbm1lbnRhbCBnb3Zlcm5hbmNlIG9mIHRoZSBCYWx0aWMgU2VhPC9mdWxsLXRpdGxlPjwvcGVy
aW9kaWNhbD48cGFnZXM+MjA1LTIyNzwvcGFnZXM+PHZvbHVtZT4xMDwvdm9sdW1lPjxkYXRlcz48
eWVhcj4yMDE2PC95ZWFyPjwvZGF0ZXM+PGlzYm4+OTc4LTMtMzE5LTI3MDA2LTc7IDk3OC0zLTMx
OS0yNzAwNS0wPC9pc2JuPjxhY2Nlc3Npb24tbnVtPldPUzowMDAzODY2OTUzMDAwMTA8L2FjY2Vz
c2lvbi1udW0+PHVybHM+PHJlbGF0ZWQtdXJscz48dXJsPiZsdDtHbyB0byBJU0kmZ3Q7Oi8vV09T
OjAwMDM4NjY5NTMwMDAxMDwvdXJsPjwvcmVsYXRlZC11cmxzPjwvdXJscz48ZWxlY3Ryb25pYy1y
ZXNvdXJjZS1udW0+MTAuMTAwNy85NzgtMy0zMTktMjcwMDYtN185PC9lbGVjdHJvbmljLXJlc291
cmNlLW51bT48L3JlY29yZD48L0NpdGU+PENpdGU+PEF1dGhvcj5MdWJlY2s8L0F1dGhvcj48WWVh
cj4yMDE5PC9ZZWFyPjxSZWNOdW0+NDkwMTE8L1JlY051bT48cmVjb3JkPjxyZWMtbnVtYmVyPjQ5
MDExPC9yZWMtbnVtYmVyPjxmb3JlaWduLWtleXM+PGtleSBhcHA9IkVOIiBkYi1pZD0iYXd4OXJh
ZGRyMHh4MmhldjA1cnhyMHowNXdlZXB3cHQwZmV4IiB0aW1lc3RhbXA9IjE1ODE0OTczMjAiPjQ5
MDExPC9rZXk+PC9mb3JlaWduLWtleXM+PHJlZi10eXBlIG5hbWU9IkpvdXJuYWwgQXJ0aWNsZSI+
MTc8L3JlZi10eXBlPjxjb250cmlidXRvcnM+PGF1dGhvcnM+PGF1dGhvcj5MdWJlY2ssIEFsaWNl
IEEuPC9hdXRob3I+PGF1dGhvcj5NZXRjYWxmLCBBbGV4YW5kZXIgTC48L2F1dGhvcj48YXV0aG9y
PkJlY2ttYW4sIENyeXN0YWwgTC48L2F1dGhvcj48YXV0aG9yPll1bmcsIExhdXJpZTwvYXV0aG9y
PjxhdXRob3I+QW5nbGUsIEp1c3RpbiBXLjwvYXV0aG9yPjwvYXV0aG9ycz48L2NvbnRyaWJ1dG9y
cz48dGl0bGVzPjx0aXRsZT5Db2xsZWN0aXZlIGZhY3RvcnMgZHJpdmUgaW5kaXZpZHVhbCBpbnZh
c2l2ZSBzcGVjaWVzIGNvbnRyb2wgYmVoYXZpb3JzOiBldmlkZW5jZSBmcm9tIHByaXZhdGUgbGFu
ZHMgaW4gTW9udGFuYSwgVVNBPC90aXRsZT48c2Vjb25kYXJ5LXRpdGxlPkVjb2xvZ3kgYW5kIFNv
Y2lldHk8L3NlY29uZGFyeS10aXRsZT48L3RpdGxlcz48cGVyaW9kaWNhbD48ZnVsbC10aXRsZT5F
Y29sb2d5IGFuZCBTb2NpZXR5PC9mdWxsLXRpdGxlPjxhYmJyLTE+RWNvbC4gU29jLjwvYWJici0x
PjxhYmJyLTI+RWNvbCBTb2M8L2FiYnItMj48L3BlcmlvZGljYWw+PHZvbHVtZT4yNDwvdm9sdW1l
PjxudW1iZXI+MjwvbnVtYmVyPjxkYXRlcz48eWVhcj4yMDE5PC95ZWFyPjxwdWItZGF0ZXM+PGRh
dGU+SnVsPC9kYXRlPjwvcHViLWRhdGVzPjwvZGF0ZXM+PGlzYm4+MTcwOC0zMDg3PC9pc2JuPjxh
Y2Nlc3Npb24tbnVtPldPUzowMDA0ODI3MTI0MDAwMjI8L2FjY2Vzc2lvbi1udW0+PHVybHM+PHJl
bGF0ZWQtdXJscz48dXJsPiZsdDtHbyB0byBJU0kmZ3Q7Oi8vV09TOjAwMDQ4MjcxMjQwMDAyMjwv
dXJsPjwvcmVsYXRlZC11cmxzPjwvdXJscz48Y3VzdG9tNz4zMjwvY3VzdG9tNz48ZWxlY3Ryb25p
Yy1yZXNvdXJjZS1udW0+MTAuNTc1MS9lcy0xMDg5Ny0yNDAyMzI8L2VsZWN0cm9uaWMtcmVzb3Vy
Y2UtbnVtPjwvcmVjb3JkPjwvQ2l0ZT48Q2l0ZT48QXV0aG9yPk5vdXJhbmk8L0F1dGhvcj48WWVh
cj4yMDE5PC9ZZWFyPjxSZWNOdW0+NDkwMDQ8L1JlY051bT48cmVjb3JkPjxyZWMtbnVtYmVyPjQ5
MDA0PC9yZWMtbnVtYmVyPjxmb3JlaWduLWtleXM+PGtleSBhcHA9IkVOIiBkYi1pZD0iYXd4OXJh
ZGRyMHh4MmhldjA1cnhyMHowNXdlZXB3cHQwZmV4IiB0aW1lc3RhbXA9IjE1ODE0OTczMjAiPjQ5
MDA0PC9rZXk+PC9mb3JlaWduLWtleXM+PHJlZi10eXBlIG5hbWU9IkpvdXJuYWwgQXJ0aWNsZSI+
MTc8L3JlZi10eXBlPjxjb250cmlidXRvcnM+PGF1dGhvcnM+PGF1dGhvcj5Ob3VyYW5pLCBTYWxs
eSBXLjwvYXV0aG9yPjxhdXRob3I+RGVja2VyLCBEYW5pZWwgSi48L2F1dGhvcj48YXV0aG9yPkty
YXNueSwgTWFyaWFubmUgRS48L2F1dGhvcj48L2F1dGhvcnM+PC9jb250cmlidXRvcnM+PHRpdGxl
cz48dGl0bGU+RXh0ZW5zaW9uIGFzIGEgTXVsdGlsZXZlbCBCcmlkZ2luZyBPcmdhbml6YXRpb246
IFN1cHBvcnRpbmcgTmV0d29ya2VkIEVudmlyb25tZW50YWwgR292ZXJuYW5jZTwvdGl0bGU+PHNl
Y29uZGFyeS10aXRsZT5Kb3VybmFsIG9mIEV4dGVuc2lvbjwvc2Vjb25kYXJ5LXRpdGxlPjwvdGl0
bGVzPjxwZXJpb2RpY2FsPjxmdWxsLXRpdGxlPkpvdXJuYWwgb2YgRXh0ZW5zaW9uPC9mdWxsLXRp
dGxlPjwvcGVyaW9kaWNhbD48dm9sdW1lPjU3PC92b2x1bWU+PG51bWJlcj41PC9udW1iZXI+PGRh
dGVzPjx5ZWFyPjIwMTk8L3llYXI+PHB1Yi1kYXRlcz48ZGF0ZT5PY3Q8L2RhdGU+PC9wdWItZGF0
ZXM+PC9kYXRlcz48aXNibj4wMDIyLTAxNDA8L2lzYm4+PGFjY2Vzc2lvbi1udW0+V09TOjAwMDQ5
MDc2NTgwMDAwMjwvYWNjZXNzaW9uLW51bT48dXJscz48cmVsYXRlZC11cmxzPjx1cmw+Jmx0O0dv
IHRvIElTSSZndDs6Ly9XT1M6MDAwNDkwNzY1ODAwMDAyPC91cmw+PC9yZWxhdGVkLXVybHM+PC91
cmxzPjxjdXN0b203PjVmZWEyPC9jdXN0b203PjwvcmVjb3JkPjwvQ2l0ZT48Q2l0ZT48QXV0aG9y
PkNvb25leTwvQXV0aG9yPjxZZWFyPjIwMDc8L1llYXI+PFJlY051bT40OTE4NDwvUmVjTnVtPjxy
ZWNvcmQ+PHJlYy1udW1iZXI+NDkxODQ8L3JlYy1udW1iZXI+PGZvcmVpZ24ta2V5cz48a2V5IGFw
cD0iRU4iIGRiLWlkPSJhd3g5cmFkZHIweHgyaGV2MDVyeHIwejA1d2VlcHdwdDBmZXgiIHRpbWVz
dGFtcD0iMTU4MTQ5NzMyMCI+NDkxODQ8L2tleT48L2ZvcmVpZ24ta2V5cz48cmVmLXR5cGUgbmFt
ZT0iSm91cm5hbCBBcnRpY2xlIj4xNzwvcmVmLXR5cGU+PGNvbnRyaWJ1dG9ycz48YXV0aG9ycz48
YXV0aG9yPkNvb25leSwgUm9zaWU8L2F1dGhvcj48YXV0aG9yPkxhbmcsIEFuZHJldyBULiBGLjwv
YXV0aG9yPjwvYXV0aG9ycz48L2NvbnRyaWJ1dG9ycz48dGl0bGVzPjx0aXRsZT5UYWtpbmcgdW5j
ZXJ0YWludHkgc2VyaW91c2x5OiBBZGFwdGl2ZSBnb3Zlcm5hbmNlIGFuZCBpbnRlcm5hdGlvbmFs
IHRyYWRlPC90aXRsZT48c2Vjb25kYXJ5LXRpdGxlPkV1cm9wZWFuIEpvdXJuYWwgb2YgSW50ZXJu
YXRpb25hbCBMYXc8L3NlY29uZGFyeS10aXRsZT48L3RpdGxlcz48cGVyaW9kaWNhbD48ZnVsbC10
aXRsZT5FdXJvcGVhbiBqb3VybmFsIG9mIGludGVybmF0aW9uYWwgbGF3PC9mdWxsLXRpdGxlPjxh
YmJyLTE+RXVyLiBKLiBJbnQuIExhdzwvYWJici0xPjxhYmJyLTI+RXVyIEogSW50IExhdzwvYWJi
ci0yPjwvcGVyaW9kaWNhbD48cGFnZXM+NTIzLTU1MTwvcGFnZXM+PHZvbHVtZT4xODwvdm9sdW1l
PjxudW1iZXI+MzwvbnVtYmVyPjxkYXRlcz48eWVhcj4yMDA3PC95ZWFyPjxwdWItZGF0ZXM+PGRh
dGU+SnVuPC9kYXRlPjwvcHViLWRhdGVzPjwvZGF0ZXM+PGlzYm4+MDkzOC01NDI4PC9pc2JuPjxh
Y2Nlc3Npb24tbnVtPldPUzowMDAyNTExNjY4MDAwMDY8L2FjY2Vzc2lvbi1udW0+PHVybHM+PHJl
bGF0ZWQtdXJscz48dXJsPiZsdDtHbyB0byBJU0kmZ3Q7Oi8vV09TOjAwMDI1MTE2NjgwMDAwNjwv
dXJsPjwvcmVsYXRlZC11cmxzPjwvdXJscz48ZWxlY3Ryb25pYy1yZXNvdXJjZS1udW0+MTAuMTA5
My9lamlsL2NobTAzMDwvZWxlY3Ryb25pYy1yZXNvdXJjZS1udW0+PC9yZWNvcmQ+PC9DaXRlPjxD
aXRlPjxBdXRob3I+Q29vazwvQXV0aG9yPjxZZWFyPjIwMTQ8L1llYXI+PFJlY051bT40OTEzMDwv
UmVjTnVtPjxyZWNvcmQ+PHJlYy1udW1iZXI+NDkxMzA8L3JlYy1udW1iZXI+PGZvcmVpZ24ta2V5
cz48a2V5IGFwcD0iRU4iIGRiLWlkPSJhd3g5cmFkZHIweHgyaGV2MDVyeHIwejA1d2VlcHdwdDBm
ZXgiIHRpbWVzdGFtcD0iMTU4MTQ5NzMyMCI+NDkxMzA8L2tleT48L2ZvcmVpZ24ta2V5cz48cmVm
LXR5cGUgbmFtZT0iSm91cm5hbCBBcnRpY2xlIj4xNzwvcmVmLXR5cGU+PGNvbnRyaWJ1dG9ycz48
YXV0aG9ycz48YXV0aG9yPkNvb2ssIERhdmlkIEMuPC9hdXRob3I+PGF1dGhvcj5LcmlzdGVuc2Vu
LCBOYWRpYWggUC48L2F1dGhvcj48YXV0aG9yPkxpdSwgU2h1YW5nPC9hdXRob3I+PGF1dGhvcj5Q
YWluaSwgRGVhbiBSLjwvYXV0aG9yPjxhdXRob3I+S2VyciwgUGV0ZXIgSi48L2F1dGhvcj48YXV0
aG9yPlNoZXBwYXJkLCBBbmR5IFcuPC9hdXRob3I+PGF1dGhvcj5Mb25zZGFsZSwgVy4gTWFyazwv
YXV0aG9yPjxhdXRob3I+TWNBbGxpc3RlciwgUnlhbiBSLiBKLjwvYXV0aG9yPjxhdXRob3I+RGUg
QmFycm8sIFBhdWwgSi48L2F1dGhvcj48L2F1dGhvcnM+PC9jb250cmlidXRvcnM+PHRpdGxlcz48
dGl0bGU+UGxhbnQgYmlvc2VjdXJpdHkgcG9saWN5LW1ha2luZyBtb2RlbGxlZCBvbiB0aGUgaHVt
YW4gaW1tdW5lIHN5c3RlbTogV2hhdCB3b3VsZCBpdCBsb29rIGxpa2U/PC90aXRsZT48c2Vjb25k
YXJ5LXRpdGxlPkVudmlyb25tZW50YWwgU2NpZW5jZSAmYW1wOyBQb2xpY3k8L3NlY29uZGFyeS10
aXRsZT48L3RpdGxlcz48cGVyaW9kaWNhbD48ZnVsbC10aXRsZT5FbnZpcm9ubWVudGFsIFNjaWVu
Y2UgJmFtcDsgUG9saWN5PC9mdWxsLXRpdGxlPjwvcGVyaW9kaWNhbD48cGFnZXM+MS0xMDwvcGFn
ZXM+PHZvbHVtZT40MTwvdm9sdW1lPjxkYXRlcz48eWVhcj4yMDE0PC95ZWFyPjxwdWItZGF0ZXM+
PGRhdGU+QXVnPC9kYXRlPjwvcHViLWRhdGVzPjwvZGF0ZXM+PGlzYm4+MTQ2Mi05MDExPC9pc2Ju
PjxhY2Nlc3Npb24tbnVtPldPUzowMDAzMzg4MjYxMDAwMDE8L2FjY2Vzc2lvbi1udW0+PHVybHM+
PHJlbGF0ZWQtdXJscz48dXJsPiZsdDtHbyB0byBJU0kmZ3Q7Oi8vV09TOjAwMDMzODgyNjEwMDAw
MTwvdXJsPjwvcmVsYXRlZC11cmxzPjwvdXJscz48ZWxlY3Ryb25pYy1yZXNvdXJjZS1udW0+MTAu
MTAxNi9qLmVudnNjaS4yMDE0LjA0LjAwNzwvZWxlY3Ryb25pYy1yZXNvdXJjZS1udW0+PC9yZWNv
cmQ+PC9DaXRlPjwvRW5kTm90ZT5=
</w:fldData>
              </w:fldChar>
            </w:r>
            <w:r w:rsidRPr="00A9434B">
              <w:rPr>
                <w:rFonts w:eastAsia="Batang"/>
              </w:rPr>
              <w:instrText xml:space="preserve"> ADDIN EN.CITE </w:instrText>
            </w:r>
            <w:r w:rsidRPr="00A9434B">
              <w:rPr>
                <w:rFonts w:eastAsia="Batang"/>
              </w:rPr>
              <w:fldChar w:fldCharType="begin">
                <w:fldData xml:space="preserve">PEVuZE5vdGU+PENpdGU+PEF1dGhvcj5Nb29uPC9BdXRob3I+PFllYXI+MjAxNTwvWWVhcj48UmVj
TnVtPjQ5MTE0PC9SZWNOdW0+PERpc3BsYXlUZXh0PihDb29uZXkgYW5kIExhbmcgMjAwNywgQ29v
aywgS3Jpc3RlbnNlbiBldCBhbC4gMjAxNCwgTW9vbiwgQmxhY2ttYW4gZXQgYWwuIDIwMTUsIEpv
bnNzb24sIEJvc3Ryb20gZXQgYWwuIDIwMTYsIFZhbk5pam5hdHRlbiAyMDE2LCBMdWJlY2ssIE1l
dGNhbGYgZXQgYWwuIDIwMTksIE5vdXJhbmksIERlY2tlciBldCBhbC4gMjAxOSk8L0Rpc3BsYXlU
ZXh0PjxyZWNvcmQ+PHJlYy1udW1iZXI+NDkxMTQ8L3JlYy1udW1iZXI+PGZvcmVpZ24ta2V5cz48
a2V5IGFwcD0iRU4iIGRiLWlkPSJhd3g5cmFkZHIweHgyaGV2MDVyeHIwejA1d2VlcHdwdDBmZXgi
IHRpbWVzdGFtcD0iMTU4MTQ5NzMyMCI+NDkxMTQ8L2tleT48L2ZvcmVpZ24ta2V5cz48cmVmLXR5
cGUgbmFtZT0iSm91cm5hbCBBcnRpY2xlIj4xNzwvcmVmLXR5cGU+PGNvbnRyaWJ1dG9ycz48YXV0
aG9ycz48YXV0aG9yPk1vb24sIEthdGllPC9hdXRob3I+PGF1dGhvcj5CbGFja21hbiwgRGVib3Jh
aCBBLjwvYXV0aG9yPjxhdXRob3I+QnJld2VyLCBUb20gRC48L2F1dGhvcj48L2F1dGhvcnM+PC9j
b250cmlidXRvcnM+PHRpdGxlcz48dGl0bGU+VW5kZXJzdGFuZGluZyBhbmQgaW50ZWdyYXRpbmcg
a25vd2xlZGdlIHRvIGltcHJvdmUgaW52YXNpdmUgc3BlY2llcyBtYW5hZ2VtZW50PC90aXRsZT48
c2Vjb25kYXJ5LXRpdGxlPkJpb2xvZ2ljYWwgSW52YXNpb25zPC9zZWNvbmRhcnktdGl0bGU+PC90
aXRsZXM+PHBlcmlvZGljYWw+PGZ1bGwtdGl0bGU+QmlvbG9naWNhbCBJbnZhc2lvbnM8L2Z1bGwt
dGl0bGU+PGFiYnItMT5CaW9sLiBJbnZhc2lvbnM8L2FiYnItMT48YWJici0yPkJpb2wgSW52YXNp
b25zPC9hYmJyLTI+PC9wZXJpb2RpY2FsPjxwYWdlcz4yNjc1LTI2ODk8L3BhZ2VzPjx2b2x1bWU+
MTc8L3ZvbHVtZT48bnVtYmVyPjk8L251bWJlcj48ZGF0ZXM+PHllYXI+MjAxNTwveWVhcj48cHVi
LWRhdGVzPjxkYXRlPlNlcDwvZGF0ZT48L3B1Yi1kYXRlcz48L2RhdGVzPjxpc2JuPjEzODctMzU0
NzwvaXNibj48YWNjZXNzaW9uLW51bT5XT1M6MDAwMzU5NDI3NDAwMDE0PC9hY2Nlc3Npb24tbnVt
Pjx1cmxzPjxyZWxhdGVkLXVybHM+PHVybD4mbHQ7R28gdG8gSVNJJmd0OzovL1dPUzowMDAzNTk0
Mjc0MDAwMTQ8L3VybD48L3JlbGF0ZWQtdXJscz48L3VybHM+PGVsZWN0cm9uaWMtcmVzb3VyY2Ut
bnVtPjEwLjEwMDcvczEwNTMwLTAxNS0wOTA0LTU8L2VsZWN0cm9uaWMtcmVzb3VyY2UtbnVtPjwv
cmVjb3JkPjwvQ2l0ZT48Q2l0ZT48QXV0aG9yPlZhbk5pam5hdHRlbjwvQXV0aG9yPjxZZWFyPjIw
MTY8L1llYXI+PFJlY051bT40OTEwNTwvUmVjTnVtPjxyZWNvcmQ+PHJlYy1udW1iZXI+NDkxMDU8
L3JlYy1udW1iZXI+PGZvcmVpZ24ta2V5cz48a2V5IGFwcD0iRU4iIGRiLWlkPSJhd3g5cmFkZHIw
eHgyaGV2MDVyeHIwejA1d2VlcHdwdDBmZXgiIHRpbWVzdGFtcD0iMTU4MTQ5NzMyMCI+NDkxMDU8
L2tleT48L2ZvcmVpZ24ta2V5cz48cmVmLXR5cGUgbmFtZT0iSm91cm5hbCBBcnRpY2xlIj4xNzwv
cmVmLXR5cGU+PGNvbnRyaWJ1dG9ycz48YXV0aG9ycz48YXV0aG9yPlZhbk5pam5hdHRlbiwgRGVi
b3JhIEwuPC9hdXRob3I+PC9hdXRob3JzPjwvY29udHJpYnV0b3JzPjx0aXRsZXM+PHRpdGxlPlRo
ZSBBcXVhdGljIEludmFzaW9uOiBBc3NlbWJsaW5nIFRyYW5zYm91bmRhcnkgR292ZXJuYW5jZSBD
YXBhY2l0eSBmb3IgUHJldmVudGlvbiBhbmQgRGV0ZWN0aW9uPC90aXRsZT48c2Vjb25kYXJ5LXRp
dGxlPkludGVybmF0aW9uYWwgSm91cm5hbCBvZiBXYXRlciBHb3Zlcm5hbmNlPC9zZWNvbmRhcnkt
dGl0bGU+PC90aXRsZXM+PHBlcmlvZGljYWw+PGZ1bGwtdGl0bGU+SW50ZXJuYXRpb25hbCBKb3Vy
bmFsIG9mIFdhdGVyIEdvdmVybmFuY2U8L2Z1bGwtdGl0bGU+PC9wZXJpb2RpY2FsPjx2b2x1bWU+
NDwvdm9sdW1lPjxkYXRlcz48eWVhcj4yMDE2PC95ZWFyPjxwdWItZGF0ZXM+PGRhdGU+MjAxNjwv
ZGF0ZT48L3B1Yi1kYXRlcz48L2RhdGVzPjxpc2JuPjIyMTEtNDQ5MTwvaXNibj48YWNjZXNzaW9u
LW51bT5XT1M6MDAwNDcyMTQxMjAwMDA3PC9hY2Nlc3Npb24tbnVtPjx1cmxzPjxyZWxhdGVkLXVy
bHM+PHVybD4mbHQ7R28gdG8gSVNJJmd0OzovL1dPUzowMDA0NzIxNDEyMDAwMDc8L3VybD48L3Jl
bGF0ZWQtdXJscz48L3VybHM+PGN1c3RvbTc+VW5zcCA2PC9jdXN0b203PjxlbGVjdHJvbmljLXJl
c291cmNlLW51bT4xMC43NTY0LzE1LWlqd2c4NDwvZWxlY3Ryb25pYy1yZXNvdXJjZS1udW0+PC9y
ZWNvcmQ+PC9DaXRlPjxDaXRlPjxBdXRob3I+Sm9uc3NvbjwvQXV0aG9yPjxZZWFyPjIwMTY8L1ll
YXI+PFJlY051bT40OTA5OTwvUmVjTnVtPjxyZWNvcmQ+PHJlYy1udW1iZXI+NDkwOTk8L3JlYy1u
dW1iZXI+PGZvcmVpZ24ta2V5cz48a2V5IGFwcD0iRU4iIGRiLWlkPSJhd3g5cmFkZHIweHgyaGV2
MDVyeHIwejA1d2VlcHdwdDBmZXgiIHRpbWVzdGFtcD0iMTU4MTQ5NzMyMCI+NDkwOTk8L2tleT48
L2ZvcmVpZ24ta2V5cz48cmVmLXR5cGUgbmFtZT0iQm9vayBTZWN0aW9uIj41PC9yZWYtdHlwZT48
Y29udHJpYnV0b3JzPjxhdXRob3JzPjxhdXRob3I+Sm9uc3NvbiwgQW5uYSBNYXJpYTwvYXV0aG9y
PjxhdXRob3I+Qm9zdHJvbSwgTWFnbnVzPC9hdXRob3I+PGF1dGhvcj5EcmV5ZXIsIE1hcmlvbjwv
YXV0aG9yPjxhdXRob3I+U29kZXJzdHJvbSwgU2FyYTwvYXV0aG9yPjwvYXV0aG9ycz48c2Vjb25k
YXJ5LWF1dGhvcnM+PGF1dGhvcj5HaWxlaywgTS48L2F1dGhvcj48YXV0aG9yPkthcmxzc29uLCBN
LjwvYXV0aG9yPjxhdXRob3I+TGlua2UsIFMuPC9hdXRob3I+PGF1dGhvcj5TbW9sYXJ6LCBLLjwv
YXV0aG9yPjwvc2Vjb25kYXJ5LWF1dGhvcnM+PC9jb250cmlidXRvcnM+PHRpdGxlcz48dGl0bGU+
UmlzayBDb21tdW5pY2F0aW9uIGFuZCB0aGUgUm9sZSBvZiB0aGUgUHVibGljOiBUb3dhcmRzIElu
Y2x1c2l2ZSBFbnZpcm9ubWVudGFsIEdvdmVybmFuY2Ugb2YgdGhlIEJhbHRpYyBTZWE/PC90aXRs
ZT48c2Vjb25kYXJ5LXRpdGxlPkVudmlyb25tZW50YWwgR292ZXJuYW5jZSBvZiB0aGUgQmFsdGlj
IFNlYTwvc2Vjb25kYXJ5LXRpdGxlPjx0ZXJ0aWFyeS10aXRsZT5NQVJFIFB1YmxpY2F0aW9uIFNl
cmllczwvdGVydGlhcnktdGl0bGU+PC90aXRsZXM+PHBlcmlvZGljYWw+PGZ1bGwtdGl0bGU+RW52
aXJvbm1lbnRhbCBnb3Zlcm5hbmNlIG9mIHRoZSBCYWx0aWMgU2VhPC9mdWxsLXRpdGxlPjwvcGVy
aW9kaWNhbD48cGFnZXM+MjA1LTIyNzwvcGFnZXM+PHZvbHVtZT4xMDwvdm9sdW1lPjxkYXRlcz48
eWVhcj4yMDE2PC95ZWFyPjwvZGF0ZXM+PGlzYm4+OTc4LTMtMzE5LTI3MDA2LTc7IDk3OC0zLTMx
OS0yNzAwNS0wPC9pc2JuPjxhY2Nlc3Npb24tbnVtPldPUzowMDAzODY2OTUzMDAwMTA8L2FjY2Vz
c2lvbi1udW0+PHVybHM+PHJlbGF0ZWQtdXJscz48dXJsPiZsdDtHbyB0byBJU0kmZ3Q7Oi8vV09T
OjAwMDM4NjY5NTMwMDAxMDwvdXJsPjwvcmVsYXRlZC11cmxzPjwvdXJscz48ZWxlY3Ryb25pYy1y
ZXNvdXJjZS1udW0+MTAuMTAwNy85NzgtMy0zMTktMjcwMDYtN185PC9lbGVjdHJvbmljLXJlc291
cmNlLW51bT48L3JlY29yZD48L0NpdGU+PENpdGU+PEF1dGhvcj5MdWJlY2s8L0F1dGhvcj48WWVh
cj4yMDE5PC9ZZWFyPjxSZWNOdW0+NDkwMTE8L1JlY051bT48cmVjb3JkPjxyZWMtbnVtYmVyPjQ5
MDExPC9yZWMtbnVtYmVyPjxmb3JlaWduLWtleXM+PGtleSBhcHA9IkVOIiBkYi1pZD0iYXd4OXJh
ZGRyMHh4MmhldjA1cnhyMHowNXdlZXB3cHQwZmV4IiB0aW1lc3RhbXA9IjE1ODE0OTczMjAiPjQ5
MDExPC9rZXk+PC9mb3JlaWduLWtleXM+PHJlZi10eXBlIG5hbWU9IkpvdXJuYWwgQXJ0aWNsZSI+
MTc8L3JlZi10eXBlPjxjb250cmlidXRvcnM+PGF1dGhvcnM+PGF1dGhvcj5MdWJlY2ssIEFsaWNl
IEEuPC9hdXRob3I+PGF1dGhvcj5NZXRjYWxmLCBBbGV4YW5kZXIgTC48L2F1dGhvcj48YXV0aG9y
PkJlY2ttYW4sIENyeXN0YWwgTC48L2F1dGhvcj48YXV0aG9yPll1bmcsIExhdXJpZTwvYXV0aG9y
PjxhdXRob3I+QW5nbGUsIEp1c3RpbiBXLjwvYXV0aG9yPjwvYXV0aG9ycz48L2NvbnRyaWJ1dG9y
cz48dGl0bGVzPjx0aXRsZT5Db2xsZWN0aXZlIGZhY3RvcnMgZHJpdmUgaW5kaXZpZHVhbCBpbnZh
c2l2ZSBzcGVjaWVzIGNvbnRyb2wgYmVoYXZpb3JzOiBldmlkZW5jZSBmcm9tIHByaXZhdGUgbGFu
ZHMgaW4gTW9udGFuYSwgVVNBPC90aXRsZT48c2Vjb25kYXJ5LXRpdGxlPkVjb2xvZ3kgYW5kIFNv
Y2lldHk8L3NlY29uZGFyeS10aXRsZT48L3RpdGxlcz48cGVyaW9kaWNhbD48ZnVsbC10aXRsZT5F
Y29sb2d5IGFuZCBTb2NpZXR5PC9mdWxsLXRpdGxlPjxhYmJyLTE+RWNvbC4gU29jLjwvYWJici0x
PjxhYmJyLTI+RWNvbCBTb2M8L2FiYnItMj48L3BlcmlvZGljYWw+PHZvbHVtZT4yNDwvdm9sdW1l
PjxudW1iZXI+MjwvbnVtYmVyPjxkYXRlcz48eWVhcj4yMDE5PC95ZWFyPjxwdWItZGF0ZXM+PGRh
dGU+SnVsPC9kYXRlPjwvcHViLWRhdGVzPjwvZGF0ZXM+PGlzYm4+MTcwOC0zMDg3PC9pc2JuPjxh
Y2Nlc3Npb24tbnVtPldPUzowMDA0ODI3MTI0MDAwMjI8L2FjY2Vzc2lvbi1udW0+PHVybHM+PHJl
bGF0ZWQtdXJscz48dXJsPiZsdDtHbyB0byBJU0kmZ3Q7Oi8vV09TOjAwMDQ4MjcxMjQwMDAyMjwv
dXJsPjwvcmVsYXRlZC11cmxzPjwvdXJscz48Y3VzdG9tNz4zMjwvY3VzdG9tNz48ZWxlY3Ryb25p
Yy1yZXNvdXJjZS1udW0+MTAuNTc1MS9lcy0xMDg5Ny0yNDAyMzI8L2VsZWN0cm9uaWMtcmVzb3Vy
Y2UtbnVtPjwvcmVjb3JkPjwvQ2l0ZT48Q2l0ZT48QXV0aG9yPk5vdXJhbmk8L0F1dGhvcj48WWVh
cj4yMDE5PC9ZZWFyPjxSZWNOdW0+NDkwMDQ8L1JlY051bT48cmVjb3JkPjxyZWMtbnVtYmVyPjQ5
MDA0PC9yZWMtbnVtYmVyPjxmb3JlaWduLWtleXM+PGtleSBhcHA9IkVOIiBkYi1pZD0iYXd4OXJh
ZGRyMHh4MmhldjA1cnhyMHowNXdlZXB3cHQwZmV4IiB0aW1lc3RhbXA9IjE1ODE0OTczMjAiPjQ5
MDA0PC9rZXk+PC9mb3JlaWduLWtleXM+PHJlZi10eXBlIG5hbWU9IkpvdXJuYWwgQXJ0aWNsZSI+
MTc8L3JlZi10eXBlPjxjb250cmlidXRvcnM+PGF1dGhvcnM+PGF1dGhvcj5Ob3VyYW5pLCBTYWxs
eSBXLjwvYXV0aG9yPjxhdXRob3I+RGVja2VyLCBEYW5pZWwgSi48L2F1dGhvcj48YXV0aG9yPkty
YXNueSwgTWFyaWFubmUgRS48L2F1dGhvcj48L2F1dGhvcnM+PC9jb250cmlidXRvcnM+PHRpdGxl
cz48dGl0bGU+RXh0ZW5zaW9uIGFzIGEgTXVsdGlsZXZlbCBCcmlkZ2luZyBPcmdhbml6YXRpb246
IFN1cHBvcnRpbmcgTmV0d29ya2VkIEVudmlyb25tZW50YWwgR292ZXJuYW5jZTwvdGl0bGU+PHNl
Y29uZGFyeS10aXRsZT5Kb3VybmFsIG9mIEV4dGVuc2lvbjwvc2Vjb25kYXJ5LXRpdGxlPjwvdGl0
bGVzPjxwZXJpb2RpY2FsPjxmdWxsLXRpdGxlPkpvdXJuYWwgb2YgRXh0ZW5zaW9uPC9mdWxsLXRp
dGxlPjwvcGVyaW9kaWNhbD48dm9sdW1lPjU3PC92b2x1bWU+PG51bWJlcj41PC9udW1iZXI+PGRh
dGVzPjx5ZWFyPjIwMTk8L3llYXI+PHB1Yi1kYXRlcz48ZGF0ZT5PY3Q8L2RhdGU+PC9wdWItZGF0
ZXM+PC9kYXRlcz48aXNibj4wMDIyLTAxNDA8L2lzYm4+PGFjY2Vzc2lvbi1udW0+V09TOjAwMDQ5
MDc2NTgwMDAwMjwvYWNjZXNzaW9uLW51bT48dXJscz48cmVsYXRlZC11cmxzPjx1cmw+Jmx0O0dv
IHRvIElTSSZndDs6Ly9XT1M6MDAwNDkwNzY1ODAwMDAyPC91cmw+PC9yZWxhdGVkLXVybHM+PC91
cmxzPjxjdXN0b203PjVmZWEyPC9jdXN0b203PjwvcmVjb3JkPjwvQ2l0ZT48Q2l0ZT48QXV0aG9y
PkNvb25leTwvQXV0aG9yPjxZZWFyPjIwMDc8L1llYXI+PFJlY051bT40OTE4NDwvUmVjTnVtPjxy
ZWNvcmQ+PHJlYy1udW1iZXI+NDkxODQ8L3JlYy1udW1iZXI+PGZvcmVpZ24ta2V5cz48a2V5IGFw
cD0iRU4iIGRiLWlkPSJhd3g5cmFkZHIweHgyaGV2MDVyeHIwejA1d2VlcHdwdDBmZXgiIHRpbWVz
dGFtcD0iMTU4MTQ5NzMyMCI+NDkxODQ8L2tleT48L2ZvcmVpZ24ta2V5cz48cmVmLXR5cGUgbmFt
ZT0iSm91cm5hbCBBcnRpY2xlIj4xNzwvcmVmLXR5cGU+PGNvbnRyaWJ1dG9ycz48YXV0aG9ycz48
YXV0aG9yPkNvb25leSwgUm9zaWU8L2F1dGhvcj48YXV0aG9yPkxhbmcsIEFuZHJldyBULiBGLjwv
YXV0aG9yPjwvYXV0aG9ycz48L2NvbnRyaWJ1dG9ycz48dGl0bGVzPjx0aXRsZT5UYWtpbmcgdW5j
ZXJ0YWludHkgc2VyaW91c2x5OiBBZGFwdGl2ZSBnb3Zlcm5hbmNlIGFuZCBpbnRlcm5hdGlvbmFs
IHRyYWRlPC90aXRsZT48c2Vjb25kYXJ5LXRpdGxlPkV1cm9wZWFuIEpvdXJuYWwgb2YgSW50ZXJu
YXRpb25hbCBMYXc8L3NlY29uZGFyeS10aXRsZT48L3RpdGxlcz48cGVyaW9kaWNhbD48ZnVsbC10
aXRsZT5FdXJvcGVhbiBqb3VybmFsIG9mIGludGVybmF0aW9uYWwgbGF3PC9mdWxsLXRpdGxlPjxh
YmJyLTE+RXVyLiBKLiBJbnQuIExhdzwvYWJici0xPjxhYmJyLTI+RXVyIEogSW50IExhdzwvYWJi
ci0yPjwvcGVyaW9kaWNhbD48cGFnZXM+NTIzLTU1MTwvcGFnZXM+PHZvbHVtZT4xODwvdm9sdW1l
PjxudW1iZXI+MzwvbnVtYmVyPjxkYXRlcz48eWVhcj4yMDA3PC95ZWFyPjxwdWItZGF0ZXM+PGRh
dGU+SnVuPC9kYXRlPjwvcHViLWRhdGVzPjwvZGF0ZXM+PGlzYm4+MDkzOC01NDI4PC9pc2JuPjxh
Y2Nlc3Npb24tbnVtPldPUzowMDAyNTExNjY4MDAwMDY8L2FjY2Vzc2lvbi1udW0+PHVybHM+PHJl
bGF0ZWQtdXJscz48dXJsPiZsdDtHbyB0byBJU0kmZ3Q7Oi8vV09TOjAwMDI1MTE2NjgwMDAwNjwv
dXJsPjwvcmVsYXRlZC11cmxzPjwvdXJscz48ZWxlY3Ryb25pYy1yZXNvdXJjZS1udW0+MTAuMTA5
My9lamlsL2NobTAzMDwvZWxlY3Ryb25pYy1yZXNvdXJjZS1udW0+PC9yZWNvcmQ+PC9DaXRlPjxD
aXRlPjxBdXRob3I+Q29vazwvQXV0aG9yPjxZZWFyPjIwMTQ8L1llYXI+PFJlY051bT40OTEzMDwv
UmVjTnVtPjxyZWNvcmQ+PHJlYy1udW1iZXI+NDkxMzA8L3JlYy1udW1iZXI+PGZvcmVpZ24ta2V5
cz48a2V5IGFwcD0iRU4iIGRiLWlkPSJhd3g5cmFkZHIweHgyaGV2MDVyeHIwejA1d2VlcHdwdDBm
ZXgiIHRpbWVzdGFtcD0iMTU4MTQ5NzMyMCI+NDkxMzA8L2tleT48L2ZvcmVpZ24ta2V5cz48cmVm
LXR5cGUgbmFtZT0iSm91cm5hbCBBcnRpY2xlIj4xNzwvcmVmLXR5cGU+PGNvbnRyaWJ1dG9ycz48
YXV0aG9ycz48YXV0aG9yPkNvb2ssIERhdmlkIEMuPC9hdXRob3I+PGF1dGhvcj5LcmlzdGVuc2Vu
LCBOYWRpYWggUC48L2F1dGhvcj48YXV0aG9yPkxpdSwgU2h1YW5nPC9hdXRob3I+PGF1dGhvcj5Q
YWluaSwgRGVhbiBSLjwvYXV0aG9yPjxhdXRob3I+S2VyciwgUGV0ZXIgSi48L2F1dGhvcj48YXV0
aG9yPlNoZXBwYXJkLCBBbmR5IFcuPC9hdXRob3I+PGF1dGhvcj5Mb25zZGFsZSwgVy4gTWFyazwv
YXV0aG9yPjxhdXRob3I+TWNBbGxpc3RlciwgUnlhbiBSLiBKLjwvYXV0aG9yPjxhdXRob3I+RGUg
QmFycm8sIFBhdWwgSi48L2F1dGhvcj48L2F1dGhvcnM+PC9jb250cmlidXRvcnM+PHRpdGxlcz48
dGl0bGU+UGxhbnQgYmlvc2VjdXJpdHkgcG9saWN5LW1ha2luZyBtb2RlbGxlZCBvbiB0aGUgaHVt
YW4gaW1tdW5lIHN5c3RlbTogV2hhdCB3b3VsZCBpdCBsb29rIGxpa2U/PC90aXRsZT48c2Vjb25k
YXJ5LXRpdGxlPkVudmlyb25tZW50YWwgU2NpZW5jZSAmYW1wOyBQb2xpY3k8L3NlY29uZGFyeS10
aXRsZT48L3RpdGxlcz48cGVyaW9kaWNhbD48ZnVsbC10aXRsZT5FbnZpcm9ubWVudGFsIFNjaWVu
Y2UgJmFtcDsgUG9saWN5PC9mdWxsLXRpdGxlPjwvcGVyaW9kaWNhbD48cGFnZXM+MS0xMDwvcGFn
ZXM+PHZvbHVtZT40MTwvdm9sdW1lPjxkYXRlcz48eWVhcj4yMDE0PC95ZWFyPjxwdWItZGF0ZXM+
PGRhdGU+QXVnPC9kYXRlPjwvcHViLWRhdGVzPjwvZGF0ZXM+PGlzYm4+MTQ2Mi05MDExPC9pc2Ju
PjxhY2Nlc3Npb24tbnVtPldPUzowMDAzMzg4MjYxMDAwMDE8L2FjY2Vzc2lvbi1udW0+PHVybHM+
PHJlbGF0ZWQtdXJscz48dXJsPiZsdDtHbyB0byBJU0kmZ3Q7Oi8vV09TOjAwMDMzODgyNjEwMDAw
MTwvdXJsPjwvcmVsYXRlZC11cmxzPjwvdXJscz48ZWxlY3Ryb25pYy1yZXNvdXJjZS1udW0+MTAu
MTAxNi9qLmVudnNjaS4yMDE0LjA0LjAwNzwvZWxlY3Ryb25pYy1yZXNvdXJjZS1udW0+PC9yZWNv
cmQ+PC9DaXRlPjwvRW5kTm90ZT5=
</w:fldData>
              </w:fldChar>
            </w:r>
            <w:r w:rsidRPr="00A9434B">
              <w:rPr>
                <w:rFonts w:eastAsia="Batang"/>
              </w:rPr>
              <w:instrText xml:space="preserve"> ADDIN EN.CITE.DATA </w:instrText>
            </w:r>
            <w:r w:rsidRPr="00A9434B">
              <w:rPr>
                <w:rFonts w:eastAsia="Batang"/>
              </w:rPr>
            </w:r>
            <w:r w:rsidRPr="00A9434B">
              <w:rPr>
                <w:rFonts w:eastAsia="Batang"/>
              </w:rPr>
              <w:fldChar w:fldCharType="end"/>
            </w:r>
            <w:r w:rsidRPr="00A9434B">
              <w:rPr>
                <w:rFonts w:eastAsia="Batang"/>
              </w:rPr>
            </w:r>
            <w:r w:rsidRPr="00A9434B">
              <w:rPr>
                <w:rFonts w:eastAsia="Batang"/>
              </w:rPr>
              <w:fldChar w:fldCharType="separate"/>
            </w:r>
          </w:p>
          <w:p w14:paraId="3A53124A" w14:textId="118E2EE0" w:rsidR="00CD7FEA" w:rsidRPr="00A9434B" w:rsidRDefault="00CD7FEA" w:rsidP="00B86627">
            <w:pPr>
              <w:spacing w:before="0" w:after="0"/>
              <w:rPr>
                <w:rFonts w:eastAsia="Batang"/>
              </w:rPr>
            </w:pPr>
            <w:r w:rsidRPr="00A9434B">
              <w:rPr>
                <w:rFonts w:eastAsia="Batang"/>
              </w:rPr>
              <w:fldChar w:fldCharType="begin"/>
            </w:r>
            <w:r w:rsidR="00E279A7">
              <w:rPr>
                <w:rFonts w:eastAsia="Batang"/>
              </w:rPr>
              <w:instrText xml:space="preserve"> ADDIN ZOTERO_ITEM CSL_CITATION {"citationID":"37uk0nF5","properties":{"formattedCitation":"(D. C. Cook et al., 2014; Cooney &amp; Lang, 2007; Jonsson et al., 2016; Lubeck et al., 2019, 2019; Moon et al., 2015; Nourani et al., 2019)","plainCitation":"(D. C. Cook et al., 2014; Cooney &amp; Lang, 2007; Jonsson et al., 2016; Lubeck et al., 2019, 2019; Moon et al., 2015; Nourani et al., 2019)","dontUpdate":true,"noteIndex":0},"citationItems":[{"id":23958,"uris":["http://zotero.org/groups/2352922/items/XTK2VNGK"],"itemData":{"id":23958,"type":"article-journal","container-title":"Environmental Science &amp; Policy","DOI":"10.1016/j.envsci.2014.04.007","ISSN":"1462-9011","page":"1-10","title":"Plant biosecurity policy-making modelled on the human immune system: What would it look like?","volume":"41","author":[{"family":"Cook","given":"David C."},{"family":"Kristensen","given":"Nadiah P."},{"family":"Liu","given":"Shuang"},{"family":"Paini","given":"Dean R."},{"family":"Kerr","given":"Peter J."},{"family":"Sheppard","given":"Andy W."},{"family":"Lonsdale","given":"W. Mark"},{"family":"McAllister","given":"Ryan R. J."},{"family":"De Barro","given":"Paul J."}],"issued":{"date-parts":[["2014",8]]}},"label":"page"},{"id":23953,"uris":["http://zotero.org/groups/2352922/items/LNEIC2ZH"],"itemData":{"id":23953,"type":"article-journal","abstract":"Abstract.  The problem of uncertainty presents a major challenge for institutions of international governance. In this article we draw lessons from a variety of","container-title":"European journal of international law","DOI":"10.1093/ejil/chm030","ISSN":"0938-5428","issue":"3","journalAbbreviation":"Eur. J. Int. Law","language":"en","page":"523-551","source":"academic.oup.com","title":"Taking uncertainty seriously: Adaptive governance and international trade","title-short":"Taking Uncertainty Seriously","URL":"https://academic.oup.com/ejil/article/18/3/523/363613","volume":"18","author":[{"family":"Cooney","given":"Rosie"},{"family":"Lang","given":"Andrew T. F."}],"accessed":{"date-parts":[["2019",10,21]]},"issued":{"date-parts":[["2007",6]]}}},{"id":24204,"uris":["http://zotero.org/groups/2352922/items/79XB9BII"],"itemData":{"id":24204,"type":"chapter","collection-title":"MARE Publication Series","container-title":"Environmental Governance of the Baltic Sea","event-place":"Cham","ISBN":"978-3-319-27006-7","note":"DOI: 10.1007/978-3-319-27006-7_9","page":"205-227","publisher":"Springer","publisher-place":"Cham","title":"Risk Communication and the Role of the Public: Towards Inclusive Environmental Governance of the Baltic Sea?","volume":"10","author":[{"family":"Jonsson","given":"Anna Maria"},{"family":"Bostrom","given":"Magnus"},{"family":"Dreyer","given":"Marion"},{"family":"Soderstrom","given":"Sara"}],"editor":[{"family":"Gilek","given":"M."},{"family":"Karlsson","given":"M."},{"family":"Linke","given":"S."},{"family":"Smolarz","given":"K."}],"issued":{"date-parts":[["2016"]]}}},{"id":27175,"uris":["http://zotero.org/groups/2352922/items/HNDDJUPR"],"itemData":{"id":27175,"type":"article-journal","abstract":"Invasive terrestrial plants globally threaten agricultural and natural systems. Prolific dispersal mechanisms enable “weeds” to colonize across ownership boundaries, constituting a collective action problem where effective control requires contributions from multiple actors. Researchers have long recognized the cross-boundary nature of weed control, yet most studies have focused on whether actor-specific characteristics, such as sociodemographics and cognition, influenced individual weed control behaviors. More recent work has begun to explore the drivers of communal control efforts, i.e., cooperatives, group actions. Few studies have empirically investigated how the collective aspects of weed invasions influence individual control behaviors. Here we provide quantitative evidence of a relationship between collective aspects of the weed control problem and landowners’ willingness to engage in individual weed control efforts. In a mail-back survey of Montana landowners (n = 1327) we found collective factors, such as injunctive norms and the belief that weeds are a cross-boundary problem, were significantly correlated with willingness to engage in three different weed control behaviors. Each behavior was correlated with a unique suite of collective factors suggesting that successful interventions must be behavior-specific. These results add to a growing body of evidence that the collective nature of invasive species control is critical for understanding human behavioral responses.","container-title":"Ecology and Society","DOI":"10.5751/es-10897-240232","ISSN":"1708-3087","issue":"2","journalAbbreviation":"Ecol. Soc.","page":"32","title":"Collective factors drive individual invasive species control behaviors: evidence from private lands in Montana, USA","title-short":"Collective factors drive individual invasive species control behaviors","URL":"https://www.ecologyandsociety.org/vol24/iss2/art32/","volume":"24","author":[{"family":"Lubeck","given":"Alice A."},{"family":"Metcalf","given":"Alexander L."},{"family":"Beckman","given":"Crystal L."},{"family":"Yung","given":"Laurie"},{"family":"Angle","given":"Justin W."}],"issued":{"date-parts":[["2019",7]]}}},{"id":27175,"uris":["http://zotero.org/groups/2352922/items/HNDDJUPR"],"itemData":{"id":27175,"type":"article-journal","abstract":"Invasive terrestrial plants globally threaten agricultural and natural systems. Prolific dispersal mechanisms enable “weeds” to colonize across ownership boundaries, constituting a collective action problem where effective control requires contributions from multiple actors. Researchers have long recognized the cross-boundary nature of weed control, yet most studies have focused on whether actor-specific characteristics, such as sociodemographics and cognition, influenced individual weed control behaviors. More recent work has begun to explore the drivers of communal control efforts, i.e., cooperatives, group actions. Few studies have empirically investigated how the collective aspects of weed invasions influence individual control behaviors. Here we provide quantitative evidence of a relationship between collective aspects of the weed control problem and landowners’ willingness to engage in individual weed control efforts. In a mail-back survey of Montana landowners (n = 1327) we found collective factors, such as injunctive norms and the belief that weeds are a cross-boundary problem, were significantly correlated with willingness to engage in three different weed control behaviors. Each behavior was correlated with a unique suite of collective factors suggesting that successful interventions must be behavior-specific. These results add to a growing body of evidence that the collective nature of invasive species control is critical for understanding human behavioral responses.","container-title":"Ecology and Society","DOI":"10.5751/es-10897-240232","ISSN":"1708-3087","issue":"2","journalAbbreviation":"Ecol. Soc.","page":"32","title":"Collective factors drive individual invasive species control behaviors: evidence from private lands in Montana, USA","title-short":"Collective factors drive individual invasive species control behaviors","URL":"https://www.ecologyandsociety.org/vol24/iss2/art32/","volume":"24","author":[{"family":"Lubeck","given":"Alice A."},{"family":"Metcalf","given":"Alexander L."},{"family":"Beckman","given":"Crystal L."},{"family":"Yung","given":"Laurie"},{"family":"Angle","given":"Justin W."}],"issued":{"date-parts":[["2019",7]]}},"label":"page"},{"id":11438,"uris":["http://zotero.org/groups/2352922/items/P5EALT95"],"itemData":{"id":11438,"type":"article-journal","container-title":"Biological Invasions","DOI":"10.1007/s10530-015-0904-5","ISSN":"1387-3547, 1573-1464","issue":"9","journalAbbreviation":"Biol Invasions","language":"en","page":"2675-2689","source":"DOI.org (Crossref)","title":"Understanding and integrating knowledge to improve invasive species management","URL":"http://link.springer.com/10.1007/s10530-015-0904-5","volume":"17","author":[{"family":"Moon","given":"Katie"},{"family":"Blackman","given":"Deborah A."},{"family":"Brewer","given":"Tom D."}],"accessed":{"date-parts":[["2019",9,11]]},"issued":{"date-parts":[["2015",9]]}}},{"id":23792,"uris":["http://zotero.org/groups/2352922/items/7MKNKPM5"],"itemData":{"id":23792,"type":"article-journal","container-title":"Journal of Extension","ISSN":"0022-0140","issue":"5","title":"Extension as a Multilevel Bridging Organization: Supporting Networked Environmental Governance","URL":"https://archives.joe.org/joe/2019october/a2.php","volume":"57","author":[{"family":"Nourani","given":"Sally W."},{"family":"Decker","given":"Daniel J."},{"family":"Krasny","given":"Marianne E."}],"issued":{"date-parts":[["2019",10]]}}}],"schema":"https://github.com/citation-style-language/schema/raw/master/csl-citation.json"} </w:instrText>
            </w:r>
            <w:r w:rsidRPr="00A9434B">
              <w:rPr>
                <w:rFonts w:eastAsia="Batang"/>
              </w:rPr>
              <w:fldChar w:fldCharType="separate"/>
            </w:r>
            <w:r w:rsidR="00F71CC6" w:rsidRPr="00F71CC6">
              <w:t>D. C. Cook et al., 2014; Cooney &amp; Lang, 2007; Jonsson et al., 2016; Lubeck et al., 2019, 2019; Moon et al., 2015; Nourani et al., 2019</w:t>
            </w:r>
            <w:r w:rsidRPr="00A9434B">
              <w:rPr>
                <w:rFonts w:eastAsia="Batang"/>
              </w:rPr>
              <w:fldChar w:fldCharType="end"/>
            </w:r>
          </w:p>
          <w:p w14:paraId="1FF17781" w14:textId="77777777" w:rsidR="00CD7FEA" w:rsidRPr="00A9434B" w:rsidRDefault="00CD7FEA" w:rsidP="00B86627">
            <w:pPr>
              <w:spacing w:before="0" w:after="0"/>
              <w:rPr>
                <w:rFonts w:eastAsia="Batang"/>
              </w:rPr>
            </w:pPr>
          </w:p>
          <w:p w14:paraId="0D824271" w14:textId="77777777" w:rsidR="00CD7FEA" w:rsidRPr="00A9434B" w:rsidRDefault="00CD7FEA" w:rsidP="00B86627">
            <w:pPr>
              <w:spacing w:before="0" w:after="0"/>
              <w:rPr>
                <w:rFonts w:eastAsia="Batang"/>
              </w:rPr>
            </w:pPr>
          </w:p>
          <w:p w14:paraId="5103A16C" w14:textId="71D6DEE7" w:rsidR="00017C04" w:rsidRPr="00C73655" w:rsidRDefault="00CA3187">
            <w:pPr>
              <w:spacing w:before="0" w:after="0"/>
              <w:rPr>
                <w:lang w:val="da-DK"/>
              </w:rPr>
            </w:pPr>
            <w:r w:rsidRPr="00A9434B">
              <w:rPr>
                <w:rFonts w:eastAsia="Batang"/>
              </w:rPr>
              <w:fldChar w:fldCharType="end"/>
            </w:r>
          </w:p>
        </w:tc>
      </w:tr>
      <w:tr w:rsidR="00017C04" w:rsidRPr="000A1E49" w14:paraId="17050C5C" w14:textId="77777777" w:rsidTr="00C73655">
        <w:trPr>
          <w:trHeight w:val="2484"/>
        </w:trPr>
        <w:tc>
          <w:tcPr>
            <w:tcW w:w="2074" w:type="dxa"/>
            <w:shd w:val="clear" w:color="auto" w:fill="auto"/>
            <w:vAlign w:val="center"/>
          </w:tcPr>
          <w:p w14:paraId="2F8B1757" w14:textId="77777777" w:rsidR="00017C04" w:rsidRPr="000A1E49" w:rsidRDefault="00F50AF9">
            <w:pPr>
              <w:spacing w:before="0" w:after="0"/>
            </w:pPr>
            <w:r w:rsidRPr="000A1E49">
              <w:lastRenderedPageBreak/>
              <w:t>Governance capability, resourcing and capacity</w:t>
            </w:r>
          </w:p>
          <w:p w14:paraId="060B26B2" w14:textId="77777777" w:rsidR="00017C04" w:rsidRPr="000A1E49" w:rsidRDefault="00F50AF9">
            <w:pPr>
              <w:spacing w:before="0" w:after="0"/>
            </w:pPr>
            <w:r w:rsidRPr="000A1E49">
              <w:t>(</w:t>
            </w:r>
            <w:r w:rsidRPr="000A1E49">
              <w:rPr>
                <w:b/>
              </w:rPr>
              <w:t xml:space="preserve">sections 6.2 </w:t>
            </w:r>
            <w:r w:rsidRPr="000A1E49">
              <w:t>to</w:t>
            </w:r>
            <w:r w:rsidRPr="000A1E49">
              <w:rPr>
                <w:b/>
              </w:rPr>
              <w:t xml:space="preserve"> 6.6</w:t>
            </w:r>
            <w:r w:rsidRPr="000A1E49">
              <w:t>)</w:t>
            </w:r>
          </w:p>
        </w:tc>
        <w:tc>
          <w:tcPr>
            <w:tcW w:w="4300" w:type="dxa"/>
            <w:shd w:val="clear" w:color="auto" w:fill="auto"/>
            <w:vAlign w:val="center"/>
          </w:tcPr>
          <w:p w14:paraId="74D83614"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Build capacity in key governance capabilities</w:t>
            </w:r>
          </w:p>
          <w:p w14:paraId="259F9F0B"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Campaigns to make necessary technical concepts part of the public agenda</w:t>
            </w:r>
          </w:p>
          <w:p w14:paraId="77A5338C"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Consider gains and losses from activities (e.g., trade) in negotiations</w:t>
            </w:r>
          </w:p>
          <w:p w14:paraId="17B777CD"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Cost sharing arrangements</w:t>
            </w:r>
          </w:p>
          <w:p w14:paraId="747BA359" w14:textId="77777777" w:rsidR="00017C04" w:rsidRPr="00C73655" w:rsidRDefault="00F50AF9" w:rsidP="00C73655">
            <w:pPr>
              <w:numPr>
                <w:ilvl w:val="0"/>
                <w:numId w:val="11"/>
              </w:numPr>
              <w:pBdr>
                <w:top w:val="nil"/>
                <w:left w:val="nil"/>
                <w:bottom w:val="nil"/>
                <w:right w:val="nil"/>
                <w:between w:val="nil"/>
              </w:pBdr>
              <w:spacing w:before="0" w:after="0"/>
              <w:rPr>
                <w:color w:val="000000"/>
              </w:rPr>
            </w:pPr>
            <w:r w:rsidRPr="00C73655">
              <w:rPr>
                <w:color w:val="000000"/>
              </w:rPr>
              <w:t>Assess potential inequity and incapacity</w:t>
            </w:r>
          </w:p>
        </w:tc>
        <w:tc>
          <w:tcPr>
            <w:tcW w:w="2835" w:type="dxa"/>
            <w:shd w:val="clear" w:color="auto" w:fill="auto"/>
            <w:vAlign w:val="center"/>
          </w:tcPr>
          <w:p w14:paraId="626EB07E" w14:textId="127E0D8A" w:rsidR="00FA2977" w:rsidRPr="00A9434B" w:rsidRDefault="00CA3187" w:rsidP="00B86627">
            <w:pPr>
              <w:spacing w:before="0" w:after="0"/>
              <w:rPr>
                <w:rFonts w:eastAsia="Batang"/>
              </w:rPr>
            </w:pPr>
            <w:r w:rsidRPr="00A9434B">
              <w:rPr>
                <w:rFonts w:eastAsia="Batang"/>
              </w:rPr>
              <w:fldChar w:fldCharType="begin">
                <w:fldData xml:space="preserve">PEVuZE5vdGU+PENpdGU+PEF1dGhvcj5Kb25zc29uPC9BdXRob3I+PFllYXI+MjAxNjwvWWVhcj48
UmVjTnVtPjQ5MDk5PC9SZWNOdW0+PERpc3BsYXlUZXh0PihUZXJtZWVyIGFuZCBEZXd1bGYgMjAx
NCwgSm9uc3NvbiwgQm9zdHJvbSBldCBhbC4gMjAxNiwgTWFydGluLCBMZSBHYWwgZXQgYWwuIDIw
MTYsIFRlcm1lZXIsIERld3VsZiBldCBhbC4gMjAxNiwgTWFydGluIGFuZCBUYXlsb3IgMjAxOCk8
L0Rpc3BsYXlUZXh0PjxyZWNvcmQ+PHJlYy1udW1iZXI+NDkwOTk8L3JlYy1udW1iZXI+PGZvcmVp
Z24ta2V5cz48a2V5IGFwcD0iRU4iIGRiLWlkPSJhd3g5cmFkZHIweHgyaGV2MDVyeHIwejA1d2Vl
cHdwdDBmZXgiIHRpbWVzdGFtcD0iMTU4MTQ5NzMyMCI+NDkwOTk8L2tleT48L2ZvcmVpZ24ta2V5
cz48cmVmLXR5cGUgbmFtZT0iQm9vayBTZWN0aW9uIj41PC9yZWYtdHlwZT48Y29udHJpYnV0b3Jz
PjxhdXRob3JzPjxhdXRob3I+Sm9uc3NvbiwgQW5uYSBNYXJpYTwvYXV0aG9yPjxhdXRob3I+Qm9z
dHJvbSwgTWFnbnVzPC9hdXRob3I+PGF1dGhvcj5EcmV5ZXIsIE1hcmlvbjwvYXV0aG9yPjxhdXRo
b3I+U29kZXJzdHJvbSwgU2FyYTwvYXV0aG9yPjwvYXV0aG9ycz48c2Vjb25kYXJ5LWF1dGhvcnM+
PGF1dGhvcj5HaWxlaywgTS48L2F1dGhvcj48YXV0aG9yPkthcmxzc29uLCBNLjwvYXV0aG9yPjxh
dXRob3I+TGlua2UsIFMuPC9hdXRob3I+PGF1dGhvcj5TbW9sYXJ6LCBLLjwvYXV0aG9yPjwvc2Vj
b25kYXJ5LWF1dGhvcnM+PC9jb250cmlidXRvcnM+PHRpdGxlcz48dGl0bGU+UmlzayBDb21tdW5p
Y2F0aW9uIGFuZCB0aGUgUm9sZSBvZiB0aGUgUHVibGljOiBUb3dhcmRzIEluY2x1c2l2ZSBFbnZp
cm9ubWVudGFsIEdvdmVybmFuY2Ugb2YgdGhlIEJhbHRpYyBTZWE/PC90aXRsZT48c2Vjb25kYXJ5
LXRpdGxlPkVudmlyb25tZW50YWwgR292ZXJuYW5jZSBvZiB0aGUgQmFsdGljIFNlYTwvc2Vjb25k
YXJ5LXRpdGxlPjx0ZXJ0aWFyeS10aXRsZT5NQVJFIFB1YmxpY2F0aW9uIFNlcmllczwvdGVydGlh
cnktdGl0bGU+PC90aXRsZXM+PHBlcmlvZGljYWw+PGZ1bGwtdGl0bGU+RW52aXJvbm1lbnRhbCBn
b3Zlcm5hbmNlIG9mIHRoZSBCYWx0aWMgU2VhPC9mdWxsLXRpdGxlPjwvcGVyaW9kaWNhbD48cGFn
ZXM+MjA1LTIyNzwvcGFnZXM+PHZvbHVtZT4xMDwvdm9sdW1lPjxkYXRlcz48eWVhcj4yMDE2PC95
ZWFyPjwvZGF0ZXM+PGlzYm4+OTc4LTMtMzE5LTI3MDA2LTc7IDk3OC0zLTMxOS0yNzAwNS0wPC9p
c2JuPjxhY2Nlc3Npb24tbnVtPldPUzowMDAzODY2OTUzMDAwMTA8L2FjY2Vzc2lvbi1udW0+PHVy
bHM+PHJlbGF0ZWQtdXJscz48dXJsPiZsdDtHbyB0byBJU0kmZ3Q7Oi8vV09TOjAwMDM4NjY5NTMw
MDAxMDwvdXJsPjwvcmVsYXRlZC11cmxzPjwvdXJscz48ZWxlY3Ryb25pYy1yZXNvdXJjZS1udW0+
MTAuMTAwNy85NzgtMy0zMTktMjcwMDYtN185PC9lbGVjdHJvbmljLXJlc291cmNlLW51bT48L3Jl
Y29yZD48L0NpdGU+PENpdGU+PEF1dGhvcj5NYXJ0aW48L0F1dGhvcj48WWVhcj4yMDE2PC9ZZWFy
PjxSZWNOdW0+NDkwOTI8L1JlY051bT48cmVjb3JkPjxyZWMtbnVtYmVyPjQ5MDkyPC9yZWMtbnVt
YmVyPjxmb3JlaWduLWtleXM+PGtleSBhcHA9IkVOIiBkYi1pZD0iYXd4OXJhZGRyMHh4MmhldjA1
cnhyMHowNXdlZXB3cHQwZmV4IiB0aW1lc3RhbXA9IjE1ODE0OTczMjAiPjQ5MDkyPC9rZXk+PC9m
b3JlaWduLWtleXM+PHJlZi10eXBlIG5hbWU9IkJvb2sgU2VjdGlvbiI+NTwvcmVmLXR5cGU+PGNv
bnRyaWJ1dG9ycz48YXV0aG9ycz48YXV0aG9yPk1hcnRpbiwgUGF1bDwvYXV0aG9yPjxhdXRob3I+
TGUgR2FsLCBFbG9kaWU8L2F1dGhvcj48YXV0aG9yPkNob3ksIERhcnJ5bCBMb3c8L2F1dGhvcj48
L2F1dGhvcnM+PHNlY29uZGFyeS1hdXRob3JzPjxhdXRob3I+TWFoZXNod2FyaSwgQi48L2F1dGhv
cj48YXV0aG9yPlNpbmdoLCBWLiBQLjwvYXV0aG9yPjxhdXRob3I+VGhvcmFkZW5peWEsIEIuPC9h
dXRob3I+PC9zZWNvbmRhcnktYXV0aG9ycz48L2NvbnRyaWJ1dG9ycz48dGl0bGVzPjx0aXRsZT5F
ZmZlY3Qgb2YgU29jaWFsIGFuZCBJbnN0aXR1dGlvbmFsIEZyYWdtZW50YXRpb24gb24gQ29sbGVj
dGl2ZSBBY3Rpb24gaW4gUGVyaS1VcmJhbiBTZXR0aW5nczwvdGl0bGU+PHNlY29uZGFyeS10aXRs
ZT5CYWxhbmNlZCBVcmJhbiBEZXZlbG9wbWVudDogT3B0aW9ucyBhbmQgU3RyYXRlZ2llcyBmb3Ig
TGl2ZWFibGUgQ2l0aWVzPC9zZWNvbmRhcnktdGl0bGU+PHRlcnRpYXJ5LXRpdGxlPldhdGVyIFNj
aWVuY2UgYW5kIFRlY2hub2xvZ3kgTGlicmFyeTwvdGVydGlhcnktdGl0bGU+PC90aXRsZXM+PHBh
Z2VzPjQ2NS00ODA8L3BhZ2VzPjx2b2x1bWU+NzI8L3ZvbHVtZT48ZGF0ZXM+PHllYXI+MjAxNjwv
eWVhcj48L2RhdGVzPjxpc2JuPjk3OC0zLTMxOS0yODExMi00OyA5NzgtMy0zMTktMjgxMTAtMDwv
aXNibj48YWNjZXNzaW9uLW51bT5XT1M6MDAwMzk4OTI4OTAwMDI5PC9hY2Nlc3Npb24tbnVtPjx1
cmxzPjxyZWxhdGVkLXVybHM+PHVybD4mbHQ7R28gdG8gSVNJJmd0OzovL1dPUzowMDAzOTg5Mjg5
MDAwMjk8L3VybD48L3JlbGF0ZWQtdXJscz48L3VybHM+PGVsZWN0cm9uaWMtcmVzb3VyY2UtbnVt
PjEwLjEwMDcvOTc4LTMtMzE5LTI4MTEyLTRfMjg8L2VsZWN0cm9uaWMtcmVzb3VyY2UtbnVtPjwv
cmVjb3JkPjwvQ2l0ZT48Q2l0ZT48QXV0aG9yPk1hcnRpbjwvQXV0aG9yPjxZZWFyPjIwMTg8L1ll
YXI+PFJlY051bT40OTAzMzwvUmVjTnVtPjxyZWNvcmQ+PHJlYy1udW1iZXI+NDkwMzM8L3JlYy1u
dW1iZXI+PGZvcmVpZ24ta2V5cz48a2V5IGFwcD0iRU4iIGRiLWlkPSJhd3g5cmFkZHIweHgyaGV2
MDVyeHIwejA1d2VlcHdwdDBmZXgiIHRpbWVzdGFtcD0iMTU4MTQ5NzMyMCI+NDkwMzM8L2tleT48
L2ZvcmVpZ24ta2V5cz48cmVmLXR5cGUgbmFtZT0iSm91cm5hbCBBcnRpY2xlIj4xNzwvcmVmLXR5
cGU+PGNvbnRyaWJ1dG9ycz48YXV0aG9ycz48YXV0aG9yPk1hcnRpbiwgUGF1bDwvYXV0aG9yPjxh
dXRob3I+VGF5bG9yLCBOYXRhbGllPC9hdXRob3I+PC9hdXRob3JzPjwvY29udHJpYnV0b3JzPjx0
aXRsZXM+PHRpdGxlPkVudmlyb25tZW50YWwgU3Rld2FyZHNoaXAgRHV0aWVzIGluIEJpb3NlY3Vy
aXR5OiBJc3N1ZXMgYW5kIENoYWxsZW5nZXM8L3RpdGxlPjxzZWNvbmRhcnktdGl0bGU+RW52aXJv
bm1lbnRhbCBhbmQgUGxhbm5pbmcgTGF3IEpvdXJuYWw8L3NlY29uZGFyeS10aXRsZT48L3RpdGxl
cz48cGVyaW9kaWNhbD48ZnVsbC10aXRsZT5FbnZpcm9ubWVudGFsIGFuZCBwbGFubmluZyBsYXcg
am91cm5hbDwvZnVsbC10aXRsZT48YWJici0xPkVudmlyb24uIFBsYW4uIExhdyBKLjwvYWJici0x
PjxhYmJyLTI+RW52aXJvbiBQbGFuIExhdyBKPC9hYmJyLTI+PC9wZXJpb2RpY2FsPjxwYWdlcz43
NDMtNzYyPC9wYWdlcz48dm9sdW1lPjM1PC92b2x1bWU+PG51bWJlcj42PC9udW1iZXI+PGRhdGVz
Pjx5ZWFyPjIwMTg8L3llYXI+PHB1Yi1kYXRlcz48ZGF0ZT5Ob3Y8L2RhdGU+PC9wdWItZGF0ZXM+
PC9kYXRlcz48aXNibj4wODEzLTMwMFg8L2lzYm4+PGFjY2Vzc2lvbi1udW0+V09TOjAwMDQ1MTc5
NDEwMDAwNjwvYWNjZXNzaW9uLW51bT48dXJscz48cmVsYXRlZC11cmxzPjx1cmw+Jmx0O0dvIHRv
IElTSSZndDs6Ly9XT1M6MDAwNDUxNzk0MTAwMDA2PC91cmw+PC9yZWxhdGVkLXVybHM+PC91cmxz
PjwvcmVjb3JkPjwvQ2l0ZT48Q2l0ZT48QXV0aG9yPlRlcm1lZXI8L0F1dGhvcj48WWVhcj4yMDE2
PC9ZZWFyPjxSZWNOdW0+NDg5NDc8L1JlY051bT48cmVjb3JkPjxyZWMtbnVtYmVyPjQ4OTQ3PC9y
ZWMtbnVtYmVyPjxmb3JlaWduLWtleXM+PGtleSBhcHA9IkVOIiBkYi1pZD0iYXd4OXJhZGRyMHh4
MmhldjA1cnhyMHowNXdlZXB3cHQwZmV4IiB0aW1lc3RhbXA9IjE1NzQ4MjIxNjAiPjQ4OTQ3PC9r
ZXk+PC9mb3JlaWduLWtleXM+PHJlZi10eXBlIG5hbWU9IkpvdXJuYWwgQXJ0aWNsZSI+MTc8L3Jl
Zi10eXBlPjxjb250cmlidXRvcnM+PGF1dGhvcnM+PGF1dGhvcj5UZXJtZWVyLCBDPC9hdXRob3I+
PGF1dGhvcj5EZXd1bGYsIEE8L2F1dGhvcj48YXV0aG9yPkthcmxzc29uLVZpbmtodXl6ZW4gU0k8
L2F1dGhvcj48YXV0aG9yPlZpbmsgTTwvYXV0aG9yPjxhdXRob3I+dmFuIFZsaWV0IE08L2F1dGhv
cj48L2F1dGhvcnM+PC9jb250cmlidXRvcnM+PHRpdGxlcz48dGl0bGU+Q29waW5nIHdpdGggdGhl
IHdpY2tlZCBwcm9ibGVtIG9mIGNsaW1hdGUgYWRhcHRhdGlvbiBhY3Jvc3Mgc2NhbGVzOiBUaGUg
Rml2ZSBSIEdvdmVybmFuY2UgQ2FwYWJpbGl0aWVzPC90aXRsZT48c2Vjb25kYXJ5LXRpdGxlPkxh
bmRzY2FwZSBhbmQgVXJiYW4gUGxhbm5pbmc8L3NlY29uZGFyeS10aXRsZT48L3RpdGxlcz48cGVy
aW9kaWNhbD48ZnVsbC10aXRsZT5MYW5kc2NhcGUgYW5kIFVyYmFuIFBsYW5uaW5nPC9mdWxsLXRp
dGxlPjxhYmJyLTE+TGFuZHNjYXBlIFVyYmFuIFBsYW5uLjwvYWJici0xPjxhYmJyLTI+TGFuZHNj
YXBlIFVyYmFuIFBsYW5uPC9hYmJyLTI+PC9wZXJpb2RpY2FsPjxwYWdlcz4xMS0xOTwvcGFnZXM+
PHZvbHVtZT4xNTQ8L3ZvbHVtZT48ZGF0ZXM+PHllYXI+MjAxNjwveWVhcj48L2RhdGVzPjx1cmxz
PjwvdXJscz48ZWxlY3Ryb25pYy1yZXNvdXJjZS1udW0+aHR0cDovL2R4LmRvaS5vcmcvMTAuMTAx
Ni9qLmxhbmR1cmJwbGFuLjIwMTYuMDEuMDA3PC9lbGVjdHJvbmljLXJlc291cmNlLW51bT48L3Jl
Y29yZD48L0NpdGU+PENpdGU+PEF1dGhvcj5UZXJtZWVyPC9BdXRob3I+PFllYXI+MjAxNDwvWWVh
cj48UmVjTnVtPjQ5MjU3PC9SZWNOdW0+PHJlY29yZD48cmVjLW51bWJlcj40OTI1NzwvcmVjLW51
bWJlcj48Zm9yZWlnbi1rZXlzPjxrZXkgYXBwPSJFTiIgZGItaWQ9ImF3eDlyYWRkcjB4eDJoZXYw
NXJ4cjB6MDV3ZWVwd3B0MGZleCIgdGltZXN0YW1wPSIxNTkyMzAxNjI4Ij40OTI1Nzwva2V5Pjwv
Zm9yZWlnbi1rZXlzPjxyZWYtdHlwZSBuYW1lPSJKb3VybmFsIEFydGljbGUiPjE3PC9yZWYtdHlw
ZT48Y29udHJpYnV0b3JzPjxhdXRob3JzPjxhdXRob3I+VGVybWVlciwgQ0pBTTwvYXV0aG9yPjxh
dXRob3I+RGV3dWxmLCBBUlBKPC9hdXRob3I+PC9hdXRob3JzPjwvY29udHJpYnV0b3JzPjx0aXRs
ZXM+PHRpdGxlPlNjYWxlLXNlbnNpdGl2aXR5IGFzIGEgZ292ZXJuYW5jZSBjYXBhYmlsaXR5OiBP
YnNlcnZpbmcsIGFjdGluZyBhbmQgZW5hYmxpbmc8L3RpdGxlPjxzZWNvbmRhcnktdGl0bGU+U2Nh
bGUtc2Vuc2l0aXZlIGdvdmVybmFuY2Ugb2YgdGhlIGVudmlyb25tZW50PC9zZWNvbmRhcnktdGl0
bGU+PC90aXRsZXM+PHBlcmlvZGljYWw+PGZ1bGwtdGl0bGU+U2NhbGUtc2Vuc2l0aXZlIGdvdmVy
bmFuY2Ugb2YgdGhlIGVudmlyb25tZW50PC9mdWxsLXRpdGxlPjwvcGVyaW9kaWNhbD48cGFnZXM+
NjYtODA8L3BhZ2VzPjxkYXRlcz48eWVhcj4yMDE0PC95ZWFyPjwvZGF0ZXM+PHVybHM+PC91cmxz
PjwvcmVjb3JkPjwvQ2l0ZT48L0VuZE5vdGU+AG==
</w:fldData>
              </w:fldChar>
            </w:r>
            <w:r w:rsidRPr="00A9434B">
              <w:rPr>
                <w:rFonts w:eastAsia="Batang"/>
              </w:rPr>
              <w:instrText xml:space="preserve"> ADDIN EN.CITE </w:instrText>
            </w:r>
            <w:r w:rsidRPr="00A9434B">
              <w:rPr>
                <w:rFonts w:eastAsia="Batang"/>
              </w:rPr>
              <w:fldChar w:fldCharType="begin">
                <w:fldData xml:space="preserve">PEVuZE5vdGU+PENpdGU+PEF1dGhvcj5Kb25zc29uPC9BdXRob3I+PFllYXI+MjAxNjwvWWVhcj48
UmVjTnVtPjQ5MDk5PC9SZWNOdW0+PERpc3BsYXlUZXh0PihUZXJtZWVyIGFuZCBEZXd1bGYgMjAx
NCwgSm9uc3NvbiwgQm9zdHJvbSBldCBhbC4gMjAxNiwgTWFydGluLCBMZSBHYWwgZXQgYWwuIDIw
MTYsIFRlcm1lZXIsIERld3VsZiBldCBhbC4gMjAxNiwgTWFydGluIGFuZCBUYXlsb3IgMjAxOCk8
L0Rpc3BsYXlUZXh0PjxyZWNvcmQ+PHJlYy1udW1iZXI+NDkwOTk8L3JlYy1udW1iZXI+PGZvcmVp
Z24ta2V5cz48a2V5IGFwcD0iRU4iIGRiLWlkPSJhd3g5cmFkZHIweHgyaGV2MDVyeHIwejA1d2Vl
cHdwdDBmZXgiIHRpbWVzdGFtcD0iMTU4MTQ5NzMyMCI+NDkwOTk8L2tleT48L2ZvcmVpZ24ta2V5
cz48cmVmLXR5cGUgbmFtZT0iQm9vayBTZWN0aW9uIj41PC9yZWYtdHlwZT48Y29udHJpYnV0b3Jz
PjxhdXRob3JzPjxhdXRob3I+Sm9uc3NvbiwgQW5uYSBNYXJpYTwvYXV0aG9yPjxhdXRob3I+Qm9z
dHJvbSwgTWFnbnVzPC9hdXRob3I+PGF1dGhvcj5EcmV5ZXIsIE1hcmlvbjwvYXV0aG9yPjxhdXRo
b3I+U29kZXJzdHJvbSwgU2FyYTwvYXV0aG9yPjwvYXV0aG9ycz48c2Vjb25kYXJ5LWF1dGhvcnM+
PGF1dGhvcj5HaWxlaywgTS48L2F1dGhvcj48YXV0aG9yPkthcmxzc29uLCBNLjwvYXV0aG9yPjxh
dXRob3I+TGlua2UsIFMuPC9hdXRob3I+PGF1dGhvcj5TbW9sYXJ6LCBLLjwvYXV0aG9yPjwvc2Vj
b25kYXJ5LWF1dGhvcnM+PC9jb250cmlidXRvcnM+PHRpdGxlcz48dGl0bGU+UmlzayBDb21tdW5p
Y2F0aW9uIGFuZCB0aGUgUm9sZSBvZiB0aGUgUHVibGljOiBUb3dhcmRzIEluY2x1c2l2ZSBFbnZp
cm9ubWVudGFsIEdvdmVybmFuY2Ugb2YgdGhlIEJhbHRpYyBTZWE/PC90aXRsZT48c2Vjb25kYXJ5
LXRpdGxlPkVudmlyb25tZW50YWwgR292ZXJuYW5jZSBvZiB0aGUgQmFsdGljIFNlYTwvc2Vjb25k
YXJ5LXRpdGxlPjx0ZXJ0aWFyeS10aXRsZT5NQVJFIFB1YmxpY2F0aW9uIFNlcmllczwvdGVydGlh
cnktdGl0bGU+PC90aXRsZXM+PHBlcmlvZGljYWw+PGZ1bGwtdGl0bGU+RW52aXJvbm1lbnRhbCBn
b3Zlcm5hbmNlIG9mIHRoZSBCYWx0aWMgU2VhPC9mdWxsLXRpdGxlPjwvcGVyaW9kaWNhbD48cGFn
ZXM+MjA1LTIyNzwvcGFnZXM+PHZvbHVtZT4xMDwvdm9sdW1lPjxkYXRlcz48eWVhcj4yMDE2PC95
ZWFyPjwvZGF0ZXM+PGlzYm4+OTc4LTMtMzE5LTI3MDA2LTc7IDk3OC0zLTMxOS0yNzAwNS0wPC9p
c2JuPjxhY2Nlc3Npb24tbnVtPldPUzowMDAzODY2OTUzMDAwMTA8L2FjY2Vzc2lvbi1udW0+PHVy
bHM+PHJlbGF0ZWQtdXJscz48dXJsPiZsdDtHbyB0byBJU0kmZ3Q7Oi8vV09TOjAwMDM4NjY5NTMw
MDAxMDwvdXJsPjwvcmVsYXRlZC11cmxzPjwvdXJscz48ZWxlY3Ryb25pYy1yZXNvdXJjZS1udW0+
MTAuMTAwNy85NzgtMy0zMTktMjcwMDYtN185PC9lbGVjdHJvbmljLXJlc291cmNlLW51bT48L3Jl
Y29yZD48L0NpdGU+PENpdGU+PEF1dGhvcj5NYXJ0aW48L0F1dGhvcj48WWVhcj4yMDE2PC9ZZWFy
PjxSZWNOdW0+NDkwOTI8L1JlY051bT48cmVjb3JkPjxyZWMtbnVtYmVyPjQ5MDkyPC9yZWMtbnVt
YmVyPjxmb3JlaWduLWtleXM+PGtleSBhcHA9IkVOIiBkYi1pZD0iYXd4OXJhZGRyMHh4MmhldjA1
cnhyMHowNXdlZXB3cHQwZmV4IiB0aW1lc3RhbXA9IjE1ODE0OTczMjAiPjQ5MDkyPC9rZXk+PC9m
b3JlaWduLWtleXM+PHJlZi10eXBlIG5hbWU9IkJvb2sgU2VjdGlvbiI+NTwvcmVmLXR5cGU+PGNv
bnRyaWJ1dG9ycz48YXV0aG9ycz48YXV0aG9yPk1hcnRpbiwgUGF1bDwvYXV0aG9yPjxhdXRob3I+
TGUgR2FsLCBFbG9kaWU8L2F1dGhvcj48YXV0aG9yPkNob3ksIERhcnJ5bCBMb3c8L2F1dGhvcj48
L2F1dGhvcnM+PHNlY29uZGFyeS1hdXRob3JzPjxhdXRob3I+TWFoZXNod2FyaSwgQi48L2F1dGhv
cj48YXV0aG9yPlNpbmdoLCBWLiBQLjwvYXV0aG9yPjxhdXRob3I+VGhvcmFkZW5peWEsIEIuPC9h
dXRob3I+PC9zZWNvbmRhcnktYXV0aG9ycz48L2NvbnRyaWJ1dG9ycz48dGl0bGVzPjx0aXRsZT5F
ZmZlY3Qgb2YgU29jaWFsIGFuZCBJbnN0aXR1dGlvbmFsIEZyYWdtZW50YXRpb24gb24gQ29sbGVj
dGl2ZSBBY3Rpb24gaW4gUGVyaS1VcmJhbiBTZXR0aW5nczwvdGl0bGU+PHNlY29uZGFyeS10aXRs
ZT5CYWxhbmNlZCBVcmJhbiBEZXZlbG9wbWVudDogT3B0aW9ucyBhbmQgU3RyYXRlZ2llcyBmb3Ig
TGl2ZWFibGUgQ2l0aWVzPC9zZWNvbmRhcnktdGl0bGU+PHRlcnRpYXJ5LXRpdGxlPldhdGVyIFNj
aWVuY2UgYW5kIFRlY2hub2xvZ3kgTGlicmFyeTwvdGVydGlhcnktdGl0bGU+PC90aXRsZXM+PHBh
Z2VzPjQ2NS00ODA8L3BhZ2VzPjx2b2x1bWU+NzI8L3ZvbHVtZT48ZGF0ZXM+PHllYXI+MjAxNjwv
eWVhcj48L2RhdGVzPjxpc2JuPjk3OC0zLTMxOS0yODExMi00OyA5NzgtMy0zMTktMjgxMTAtMDwv
aXNibj48YWNjZXNzaW9uLW51bT5XT1M6MDAwMzk4OTI4OTAwMDI5PC9hY2Nlc3Npb24tbnVtPjx1
cmxzPjxyZWxhdGVkLXVybHM+PHVybD4mbHQ7R28gdG8gSVNJJmd0OzovL1dPUzowMDAzOTg5Mjg5
MDAwMjk8L3VybD48L3JlbGF0ZWQtdXJscz48L3VybHM+PGVsZWN0cm9uaWMtcmVzb3VyY2UtbnVt
PjEwLjEwMDcvOTc4LTMtMzE5LTI4MTEyLTRfMjg8L2VsZWN0cm9uaWMtcmVzb3VyY2UtbnVtPjwv
cmVjb3JkPjwvQ2l0ZT48Q2l0ZT48QXV0aG9yPk1hcnRpbjwvQXV0aG9yPjxZZWFyPjIwMTg8L1ll
YXI+PFJlY051bT40OTAzMzwvUmVjTnVtPjxyZWNvcmQ+PHJlYy1udW1iZXI+NDkwMzM8L3JlYy1u
dW1iZXI+PGZvcmVpZ24ta2V5cz48a2V5IGFwcD0iRU4iIGRiLWlkPSJhd3g5cmFkZHIweHgyaGV2
MDVyeHIwejA1d2VlcHdwdDBmZXgiIHRpbWVzdGFtcD0iMTU4MTQ5NzMyMCI+NDkwMzM8L2tleT48
L2ZvcmVpZ24ta2V5cz48cmVmLXR5cGUgbmFtZT0iSm91cm5hbCBBcnRpY2xlIj4xNzwvcmVmLXR5
cGU+PGNvbnRyaWJ1dG9ycz48YXV0aG9ycz48YXV0aG9yPk1hcnRpbiwgUGF1bDwvYXV0aG9yPjxh
dXRob3I+VGF5bG9yLCBOYXRhbGllPC9hdXRob3I+PC9hdXRob3JzPjwvY29udHJpYnV0b3JzPjx0
aXRsZXM+PHRpdGxlPkVudmlyb25tZW50YWwgU3Rld2FyZHNoaXAgRHV0aWVzIGluIEJpb3NlY3Vy
aXR5OiBJc3N1ZXMgYW5kIENoYWxsZW5nZXM8L3RpdGxlPjxzZWNvbmRhcnktdGl0bGU+RW52aXJv
bm1lbnRhbCBhbmQgUGxhbm5pbmcgTGF3IEpvdXJuYWw8L3NlY29uZGFyeS10aXRsZT48L3RpdGxl
cz48cGVyaW9kaWNhbD48ZnVsbC10aXRsZT5FbnZpcm9ubWVudGFsIGFuZCBwbGFubmluZyBsYXcg
am91cm5hbDwvZnVsbC10aXRsZT48YWJici0xPkVudmlyb24uIFBsYW4uIExhdyBKLjwvYWJici0x
PjxhYmJyLTI+RW52aXJvbiBQbGFuIExhdyBKPC9hYmJyLTI+PC9wZXJpb2RpY2FsPjxwYWdlcz43
NDMtNzYyPC9wYWdlcz48dm9sdW1lPjM1PC92b2x1bWU+PG51bWJlcj42PC9udW1iZXI+PGRhdGVz
Pjx5ZWFyPjIwMTg8L3llYXI+PHB1Yi1kYXRlcz48ZGF0ZT5Ob3Y8L2RhdGU+PC9wdWItZGF0ZXM+
PC9kYXRlcz48aXNibj4wODEzLTMwMFg8L2lzYm4+PGFjY2Vzc2lvbi1udW0+V09TOjAwMDQ1MTc5
NDEwMDAwNjwvYWNjZXNzaW9uLW51bT48dXJscz48cmVsYXRlZC11cmxzPjx1cmw+Jmx0O0dvIHRv
IElTSSZndDs6Ly9XT1M6MDAwNDUxNzk0MTAwMDA2PC91cmw+PC9yZWxhdGVkLXVybHM+PC91cmxz
PjwvcmVjb3JkPjwvQ2l0ZT48Q2l0ZT48QXV0aG9yPlRlcm1lZXI8L0F1dGhvcj48WWVhcj4yMDE2
PC9ZZWFyPjxSZWNOdW0+NDg5NDc8L1JlY051bT48cmVjb3JkPjxyZWMtbnVtYmVyPjQ4OTQ3PC9y
ZWMtbnVtYmVyPjxmb3JlaWduLWtleXM+PGtleSBhcHA9IkVOIiBkYi1pZD0iYXd4OXJhZGRyMHh4
MmhldjA1cnhyMHowNXdlZXB3cHQwZmV4IiB0aW1lc3RhbXA9IjE1NzQ4MjIxNjAiPjQ4OTQ3PC9r
ZXk+PC9mb3JlaWduLWtleXM+PHJlZi10eXBlIG5hbWU9IkpvdXJuYWwgQXJ0aWNsZSI+MTc8L3Jl
Zi10eXBlPjxjb250cmlidXRvcnM+PGF1dGhvcnM+PGF1dGhvcj5UZXJtZWVyLCBDPC9hdXRob3I+
PGF1dGhvcj5EZXd1bGYsIEE8L2F1dGhvcj48YXV0aG9yPkthcmxzc29uLVZpbmtodXl6ZW4gU0k8
L2F1dGhvcj48YXV0aG9yPlZpbmsgTTwvYXV0aG9yPjxhdXRob3I+dmFuIFZsaWV0IE08L2F1dGhv
cj48L2F1dGhvcnM+PC9jb250cmlidXRvcnM+PHRpdGxlcz48dGl0bGU+Q29waW5nIHdpdGggdGhl
IHdpY2tlZCBwcm9ibGVtIG9mIGNsaW1hdGUgYWRhcHRhdGlvbiBhY3Jvc3Mgc2NhbGVzOiBUaGUg
Rml2ZSBSIEdvdmVybmFuY2UgQ2FwYWJpbGl0aWVzPC90aXRsZT48c2Vjb25kYXJ5LXRpdGxlPkxh
bmRzY2FwZSBhbmQgVXJiYW4gUGxhbm5pbmc8L3NlY29uZGFyeS10aXRsZT48L3RpdGxlcz48cGVy
aW9kaWNhbD48ZnVsbC10aXRsZT5MYW5kc2NhcGUgYW5kIFVyYmFuIFBsYW5uaW5nPC9mdWxsLXRp
dGxlPjxhYmJyLTE+TGFuZHNjYXBlIFVyYmFuIFBsYW5uLjwvYWJici0xPjxhYmJyLTI+TGFuZHNj
YXBlIFVyYmFuIFBsYW5uPC9hYmJyLTI+PC9wZXJpb2RpY2FsPjxwYWdlcz4xMS0xOTwvcGFnZXM+
PHZvbHVtZT4xNTQ8L3ZvbHVtZT48ZGF0ZXM+PHllYXI+MjAxNjwveWVhcj48L2RhdGVzPjx1cmxz
PjwvdXJscz48ZWxlY3Ryb25pYy1yZXNvdXJjZS1udW0+aHR0cDovL2R4LmRvaS5vcmcvMTAuMTAx
Ni9qLmxhbmR1cmJwbGFuLjIwMTYuMDEuMDA3PC9lbGVjdHJvbmljLXJlc291cmNlLW51bT48L3Jl
Y29yZD48L0NpdGU+PENpdGU+PEF1dGhvcj5UZXJtZWVyPC9BdXRob3I+PFllYXI+MjAxNDwvWWVh
cj48UmVjTnVtPjQ5MjU3PC9SZWNOdW0+PHJlY29yZD48cmVjLW51bWJlcj40OTI1NzwvcmVjLW51
bWJlcj48Zm9yZWlnbi1rZXlzPjxrZXkgYXBwPSJFTiIgZGItaWQ9ImF3eDlyYWRkcjB4eDJoZXYw
NXJ4cjB6MDV3ZWVwd3B0MGZleCIgdGltZXN0YW1wPSIxNTkyMzAxNjI4Ij40OTI1Nzwva2V5Pjwv
Zm9yZWlnbi1rZXlzPjxyZWYtdHlwZSBuYW1lPSJKb3VybmFsIEFydGljbGUiPjE3PC9yZWYtdHlw
ZT48Y29udHJpYnV0b3JzPjxhdXRob3JzPjxhdXRob3I+VGVybWVlciwgQ0pBTTwvYXV0aG9yPjxh
dXRob3I+RGV3dWxmLCBBUlBKPC9hdXRob3I+PC9hdXRob3JzPjwvY29udHJpYnV0b3JzPjx0aXRs
ZXM+PHRpdGxlPlNjYWxlLXNlbnNpdGl2aXR5IGFzIGEgZ292ZXJuYW5jZSBjYXBhYmlsaXR5OiBP
YnNlcnZpbmcsIGFjdGluZyBhbmQgZW5hYmxpbmc8L3RpdGxlPjxzZWNvbmRhcnktdGl0bGU+U2Nh
bGUtc2Vuc2l0aXZlIGdvdmVybmFuY2Ugb2YgdGhlIGVudmlyb25tZW50PC9zZWNvbmRhcnktdGl0
bGU+PC90aXRsZXM+PHBlcmlvZGljYWw+PGZ1bGwtdGl0bGU+U2NhbGUtc2Vuc2l0aXZlIGdvdmVy
bmFuY2Ugb2YgdGhlIGVudmlyb25tZW50PC9mdWxsLXRpdGxlPjwvcGVyaW9kaWNhbD48cGFnZXM+
NjYtODA8L3BhZ2VzPjxkYXRlcz48eWVhcj4yMDE0PC95ZWFyPjwvZGF0ZXM+PHVybHM+PC91cmxz
PjwvcmVjb3JkPjwvQ2l0ZT48L0VuZE5vdGU+AG==
</w:fldData>
              </w:fldChar>
            </w:r>
            <w:r w:rsidRPr="00A9434B">
              <w:rPr>
                <w:rFonts w:eastAsia="Batang"/>
              </w:rPr>
              <w:instrText xml:space="preserve"> ADDIN EN.CITE.DATA </w:instrText>
            </w:r>
            <w:r w:rsidRPr="00A9434B">
              <w:rPr>
                <w:rFonts w:eastAsia="Batang"/>
              </w:rPr>
            </w:r>
            <w:r w:rsidRPr="00A9434B">
              <w:rPr>
                <w:rFonts w:eastAsia="Batang"/>
              </w:rPr>
              <w:fldChar w:fldCharType="end"/>
            </w:r>
            <w:r w:rsidRPr="00A9434B">
              <w:rPr>
                <w:rFonts w:eastAsia="Batang"/>
              </w:rPr>
            </w:r>
            <w:r w:rsidRPr="00A9434B">
              <w:rPr>
                <w:rFonts w:eastAsia="Batang"/>
              </w:rPr>
              <w:fldChar w:fldCharType="separate"/>
            </w:r>
            <w:r w:rsidR="00990B51" w:rsidRPr="00A9434B">
              <w:rPr>
                <w:rFonts w:eastAsia="Batang"/>
              </w:rPr>
              <w:fldChar w:fldCharType="begin"/>
            </w:r>
            <w:r w:rsidR="00E279A7">
              <w:rPr>
                <w:rFonts w:eastAsia="Batang"/>
              </w:rPr>
              <w:instrText xml:space="preserve"> ADDIN ZOTERO_ITEM CSL_CITATION {"citationID":"mau39Oua","properties":{"formattedCitation":"(D. C. Cook et al., 2014; Ford-Thompson et al., 2012; Jonsson et al., 2016; P. Martin et al., 2016; P. Martin &amp; Taylor, 2018; Outhwaite, 2017; Termeer et al., 2016; Termeer &amp; Dewulf, 2014)","plainCitation":"(D. C. Cook et al., 2014; Ford-Thompson et al., 2012; Jonsson et al., 2016; P. Martin et al., 2016; P. Martin &amp; Taylor, 2018; Outhwaite, 2017; Termeer et al., 2016; Termeer &amp; Dewulf, 2014)","dontUpdate":true,"noteIndex":0},"citationItems":[{"id":23958,"uris":["http://zotero.org/groups/2352922/items/XTK2VNGK"],"itemData":{"id":23958,"type":"article-journal","container-title":"Environmental Science &amp; Policy","DOI":"10.1016/j.envsci.2014.04.007","ISSN":"1462-9011","page":"1-10","title":"Plant biosecurity policy-making modelled on the human immune system: What would it look like?","volume":"41","author":[{"family":"Cook","given":"David C."},{"family":"Kristensen","given":"Nadiah P."},{"family":"Liu","given":"Shuang"},{"family":"Paini","given":"Dean R."},{"family":"Kerr","given":"Peter J."},{"family":"Sheppard","given":"Andy W."},{"family":"Lonsdale","given":"W. Mark"},{"family":"McAllister","given":"Ryan R. J."},{"family":"De Barro","given":"Paul J."}],"issued":{"date-parts":[["2014",8]]}},"label":"page"},{"id":24037,"uris":["http://zotero.org/groups/2352922/items/S5YKXXGM"],"itemData":{"id":24037,"type":"article-journal","abstract":"Stakeholders are increasingly involved in species conservation. We sought to understand what features of a participatory conservation program are associated with its ecological and social outcomes. We conducted a case study of the management of invasive vertebrates in Australia. Invasive vertebrates are a substantial threat to Australia's native species, and stakeholder participation in their management is often necessary for their control. First , we identified potential influences on the ecological and social outcomes of species conservation programs from the literature. We used this information to devise an interview questionnaire, which we administered to managers of 34 participatory invasive-vertebrate programs. Effects of invasive species were related to program initiator (agency or citizen), reasons for use of a participatory approach, and stakeholder composition. Program initiator was also related to the participation methods used, level of governance (i.e., governed by an agency or citizens), changes in stakeholder interactions, and changes in abundance of invasive species. Ecological and social outcomes were related to changes in abundance of invasive species and stakeholder satisfaction. We identified relations between changes in the number of participants, stakeholder satisfaction, and occurrence of conflict. Potential ways to achieve ecological and social goals include provision of governmental support (e.g., funding) to stakeholders and minimization of gaps in representation of stakeholder groups or individuals to, for example, increase conflict mitigation. Our findings provide guidance for increasing the probability of achieving ecological and social objectives in management of invasive vertebrates and may be applicable to other participatory conservation programs.","container-title":"Conservation Biology","DOI":"10.1111/j.1523-1739.2011.01819.x","ISSN":"0888-8892","issue":"2","journalAbbreviation":"Conserv. Biol.","language":"en","page":"345-356","title":"Stakeholder Participation in Management of Invasive Vertebrates","URL":"http://doi.wiley.com/10.1111/j.1523-1739.2011.01819.x","volume":"26","author":[{"family":"Ford-Thompson","given":"Adriana E. S."},{"family":"Snell","given":"Carolyn"},{"family":"Saunders","given":"Glen"},{"family":"White","given":"Piran C. L."}],"issued":{"date-parts":[["2012",4]]}},"label":"page"},{"id":24204,"uris":["http://zotero.org/groups/2352922/items/79XB9BII"],"itemData":{"id":24204,"type":"chapter","collection-title":"MARE Publication Series","container-title":"Environmental Governance of the Baltic Sea","event-place":"Cham","ISBN":"978-3-319-27006-7","note":"DOI: 10.1007/978-3-319-27006-7_9","page":"205-227","publisher":"Springer","publisher-place":"Cham","title":"Risk Communication and the Role of the Public: Towards Inclusive Environmental Governance of the Baltic Sea?","volume":"10","author":[{"family":"Jonsson","given":"Anna Maria"},{"family":"Bostrom","given":"Magnus"},{"family":"Dreyer","given":"Marion"},{"family":"Soderstrom","given":"Sara"}],"editor":[{"family":"Gilek","given":"M."},{"family":"Karlsson","given":"M."},{"family":"Linke","given":"S."},{"family":"Smolarz","given":"K."}],"issued":{"date-parts":[["2016"]]}},"label":"page"},{"id":11351,"uris":["http://zotero.org/groups/2352922/items/BMBKHVLX"],"itemData":{"id":11351,"type":"chapter","collection-title":"Water Science and Technology Library","container-title":"Balanced Urban Development: Options and Strategies for Liveable Cities","event-place":"Cham","ISBN":"978-3-319-28112-4","note":"DOI: 10.1007/978-3-319-28112-4_28","page":"465-480","publisher":"Springer","publisher-place":"Cham","title":"Effect of Social and Institutional Fragmentation on Collective Action in Peri-Urban Settings","volume":"72","author":[{"family":"Martin","given":"Paul"},{"family":"Le Gal","given":"Elodie"},{"family":"Choy","given":"Darryl Low"}],"editor":[{"family":"Maheshwari","given":"B."},{"family":"Thoradeniya","given":"B."},{"family":"Singh","given":"V. P."}],"issued":{"date-parts":[["2016"]]}},"label":"page"},{"id":23809,"uris":["http://zotero.org/groups/2352922/items/GMLBRS2S"],"itemData":{"id":23809,"type":"article-journal","container-title":"Environmental and planning law journal","DOI":"10.3316/agispt.20181228005297","ISSN":"0813-300X","issue":"6","journalAbbreviation":"Environ. Plan. Law J.","page":"743-762","title":"Environmental Stewardship Duties in Biosecurity: Issues and Challenges","volume":"35","author":[{"family":"Martin","given":"Paul"},{"family":"Taylor","given":"Natalie"}],"issued":{"date-parts":[["2018",11]]}},"label":"page"},{"id":21319,"uris":["http://zotero.org/groups/2352922/items/LC7G38FZ"],"itemData":{"id":21319,"type":"article-journal","abstract":"Abstract.  The regulation of animals falls into three main paradigms; animal health, animal welfare and conservation. This article argues that in the modern con","container-title":"Journal of Environmental Law","DOI":"10.1093/jel/eqx005","ISSN":"0952-8873","issue":"2","journalAbbreviation":"J Environmental Law","language":"en","note":"publisher: Oxford Academic","page":"317-341","source":"academic.oup.com","title":"Neither Fish, nor Fowl: Honeybees and the Parameters of Current Legal Frameworks for Animals, Wildlife and Biodiversity","title-short":"Neither Fish, nor Fowl","URL":"https://academic.oup.com/jel/article/29/2/317/3583221","volume":"29","author":[{"family":"Outhwaite","given":"Opi"}],"accessed":{"date-parts":[["2020",2,22]]},"issued":{"date-parts":[["2017",7,1]]}},"label":"page"},{"id":23856,"uris":["http://zotero.org/groups/2352922/items/RDSZSNGU"],"itemData":{"id":23856,"type":"article-journal","container-title":"Landscape and Urban Planning","DOI":"http://dx.doi.org/10.1016/j.landurbplan.2016.01.007","journalAbbreviation":"Landscape Urban Plann.","page":"11-19","title":"Coping with the wicked problem of climate adaptation across scales: The Five R Governance Capabilities","volume":"154","author":[{"family":"Termeer","given":"C. J. A. M."},{"family":"Dewulf","given":"A."},{"family":"Karlsson-Vinkhuyzen","given":"S. I."},{"family":"Vink","given":"M."},{"family":"Vliet","given":"M.","non-dropping-particle":"van"}],"issued":{"date-parts":[["2016"]]}},"label":"page"},{"id":24366,"uris":["http://zotero.org/groups/2352922/items/NWG39SPM"],"itemData":{"id":24366,"type":"chapter","container-title":"Scale-sensitive Governance of the Environment","event-place":"Oxford, UK","ISBN":"978-1-118-56713-5","language":"en","note":"DOI: 10.1002/9781118567135.ch3","page":"38-55","publisher":"John Wiley &amp; Sons, Ltd","publisher-place":"Oxford, UK","source":"DOI.org (Crossref)","title":"Scale-Sensitivity as a Governance Capability: Observing, Acting and Enabling","title-short":"Scale-Sensitivity as a Governance Capability","URL":"http://doi.wiley.com/10.1002/9781118567135.ch3","editor":[{"family":"Padt","given":"Frans"},{"family":"Opdam","given":"Paul"},{"family":"Polman","given":"Nico"},{"family":"Termeer","given":"C. J. A. M."}],"author":[{"family":"Termeer","given":"C. J. A. M."},{"family":"Dewulf","given":"Art"}],"accessed":{"date-parts":[["2021",2,9]]},"issued":{"date-parts":[["2014",3,14]]}},"label":"page"}],"schema":"https://github.com/citation-style-language/schema/raw/master/csl-citation.json"} </w:instrText>
            </w:r>
            <w:r w:rsidR="00990B51" w:rsidRPr="00A9434B">
              <w:rPr>
                <w:rFonts w:eastAsia="Batang"/>
              </w:rPr>
              <w:fldChar w:fldCharType="separate"/>
            </w:r>
            <w:r w:rsidR="00F71CC6" w:rsidRPr="00F71CC6">
              <w:t>D. C. Cook et al., 2014; Ford-Thompson et al., 2012; Jonsson et al., 2016; P. Martin et al., 2016; P. Martin &amp; Taylor, 2018; Outhwaite, 2017; Termeer et al., 2016; Termeer &amp; Dewulf, 2014</w:t>
            </w:r>
            <w:r w:rsidR="00990B51" w:rsidRPr="00A9434B">
              <w:rPr>
                <w:rFonts w:eastAsia="Batang"/>
              </w:rPr>
              <w:fldChar w:fldCharType="end"/>
            </w:r>
          </w:p>
          <w:p w14:paraId="36452E11" w14:textId="65CD5D18" w:rsidR="00017C04" w:rsidRPr="00C73655" w:rsidRDefault="00CA3187">
            <w:pPr>
              <w:spacing w:before="0" w:after="0"/>
              <w:rPr>
                <w:lang w:val="da-DK"/>
              </w:rPr>
            </w:pPr>
            <w:r w:rsidRPr="00A9434B">
              <w:rPr>
                <w:rFonts w:eastAsia="Batang"/>
              </w:rPr>
              <w:fldChar w:fldCharType="end"/>
            </w:r>
          </w:p>
        </w:tc>
      </w:tr>
    </w:tbl>
    <w:p w14:paraId="37B7D228" w14:textId="77777777" w:rsidR="00017C04" w:rsidRDefault="00F50AF9" w:rsidP="00C12647">
      <w:pPr>
        <w:pStyle w:val="Heading3"/>
        <w:ind w:left="720"/>
      </w:pPr>
      <w:bookmarkStart w:id="178" w:name="_heading=h.28h4qwu" w:colFirst="0" w:colLast="0"/>
      <w:bookmarkStart w:id="179" w:name="_Toc75698972"/>
      <w:bookmarkStart w:id="180" w:name="_Toc198438609"/>
      <w:bookmarkStart w:id="181" w:name="_Toc133428299"/>
      <w:bookmarkEnd w:id="178"/>
      <w:r>
        <w:t>Employing multiple models of governance</w:t>
      </w:r>
      <w:bookmarkEnd w:id="179"/>
      <w:bookmarkEnd w:id="180"/>
      <w:bookmarkEnd w:id="181"/>
    </w:p>
    <w:p w14:paraId="22060CDE" w14:textId="3F061035" w:rsidR="00017C04" w:rsidRDefault="00F50AF9">
      <w:r>
        <w:t xml:space="preserve">Together, four complementary models of governance (1-4 below) provide a high-level framing for comprehensive governance and for guiding the development of national invasive alien species strategies </w:t>
      </w:r>
      <w:r w:rsidR="00C14761" w:rsidRPr="00A9434B">
        <w:t>(</w:t>
      </w:r>
      <w:r w:rsidR="00E560BA">
        <w:rPr>
          <w:b/>
          <w:iCs/>
        </w:rPr>
        <w:t>Figure 6.</w:t>
      </w:r>
      <w:r w:rsidR="00E560BA" w:rsidRPr="00E560BA">
        <w:rPr>
          <w:b/>
          <w:iCs/>
        </w:rPr>
        <w:t>6</w:t>
      </w:r>
      <w:r w:rsidR="00B86627" w:rsidRPr="00C27DCE">
        <w:t>;</w:t>
      </w:r>
      <w:r w:rsidR="00C14761" w:rsidRPr="00C27DCE">
        <w:t xml:space="preserve"> </w:t>
      </w:r>
      <w:r w:rsidR="004F698E" w:rsidRPr="00A9434B">
        <w:fldChar w:fldCharType="begin"/>
      </w:r>
      <w:r w:rsidR="0006613E">
        <w:instrText xml:space="preserve"> ADDIN ZOTERO_ITEM CSL_CITATION {"citationID":"0Do8GHyX","properties":{"formattedCitation":"(IPBES, 2019b)","plainCitation":"(IPBES, 2019b)","dontUpdate":true,"noteIndex":0},"citationItems":[{"id":30735,"uris":["http://zotero.org/groups/2352922/items/LQWMAXBV","http://zotero.org/groups/2352922/items/PN6IMK2B"],"itemData":{"id":30735,"type":"paper-conference","container-title":"Information on work related to policy support tools and methodologies","event-place":"Paris, France","event-title":"Plenary of the Intergovernmental Science-Policy Platform on Biodiversity and Ecosystem Services Seventh session","page":"Appendix 1","publisher":"IPBES","publisher-place":"Paris, France","title":"Methodological guidance for assessing policy instruments and facilitating the use for policy support tools and methodologies through IPBES assessments","volume":"IPBES/7/INF/13","author":[{"literal":"IPBES"}],"issued":{"date-parts":[["2019"]]}},"label":"page"}],"schema":"https://github.com/citation-style-language/schema/raw/master/csl-citation.json"} </w:instrText>
      </w:r>
      <w:r w:rsidR="004F698E" w:rsidRPr="00A9434B">
        <w:fldChar w:fldCharType="separate"/>
      </w:r>
      <w:r w:rsidR="00C71E80" w:rsidRPr="00A9434B">
        <w:t>IPBES, 2019b)</w:t>
      </w:r>
      <w:r w:rsidR="004F698E" w:rsidRPr="00A9434B">
        <w:fldChar w:fldCharType="end"/>
      </w:r>
      <w:r w:rsidR="00C14761" w:rsidRPr="00A9434B">
        <w:t>.</w:t>
      </w:r>
      <w:r>
        <w:t xml:space="preserve"> These models provide alternative but, importantly, not mutually exclusive mechanisms for bringing about policy implementation, and together they encompass a focus on all relevant actors </w:t>
      </w:r>
      <w:r w:rsidR="00C14761" w:rsidRPr="00A9434B">
        <w:fldChar w:fldCharType="begin"/>
      </w:r>
      <w:r w:rsidR="00C14761" w:rsidRPr="00A9434B">
        <w:instrText xml:space="preserve"> ADDIN EN.CITE &lt;EndNote&gt;&lt;Cite&gt;&lt;Author&gt;Primmer&lt;/Author&gt;&lt;Year&gt;2015&lt;/Year&gt;&lt;RecNum&gt;49254&lt;/RecNum&gt;&lt;DisplayText&gt;(Primmer, Jokinen et al. 2015)&lt;/DisplayText&gt;&lt;record&gt;&lt;rec-number&gt;49254&lt;/rec-number&gt;&lt;foreign-keys&gt;&lt;key app="EN" db-id="awx9raddr0xx2hev05rxr0z05weepwpt0fex" timestamp="1592109318"&gt;49254&lt;/key&gt;&lt;/foreign-keys&gt;&lt;ref-type name="Journal Article"&gt;17&lt;/ref-type&gt;&lt;contributors&gt;&lt;authors&gt;&lt;author&gt;Primmer, Eeva&lt;/author&gt;&lt;author&gt;Jokinen, Pekka&lt;/author&gt;&lt;author&gt;Blicharska, Malgorzata&lt;/author&gt;&lt;author&gt;Barton, David N&lt;/author&gt;&lt;author&gt;Bugter, Rob&lt;/author&gt;&lt;author&gt;Potschin, Marion&lt;/author&gt;&lt;/authors&gt;&lt;/contributors&gt;&lt;titles&gt;&lt;title&gt;Governance of ecosystem services: a framework for empirical analysis&lt;/title&gt;&lt;secondary-title&gt;Ecosystem Services&lt;/secondary-title&gt;&lt;/titles&gt;&lt;periodical&gt;&lt;full-title&gt;Ecosystem Services&lt;/full-title&gt;&lt;/periodical&gt;&lt;pages&gt;158-166&lt;/pages&gt;&lt;volume&gt;16&lt;/volume&gt;&lt;dates&gt;&lt;year&gt;2015&lt;/year&gt;&lt;/dates&gt;&lt;isbn&gt;2212-0416&lt;/isbn&gt;&lt;urls&gt;&lt;/urls&gt;&lt;/record&gt;&lt;/Cite&gt;&lt;/EndNote&gt;</w:instrText>
      </w:r>
      <w:r w:rsidR="00C14761" w:rsidRPr="00A9434B">
        <w:fldChar w:fldCharType="separate"/>
      </w:r>
      <w:r w:rsidR="00DD6448" w:rsidRPr="00A9434B">
        <w:fldChar w:fldCharType="begin"/>
      </w:r>
      <w:r w:rsidR="0006613E">
        <w:instrText xml:space="preserve"> ADDIN ZOTERO_ITEM CSL_CITATION {"citationID":"a20i2aqq3bb","properties":{"formattedCitation":"\\uldash{(Primmer et al., 2015)}","plainCitation":"(Primmer et al., 2015)","dontUpdate":true,"noteIndex":0},"citationItems":[{"id":24254,"uris":["http://zotero.org/groups/2352922/items/LLCPTQ6P"],"itemData":{"id":24254,"type":"article-journal","abstract":"Biodiversity conservation policies justiﬁed with science and intrinsic value arguments have produced disappointing outcomes, and the need for conservation is now being additionally justiﬁed with the concept of ecosystem services. However, little, if any empirical attention is paid to ways in which different types of ecosystem service decisions are made, to what arguments are effective in turning policy into practice and further into conservation outcomes and, in general, to how ecosystem services are governed. To close this gap, this paper identiﬁes the different modes of governance in policy implementation from biodiversity and environmental conservation literature and incorporates them in a conceptual model of ecosystem services commonly utilised at present, the cascade model. The resulting conceptual framework encompasses: (1) hierarchical governance; (2) scientiﬁc-technical governance; (3) adaptive collaborative governance; and; (4) governing strategic behaviour. This comprehensive framework provides a structure for empirical analysis of ecosystem services governance, which takes into account the people and organisations making decisions, and, in particular, the different arguments that are used when implementing policies. The framework will facilitate holistic ecosystem service analyses and support policies in generating conservation and sustainability impact.","container-title":"Ecosystem Services","DOI":"10.1016/j.ecoser.2015.05.002","ISSN":"22120416","journalAbbreviation":"Ecosystem Services","language":"en","page":"158-166","source":"DOI.org (Crossref)","title":"Governance of Ecosystem Services: A framework for empirical analysis","title-short":"Governance of Ecosystem Services","URL":"https://linkinghub.elsevier.com/retrieve/pii/S2212041615300012","volume":"16","author":[{"family":"Primmer","given":"Eeva"},{"family":"Jokinen","given":"Pekka"},{"family":"Blicharska","given":"Malgorzata"},{"family":"Barton","given":"David N."},{"family":"Bugter","given":"Rob"},{"family":"Potschin","given":"Marion"}],"accessed":{"date-parts":[["2020",6,10]]},"issued":{"date-parts":[["2015",12]]}},"label":"page"}],"schema":"https://github.com/citation-style-language/schema/raw/master/csl-citation.json"} </w:instrText>
      </w:r>
      <w:r w:rsidR="00DD6448" w:rsidRPr="00A9434B">
        <w:fldChar w:fldCharType="separate"/>
      </w:r>
      <w:r w:rsidR="00FA2977" w:rsidRPr="00A9434B">
        <w:t>(Primmer et al., 2015</w:t>
      </w:r>
      <w:r w:rsidR="00DD6448" w:rsidRPr="00A9434B">
        <w:fldChar w:fldCharType="end"/>
      </w:r>
      <w:r w:rsidR="00C14761" w:rsidRPr="00A9434B">
        <w:fldChar w:fldCharType="end"/>
      </w:r>
      <w:r w:rsidR="00982C0D" w:rsidRPr="00A9434B">
        <w:t>;</w:t>
      </w:r>
      <w:r w:rsidR="00C14761" w:rsidRPr="00A9434B">
        <w:t xml:space="preserve"> </w:t>
      </w:r>
      <w:r w:rsidR="004155A5" w:rsidRPr="00673554">
        <w:rPr>
          <w:b/>
          <w:iCs/>
        </w:rPr>
        <w:fldChar w:fldCharType="begin"/>
      </w:r>
      <w:r w:rsidR="004155A5" w:rsidRPr="00673554">
        <w:rPr>
          <w:b/>
          <w:iCs/>
        </w:rPr>
        <w:instrText xml:space="preserve"> REF _Ref104895003 \h  \* MERGEFORMAT </w:instrText>
      </w:r>
      <w:r w:rsidR="004155A5" w:rsidRPr="00673554">
        <w:rPr>
          <w:b/>
          <w:iCs/>
        </w:rPr>
      </w:r>
      <w:r w:rsidR="004155A5" w:rsidRPr="00673554">
        <w:rPr>
          <w:b/>
          <w:iCs/>
        </w:rPr>
        <w:fldChar w:fldCharType="separate"/>
      </w:r>
      <w:r w:rsidR="0011368C" w:rsidRPr="00673554">
        <w:rPr>
          <w:b/>
          <w:iCs/>
        </w:rPr>
        <w:t>Figure 6.7</w:t>
      </w:r>
      <w:r w:rsidR="004155A5" w:rsidRPr="00673554">
        <w:rPr>
          <w:b/>
          <w:iCs/>
        </w:rPr>
        <w:fldChar w:fldCharType="end"/>
      </w:r>
      <w:r w:rsidR="00C14761" w:rsidRPr="00A9434B">
        <w:t>).</w:t>
      </w:r>
      <w:r>
        <w:t xml:space="preserve"> Each of these models thus plays a role in the comprehensive and strategic governance for biological invasions; each encompasses options for strengthening governance that are outlined in further detail in </w:t>
      </w:r>
      <w:r>
        <w:rPr>
          <w:b/>
        </w:rPr>
        <w:t xml:space="preserve">sections 6.3 </w:t>
      </w:r>
      <w:r>
        <w:t>to</w:t>
      </w:r>
      <w:r>
        <w:rPr>
          <w:b/>
        </w:rPr>
        <w:t xml:space="preserve"> 6.6</w:t>
      </w:r>
      <w:r>
        <w:t xml:space="preserve">. </w:t>
      </w:r>
    </w:p>
    <w:p w14:paraId="5D286D4C" w14:textId="356F055F" w:rsidR="00017C04" w:rsidRDefault="00C27DCE" w:rsidP="00C27DCE">
      <w:pPr>
        <w:pStyle w:val="Heading5"/>
      </w:pPr>
      <w:r>
        <w:t xml:space="preserve">(1) </w:t>
      </w:r>
      <w:r w:rsidR="00F50AF9">
        <w:t>Hierarchical governance: Top-down governance based on agreed invasive alien species -relevant policies or decisions and their implementation</w:t>
      </w:r>
    </w:p>
    <w:p w14:paraId="72F5F5D7" w14:textId="04F3A1F7" w:rsidR="00017C04" w:rsidRDefault="00F50AF9">
      <w:pPr>
        <w:spacing w:before="0"/>
      </w:pPr>
      <w:r>
        <w:t>Governments enact legislation, develop aligned regulatory policy, and provide the funding needed to implement risk assessment and surveillance (</w:t>
      </w:r>
      <w:r w:rsidR="008F7100">
        <w:rPr>
          <w:rFonts w:eastAsia="Batang"/>
          <w:b/>
          <w:bCs/>
          <w:iCs/>
        </w:rPr>
        <w:t>G</w:t>
      </w:r>
      <w:r w:rsidR="0015198F" w:rsidRPr="00673554">
        <w:rPr>
          <w:rFonts w:eastAsia="Batang"/>
          <w:b/>
          <w:bCs/>
          <w:iCs/>
        </w:rPr>
        <w:t>lossary</w:t>
      </w:r>
      <w:r w:rsidR="0015198F" w:rsidRPr="00A9434B">
        <w:rPr>
          <w:rFonts w:eastAsia="Batang"/>
          <w:bCs/>
        </w:rPr>
        <w:t xml:space="preserve">; </w:t>
      </w:r>
      <w:r w:rsidR="00C14761" w:rsidRPr="00A9434B">
        <w:rPr>
          <w:rFonts w:eastAsia="Batang"/>
          <w:b/>
          <w:bCs/>
        </w:rPr>
        <w:fldChar w:fldCharType="begin"/>
      </w:r>
      <w:r w:rsidR="00C14761" w:rsidRPr="00A9434B">
        <w:rPr>
          <w:rFonts w:eastAsia="Batang"/>
          <w:bCs/>
        </w:rPr>
        <w:instrText xml:space="preserve"> ADDIN EN.CITE &lt;EndNote&gt;&lt;Cite&gt;&lt;Author&gt;Lodge&lt;/Author&gt;&lt;Year&gt;2006&lt;/Year&gt;&lt;RecNum&gt;70&lt;/RecNum&gt;&lt;DisplayText&gt;(Lodge, Williams et al. 2006)&lt;/DisplayText&gt;&lt;record&gt;&lt;rec-number&gt;88&lt;/rec-number&gt;&lt;foreign-keys&gt;&lt;key app="EN" db-id="0d55paxdcvwpebe55d1vrz5ne2pattprarta" timestamp="1597992734"&gt;88&lt;/key&gt;&lt;/foreign-keys&gt;&lt;ref-type name="Journal Article"&gt;17&lt;/ref-type&gt;&lt;contributors&gt;&lt;authors&gt;&lt;author&gt;Lodge, David M. &lt;/author&gt;&lt;author&gt;Williams, Susan &lt;/author&gt;&lt;author&gt;MacIsaac, Hugh J. &lt;/author&gt;&lt;author&gt;Hayes, Keith R. &lt;/author&gt;&lt;author&gt;Leung, Brian &lt;/author&gt;&lt;author&gt;Reichard, Sarah &lt;/author&gt;&lt;author&gt;Mack, Richard N. &lt;/author&gt;&lt;author&gt;Moyle, Peter B.&lt;/author&gt;&lt;author&gt;Smith, Maggie &lt;/author&gt;&lt;author&gt;Andow, David A. &lt;/author&gt;&lt;author&gt;Carlton, James T. &lt;/author&gt;&lt;author&gt;McMichael, Anthony &lt;/author&gt;&lt;/authors&gt;&lt;/contributors&gt;&lt;titles&gt;&lt;title&gt;Biological invasions: Recommendations for U.S. Policy and Management&lt;/title&gt;&lt;secondary-title&gt;Ecological Applications&lt;/secondary-title&gt;&lt;/titles&gt;&lt;periodical&gt;&lt;full-title&gt;Ecological Applications&lt;/full-title&gt;&lt;/periodical&gt;&lt;pages&gt;2035-2054&lt;/pages&gt;&lt;volume&gt;16&lt;/volume&gt;&lt;number&gt;6&lt;/number&gt;&lt;dates&gt;&lt;year&gt;2006&lt;/year&gt;&lt;/dates&gt;&lt;label&gt;pdf&lt;/label&gt;&lt;urls&gt;&lt;/urls&gt;&lt;/record&gt;&lt;/Cite&gt;&lt;/EndNote&gt;</w:instrText>
      </w:r>
      <w:r w:rsidR="00C14761" w:rsidRPr="00A9434B">
        <w:rPr>
          <w:rFonts w:eastAsia="Batang"/>
          <w:b/>
          <w:bCs/>
        </w:rPr>
        <w:fldChar w:fldCharType="separate"/>
      </w:r>
      <w:r w:rsidR="00C14761" w:rsidRPr="00A9434B">
        <w:rPr>
          <w:rFonts w:eastAsia="Batang"/>
          <w:b/>
          <w:bCs/>
        </w:rPr>
        <w:fldChar w:fldCharType="begin"/>
      </w:r>
      <w:r w:rsidR="0006613E">
        <w:rPr>
          <w:rFonts w:eastAsia="Batang"/>
          <w:bCs/>
        </w:rPr>
        <w:instrText xml:space="preserve"> ADDIN ZOTERO_ITEM CSL_CITATION {"citationID":"a2iocbqbhfp","properties":{"formattedCitation":"\\uldash{(Lodge et al., 2006)}","plainCitation":"(Lodge et al., 2006)","dontUpdate":true,"noteIndex":0},"citationItems":[{"id":26705,"uris":["http://zotero.org/groups/2352922/items/NYTDRNS8"],"itemData":{"id":26705,"type":"article-journal","abstract":"The Ecological Society of America has evaluated current U.S. national policies and practices on biological invasions in light of current scientific knowledge. Invasions by harmful nonnative species are increasing in number and area affected; the damages to ecosystems, economic activity, and human welfare are accumulating. Without improved strategies based on recent scientific advances and increased investments to counter invasions, harm from invasive species is likely to accelerate. Federal leadership, with the cooperation of state and local governments, is required to increase the effectiveness of prevention of invasions, detect and respond quickly to new potentially harmful invasions, control and slow the spread of existing invasions, and provide a national center to ensure that these efforts are coordinated and cost effective. Specifically, the Ecological Society of America recommends that the federal government take the following six actions: (1) Use new information and practices to better manage commercial and other pathways to reduce the transport and release of potentially harmful species; (2) Adopt more quantitative procedures for risk analysis and apply them to every species proposed for importation into the country; (3) Use new cost-effective diagnostic technologies to increase active surveillance and sharing of information about invasive species so that responses to new invasions can be more rapid and effective; (4) Create new legal authority and provide emergency funding to support rapid responses to emerging invasions; (5) Provide funding and incentives for cost-effective programs to slow the spread of existing invasive species in order to protect still uninvaded ecosystems, social and industrial infrastructure, and human welfare; and (6) Establish a National Center for Invasive Species Management (under the existing National Invasive Species Council) to coordinate and lead improvements in federal, state, and international policies on invasive species. Recent scientific and technical advances provide a sound basis for more cost-effective national responses to invasive species. Greater investments in improved technology and management practices would be more than repaid by reduced damages from current and future invasive species. The Ecological Society of America is committed to assist all levels of government and provide scientific advice to improve all aspects of invasive-species management.","archive":"JSTOR","container-title":"Ecological Applications","DOI":"10.1890/1051-0761(2006)016[2035:BIRFUP]2.0.CO;2","ISSN":"1051-0761","issue":"6","page":"2035-2054","source":"JSTOR","title":"Biological Invasions: Recommendations for U.S. Policy and Management","title-short":"Biological Invasions","URL":"https://www.jstor.org/stable/40061941","volume":"16","author":[{"family":"Lodge","given":"David M."},{"family":"Williams","given":"Susan"},{"family":"MacIsaac","given":"Hugh J."},{"family":"Hayes","given":"Keith R."},{"family":"Leung","given":"Brian"},{"family":"Reichard","given":"Sarah"},{"family":"Mack","given":"Richard N."},{"family":"Moyle","given":"Peter B."},{"family":"Smith","given":"Maggie"},{"family":"Andow","given":"David A."},{"family":"Carlton","given":"James T."},{"family":"McMichael","given":"Anthony"}],"accessed":{"date-parts":[["2019",10,12]]},"issued":{"date-parts":[["2006"]]}},"label":"page"}],"schema":"https://github.com/citation-style-language/schema/raw/master/csl-citation.json"} </w:instrText>
      </w:r>
      <w:r w:rsidR="00C14761" w:rsidRPr="00A9434B">
        <w:rPr>
          <w:rFonts w:eastAsia="Batang"/>
          <w:b/>
          <w:bCs/>
        </w:rPr>
        <w:fldChar w:fldCharType="separate"/>
      </w:r>
      <w:r w:rsidR="00FA2977" w:rsidRPr="00A9434B">
        <w:t>Lodge et al., 2006)</w:t>
      </w:r>
      <w:r w:rsidR="00C14761" w:rsidRPr="00A9434B">
        <w:rPr>
          <w:rFonts w:eastAsia="Batang"/>
          <w:b/>
          <w:bCs/>
        </w:rPr>
        <w:fldChar w:fldCharType="end"/>
      </w:r>
      <w:r w:rsidR="00C14761" w:rsidRPr="00A9434B">
        <w:rPr>
          <w:rFonts w:eastAsia="Batang"/>
          <w:b/>
          <w:bCs/>
        </w:rPr>
        <w:fldChar w:fldCharType="end"/>
      </w:r>
      <w:r w:rsidR="00C14761" w:rsidRPr="00A9434B">
        <w:rPr>
          <w:rFonts w:eastAsia="Batang"/>
          <w:bCs/>
        </w:rPr>
        <w:t xml:space="preserve">, </w:t>
      </w:r>
      <w:r w:rsidR="003B193D" w:rsidRPr="00A9434B">
        <w:rPr>
          <w:rFonts w:eastAsia="Batang"/>
          <w:bCs/>
        </w:rPr>
        <w:t xml:space="preserve">i.e., </w:t>
      </w:r>
      <w:r w:rsidR="00C14761" w:rsidRPr="00A9434B">
        <w:rPr>
          <w:rFonts w:eastAsia="Batang"/>
          <w:bCs/>
        </w:rPr>
        <w:t>provide a comprehensive, centralized</w:t>
      </w:r>
      <w:r w:rsidR="00896CEC">
        <w:rPr>
          <w:rFonts w:eastAsia="Batang"/>
          <w:bCs/>
        </w:rPr>
        <w:t xml:space="preserve"> and</w:t>
      </w:r>
      <w:r w:rsidR="00C14761" w:rsidRPr="00A9434B">
        <w:rPr>
          <w:rFonts w:eastAsia="Batang"/>
          <w:bCs/>
        </w:rPr>
        <w:t xml:space="preserve"> science-based control regime, administered through one or more national agencies </w:t>
      </w:r>
      <w:r w:rsidR="00C14761" w:rsidRPr="00A9434B">
        <w:rPr>
          <w:rFonts w:eastAsia="Batang"/>
          <w:b/>
          <w:bCs/>
        </w:rPr>
        <w:fldChar w:fldCharType="begin"/>
      </w:r>
      <w:r w:rsidR="00C14761" w:rsidRPr="00A9434B">
        <w:rPr>
          <w:rFonts w:eastAsia="Batang"/>
          <w:bCs/>
        </w:rPr>
        <w:instrText xml:space="preserve"> ADDIN EN.CITE &lt;EndNote&gt;&lt;Cite&gt;&lt;Author&gt;Herrick&lt;/Author&gt;&lt;Year&gt;2019&lt;/Year&gt;&lt;RecNum&gt;49012&lt;/RecNum&gt;&lt;DisplayText&gt;(Herrick 2019)&lt;/DisplayText&gt;&lt;record&gt;&lt;rec-number&gt;49012&lt;/rec-number&gt;&lt;foreign-keys&gt;&lt;key app="EN" db-id="awx9raddr0xx2hev05rxr0z05weepwpt0fex" timestamp="1581497320"&gt;49012&lt;/key&gt;&lt;/foreign-keys&gt;&lt;ref-type name="Journal Article"&gt;17&lt;/ref-type&gt;&lt;contributors&gt;&lt;authors&gt;&lt;author&gt;Herrick, Charles N.&lt;/author&gt;&lt;/authors&gt;&lt;/contributors&gt;&lt;titles&gt;&lt;title&gt;A review of the US invasive species policy mix: Questioning the prospect of an integrated regime&lt;/title&gt;&lt;secondary-title&gt;Environmental Policy and Governance&lt;/secondary-title&gt;&lt;/titles&gt;&lt;periodical&gt;&lt;full-title&gt;Environmental Policy and Governance&lt;/full-title&gt;&lt;/periodical&gt;&lt;pages&gt;262-278&lt;/pages&gt;&lt;volume&gt;29&lt;/volume&gt;&lt;number&gt;4&lt;/number&gt;&lt;dates&gt;&lt;year&gt;2019&lt;/year&gt;&lt;pub-dates&gt;&lt;date&gt;Jul&lt;/date&gt;&lt;/pub-dates&gt;&lt;/dates&gt;&lt;isbn&gt;1756-932X&lt;/isbn&gt;&lt;accession-num&gt;WOS:000478735000002&lt;/accession-num&gt;&lt;urls&gt;&lt;related-urls&gt;&lt;url&gt;&amp;lt;Go to ISI&amp;gt;://WOS:000478735000002&lt;/url&gt;&lt;/related-urls&gt;&lt;/urls&gt;&lt;electronic-resource-num&gt;10.1002/eet.1852&lt;/electronic-resource-num&gt;&lt;/record&gt;&lt;/Cite&gt;&lt;/EndNote&gt;</w:instrText>
      </w:r>
      <w:r w:rsidR="00C14761" w:rsidRPr="00A9434B">
        <w:rPr>
          <w:rFonts w:eastAsia="Batang"/>
          <w:b/>
          <w:bCs/>
        </w:rPr>
        <w:fldChar w:fldCharType="separate"/>
      </w:r>
      <w:r w:rsidR="00C14761" w:rsidRPr="00A9434B">
        <w:rPr>
          <w:rFonts w:eastAsia="Batang"/>
          <w:b/>
          <w:bCs/>
        </w:rPr>
        <w:fldChar w:fldCharType="begin"/>
      </w:r>
      <w:r w:rsidR="0006613E">
        <w:rPr>
          <w:rFonts w:eastAsia="Batang"/>
          <w:bCs/>
        </w:rPr>
        <w:instrText xml:space="preserve"> ADDIN ZOTERO_ITEM CSL_CITATION {"citationID":"a18p15aepqg","properties":{"formattedCitation":"(Herrick, 2019)","plainCitation":"(Herrick, 2019)","noteIndex":0},"citationItems":[{"id":23536,"uris":["http://zotero.org/groups/2352922/items/CJ7IDGDF"],"itemData":{"id":23536,"type":"article-journal","abstract":"By some accounts, invasive species pose the second greatest threat to global biodiversity after habitat destruction. In addition to their ecological impacts, invasive species cause a wide range of economic and social damages. In recent years, scholars and policy officials have called for recalibration of U.S. invasive species policy, with some advocating a tightly integrated policy regime addressing a broad spectrum of activity, including predictive assessment of invasion pathways, prevention of introduction and spread, control of established populations, eradication of selected populations, and establishment of high</w:instrText>
      </w:r>
      <w:r w:rsidR="0006613E">
        <w:rPr>
          <w:rFonts w:ascii="ＭＳ 明朝" w:eastAsia="ＭＳ 明朝" w:hAnsi="ＭＳ 明朝" w:cs="ＭＳ 明朝" w:hint="eastAsia"/>
          <w:bCs/>
        </w:rPr>
        <w:instrText>‐</w:instrText>
      </w:r>
      <w:r w:rsidR="0006613E">
        <w:rPr>
          <w:rFonts w:eastAsia="Batang"/>
          <w:bCs/>
        </w:rPr>
        <w:instrText xml:space="preserve">level coordination bodies. In this paper, I draw upon the policy integration literature and apply a regime construct to review the proposition that the existing mix of U.S. invasive species policies can and should be more tightly integrated. By way of conclusion, I suggest that the current policy mix is not exhausted and recommend a program evaluation process framed to characterize and assess factors and conditions that might influence the comparative effectiveness of strategic alternatives to integration, such as coping and taming.","container-title":"Environmental Policy and Governance","DOI":"10.1002/eet.1852","ISSN":"1756-932X","issue":"4","page":"262-278","source":"Wiley Online Library","title":"A review of the U.S. invasive species policy mix: Questioning the prospect of an integrated regime","URL":"https://onlinelibrary.wiley.com/doi/abs/10.1002/eet.1852","volume":"29","author":[{"family":"Herrick","given":"Charles N."}],"issued":{"date-parts":[["2019",7]]}},"label":"page"}],"schema":"https://github.com/citation-style-language/schema/raw/master/csl-citation.json"} </w:instrText>
      </w:r>
      <w:r w:rsidR="00C14761" w:rsidRPr="00A9434B">
        <w:rPr>
          <w:rFonts w:eastAsia="Batang"/>
          <w:b/>
          <w:bCs/>
        </w:rPr>
        <w:fldChar w:fldCharType="separate"/>
      </w:r>
      <w:r w:rsidR="00C71E80" w:rsidRPr="00A9434B">
        <w:t>(Herrick, 2019)</w:t>
      </w:r>
      <w:r w:rsidR="00C14761" w:rsidRPr="00A9434B">
        <w:rPr>
          <w:rFonts w:eastAsia="Batang"/>
          <w:b/>
          <w:bCs/>
        </w:rPr>
        <w:fldChar w:fldCharType="end"/>
      </w:r>
      <w:r w:rsidR="00C14761" w:rsidRPr="00A9434B">
        <w:rPr>
          <w:rFonts w:eastAsia="Batang"/>
          <w:b/>
          <w:bCs/>
        </w:rPr>
        <w:fldChar w:fldCharType="end"/>
      </w:r>
      <w:r w:rsidR="00C14761" w:rsidRPr="00A9434B">
        <w:rPr>
          <w:rFonts w:eastAsia="Batang"/>
          <w:bCs/>
        </w:rPr>
        <w:t>.</w:t>
      </w:r>
      <w:r>
        <w:t xml:space="preserve"> Hierarchical governance provides an existing and necessary backbone as well as, via legislation and regulation, the strongest category of instruments for invasive alien species implementation and control. While shortcomings in the hierarchical governance for biological invasions are identified and discussed above and in multiple sections of this assessment (</w:t>
      </w:r>
      <w:r>
        <w:rPr>
          <w:b/>
        </w:rPr>
        <w:t>section 6.2.2.(4)</w:t>
      </w:r>
      <w:r>
        <w:t>), hierarchical multilateral and national policy and legislative instruments will remain central to governance for biological invasions (</w:t>
      </w:r>
      <w:r>
        <w:rPr>
          <w:b/>
        </w:rPr>
        <w:t>section 6.3</w:t>
      </w:r>
      <w:r>
        <w:t>).</w:t>
      </w:r>
    </w:p>
    <w:p w14:paraId="60E53543" w14:textId="054D32EA" w:rsidR="00017C04" w:rsidRDefault="00C27DCE" w:rsidP="00C27DCE">
      <w:pPr>
        <w:pStyle w:val="Heading5"/>
      </w:pPr>
      <w:r>
        <w:t xml:space="preserve">(2) </w:t>
      </w:r>
      <w:r w:rsidR="00F50AF9">
        <w:t>Strategic-behavioural governance: Governance encouraging actors to behave in the collective interest of limiting invasive alien species and their harm</w:t>
      </w:r>
    </w:p>
    <w:p w14:paraId="3E313148" w14:textId="748B859B" w:rsidR="00AE15C1" w:rsidRPr="00A9434B" w:rsidRDefault="00C14761" w:rsidP="00F4504F">
      <w:pPr>
        <w:spacing w:before="0"/>
        <w:rPr>
          <w:b/>
        </w:rPr>
      </w:pPr>
      <w:r w:rsidRPr="00A9434B">
        <w:t>Beyond legislated policy, broad stakeholder</w:t>
      </w:r>
      <w:r w:rsidR="6C61F38B" w:rsidRPr="00A9434B">
        <w:t xml:space="preserve"> and </w:t>
      </w:r>
      <w:r w:rsidR="001E7B2B" w:rsidRPr="00A9434B">
        <w:t>Indigenous Peoples</w:t>
      </w:r>
      <w:r w:rsidR="00F004D9" w:rsidRPr="00A9434B">
        <w:t xml:space="preserve"> and local communit</w:t>
      </w:r>
      <w:r w:rsidR="00351A46">
        <w:t>ies</w:t>
      </w:r>
      <w:r w:rsidRPr="00A9434B">
        <w:t xml:space="preserve"> support is essential to the effectiveness of invasive alien species prevention and control, including the full breadth of relevant actors (</w:t>
      </w:r>
      <w:r w:rsidR="00E560BA">
        <w:rPr>
          <w:b/>
          <w:iCs/>
        </w:rPr>
        <w:t xml:space="preserve">Figures 6.7 </w:t>
      </w:r>
      <w:r w:rsidR="00E560BA" w:rsidRPr="00E560BA">
        <w:rPr>
          <w:bCs/>
          <w:iCs/>
        </w:rPr>
        <w:t>and</w:t>
      </w:r>
      <w:r w:rsidR="00E560BA">
        <w:rPr>
          <w:b/>
          <w:iCs/>
        </w:rPr>
        <w:t xml:space="preserve"> 6.8</w:t>
      </w:r>
      <w:r w:rsidR="00982C0D" w:rsidRPr="00A9434B">
        <w:t xml:space="preserve">; </w:t>
      </w:r>
      <w:r w:rsidR="00064A51" w:rsidRPr="00A9434B">
        <w:rPr>
          <w:b/>
        </w:rPr>
        <w:fldChar w:fldCharType="begin"/>
      </w:r>
      <w:r w:rsidR="0006613E">
        <w:instrText xml:space="preserve"> ADDIN ZOTERO_ITEM CSL_CITATION {"citationID":"aqmp4ia6j4","properties":{"formattedCitation":"\\uldash{(Vane &amp; Runhaar, 2016)}","plainCitation":"(Vane &amp; Runhaar, 2016)","dontUpdate":true,"noteIndex":0},"citationItems":[{"id":24185,"uris":["http://zotero.org/groups/2352922/items/HEX98ZDH"],"itemData":{"id":24185,"type":"article-journal","container-title":"Restoration Ecology","DOI":"10.1111/rec.12379","ISSN":"1061-2971","issue":"6","journalAbbreviation":"Restor. Ecol.","page":"743-748","title":"Public support for invasive alien species eradication programs: insights from the Netherlands","volume":"24","author":[{"family":"Vane","given":"Maurice"},{"family":"Runhaar","given":"Hens A. C."}],"issued":{"date-parts":[["2016",11]]}},"label":"page"}],"schema":"https://github.com/citation-style-language/schema/raw/master/csl-citation.json"} </w:instrText>
      </w:r>
      <w:r w:rsidR="00064A51" w:rsidRPr="00A9434B">
        <w:rPr>
          <w:b/>
        </w:rPr>
        <w:fldChar w:fldCharType="separate"/>
      </w:r>
      <w:r w:rsidR="00FA2977" w:rsidRPr="00A9434B">
        <w:t>Vane &amp; Runhaar, 2016)</w:t>
      </w:r>
      <w:r w:rsidR="00064A51" w:rsidRPr="00A9434B">
        <w:rPr>
          <w:b/>
        </w:rPr>
        <w:fldChar w:fldCharType="end"/>
      </w:r>
      <w:r w:rsidRPr="00A9434B">
        <w:t>. Strategic institutional arrangements can create enabling environments for collaboration</w:t>
      </w:r>
      <w:r w:rsidR="006F1CE5" w:rsidRPr="00A9434B">
        <w:t>,</w:t>
      </w:r>
      <w:r w:rsidRPr="00A9434B">
        <w:t xml:space="preserve"> achiev</w:t>
      </w:r>
      <w:r w:rsidR="006F1CE5" w:rsidRPr="00A9434B">
        <w:t>ing</w:t>
      </w:r>
      <w:r w:rsidRPr="00A9434B">
        <w:t xml:space="preserve"> agreement</w:t>
      </w:r>
      <w:r w:rsidR="006F1CE5" w:rsidRPr="00A9434B">
        <w:t>,</w:t>
      </w:r>
      <w:r w:rsidRPr="00A9434B">
        <w:t xml:space="preserve"> and enhanc</w:t>
      </w:r>
      <w:r w:rsidR="006F1CE5" w:rsidRPr="00A9434B">
        <w:t>ing</w:t>
      </w:r>
      <w:r w:rsidRPr="00A9434B">
        <w:t xml:space="preserve"> effective action. </w:t>
      </w:r>
      <w:r w:rsidR="00C25E77">
        <w:t>Perceived costs and risks of invasive alien species</w:t>
      </w:r>
      <w:r w:rsidRPr="00A9434B">
        <w:t xml:space="preserve"> as well as </w:t>
      </w:r>
      <w:r w:rsidR="007868C7" w:rsidRPr="00A9434B">
        <w:t>opposition based on moral</w:t>
      </w:r>
      <w:r w:rsidR="00D307FA" w:rsidRPr="00A9434B">
        <w:t xml:space="preserve"> or ethical</w:t>
      </w:r>
      <w:r w:rsidR="007868C7" w:rsidRPr="00A9434B">
        <w:t xml:space="preserve"> considerations</w:t>
      </w:r>
      <w:r w:rsidR="00D307FA" w:rsidRPr="00A9434B">
        <w:t xml:space="preserve"> </w:t>
      </w:r>
      <w:r w:rsidRPr="00A9434B">
        <w:t xml:space="preserve">can </w:t>
      </w:r>
      <w:r w:rsidR="00C25E77">
        <w:t xml:space="preserve">undermine </w:t>
      </w:r>
      <w:r w:rsidRPr="00A9434B">
        <w:t>management outcomes, whereas community groups, lobbies</w:t>
      </w:r>
      <w:r w:rsidR="00896CEC">
        <w:t xml:space="preserve"> and</w:t>
      </w:r>
      <w:r w:rsidRPr="00A9434B">
        <w:t xml:space="preserve"> public support can be particularly powerful in altering actions that affect invasive alien species outcomes </w:t>
      </w:r>
      <w:r w:rsidR="00064A51" w:rsidRPr="00A9434B">
        <w:rPr>
          <w:b/>
        </w:rPr>
        <w:fldChar w:fldCharType="begin"/>
      </w:r>
      <w:r w:rsidR="0006613E">
        <w:instrText xml:space="preserve"> ADDIN ZOTERO_ITEM CSL_CITATION {"citationID":"a158dvsr6cm","properties":{"formattedCitation":"(Crowley et al., 2019; P. Martin et al., 2016)","plainCitation":"(Crowley et al., 2019; P. Martin et al., 2016)","noteIndex":0},"citationItems":[{"id":16735,"uris":["http://zotero.org/groups/2352922/items/Y8G9K9JA"],"itemData":{"id":16735,"type":"article-journal","abstract":"The surveillance and control of introduced and invasive species has become an increasingly important component of environmental management. However, initiatives targeting ‘charismatic’ wildlife can be controversial. Opposition to management, and the subsequent emergence of social conflict, present significant challenges for would-be managers. Understanding the substance and development of these disputes is therefore vital for improving the legitimacy and effectiveness of wildlife management. It also provides important insights into human-wildlife relations and the ‘social dimensions’ of wildlife management. Here, we examine how the attempted eradication of small populations of introduced monk parakeets (Myiopsitta monachus) from England has been challenged and delayed by opposition from interested and affected communities. We consider how and why the UK Government's eradication initiative was opposed, focusing on three key themes: disagreements about justifying management, the development of affective attachments between people and parakeets, and the influence of distrustful and antagonistic relationships between proponents and opponents of management. We draw connections between our UK case and previous management disputes, primarily in the USA, and suggest that the resistance encountered in the UK might readily have been foreseen. We conclude by considering how management of this and other introduced species could be made less conflict-prone, and potentially more effective, by reconfiguring management approaches to be more anticipatory, flexible, sensitive, and inclusive.","collection-title":"The human and social dimensions of invasion science and management","container-title":"Journal of Environmental Management","DOI":"10.1016/j.jenvman.2017.11.036","ISSN":"0301-4797","journalAbbreviation":"Journal of Environmental Management","page":"120-132","source":"ScienceDirect","title":"The parakeet protectors: Understanding opposition to introduced species management","title-short":"The parakeet protectors","URL":"http://www.sciencedirect.com/science/article/pii/S0301479717311118","volume":"229","author":[{"family":"Crowley","given":"Sarah L."},{"family":"Hinchliffe","given":"Steve"},{"family":"McDonald","given":"Robbie A."}],"accessed":{"date-parts":[["2019",6,20]]},"issued":{"date-parts":[["2019",1,1]]}},"label":"page"},{"id":11351,"uris":["http://zotero.org/groups/2352922/items/BMBKHVLX"],"itemData":{"id":11351,"type":"chapter","collection-title":"Water Science and Technology Library","container-title":"Balanced Urban Development: Options and Strategies for Liveable Cities","event-place":"Cham","ISBN":"978-3-319-28112-4","note":"DOI: 10.1007/978-3-319-28112-4_28","page":"465-480","publisher":"Springer","publisher-place":"Cham","title":"Effect of Social and Institutional Fragmentation on Collective Action in Peri-Urban Settings","volume":"72","author":[{"family":"Martin","given":"Paul"},{"family":"Le Gal","given":"Elodie"},{"family":"Choy","given":"Darryl Low"}],"editor":[{"family":"Maheshwari","given":"B."},{"family":"Thoradeniya","given":"B."},{"family":"Singh","given":"V. P."}],"issued":{"date-parts":[["2016"]]}},"label":"page"}],"schema":"https://github.com/citation-style-language/schema/raw/master/csl-citation.json"} </w:instrText>
      </w:r>
      <w:r w:rsidR="00064A51" w:rsidRPr="00A9434B">
        <w:rPr>
          <w:b/>
        </w:rPr>
        <w:fldChar w:fldCharType="separate"/>
      </w:r>
      <w:r w:rsidR="00C71E80" w:rsidRPr="00A9434B">
        <w:t>(Crowley et al., 2019; P. Martin et al., 2016)</w:t>
      </w:r>
      <w:r w:rsidR="00064A51" w:rsidRPr="00A9434B">
        <w:rPr>
          <w:b/>
        </w:rPr>
        <w:fldChar w:fldCharType="end"/>
      </w:r>
      <w:r w:rsidRPr="00A9434B">
        <w:t>. Public support and voluntary, collective action are needed, for example, to manage weeds that cross boundaries. The willingness of land</w:t>
      </w:r>
      <w:r w:rsidR="6993322A" w:rsidRPr="00A9434B">
        <w:t xml:space="preserve"> </w:t>
      </w:r>
      <w:r w:rsidRPr="00A9434B">
        <w:t>owners to participate in interventions is determined by many individual, collective</w:t>
      </w:r>
      <w:r w:rsidR="00896CEC">
        <w:t xml:space="preserve"> and</w:t>
      </w:r>
      <w:r w:rsidRPr="00A9434B">
        <w:t xml:space="preserve"> context-specific factors </w:t>
      </w:r>
      <w:r w:rsidR="00064A51" w:rsidRPr="00A9434B">
        <w:rPr>
          <w:b/>
        </w:rPr>
        <w:fldChar w:fldCharType="begin"/>
      </w:r>
      <w:r w:rsidR="0006613E">
        <w:instrText xml:space="preserve"> ADDIN ZOTERO_ITEM CSL_CITATION {"citationID":"a2428srls5j","properties":{"formattedCitation":"(Finkel &amp; Muller, 1998; Lubeck et al., 2019; Vane &amp; Runhaar, 2016)","plainCitation":"(Finkel &amp; Muller, 1998; Lubeck et al., 2019; Vane &amp; Runhaar, 2016)","noteIndex":0},"citationItems":[{"id":30286,"uris":["http://zotero.org/groups/2352922/items/RX9BTMCL"],"itemData":{"id":30286,"type":"article-journal","abstract":"Causal inference in research testing rational choice models of unconventional political behavior has been hampered by the inability to use perceptions of the costs and benefits of participation at a given time to predict behavior that necessarily occurred in the past and by ambiguities associated with analyzing behavioral intentions instead of actual participation. Using panel data collected on a national sample in West Germany between 1987 and 1989, we show that variables from a \"collective interest\" model measured in 1987-individuals' dissatisfaction with the provision of collective goods, beliefs that group actions can be successful, and beliefs in the importance of their own participation-predict subsequent participation in collective protest activities. Variables corresponding to the private \"selective incentives\" associated with protest are found to be less relevant. Furthermore, we find that engaging in protest changes many of the perceptions that influence future participation. We discuss the implications for theories of political mobilization.","container-title":"The American Political Science Review","DOI":"10.2307/2585927","ISSN":"0003-0554","issue":"1","note":"publisher: [American Political Science Association, Cambridge University Press]","page":"37-49","source":"JSTOR","title":"Rational Choice and the Dynamics of Collective Political Action: Evaluating Alternative Models with Panel Data","title-short":"Rational Choice and the Dynamics of Collective Political Action","URL":"https://www.jstor.org/stable/2585927","volume":"92","author":[{"family":"Finkel","given":"Steven E."},{"family":"Muller","given":"Edward N."}],"accessed":{"date-parts":[["2021",8,25]]},"issued":{"date-parts":[["1998"]]}},"label":"page"},{"id":27175,"uris":["http://zotero.org/groups/2352922/items/HNDDJUPR"],"itemData":{"id":27175,"type":"article-journal","abstract":"Invasive terrestrial plants globally threaten agricultural and natural systems. Prolific dispersal mechanisms enable “weeds” to colonize across ownership boundaries, constituting a collective action problem where effective control requires contributions from multiple actors. Researchers have long recognized the cross-boundary nature of weed control, yet most studies have focused on whether actor-specific characteristics, such as sociodemographics and cognition, influenced individual weed control behaviors. More recent work has begun to explore the drivers of communal control efforts, i.e., cooperatives, group actions. Few studies have empirically investigated how the collective aspects of weed invasions influence individual control behaviors. Here we provide quantitative evidence of a relationship between collective aspects of the weed control problem and landowners’ willingness to engage in individual weed control efforts. In a mail-back survey of Montana landowners (n = 1327) we found collective factors, such as injunctive norms and the belief that weeds are a cross-boundary problem, were significantly correlated with willingness to engage in three different weed control behaviors. Each behavior was correlated with a unique suite of collective factors suggesting that successful interventions must be behavior-specific. These results add to a growing body of evidence that the collective nature of invasive species control is critical for understanding human behavioral responses.","container-title":"Ecology and Society","DOI":"10.5751/es-10897-240232","ISSN":"1708-3087","issue":"2","journalAbbreviation":"Ecol. Soc.","page":"32","title":"Collective factors drive individual invasive species control behaviors: evidence from private lands in Montana, USA","title-short":"Collective factors drive individual invasive species control behaviors","URL":"https://www.ecologyandsociety.org/vol24/iss2/art32/","volume":"24","author":[{"family":"Lubeck","given":"Alice A."},{"family":"Metcalf","given":"Alexander L."},{"family":"Beckman","given":"Crystal L."},{"family":"Yung","given":"Laurie"},{"family":"Angle","given":"Justin W."}],"issued":{"date-parts":[["2019",7]]}},"label":"page"},{"id":24185,"uris":["http://zotero.org/groups/2352922/items/HEX98ZDH"],"itemData":{"id":24185,"type":"article-journal","container-title":"Restoration Ecology","DOI":"10.1111/rec.12379","ISSN":"1061-2971","issue":"6","journalAbbreviation":"Restor. Ecol.","page":"743-748","title":"Public support for invasive alien species eradication programs: insights from the Netherlands","volume":"24","author":[{"family":"Vane","given":"Maurice"},{"family":"Runhaar","given":"Hens A. C."}],"issued":{"date-parts":[["2016",11]]}},"label":"page"}],"schema":"https://github.com/citation-style-language/schema/raw/master/csl-citation.json"} </w:instrText>
      </w:r>
      <w:r w:rsidR="00064A51" w:rsidRPr="00A9434B">
        <w:rPr>
          <w:b/>
        </w:rPr>
        <w:fldChar w:fldCharType="separate"/>
      </w:r>
      <w:r w:rsidR="00C71E80" w:rsidRPr="00A9434B">
        <w:t>(Finkel &amp; Muller, 1998; Lubeck et al., 2019; Vane &amp; Runhaar, 2016)</w:t>
      </w:r>
      <w:r w:rsidR="00064A51" w:rsidRPr="00A9434B">
        <w:rPr>
          <w:b/>
        </w:rPr>
        <w:fldChar w:fldCharType="end"/>
      </w:r>
      <w:r w:rsidRPr="00A9434B">
        <w:t>. The research and design of tailored behaviour</w:t>
      </w:r>
      <w:r w:rsidR="00D307FA" w:rsidRPr="00A9434B">
        <w:t>-</w:t>
      </w:r>
      <w:r w:rsidRPr="00A9434B">
        <w:t>change strategies, effective communication and outreach</w:t>
      </w:r>
      <w:r w:rsidR="00896CEC">
        <w:t xml:space="preserve"> and</w:t>
      </w:r>
      <w:r w:rsidRPr="00A9434B">
        <w:t xml:space="preserve"> the analysis of policy risk to anticipate undesirable outcomes are </w:t>
      </w:r>
      <w:r w:rsidR="00D307FA" w:rsidRPr="00A9434B">
        <w:t xml:space="preserve">all </w:t>
      </w:r>
      <w:r w:rsidRPr="00A9434B">
        <w:t xml:space="preserve">key components of successful strategic-behavioural governance </w:t>
      </w:r>
      <w:r w:rsidR="00064A51" w:rsidRPr="00A9434B">
        <w:rPr>
          <w:b/>
        </w:rPr>
        <w:fldChar w:fldCharType="begin"/>
      </w:r>
      <w:r w:rsidR="0006613E">
        <w:instrText xml:space="preserve"> ADDIN ZOTERO_ITEM CSL_CITATION {"citationID":"a2g8751pmk2","properties":{"formattedCitation":"(Lubeck et al., 2019)","plainCitation":"(Lubeck et al., 2019)","noteIndex":0},"citationItems":[{"id":27175,"uris":["http://zotero.org/groups/2352922/items/HNDDJUPR"],"itemData":{"id":27175,"type":"article-journal","abstract":"Invasive terrestrial plants globally threaten agricultural and natural systems. Prolific dispersal mechanisms enable “weeds” to colonize across ownership boundaries, constituting a collective action problem where effective control requires contributions from multiple actors. Researchers have long recognized the cross-boundary nature of weed control, yet most studies have focused on whether actor-specific characteristics, such as sociodemographics and cognition, influenced individual weed control behaviors. More recent work has begun to explore the drivers of communal control efforts, i.e., cooperatives, group actions. Few studies have empirically investigated how the collective aspects of weed invasions influence individual control behaviors. Here we provide quantitative evidence of a relationship between collective aspects of the weed control problem and landowners’ willingness to engage in individual weed control efforts. In a mail-back survey of Montana landowners (n = 1327) we found collective factors, such as injunctive norms and the belief that weeds are a cross-boundary problem, were significantly correlated with willingness to engage in three different weed control behaviors. Each behavior was correlated with a unique suite of collective factors suggesting that successful interventions must be behavior-specific. These results add to a growing body of evidence that the collective nature of invasive species control is critical for understanding human behavioral responses.","container-title":"Ecology and Society","DOI":"10.5751/es-10897-240232","ISSN":"1708-3087","issue":"2","journalAbbreviation":"Ecol. Soc.","page":"32","title":"Collective factors drive individual invasive species control behaviors: evidence from private lands in Montana, USA","title-short":"Collective factors drive individual invasive species control behaviors","URL":"https://www.ecologyandsociety.org/vol24/iss2/art32/","volume":"24","author":[{"family":"Lubeck","given":"Alice A."},{"family":"Metcalf","given":"Alexander L."},{"family":"Beckman","given":"Crystal L."},{"family":"Yung","given":"Laurie"},{"family":"Angle","given":"Justin W."}],"issued":{"date-parts":[["2019",7]]}}}],"schema":"https://github.com/citation-style-language/schema/raw/master/csl-citation.json"} </w:instrText>
      </w:r>
      <w:r w:rsidR="00064A51" w:rsidRPr="00A9434B">
        <w:rPr>
          <w:b/>
        </w:rPr>
        <w:fldChar w:fldCharType="separate"/>
      </w:r>
      <w:r w:rsidR="00C71E80" w:rsidRPr="00A9434B">
        <w:t>(Lubeck et al., 2019)</w:t>
      </w:r>
      <w:r w:rsidR="00064A51" w:rsidRPr="00A9434B">
        <w:rPr>
          <w:b/>
        </w:rPr>
        <w:fldChar w:fldCharType="end"/>
      </w:r>
      <w:r w:rsidRPr="00A9434B">
        <w:t>. The net balance of incentives and disincentives determines the likelihood</w:t>
      </w:r>
      <w:r w:rsidRPr="00A9434B">
        <w:rPr>
          <w:sz w:val="36"/>
          <w:szCs w:val="36"/>
        </w:rPr>
        <w:t xml:space="preserve"> </w:t>
      </w:r>
      <w:r w:rsidRPr="00A9434B">
        <w:t>of participation in invasive alien species prevention and control efforts</w:t>
      </w:r>
      <w:r w:rsidR="008F5CB4" w:rsidRPr="00A9434B">
        <w:t>.</w:t>
      </w:r>
      <w:r w:rsidRPr="00A9434B">
        <w:t xml:space="preserve"> </w:t>
      </w:r>
      <w:r w:rsidR="008F5CB4" w:rsidRPr="00A9434B">
        <w:t>T</w:t>
      </w:r>
      <w:r w:rsidRPr="00A9434B">
        <w:t xml:space="preserve">he focus of strategic-behavioural governance is </w:t>
      </w:r>
      <w:r w:rsidR="00D307FA" w:rsidRPr="00A9434B">
        <w:t xml:space="preserve">therefore </w:t>
      </w:r>
      <w:r w:rsidR="70374B3E" w:rsidRPr="00A9434B">
        <w:lastRenderedPageBreak/>
        <w:t xml:space="preserve">on </w:t>
      </w:r>
      <w:r w:rsidRPr="00A9434B">
        <w:t xml:space="preserve">social and economic mechanisms for bringing about public support and behavioural change </w:t>
      </w:r>
      <w:r w:rsidR="00064A51" w:rsidRPr="00A9434B">
        <w:rPr>
          <w:b/>
        </w:rPr>
        <w:fldChar w:fldCharType="begin"/>
      </w:r>
      <w:r w:rsidR="0006613E">
        <w:instrText xml:space="preserve"> ADDIN ZOTERO_ITEM CSL_CITATION {"citationID":"ap863dp5f3","properties":{"formattedCitation":"\\uldash{(Martin et al., 2016)}","plainCitation":"(Martin et al., 2016)","dontUpdate":true,"noteIndex":0},"citationItems":[{"id":11351,"uris":["http://zotero.org/groups/2352922/items/BMBKHVLX"],"itemData":{"id":11351,"type":"chapter","collection-title":"Water Science and Technology Library","container-title":"Balanced Urban Development: Options and Strategies for Liveable Cities","event-place":"Cham","ISBN":"978-3-319-28112-4","note":"DOI: 10.1007/978-3-319-28112-4_28","page":"465-480","publisher":"Springer","publisher-place":"Cham","title":"Effect of Social and Institutional Fragmentation on Collective Action in Peri-Urban Settings","volume":"72","author":[{"family":"Martin","given":"Paul"},{"family":"Le Gal","given":"Elodie"},{"family":"Choy","given":"Darryl Low"}],"editor":[{"family":"Maheshwari","given":"B."},{"family":"Thoradeniya","given":"B."},{"family":"Singh","given":"V. P."}],"issued":{"date-parts":[["2016"]]}}}],"schema":"https://github.com/citation-style-language/schema/raw/master/csl-citation.json"} </w:instrText>
      </w:r>
      <w:r w:rsidR="00064A51" w:rsidRPr="00A9434B">
        <w:rPr>
          <w:b/>
        </w:rPr>
        <w:fldChar w:fldCharType="separate"/>
      </w:r>
      <w:r w:rsidR="007B6805" w:rsidRPr="00A9434B">
        <w:t>(Martin et al., 2016</w:t>
      </w:r>
      <w:r w:rsidR="00064A51" w:rsidRPr="00A9434B">
        <w:rPr>
          <w:b/>
        </w:rPr>
        <w:fldChar w:fldCharType="end"/>
      </w:r>
      <w:r w:rsidR="00982C0D" w:rsidRPr="00A9434B">
        <w:t>;</w:t>
      </w:r>
      <w:r w:rsidRPr="00A9434B">
        <w:t xml:space="preserve"> </w:t>
      </w:r>
      <w:r w:rsidR="000562C3" w:rsidRPr="00673554">
        <w:rPr>
          <w:b/>
          <w:iCs/>
        </w:rPr>
        <w:t>s</w:t>
      </w:r>
      <w:r w:rsidRPr="00673554">
        <w:rPr>
          <w:b/>
          <w:iCs/>
        </w:rPr>
        <w:t>ections 6.4</w:t>
      </w:r>
      <w:r w:rsidR="00441D10" w:rsidRPr="00673554">
        <w:rPr>
          <w:b/>
          <w:iCs/>
        </w:rPr>
        <w:t xml:space="preserve"> </w:t>
      </w:r>
      <w:r w:rsidR="00441D10" w:rsidRPr="008F7100">
        <w:t>and</w:t>
      </w:r>
      <w:r w:rsidR="00441D10" w:rsidRPr="00673554">
        <w:rPr>
          <w:b/>
        </w:rPr>
        <w:t xml:space="preserve"> </w:t>
      </w:r>
      <w:r w:rsidRPr="00673554">
        <w:rPr>
          <w:b/>
          <w:iCs/>
        </w:rPr>
        <w:t>6.5</w:t>
      </w:r>
      <w:r w:rsidRPr="00A9434B">
        <w:t>).</w:t>
      </w:r>
    </w:p>
    <w:p w14:paraId="2F3768AD" w14:textId="774472B0" w:rsidR="00017C04" w:rsidRDefault="00C27DCE" w:rsidP="00C27DCE">
      <w:pPr>
        <w:pStyle w:val="Heading5"/>
      </w:pPr>
      <w:r>
        <w:t xml:space="preserve">(3) </w:t>
      </w:r>
      <w:r w:rsidR="00F50AF9">
        <w:t>Scientific-technical governance: Governance of knowledge to systematically support decision-making</w:t>
      </w:r>
    </w:p>
    <w:p w14:paraId="7BB79115" w14:textId="1D76AD10" w:rsidR="00017C04" w:rsidRDefault="00F50AF9">
      <w:pPr>
        <w:spacing w:before="0"/>
      </w:pPr>
      <w:r>
        <w:t xml:space="preserve">Effective governance for the prevention and control of invasive alien species demands a wealth of information, efficient delivery of this information, and context-appropriate means by which to communicate it. Scientific-technical governance deals with the governance of knowledge within and across the components of the socioecological system that characterizes biological invasion </w:t>
      </w:r>
      <w:r w:rsidR="326765F3" w:rsidRPr="00A9434B">
        <w:t>(</w:t>
      </w:r>
      <w:r w:rsidR="004155A5" w:rsidRPr="00673554">
        <w:rPr>
          <w:b/>
          <w:iCs/>
        </w:rPr>
        <w:fldChar w:fldCharType="begin"/>
      </w:r>
      <w:r w:rsidR="004155A5" w:rsidRPr="00673554">
        <w:rPr>
          <w:b/>
          <w:iCs/>
        </w:rPr>
        <w:instrText xml:space="preserve"> REF _Ref104895003 \h  \* MERGEFORMAT </w:instrText>
      </w:r>
      <w:r w:rsidR="004155A5" w:rsidRPr="00673554">
        <w:rPr>
          <w:b/>
          <w:iCs/>
        </w:rPr>
      </w:r>
      <w:r w:rsidR="004155A5" w:rsidRPr="00673554">
        <w:rPr>
          <w:b/>
          <w:iCs/>
        </w:rPr>
        <w:fldChar w:fldCharType="separate"/>
      </w:r>
      <w:r w:rsidR="0011368C" w:rsidRPr="00673554">
        <w:rPr>
          <w:b/>
          <w:iCs/>
        </w:rPr>
        <w:t>Figure 6.7</w:t>
      </w:r>
      <w:r w:rsidR="004155A5" w:rsidRPr="00673554">
        <w:rPr>
          <w:b/>
          <w:iCs/>
        </w:rPr>
        <w:fldChar w:fldCharType="end"/>
      </w:r>
      <w:r w:rsidR="5C8F907F" w:rsidRPr="00A9434B">
        <w:t xml:space="preserve">; </w:t>
      </w:r>
      <w:r w:rsidR="00064A51" w:rsidRPr="00A9434B">
        <w:fldChar w:fldCharType="begin"/>
      </w:r>
      <w:r w:rsidR="0006613E">
        <w:instrText xml:space="preserve"> ADDIN ZOTERO_ITEM CSL_CITATION {"citationID":"a1ejlcc8ngj","properties":{"formattedCitation":"\\uldash{(McGeoch &amp; Jetz, 2019)}","plainCitation":"(McGeoch &amp; Jetz, 2019)","dontUpdate":true,"noteIndex":0},"citationItems":[{"id":56520,"uris":["http://zotero.org/groups/2352922/items/5XG8ELME","http://zotero.org/groups/2352922/items/6DDLUR5R"],"itemData":{"id":56520,"type":"article-journal","container-title":"One Earth","DOI":"10.1016/j.oneear.2019.10.003","ISSN":"25903322","issue":"2","journalAbbreviation":"One Earth","language":"en","page":"171-174","source":"DOI.org (Crossref)","title":"Measure and Reduce the Harm Caused by Biological Invasions","URL":"https://doi.org/10.1016/j.oneear.2019.10.003","volume":"1","author":[{"family":"McGeoch","given":"Melodie A."},{"family":"Jetz","given":"Walter"}],"accessed":{"date-parts":[["2023",6,8]]},"issued":{"date-parts":[["2019",10]]}},"label":"page"}],"schema":"https://github.com/citation-style-language/schema/raw/master/csl-citation.json"} </w:instrText>
      </w:r>
      <w:r w:rsidR="00064A51" w:rsidRPr="00A9434B">
        <w:fldChar w:fldCharType="separate"/>
      </w:r>
      <w:r w:rsidR="007B6805" w:rsidRPr="00A9434B">
        <w:t>McGeoch &amp; Jetz, 2019)</w:t>
      </w:r>
      <w:r w:rsidR="00064A51" w:rsidRPr="00A9434B">
        <w:fldChar w:fldCharType="end"/>
      </w:r>
      <w:r w:rsidR="326765F3" w:rsidRPr="00A9434B">
        <w:t xml:space="preserve">. This includes the role of international collaboration in delivering and sharing knowledge </w:t>
      </w:r>
      <w:r w:rsidR="00ED53B6" w:rsidRPr="00A9434B">
        <w:fldChar w:fldCharType="begin"/>
      </w:r>
      <w:r w:rsidR="0006613E">
        <w:instrText xml:space="preserve"> ADDIN ZOTERO_ITEM CSL_CITATION {"citationID":"a24kca3qunn","properties":{"formattedCitation":"(Latombe et al., 2017)","plainCitation":"(Latombe et al., 2017)","noteIndex":0},"citationItems":[{"id":28759,"uris":["http://zotero.org/groups/2352922/items/RDKZXX6M"],"itemData":{"id":28759,"type":"article-journal","abstract":"Managing biological invasions relies on good global coverage of species distributions. Accurate information on alien species distributions, obtained from international policy and cross-border co-operation, is required to evaluate trans-boundary and trading partnership risks. However, a standardized approach for systematically monitoring alien species and tracking biological invasions is still lacking. This Perspective presents a vision for global observation and monitoring of biological invasions. We show how the architecture for tracking biological invasions is provided by a minimum information set of Essential Variables, global collaboration on data sharing and infrastructure, and strategic contributions by countries. We show how this novel, synthetic approach to an observation system for alien species provides a tangible and attainable solution to delivering the information needed to slow the rate of new incursions and reduce the impacts of invaders. We identify three Essential Variables for Invasion Monitoring; alien species occurrence, species alien status and alien species impact. We outline how delivery of this minimum information set by joint, complementary contributions from countries and global community initiatives is possible. Country contributions are made feasible using a modular approach where all countries are able to participate and strategically build their contributions to a global information set over time. The vision we outline will deliver wide-ranging benefits to countries and international efforts to slow the rate of biological invasions and minimize their environmental impacts. These benefits will accrue over time as global coverage and information on alien species increases.","container-title":"Biological Conservation","DOI":"10.1016/j.biocon.2016.06.013","ISSN":"00063207","journalAbbreviation":"Biological Conservation","language":"en","page":"295-308","source":"DOI.org (Crossref)","title":"A vision for global monitoring of biological invasions","URL":"https://linkinghub.elsevier.com/retrieve/pii/S0006320716302373","volume":"213","author":[{"family":"Latombe","given":"Guillaume"},{"family":"Pyšek","given":"Petr"},{"family":"Jeschke","given":"Jonathan M."},{"family":"Blackburn","given":"Tim M."},{"family":"Bacher","given":"Sven"},{"family":"Capinha","given":"César"},{"family":"Costello","given":"Mark J."},{"family":"Fernández","given":"Miguel"},{"family":"Gregory","given":"Richard D."},{"family":"Hobern","given":"Donald"},{"family":"Hui","given":"Cang"},{"family":"Jetz","given":"Walter"},{"family":"Kumschick","given":"Sabrina"},{"family":"McGrannachan","given":"Chris"},{"family":"Pergl","given":"Jan"},{"family":"Roy","given":"Helen E."},{"family":"Scalera","given":"Riccardo"},{"family":"Squires","given":"Zoe E."},{"family":"Wilson","given":"John R.U."},{"family":"Winter","given":"Marten"},{"family":"Genovesi","given":"Piero"},{"family":"McGeoch","given":"Melodie A."}],"issued":{"date-parts":[["2017",9]]}},"label":"page"}],"schema":"https://github.com/citation-style-language/schema/raw/master/csl-citation.json"} </w:instrText>
      </w:r>
      <w:r w:rsidR="00ED53B6" w:rsidRPr="00A9434B">
        <w:fldChar w:fldCharType="separate"/>
      </w:r>
      <w:r w:rsidR="00C71E80" w:rsidRPr="00A9434B">
        <w:t>(Latombe et al., 2017)</w:t>
      </w:r>
      <w:r w:rsidR="00ED53B6" w:rsidRPr="00A9434B">
        <w:fldChar w:fldCharType="end"/>
      </w:r>
      <w:r>
        <w:t xml:space="preserve"> and regional early warning and information systems for invasive alien species. Scientific-technical governance includes the structure of information systems and platforms, assignment of responsibilities for data and information generation, sharing and communication (including risk communication; </w:t>
      </w:r>
      <w:r w:rsidRPr="505119A4">
        <w:rPr>
          <w:b/>
          <w:bCs/>
        </w:rPr>
        <w:t>Chapter 5</w:t>
      </w:r>
      <w:r>
        <w:t xml:space="preserve">, </w:t>
      </w:r>
      <w:r w:rsidRPr="505119A4">
        <w:rPr>
          <w:b/>
          <w:bCs/>
        </w:rPr>
        <w:t>section 5.2.2.1.h</w:t>
      </w:r>
      <w:r>
        <w:t xml:space="preserve">). It also includes strategies for delivering and communicating different types of information to different stakeholders. </w:t>
      </w:r>
      <w:r w:rsidR="00C25E77">
        <w:t>For example, the European Com</w:t>
      </w:r>
      <w:r w:rsidR="00273868">
        <w:t>m</w:t>
      </w:r>
      <w:r w:rsidR="00C25E77">
        <w:t>ission has developed an invasive alien species information system (European Alien Species Information Network, EASIN) that ensures transparent and authoritative data on invasive alien species</w:t>
      </w:r>
      <w:r w:rsidR="326765F3" w:rsidRPr="00A9434B">
        <w:rPr>
          <w:color w:val="000000" w:themeColor="text1"/>
        </w:rPr>
        <w:t xml:space="preserve"> </w:t>
      </w:r>
      <w:r w:rsidR="00ED53B6" w:rsidRPr="00A9434B">
        <w:rPr>
          <w:color w:val="000000" w:themeColor="text1"/>
        </w:rPr>
        <w:fldChar w:fldCharType="begin"/>
      </w:r>
      <w:r w:rsidR="0006613E">
        <w:rPr>
          <w:color w:val="000000" w:themeColor="text1"/>
        </w:rPr>
        <w:instrText xml:space="preserve"> ADDIN ZOTERO_ITEM CSL_CITATION {"citationID":"a26cbb9n3vl","properties":{"formattedCitation":"(European Environment Agency, 2010a)","plainCitation":"(European Environment Agency, 2010a)","noteIndex":0},"citationItems":[{"id":30285,"uris":["http://zotero.org/groups/2352922/items/DEHK6HQZ"],"itemData":{"id":30285,"type":"book","event-place":"LU","language":"eng","publisher":"Publications Office","publisher-place":"LU","source":"DOI.org (CSL JSON)","title":"Assessing biodiversity in Europe : the 2010 report","title-short":"Assessing biodiversity in Europe","URL":"https://data.europa.eu/doi/10.2800/42824","author":[{"literal":"European Environment Agency"}],"accessed":{"date-parts":[["2021",8,25]]},"issued":{"date-parts":[["2010"]]}},"label":"page"}],"schema":"https://github.com/citation-style-language/schema/raw/master/csl-citation.json"} </w:instrText>
      </w:r>
      <w:r w:rsidR="00ED53B6" w:rsidRPr="00A9434B">
        <w:rPr>
          <w:color w:val="000000" w:themeColor="text1"/>
        </w:rPr>
        <w:fldChar w:fldCharType="separate"/>
      </w:r>
      <w:r w:rsidR="00C71E80" w:rsidRPr="00A9434B">
        <w:t>(European Environment Agency, 2010a)</w:t>
      </w:r>
      <w:r w:rsidR="00ED53B6" w:rsidRPr="00A9434B">
        <w:rPr>
          <w:color w:val="000000" w:themeColor="text1"/>
        </w:rPr>
        <w:fldChar w:fldCharType="end"/>
      </w:r>
      <w:r w:rsidR="326765F3" w:rsidRPr="00A9434B">
        <w:t>.</w:t>
      </w:r>
      <w:r>
        <w:t xml:space="preserve"> Scientific-technical governance could also involve introducing, or strengthening existing, mechanisms that support a more ecosystem-based approach to governance, i.e., that includes systematic collection of essential data, use of best available evidence, and impact assessments as a pre-condition for new activities, policy change</w:t>
      </w:r>
      <w:r w:rsidR="00896CEC">
        <w:t xml:space="preserve"> and</w:t>
      </w:r>
      <w:r>
        <w:t xml:space="preserve"> involvement of stakeholders </w:t>
      </w:r>
      <w:r w:rsidR="00B77753" w:rsidRPr="00A9434B">
        <w:fldChar w:fldCharType="begin"/>
      </w:r>
      <w:r w:rsidR="0006613E">
        <w:instrText xml:space="preserve"> ADDIN ZOTERO_ITEM CSL_CITATION {"citationID":"a246401rd4e","properties":{"formattedCitation":"(Smolarz et al., 2016)","plainCitation":"(Smolarz et al., 2016)","noteIndex":0},"citationItems":[{"id":11449,"uris":["http://zotero.org/groups/2352922/items/K5CN724I"],"itemData":{"id":11449,"type":"chapter","collection-title":"MARE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label":"page"}],"schema":"https://github.com/citation-style-language/schema/raw/master/csl-citation.json"} </w:instrText>
      </w:r>
      <w:r w:rsidR="00B77753" w:rsidRPr="00A9434B">
        <w:fldChar w:fldCharType="separate"/>
      </w:r>
      <w:r w:rsidR="00C71E80" w:rsidRPr="00A9434B">
        <w:t>(Smolarz et al., 2016)</w:t>
      </w:r>
      <w:r w:rsidR="00B77753" w:rsidRPr="00A9434B">
        <w:fldChar w:fldCharType="end"/>
      </w:r>
      <w:r w:rsidR="326765F3" w:rsidRPr="00A9434B">
        <w:t>.</w:t>
      </w:r>
    </w:p>
    <w:p w14:paraId="4C45C378" w14:textId="1273A3D7" w:rsidR="00017C04" w:rsidRDefault="00C27DCE" w:rsidP="00C27DCE">
      <w:pPr>
        <w:pStyle w:val="Heading5"/>
      </w:pPr>
      <w:r>
        <w:t xml:space="preserve">(4) </w:t>
      </w:r>
      <w:r w:rsidR="00F50AF9">
        <w:t>Adaptive-collaborative governance: Communication across sectors and governance levels to enhance shared invasive alien species goals</w:t>
      </w:r>
    </w:p>
    <w:p w14:paraId="2B68C1B7" w14:textId="3AC74F75" w:rsidR="00017C04" w:rsidRDefault="00F50AF9">
      <w:pPr>
        <w:spacing w:before="0"/>
      </w:pPr>
      <w:r>
        <w:t>This model of governance involves a systematic approach to improve the planning and management of invasive alien species by “learning from doing”. It involves joint formulation of management objectives, specification of multiple management options, forecasting and estimating uncertainty, implementing management options, monitoring (social learning) to improve forecasting and reduce uncertainty, and changing management responses throughout a policy cycle (</w:t>
      </w:r>
      <w:r w:rsidR="008F7100">
        <w:rPr>
          <w:b/>
          <w:iCs/>
        </w:rPr>
        <w:t>G</w:t>
      </w:r>
      <w:r w:rsidR="00BB5D23" w:rsidRPr="00673554">
        <w:rPr>
          <w:b/>
          <w:iCs/>
        </w:rPr>
        <w:t>lossary</w:t>
      </w:r>
      <w:r w:rsidR="00BB5D23" w:rsidRPr="00C27DCE">
        <w:t xml:space="preserve">; </w:t>
      </w:r>
      <w:r w:rsidR="00C14761" w:rsidRPr="00A9434B">
        <w:fldChar w:fldCharType="begin"/>
      </w:r>
      <w:r w:rsidR="002D2756">
        <w:instrText xml:space="preserve"> ADDIN ZOTERO_ITEM CSL_CITATION {"citationID":"a1inkfgl6i7","properties":{"formattedCitation":"\\uldash{(Niemiec et al., 2019; Richardson et al., 2020)}","plainCitation":"(Niemiec et al., 2019; Richardson et al., 2020)","dontUpdate":true,"noteIndex":0},"citationItems":[{"id":60447,"uris":["http://zotero.org/groups/2352922/items/MHV8ZVWQ","http://zotero.org/groups/2352922/items/HQNHENSX"],"itemData":{"id":60447,"type":"article-journal","abstract":"Encouraging motivated landowners to not only engage in conservation action on their own property but also to recruit others may enhance effectiveness of conservation on private lands. Landowners may only engage in such recruitment if they believe their neighbors care about the conservation issue, will positively respond to their conservation efforts, and are likely to take action for the conservation cause. We designed a series of microinterventions that can be added to community meetings to change these beliefs to encourage landowner engagement in recruitment of others. The microinterventions included neighbor discussion, public commitment making, collective goal setting, and increased observability of contributions to the conservation cause. In a field experiment, we tested whether adding microinterventions to traditional knowledge-transfer outreach meetings changed those beliefs so as to encourage landowners in Hawaii to recruit their neighbors for private lands conservation. We delivered a traditional outreach meeting about managing the invasive little fire ant (Wasmannia auropunctata) to 5 communities and a traditional outreach approach with added microinterventions to 5 other communities. Analysis of pre- and post-surveys of residents showed that compared with the traditional conservation outreach approach, the microinterventions altered a subset of beliefs that landowners had about others. These microinterventions motivated reputationally minded landowners to recruit and coordinate with other residents to control the invasive fire ant across property boundaries. Our results suggest integration of these microinterventions into existing outreach approaches will encourage some landowners to facilitate collective conservation action across property boundaries.","container-title":"Conservation Biology","DOI":"10.1111/cobi.13294","ISSN":"0888-8892","issue":"4","note":"type: Journal Article","page":"930-941","title":"Motivating landowners to recruit neighbors for private land conservation","URL":"&lt;Go to ISI&gt;://WOS:000474668700022","volume":"33","author":[{"family":"Niemiec","given":"R. M."},{"family":"Willer","given":"R."},{"family":"Ardoin","given":"N. M."},{"family":"Brewer","given":"F. K."}],"issued":{"date-parts":[["2019"]]}},"label":"page"},{"id":22416,"uris":["http://zotero.org/groups/2352922/items/VTFG4AP6"],"itemData":{"id":22416,"type":"article-journal","abstract":"1.\t We are entering an era where species declines are occurring at their fastest ever rate, and the increased spread of non-native species is among the top causes. High uncertainty in biological processes makes the accurate prediction of the outcomes of management interventions very challenging. Adaptive management (AM) offers solutions to reduce uncertainty and improve pre-dictability so that the outcomes of interventions can continuously improve.\n2.\t We quantitatively assess the extent to which AM is used for managing ver-tebrates, with a focus on invasive non-native species (INNS). Using the Web of Science, we evaluated 3992 articles returned by the search terms ‘adaptive management’ or </w:instrText>
      </w:r>
      <w:r w:rsidR="002D2756">
        <w:rPr>
          <w:rFonts w:hint="eastAsia"/>
        </w:rPr>
        <w:instrText>‘</w:instrText>
      </w:r>
      <w:r w:rsidR="002D2756">
        <w:instrText>adaptive harvest management’ against seven recommended elements of AM (engagement with stakeholders, defining objectives, forecasting and estimating uncertainty, implementing management, monitoring popula-tions, adjusting management in response to monitoring, and improving fore-casting and reducing uncertainty in response to monitoring populations).\n3.\t The use of AM for vertebrates was reported in 56 (1%) of the evaluated studies; including four for managing INNS. Of these, ten studies excluding INNS and no studies of INNS management implemented all seven recom-mended elements of AM. Those elements infrequently implemented were as follows: the use of analysis or models to forecast and represent uncertainty (44%) and the feedback of monitoring data to improve forecasting and reduce uncertainty (25%).\n4.\tComplete active AM has rarely been implemented and reported for managing INNS, despite the significant advantages it offers. Among studies purporting to have implemented AM, most did not use analyses or models to forecast and represent uncertainty, while most defined objectives, implemented man-agement, and monitored populations.\n5.\tImprovements to ongoing control programmes and much broader adoption of the AM approach are required to increase the efficiency and success of INNS management campaigns and reduce their negative impacts on native species.","container-title":"Mammal Review","DOI":"10.1111/mam.12182","ISSN":"0305-1838, 1365-2907","issue":"2","journalAbbreviation":"Mam Rev","language":"en",</w:instrText>
      </w:r>
      <w:r w:rsidR="002D2756">
        <w:rPr>
          <w:rFonts w:hint="eastAsia"/>
        </w:rPr>
        <w:instrText>"page":"147-156","source":"DOI.org (Crossref)","title":"A systematic review of adaptive wildlife management for the control of invasive, non</w:instrText>
      </w:r>
      <w:r w:rsidR="002D2756">
        <w:rPr>
          <w:rFonts w:hint="eastAsia"/>
        </w:rPr>
        <w:instrText>‐</w:instrText>
      </w:r>
      <w:r w:rsidR="002D2756">
        <w:rPr>
          <w:rFonts w:hint="eastAsia"/>
        </w:rPr>
        <w:instrText>native mammals, and other human</w:instrText>
      </w:r>
      <w:r w:rsidR="002D2756">
        <w:rPr>
          <w:rFonts w:hint="eastAsia"/>
        </w:rPr>
        <w:instrText>–</w:instrText>
      </w:r>
      <w:r w:rsidR="002D2756">
        <w:rPr>
          <w:rFonts w:hint="eastAsia"/>
        </w:rPr>
        <w:instrText>wildlife conflicts","URL":"https://onlinelibrary.wiley.com/doi/abs/10.1111/mam.121</w:instrText>
      </w:r>
      <w:r w:rsidR="002D2756">
        <w:instrText xml:space="preserve">82","volume":"50","author":[{"family":"Richardson","given":"Suzanne"},{"family":"Mill","given":"Aileen C."},{"family":"Davis","given":"Darryl"},{"family":"Jam","given":"David"},{"family":"Ward","given":"Alastair I."}],"accessed":{"date-parts":[["2020",5,24]]},"issued":{"date-parts":[["2020",4]]}},"label":"page"}],"schema":"https://github.com/citation-style-language/schema/raw/master/csl-citation.json"} </w:instrText>
      </w:r>
      <w:r w:rsidR="00C14761" w:rsidRPr="00A9434B">
        <w:fldChar w:fldCharType="separate"/>
      </w:r>
      <w:r w:rsidR="007B6805" w:rsidRPr="00A9434B">
        <w:t>Niemiec et al., 2019; Richardson et al., 2020)</w:t>
      </w:r>
      <w:r w:rsidR="00C14761" w:rsidRPr="00A9434B">
        <w:fldChar w:fldCharType="end"/>
      </w:r>
      <w:r w:rsidR="00C14761" w:rsidRPr="00A9434B">
        <w:t>.</w:t>
      </w:r>
      <w:r>
        <w:t xml:space="preserve"> To date, many approaches to governance for biological invasions that refer to adaptive management have included only scientists, other experts or formal invasive alien species managers, and top-down modes of governance. In contrast, the concept and practice of adaptive collaborative governance and management are based on the involvement of stakeholders in decision-making at all levels, and on the establishment of vertical and horizontal institutional linkages spanning governance scales. These linkages support integrating and sharing knowledge. Adaptive-collaborative governance and management is ultimately “concerned with enhancing and including the capacity of all actors with a stake for sustainably managing the resource at hand” </w:t>
      </w:r>
      <w:r w:rsidR="00C14761" w:rsidRPr="00A9434B">
        <w:rPr>
          <w:b/>
          <w:bCs/>
        </w:rPr>
        <w:fldChar w:fldCharType="begin"/>
      </w:r>
      <w:r w:rsidR="0006613E">
        <w:instrText xml:space="preserve"> ADDIN ZOTERO_ITEM CSL_CITATION {"citationID":"a1efp04ln25","properties":{"formattedCitation":"(Plummer et al., 2012)","plainCitation":"(Plummer et al., 2012)","noteIndex":0},"citationItems":[{"id":25159,"uris":["http://zotero.org/groups/2352922/items/IZLPFAMD"],"itemData":{"id":25159,"type":"article-journal","abstract":"This paper outlines the results of a systematic review of the literature on adaptive comanagement (ACM). Adaptive comanagement is an emergent governance approach for complex social–ecological systems that links the learning function of adaptive management (experimental and experiential) and the linking (vertically and horizontally) function of comanagement. Given the rapid growth of adaptive comanagement scholarship, there is value in a systematic analysis of how the concept is being conceptualized to elucidate agreement and discrepancies and to examine the challenges this presents for cross-case comparisons and the possibility of arriving at more generalizable insights. A synthesis-based methodology has been developed involving a comprehensive search and screening of academic databases and the internet. A detailed analysis of 108 documents was undertaken to characterize the state of the ACM literature, unpack the construct of ACM, and examine relationships among aspects of ACM based on accumulated experiences to date. The systematic review and analysis reveals imprecision, inconsistency, and confusion with the concept. Robust evidentiary insights into how the variables or components of ACM interrelate as well as relate to goals and outcomes are, therefore, presently not possible. These findings lead to the discussion of a series of challenges for ACM scholarship. Opportunities remain for ACM scholars to pursue theoretical development in rigorous ways that facilitate empirically based cross-site comparisons.","container-title":"Ecology and Society","DOI":"10.5751/ES-04952-170311","ISSN":"1708-3087","issue":"3","journalAbbreviation":"E&amp;S","language":"en","page":"11","source":"DOI.org (Crossref)","title":"Adaptive Comanagement: a Systematic Review and Analysis","title-short":"Adaptive Comanagement","URL":"http://www.ecologyandsociety.org/vol17/iss3/art11/","volume":"17","author":[{"family":"Plummer","given":"Ryan"},{"family":"Crona","given":"Beatrice"},{"family":"Armitage","given":"Derek R."},{"family":"Olsson","given":"Per"},{"family":"Tengö","given":"Maria"},{"family":"Yudina","given":"Olga"}],"accessed":{"date-parts":[["2020",5,27]]},"issued":{"date-parts":[["2012"]]}},"label":"page"}],"schema":"https://github.com/citation-style-language/schema/raw/master/csl-citation.json"} </w:instrText>
      </w:r>
      <w:r w:rsidR="00C14761" w:rsidRPr="00A9434B">
        <w:rPr>
          <w:b/>
          <w:bCs/>
        </w:rPr>
        <w:fldChar w:fldCharType="separate"/>
      </w:r>
      <w:r w:rsidR="00C71E80" w:rsidRPr="00A9434B">
        <w:t>(Plummer et al., 2012)</w:t>
      </w:r>
      <w:r w:rsidR="00C14761" w:rsidRPr="00A9434B">
        <w:rPr>
          <w:b/>
          <w:bCs/>
        </w:rPr>
        <w:fldChar w:fldCharType="end"/>
      </w:r>
      <w:r w:rsidR="00C14761" w:rsidRPr="00A9434B">
        <w:t>.</w:t>
      </w:r>
      <w:r>
        <w:t xml:space="preserve"> Options involving this model of governance are covered in further detail in </w:t>
      </w:r>
      <w:r>
        <w:rPr>
          <w:b/>
        </w:rPr>
        <w:t>section 6.4</w:t>
      </w:r>
      <w:r>
        <w:t>.</w:t>
      </w:r>
    </w:p>
    <w:p w14:paraId="6CDC4B44" w14:textId="77777777" w:rsidR="00017C04" w:rsidRDefault="00F50AF9" w:rsidP="00C12647">
      <w:pPr>
        <w:pStyle w:val="Heading3"/>
        <w:ind w:left="720"/>
      </w:pPr>
      <w:bookmarkStart w:id="182" w:name="_heading=h.nmf14n" w:colFirst="0" w:colLast="0"/>
      <w:bookmarkStart w:id="183" w:name="_Toc75698973"/>
      <w:bookmarkStart w:id="184" w:name="_Toc133428300"/>
      <w:bookmarkEnd w:id="182"/>
      <w:r>
        <w:t xml:space="preserve">Developing effective strategy for </w:t>
      </w:r>
      <w:bookmarkEnd w:id="183"/>
      <w:r>
        <w:t>biological invasions</w:t>
      </w:r>
      <w:bookmarkStart w:id="185" w:name="_Toc399655375"/>
      <w:bookmarkEnd w:id="184"/>
      <w:r>
        <w:t xml:space="preserve"> </w:t>
      </w:r>
      <w:bookmarkEnd w:id="185"/>
    </w:p>
    <w:p w14:paraId="5A405BF9" w14:textId="6CDA114E" w:rsidR="00017C04" w:rsidRDefault="00F50AF9">
      <w:r>
        <w:t>Recognizing the significance of strategic planning for invasive alien species, one indicator under the SDGs (</w:t>
      </w:r>
      <w:r w:rsidR="00342C2F">
        <w:t xml:space="preserve">Indicator </w:t>
      </w:r>
      <w:r>
        <w:t xml:space="preserve">15.8.1) aims to track the percentage of countries with national strategies for preventing and controlling invasive alien species </w:t>
      </w:r>
      <w:r w:rsidR="007B60D8" w:rsidRPr="00A9434B">
        <w:fldChar w:fldCharType="begin"/>
      </w:r>
      <w:r w:rsidR="0006613E">
        <w:instrText xml:space="preserve"> ADDIN ZOTERO_ITEM CSL_CITATION {"citationID":"a9kdub6o0q","properties":{"formattedCitation":"(UN, 2021)","plainCitation":"(UN, 2021)","noteIndex":0},"citationItems":[{"id":30009,"uris":["http://zotero.org/groups/2352922/items/57NEI643"],"itemData":{"id":30009,"type":"webpage","genre":"United Nations Statistics Division, Development Data and Outreach Branch","title":"SDG Indicators — Metadata repository","URL":"https://unstats.un.org/sdgs/metadata/?Text=&amp;Goal=15&amp;Target=15.8","author":[{"literal":"UN"}],"accessed":{"date-parts":[["2021",8,16]]},"issued":{"date-parts":[["2021"]]}},"label":"page"}],"schema":"https://github.com/citation-style-language/schema/raw/master/csl-citation.json"} </w:instrText>
      </w:r>
      <w:r w:rsidR="007B60D8" w:rsidRPr="00A9434B">
        <w:fldChar w:fldCharType="separate"/>
      </w:r>
      <w:r w:rsidR="00065870" w:rsidRPr="00065870">
        <w:t>(UN, 2021)</w:t>
      </w:r>
      <w:r w:rsidR="007B60D8" w:rsidRPr="00A9434B">
        <w:fldChar w:fldCharType="end"/>
      </w:r>
      <w:r w:rsidR="007B60D8" w:rsidRPr="00A9434B">
        <w:t>.</w:t>
      </w:r>
      <w:r>
        <w:t xml:space="preserve"> The need for strategy to deal with biological invasions is driven by: </w:t>
      </w:r>
    </w:p>
    <w:p w14:paraId="72154B6D" w14:textId="77777777" w:rsidR="00017C04" w:rsidRDefault="00F50AF9" w:rsidP="00C25E77">
      <w:pPr>
        <w:pStyle w:val="ListParagraph"/>
        <w:numPr>
          <w:ilvl w:val="0"/>
          <w:numId w:val="61"/>
        </w:numPr>
        <w:spacing w:before="0" w:after="0"/>
      </w:pPr>
      <w:r w:rsidRPr="00C25E77">
        <w:t xml:space="preserve">The sheer size of the problem and the need to prioritize resources and actions; </w:t>
      </w:r>
    </w:p>
    <w:p w14:paraId="35FB8AFC" w14:textId="0617D839" w:rsidR="00017C04" w:rsidRDefault="00F50AF9" w:rsidP="00C25E77">
      <w:pPr>
        <w:pStyle w:val="ListParagraph"/>
        <w:numPr>
          <w:ilvl w:val="0"/>
          <w:numId w:val="61"/>
        </w:numPr>
        <w:spacing w:before="0" w:after="0"/>
      </w:pPr>
      <w:r w:rsidRPr="00C25E77">
        <w:lastRenderedPageBreak/>
        <w:t>The multidimensional and interconnected nature of the problem across invasion stages (</w:t>
      </w:r>
      <w:r w:rsidR="008F7100">
        <w:rPr>
          <w:b/>
          <w:iCs/>
        </w:rPr>
        <w:t>G</w:t>
      </w:r>
      <w:r w:rsidR="00E67307" w:rsidRPr="00673554">
        <w:rPr>
          <w:b/>
          <w:iCs/>
        </w:rPr>
        <w:t>lossary</w:t>
      </w:r>
      <w:r w:rsidRPr="00C25E77">
        <w:t xml:space="preserve">), sectors and actors; and </w:t>
      </w:r>
    </w:p>
    <w:p w14:paraId="27F99B82" w14:textId="77777777" w:rsidR="00130C63" w:rsidRPr="00A9434B" w:rsidRDefault="00A609B8" w:rsidP="00A537AC">
      <w:pPr>
        <w:pStyle w:val="ListParagraph"/>
        <w:numPr>
          <w:ilvl w:val="0"/>
          <w:numId w:val="61"/>
        </w:numPr>
        <w:spacing w:before="0" w:after="0"/>
      </w:pPr>
      <w:r w:rsidRPr="00A9434B">
        <w:t>T</w:t>
      </w:r>
      <w:r w:rsidR="00C14761" w:rsidRPr="00A9434B">
        <w:t xml:space="preserve">he interdependence between invasion and other forms of environmental change. </w:t>
      </w:r>
    </w:p>
    <w:p w14:paraId="2DCFA245" w14:textId="77777777" w:rsidR="00082050" w:rsidRPr="00A9434B" w:rsidRDefault="326765F3" w:rsidP="00082050">
      <w:pPr>
        <w:pStyle w:val="Heading5"/>
      </w:pPr>
      <w:r w:rsidRPr="00A9434B">
        <w:t>Strategic planning</w:t>
      </w:r>
    </w:p>
    <w:p w14:paraId="1190F4F4" w14:textId="3EE6E9B9" w:rsidR="00C14761" w:rsidRPr="00A9434B" w:rsidRDefault="2EDE1B23" w:rsidP="004D7189">
      <w:pPr>
        <w:spacing w:before="0"/>
        <w:rPr>
          <w:i/>
          <w:iCs/>
        </w:rPr>
      </w:pPr>
      <w:r w:rsidRPr="00A9434B">
        <w:t xml:space="preserve">The way strategies are designed, their content and the incorporation of good and environmental governance principles are key to guarantee their effectiveness </w:t>
      </w:r>
      <w:r w:rsidR="00F806B6" w:rsidRPr="00A9434B">
        <w:t>(</w:t>
      </w:r>
      <w:r w:rsidR="008F7100">
        <w:rPr>
          <w:b/>
          <w:iCs/>
        </w:rPr>
        <w:t>C</w:t>
      </w:r>
      <w:r w:rsidRPr="00673554">
        <w:rPr>
          <w:b/>
          <w:iCs/>
        </w:rPr>
        <w:t>hapter 5</w:t>
      </w:r>
      <w:r w:rsidRPr="00673554">
        <w:rPr>
          <w:iCs/>
        </w:rPr>
        <w:t>,</w:t>
      </w:r>
      <w:r w:rsidRPr="00673554">
        <w:rPr>
          <w:b/>
          <w:iCs/>
        </w:rPr>
        <w:t xml:space="preserve"> section 5.2</w:t>
      </w:r>
      <w:r w:rsidRPr="00A9434B">
        <w:rPr>
          <w:i/>
          <w:iCs/>
        </w:rPr>
        <w:t xml:space="preserve"> </w:t>
      </w:r>
      <w:r w:rsidRPr="00A9434B">
        <w:t>for more information on evidence-based decisions).</w:t>
      </w:r>
      <w:r w:rsidR="3CE7E591" w:rsidRPr="00A9434B">
        <w:t xml:space="preserve"> </w:t>
      </w:r>
      <w:r w:rsidR="05533755" w:rsidRPr="00A9434B">
        <w:t>I</w:t>
      </w:r>
      <w:r w:rsidR="326765F3" w:rsidRPr="00A9434B">
        <w:t xml:space="preserve">n complex contexts, such as those faced by countries dealing with invasive alien species and their impacts, </w:t>
      </w:r>
      <w:r w:rsidR="05533755" w:rsidRPr="00A9434B">
        <w:t xml:space="preserve">strategic planning </w:t>
      </w:r>
      <w:r w:rsidR="56E7ABB6" w:rsidRPr="00A9434B">
        <w:t>can be improved by</w:t>
      </w:r>
      <w:r w:rsidR="326765F3" w:rsidRPr="00A9434B">
        <w:t xml:space="preserve"> clear and cyclical assessment, option formulation, action</w:t>
      </w:r>
      <w:r w:rsidR="144B12C0" w:rsidRPr="00A9434B">
        <w:t>,</w:t>
      </w:r>
      <w:r w:rsidR="326765F3" w:rsidRPr="00A9434B">
        <w:t xml:space="preserve"> and re-assessment to achieve the goals of prevention, control</w:t>
      </w:r>
      <w:r w:rsidR="00896CEC">
        <w:t xml:space="preserve"> and</w:t>
      </w:r>
      <w:r w:rsidR="326765F3" w:rsidRPr="00A9434B">
        <w:t xml:space="preserve"> minimization of negative impacts </w:t>
      </w:r>
      <w:r w:rsidR="00C14761" w:rsidRPr="00A9434B">
        <w:fldChar w:fldCharType="begin"/>
      </w:r>
      <w:r w:rsidR="00C14761" w:rsidRPr="00A9434B">
        <w:instrText xml:space="preserve"> ADDIN EN.CITE &lt;EndNote&gt;&lt;Cite&gt;&lt;Author&gt;Andonova&lt;/Author&gt;&lt;Year&gt;2010&lt;/Year&gt;&lt;RecNum&gt;49192&lt;/RecNum&gt;&lt;DisplayText&gt;(Andonova and Mitchell 2010)&lt;/DisplayText&gt;&lt;record&gt;&lt;rec-number&gt;49192&lt;/rec-number&gt;&lt;foreign-keys&gt;&lt;key app="EN" db-id="awx9raddr0xx2hev05rxr0z05weepwpt0fex" timestamp="1581646875"&gt;49192&lt;/key&gt;&lt;/foreign-keys&gt;&lt;ref-type name="Book Section"&gt;5&lt;/ref-type&gt;&lt;contributors&gt;&lt;authors&gt;&lt;author&gt;Andonova, Liliana B.&lt;/author&gt;&lt;author&gt;Mitchell, Ronald B.&lt;/author&gt;&lt;/authors&gt;&lt;secondary-authors&gt;&lt;author&gt;Gadgil, A.&lt;/author&gt;&lt;author&gt;Liverman, D. M.&lt;/author&gt;&lt;/secondary-authors&gt;&lt;/contributors&gt;&lt;titles&gt;&lt;title&gt;The Rescaling of Global Environmental Politics&lt;/title&gt;&lt;secondary-title&gt;Annual Review of Environment and Resources, Vol 35&lt;/secondary-title&gt;&lt;tertiary-title&gt;Annual Review of Environment and Resources&lt;/tertiary-title&gt;&lt;/titles&gt;&lt;pages&gt;255-282&lt;/pages&gt;&lt;volume&gt;35&lt;/volume&gt;&lt;dates&gt;&lt;year&gt;2010&lt;/year&gt;&lt;/dates&gt;&lt;isbn&gt;978-0-8243-2335-6&lt;/isbn&gt;&lt;accession-num&gt;WOS:000284721100010&lt;/accession-num&gt;&lt;urls&gt;&lt;related-urls&gt;&lt;url&gt;&amp;lt;Go to ISI&amp;gt;://WOS:000284721100010&lt;/url&gt;&lt;/related-urls&gt;&lt;/urls&gt;&lt;electronic-resource-num&gt;10.1146/annurev-environ-100809-125346&lt;/electronic-resource-num&gt;&lt;/record&gt;&lt;/Cite&gt;&lt;/EndNote&gt;</w:instrText>
      </w:r>
      <w:r w:rsidR="00C14761" w:rsidRPr="00A9434B">
        <w:fldChar w:fldCharType="separate"/>
      </w:r>
      <w:r w:rsidR="006C00E2" w:rsidRPr="00A9434B">
        <w:fldChar w:fldCharType="begin"/>
      </w:r>
      <w:r w:rsidR="0006613E">
        <w:instrText xml:space="preserve"> ADDIN ZOTERO_ITEM CSL_CITATION {"citationID":"a2ck3i6dqc0","properties":{"formattedCitation":"(Andonova &amp; Mitchell, 2010)","plainCitation":"(Andonova &amp; Mitchell, 2010)","noteIndex":0},"citationItems":[{"id":11297,"uris":["http://zotero.org/groups/2352922/items/SCEW9H9Y"],"itemData":{"id":11297,"type":"article-journal","abstract":"In the past half-century, the practice and study of global environmental politics and governance have been dramatically rescaled. They have become increasingly complex and interconnected with respect to the level (between local and global) at which they take place, the range of actors engaged in them, and the linkages between them and nominally nonenvironmental issues. Global environmental politics and governance have been rescaled vertically down toward provincial and municipal governments and up toward supranational regimes. They have also been rescaled horizontally across regional and sectoral organizations and networks and across new issues, such as development, security, and trade among others. This rescaling reflects shifts in the magnitude, complexity, and interconnectedness of the global environmental problems humans face as well as epistemological shifts in how humans understand and respond to these problems, and rescaling has implications for both the practice and study of global environmental politics.","container-title":"Annual Review of Environment and Resources","DOI":"10.1146/annurev-environ-100809-125346","issue":"1","note":"_eprint: https://doi.org/10.1146/annurev-environ-100809-125346","page":"255-282","source":"Annual Reviews","title":"The Rescaling of Global Environmental Politics","URL":"https://doi.org/10.1146/annurev-environ-100809-125346","volume":"35","author":[{"family":"Andonova","given":"Liliana B."},{"family":"Mitchell","given":"Ronald B."}],"accessed":{"date-parts":[["2020",8,18]]},"issued":{"date-parts":[["2010"]]}},"label":"page"}],"schema":"https://github.com/citation-style-language/schema/raw/master/csl-citation.json"} </w:instrText>
      </w:r>
      <w:r w:rsidR="006C00E2" w:rsidRPr="00A9434B">
        <w:fldChar w:fldCharType="separate"/>
      </w:r>
      <w:r w:rsidR="00C71E80" w:rsidRPr="00A9434B">
        <w:t>(Andonova &amp; Mitchell, 2010)</w:t>
      </w:r>
      <w:r w:rsidR="006C00E2" w:rsidRPr="00A9434B">
        <w:fldChar w:fldCharType="end"/>
      </w:r>
      <w:r w:rsidR="00C14761" w:rsidRPr="00A9434B">
        <w:fldChar w:fldCharType="end"/>
      </w:r>
      <w:r w:rsidR="326765F3" w:rsidRPr="00A9434B">
        <w:t xml:space="preserve">, including </w:t>
      </w:r>
      <w:r w:rsidR="3F485935" w:rsidRPr="00A9434B">
        <w:t xml:space="preserve">regular, </w:t>
      </w:r>
      <w:r w:rsidR="326765F3" w:rsidRPr="00A9434B">
        <w:t xml:space="preserve">objective review and evaluation </w:t>
      </w:r>
      <w:r w:rsidR="00C14761" w:rsidRPr="00A9434B">
        <w:fldChar w:fldCharType="begin"/>
      </w:r>
      <w:r w:rsidR="00C14761" w:rsidRPr="00A9434B">
        <w:instrText xml:space="preserve"> ADDIN EN.CITE &lt;EndNote&gt;&lt;Cite&gt;&lt;Author&gt;Martin&lt;/Author&gt;&lt;Year&gt;2016&lt;/Year&gt;&lt;RecNum&gt;49092&lt;/RecNum&gt;&lt;DisplayText&gt;(Martin, Le Gal et al. 2016)&lt;/DisplayText&gt;&lt;record&gt;&lt;rec-number&gt;49092&lt;/rec-number&gt;&lt;foreign-keys&gt;&lt;key app="EN" db-id="awx9raddr0xx2hev05rxr0z05weepwpt0fex" timestamp="1581497320"&gt;49092&lt;/key&gt;&lt;/foreign-keys&gt;&lt;ref-type name="Book Section"&gt;5&lt;/ref-type&gt;&lt;contributors&gt;&lt;authors&gt;&lt;author&gt;Martin, Paul&lt;/author&gt;&lt;author&gt;Le Gal, Elodie&lt;/author&gt;&lt;author&gt;Choy, Darryl Low&lt;/author&gt;&lt;/authors&gt;&lt;secondary-authors&gt;&lt;author&gt;Maheshwari, B.&lt;/author&gt;&lt;author&gt;Singh, V. P.&lt;/author&gt;&lt;author&gt;Thoradeniya, B.&lt;/author&gt;&lt;/secondary-authors&gt;&lt;/contributors&gt;&lt;titles&gt;&lt;title&gt;Effect of Social and Institutional Fragmentation on Collective Action in Peri-Urban Settings&lt;/title&gt;&lt;secondary-title&gt;Balanced Urban Development: Options and Strategies for Liveable Cities&lt;/secondary-title&gt;&lt;tertiary-title&gt;Water Science and Technology Library&lt;/tertiary-title&gt;&lt;/titles&gt;&lt;pages&gt;465-480&lt;/pages&gt;&lt;volume&gt;72&lt;/volume&gt;&lt;dates&gt;&lt;year&gt;2016&lt;/year&gt;&lt;/dates&gt;&lt;isbn&gt;978-3-319-28112-4; 978-3-319-28110-0&lt;/isbn&gt;&lt;accession-num&gt;WOS:000398928900029&lt;/accession-num&gt;&lt;urls&gt;&lt;related-urls&gt;&lt;url&gt;&amp;lt;Go to ISI&amp;gt;://WOS:000398928900029&lt;/url&gt;&lt;/related-urls&gt;&lt;/urls&gt;&lt;electronic-resource-num&gt;10.1007/978-3-319-28112-4_28&lt;/electronic-resource-num&gt;&lt;/record&gt;&lt;/Cite&gt;&lt;/EndNote&gt;</w:instrText>
      </w:r>
      <w:r w:rsidR="00C14761" w:rsidRPr="00A9434B">
        <w:fldChar w:fldCharType="separate"/>
      </w:r>
      <w:r w:rsidR="006C00E2" w:rsidRPr="00A9434B">
        <w:fldChar w:fldCharType="begin"/>
      </w:r>
      <w:r w:rsidR="0006613E">
        <w:instrText xml:space="preserve"> ADDIN ZOTERO_ITEM CSL_CITATION {"citationID":"a2onvb4aa4","properties":{"formattedCitation":"\\uldash{(Martin et al., 2016)}","plainCitation":"(Martin et al., 2016)","dontUpdate":true,"noteIndex":0},"citationItems":[{"id":11351,"uris":["http://zotero.org/groups/2352922/items/BMBKHVLX"],"itemData":{"id":11351,"type":"chapter","collection-title":"Water Science and Technology Library","container-title":"Balanced Urban Development: Options and Strategies for Liveable Cities","event-place":"Cham","ISBN":"978-3-319-28112-4","note":"DOI: 10.1007/978-3-319-28112-4_28","page":"465-480","publisher":"Springer","publisher-place":"Cham","title":"Effect of Social and Institutional Fragmentation on Collective Action in Peri-Urban Settings","volume":"72","author":[{"family":"Martin","given":"Paul"},{"family":"Le Gal","given":"Elodie"},{"family":"Choy","given":"Darryl Low"}],"editor":[{"family":"Maheshwari","given":"B."},{"family":"Thoradeniya","given":"B."},{"family":"Singh","given":"V. P."}],"issued":{"date-parts":[["2016"]]}},"label":"page"}],"schema":"https://github.com/citation-style-language/schema/raw/master/csl-citation.json"} </w:instrText>
      </w:r>
      <w:r w:rsidR="006C00E2" w:rsidRPr="00A9434B">
        <w:fldChar w:fldCharType="separate"/>
      </w:r>
      <w:r w:rsidR="007B6805" w:rsidRPr="00A9434B">
        <w:t>(Martin et al., 2016;</w:t>
      </w:r>
      <w:r w:rsidR="006C00E2" w:rsidRPr="00A9434B">
        <w:fldChar w:fldCharType="end"/>
      </w:r>
      <w:r w:rsidR="00C14761" w:rsidRPr="00A9434B">
        <w:fldChar w:fldCharType="end"/>
      </w:r>
      <w:r w:rsidR="004D7189">
        <w:t xml:space="preserve"> </w:t>
      </w:r>
      <w:r w:rsidR="004D7189">
        <w:rPr>
          <w:b/>
          <w:bCs/>
        </w:rPr>
        <w:t>Table 6.6</w:t>
      </w:r>
      <w:r w:rsidR="004D7189">
        <w:t>)</w:t>
      </w:r>
      <w:r w:rsidR="326765F3" w:rsidRPr="00A9434B">
        <w:t xml:space="preserve">. </w:t>
      </w:r>
      <w:r w:rsidR="694ECCE1" w:rsidRPr="00A9434B">
        <w:t>Given limited resources,</w:t>
      </w:r>
      <w:r w:rsidR="70AF0E18" w:rsidRPr="00A9434B">
        <w:t xml:space="preserve"> strategic planning can drive prioriti</w:t>
      </w:r>
      <w:r w:rsidR="437DD6BE" w:rsidRPr="00A9434B">
        <w:t>z</w:t>
      </w:r>
      <w:r w:rsidR="70AF0E18" w:rsidRPr="00A9434B">
        <w:t>ation</w:t>
      </w:r>
      <w:r w:rsidR="47F532EB" w:rsidRPr="00A9434B">
        <w:t xml:space="preserve">, including </w:t>
      </w:r>
      <w:r w:rsidR="00B10BFA">
        <w:t xml:space="preserve">determining </w:t>
      </w:r>
      <w:r w:rsidR="47F532EB" w:rsidRPr="00A9434B">
        <w:t xml:space="preserve">which species need </w:t>
      </w:r>
      <w:r w:rsidR="343C8603" w:rsidRPr="00A9434B">
        <w:t>prevention, control</w:t>
      </w:r>
      <w:r w:rsidR="144B12C0" w:rsidRPr="00A9434B">
        <w:t>,</w:t>
      </w:r>
      <w:r w:rsidR="343C8603" w:rsidRPr="00A9434B">
        <w:t xml:space="preserve"> or adaptation responses </w:t>
      </w:r>
      <w:r w:rsidR="006C00E2" w:rsidRPr="00A9434B">
        <w:fldChar w:fldCharType="begin"/>
      </w:r>
      <w:r w:rsidR="0006613E">
        <w:instrText xml:space="preserve"> ADDIN ZOTERO_ITEM CSL_CITATION {"citationID":"amrkl7jb5s","properties":{"formattedCitation":"(McGeoch et al., 2016)","plainCitation":"(McGeoch et al., 2016)","noteIndex":0},"citationItems":[{"id":26532,"uris":["http://zotero.org/groups/2352922/items/SK35934W"],"itemData":{"id":26532,"type":"article-journal","abstract":"Prioritization is indispensable for the management of biological invasions, as recognized by the Convention on Biological Diversity, its current strategic plan, and specifically Aichi Target 9 that concerns invasive alien species. Here we provide an overview of the process, approaches and the data needs for prioritization for invasion policy and management, with the intention of informing and guiding efforts to address this target. Many prioritization schemes quantify impact and risk, from the pragmatic and action-focused to the data-demanding and science-based. Effective prioritization must consider not only invasive species and pathways (as mentioned in Aichi Target 9), but also which sites are most sensitive and susceptible to invasion (not made explicit in Aichi Target 9). Integrated prioritization across these foci may lead to future efficiencies in resource allocation for invasion management. Many countries face the challenge of prioritizing with little capacity and poor baseline data. We recommend a consultative, science-based process for prioritizing impacts based on species, pathways and sites, and outline the information needed by countries to achieve this. This should be integrated into a national process that incorporates a broad suite of social and economic criteria. Such a process is likely to be feasible for most countries.","container-title":"Biological Invasions","DOI":"10.1007/s10530-015-1013-1","ISSN":"1387-3547, 1573-1464","issue":"2","page":"299-314","title":"Prioritizing species, pathways, and sites to achieve conservation targets for biological invasion","URL":"http://link.springer.com/10.1007/s10530-015-1013-1","volume":"18","author":[{"family":"McGeoch","given":"Melodie A."},{"family":"Genovesi","given":"P."},{"family":"Bellingham","given":"P. J."},{"family":"Costello","given":"M. J."},{"family":"McGrannachan","given":"C."},{"family":"Sheppard","given":"A."}],"issued":{"date-parts":[["2016",2]]}}}],"schema":"https://github.com/citation-style-language/schema/raw/master/csl-citation.json"} </w:instrText>
      </w:r>
      <w:r w:rsidR="006C00E2" w:rsidRPr="00A9434B">
        <w:fldChar w:fldCharType="separate"/>
      </w:r>
      <w:r w:rsidR="00065870" w:rsidRPr="00065870">
        <w:t>(McGeoch et al., 2016)</w:t>
      </w:r>
      <w:r w:rsidR="006C00E2" w:rsidRPr="00A9434B">
        <w:fldChar w:fldCharType="end"/>
      </w:r>
      <w:r w:rsidR="343C8603" w:rsidRPr="00A9434B">
        <w:t xml:space="preserve">. </w:t>
      </w:r>
      <w:r w:rsidR="326765F3" w:rsidRPr="00A9434B">
        <w:t>The strategic planning phase would consider all four governance models discussed above as part of a comprehensive strategy. Widely accepted steps in the development of strategy include: (1) evidence-based situation analysis; (2)</w:t>
      </w:r>
      <w:r w:rsidR="00C27DCE">
        <w:t> </w:t>
      </w:r>
      <w:r w:rsidR="326765F3" w:rsidRPr="00A9434B">
        <w:t xml:space="preserve">development of a strategy and action plan; (3) identification </w:t>
      </w:r>
      <w:r w:rsidR="1B204F15" w:rsidRPr="00A9434B">
        <w:t xml:space="preserve">and prioritization </w:t>
      </w:r>
      <w:r w:rsidR="326765F3" w:rsidRPr="00A9434B">
        <w:t>of tools and methods to enable strategic action, including legislation, financing, institutional arrangements</w:t>
      </w:r>
      <w:r w:rsidR="144B12C0" w:rsidRPr="00A9434B">
        <w:t>,</w:t>
      </w:r>
      <w:r w:rsidR="326765F3" w:rsidRPr="00A9434B">
        <w:t xml:space="preserve"> stakeholder </w:t>
      </w:r>
      <w:r w:rsidR="5ED0B039" w:rsidRPr="00A9434B">
        <w:t xml:space="preserve">and </w:t>
      </w:r>
      <w:r w:rsidR="4C1F436F" w:rsidRPr="00A9434B">
        <w:t>Indigenous Peoples</w:t>
      </w:r>
      <w:r w:rsidR="6661D606" w:rsidRPr="00A9434B">
        <w:t xml:space="preserve"> and local communities</w:t>
      </w:r>
      <w:r w:rsidR="5ED0B039" w:rsidRPr="00A9434B">
        <w:t xml:space="preserve"> </w:t>
      </w:r>
      <w:r w:rsidR="326765F3" w:rsidRPr="00A9434B">
        <w:t xml:space="preserve">participation; and (4) mechanisms to ensure implementation </w:t>
      </w:r>
      <w:r w:rsidR="006C00E2" w:rsidRPr="00A9434B">
        <w:fldChar w:fldCharType="begin"/>
      </w:r>
      <w:r w:rsidR="0006613E">
        <w:instrText xml:space="preserve"> ADDIN ZOTERO_ITEM CSL_CITATION {"citationID":"abdqvblpac","properties":{"formattedCitation":"(Falkenmark, 2007)","plainCitation":"(Falkenmark, 2007)","noteIndex":0},"citationItems":[{"id":24252,"uris":["http://zotero.org/groups/2352922/items/XDBT9A2Z"],"itemData":{"id":24252,"type":"chapter","collection-title":"Water Resources Development and Management","container-title":"Governance as a Trialogue: Government-Society-Science in Transition","event-place":"Berlin, Heidelberg","ISBN":"978-3-540-46265-1","note":"DOI: 10.1007/978-3-540-46266-8_4","page":"59-76","publisher":"Springer","publisher-place":"Berlin, Heidelberg","title":"Good ecosystem governance: Balancing ecosystems and social needs","author":[{"family":"Falkenmark","given":"Malin"}],"editor":[{"family":"Turton","given":"A. R."},{"family":"Hattingh","given":"H. J."},{"family":"Maree","given":"G. A."},{"family":"Roux","given":"D. J."},{"family":"Claassen","given":"M."},{"family":"Strydom","given":"W. F."}],"issued":{"date-parts":[["2007"]]}},"label":"page"}],"schema":"https://github.com/citation-style-language/schema/raw/master/csl-citation.json"} </w:instrText>
      </w:r>
      <w:r w:rsidR="006C00E2" w:rsidRPr="00A9434B">
        <w:fldChar w:fldCharType="separate"/>
      </w:r>
      <w:r w:rsidR="00C71E80" w:rsidRPr="00A9434B">
        <w:t>(Falkenmark, 2007)</w:t>
      </w:r>
      <w:r w:rsidR="006C00E2" w:rsidRPr="00A9434B">
        <w:fldChar w:fldCharType="end"/>
      </w:r>
      <w:r w:rsidR="1789C16C" w:rsidRPr="00A9434B">
        <w:t>.</w:t>
      </w:r>
    </w:p>
    <w:p w14:paraId="3F690FB9" w14:textId="77777777" w:rsidR="00017C04" w:rsidRPr="00C25E77" w:rsidRDefault="00F50AF9">
      <w:pPr>
        <w:pStyle w:val="Heading5"/>
        <w:rPr>
          <w:shd w:val="clear" w:color="auto" w:fill="FFFFFF"/>
        </w:rPr>
      </w:pPr>
      <w:r w:rsidRPr="00C25E77">
        <w:rPr>
          <w:shd w:val="clear" w:color="auto" w:fill="FFFFFF"/>
        </w:rPr>
        <w:t xml:space="preserve">National </w:t>
      </w:r>
      <w:r>
        <w:t>strategies</w:t>
      </w:r>
    </w:p>
    <w:p w14:paraId="3C8D060C" w14:textId="6F9740D1" w:rsidR="00017C04" w:rsidRDefault="00F50AF9">
      <w:pPr>
        <w:spacing w:before="0" w:after="0"/>
      </w:pPr>
      <w:r w:rsidRPr="00C25E77">
        <w:rPr>
          <w:shd w:val="clear" w:color="auto" w:fill="FFFFFF"/>
        </w:rPr>
        <w:t>National strategies are critical for achieving</w:t>
      </w:r>
      <w:r>
        <w:t xml:space="preserve"> invasive alien species</w:t>
      </w:r>
      <w:r w:rsidRPr="00C25E77">
        <w:rPr>
          <w:shd w:val="clear" w:color="auto" w:fill="FFFFFF"/>
        </w:rPr>
        <w:t xml:space="preserve"> goals and targets, as this is the level at which legislative and resourcing commitment by countries is strongest </w:t>
      </w:r>
      <w:r w:rsidR="00E24881" w:rsidRPr="00AC28EC">
        <w:rPr>
          <w:rFonts w:eastAsia="Arial"/>
          <w:shd w:val="clear" w:color="auto" w:fill="FFFFFF"/>
        </w:rPr>
        <w:fldChar w:fldCharType="begin"/>
      </w:r>
      <w:r w:rsidR="002D2756">
        <w:rPr>
          <w:rFonts w:eastAsia="Arial"/>
          <w:shd w:val="clear" w:color="auto" w:fill="FFFFFF"/>
        </w:rPr>
        <w:instrText xml:space="preserve"> ADDIN ZOTERO_ITEM CSL_CITATION {"citationID":"a1mdcq52vlq","properties":{"formattedCitation":"(CBD, 2020b)","plainCitation":"(CBD, 2020b)","noteIndex":0},"citationItems":[{"id":25099,"uris":["http://zotero.org/groups/2352922/items/UJ942WY7"],"itemData":{"id":25099,"type":"webpage","container-title":"Convention on Biological Diversity","language":"en","license":"Copyright 2001-2011, Secretariat of the Convention on Biological Diversity","note":"source: www.cbd.int\npublisher: Secretariat of the Convention on Biological Diversity","title":"Strategic Plan for Biodiversity 2011-2020, including Aichi Biodiversity Targets","URL":"https://www.cbd.int/sp/","author":[{"literal":"CBD"}],"accessed":{"date-parts":[["2020",7,29]]},"issued":{"date-parts":[["2020"]]}},"label":"page"}],"schema":"https://github.com/citation-style-language/schema/raw/master/csl-citation.json"} </w:instrText>
      </w:r>
      <w:r w:rsidR="00E24881" w:rsidRPr="00AC28EC">
        <w:rPr>
          <w:rFonts w:eastAsia="Arial"/>
          <w:shd w:val="clear" w:color="auto" w:fill="FFFFFF"/>
        </w:rPr>
        <w:fldChar w:fldCharType="separate"/>
      </w:r>
      <w:r w:rsidR="002D2756" w:rsidRPr="002D2756">
        <w:t>(CBD, 2020b)</w:t>
      </w:r>
      <w:r w:rsidR="00E24881" w:rsidRPr="00AC28EC">
        <w:rPr>
          <w:rFonts w:eastAsia="Arial"/>
          <w:shd w:val="clear" w:color="auto" w:fill="FFFFFF"/>
        </w:rPr>
        <w:fldChar w:fldCharType="end"/>
      </w:r>
      <w:r w:rsidR="00C14761" w:rsidRPr="00AC28EC">
        <w:rPr>
          <w:rFonts w:eastAsia="Arial"/>
          <w:shd w:val="clear" w:color="auto" w:fill="FFFFFF"/>
        </w:rPr>
        <w:t>.</w:t>
      </w:r>
      <w:r w:rsidRPr="00C25E77">
        <w:rPr>
          <w:shd w:val="clear" w:color="auto" w:fill="FFFFFF"/>
        </w:rPr>
        <w:t xml:space="preserve"> </w:t>
      </w:r>
      <w:r>
        <w:t xml:space="preserve">National strategies for invasive alien species have been called for, </w:t>
      </w:r>
      <w:r>
        <w:rPr>
          <w:i/>
        </w:rPr>
        <w:t>inter alia</w:t>
      </w:r>
      <w:r>
        <w:t xml:space="preserve">, to design implementation regimes, for example in the form </w:t>
      </w:r>
      <w:r w:rsidR="00C27DCE">
        <w:t>of national invasive alien species strategy and action plans or natio</w:t>
      </w:r>
      <w:r>
        <w:t xml:space="preserve">nal-level biosecurity strategies </w:t>
      </w:r>
      <w:r w:rsidR="00E12FD4" w:rsidRPr="00A9434B">
        <w:fldChar w:fldCharType="begin"/>
      </w:r>
      <w:r w:rsidR="0006613E">
        <w:instrText xml:space="preserve"> ADDIN ZOTERO_ITEM CSL_CITATION {"citationID":"a1s6ndt3dq","properties":{"formattedCitation":"(Sustainable Development Solution Network, 2021)","plainCitation":"(Sustainable Development Solution Network, 2021)","noteIndex":0},"citationItems":[{"id":54641,"uris":["http://zotero.org/groups/2352922/items/TQ26LE8N"],"itemData":{"id":54641,"type":"webpage","title":"Indicators and a Monitoring Framework Launching a data revolution for the Sustainable Development Goals","URL":"https://indicators.report/targets/15-8/","author":[{"literal":"Sustainable Development Solution Network"}],"accessed":{"date-parts":[["2023",3,2]]},"issued":{"date-parts":[["2021"]]}}}],"schema":"https://github.com/citation-style-language/schema/raw/master/csl-citation.json"} </w:instrText>
      </w:r>
      <w:r w:rsidR="00E12FD4" w:rsidRPr="00A9434B">
        <w:fldChar w:fldCharType="separate"/>
      </w:r>
      <w:r w:rsidR="00C71E80" w:rsidRPr="00A9434B">
        <w:t>(Sustainable Development Solution Network, 2021)</w:t>
      </w:r>
      <w:r w:rsidR="00E12FD4" w:rsidRPr="00A9434B">
        <w:fldChar w:fldCharType="end"/>
      </w:r>
      <w:r w:rsidR="00E12FD4" w:rsidRPr="00A9434B">
        <w:t>.</w:t>
      </w:r>
      <w:r>
        <w:t xml:space="preserve"> Such strategy could aim to include or address:</w:t>
      </w:r>
    </w:p>
    <w:p w14:paraId="092DD780" w14:textId="77777777" w:rsidR="00017C04" w:rsidRDefault="00F50AF9" w:rsidP="00C25E77">
      <w:pPr>
        <w:pStyle w:val="ListParagraph"/>
        <w:numPr>
          <w:ilvl w:val="0"/>
          <w:numId w:val="49"/>
        </w:numPr>
        <w:spacing w:before="0"/>
      </w:pPr>
      <w:r w:rsidRPr="00C25E77">
        <w:t>The means to achieve coherent legislative frameworks;</w:t>
      </w:r>
    </w:p>
    <w:p w14:paraId="3EB0F482" w14:textId="77777777" w:rsidR="00017C04" w:rsidRDefault="00F50AF9" w:rsidP="00C25E77">
      <w:pPr>
        <w:pStyle w:val="ListParagraph"/>
        <w:numPr>
          <w:ilvl w:val="0"/>
          <w:numId w:val="49"/>
        </w:numPr>
      </w:pPr>
      <w:r w:rsidRPr="00C25E77">
        <w:t xml:space="preserve">Coordination mechanisms to manage and communicate with the range of government and non-government sectors and actors involved; </w:t>
      </w:r>
    </w:p>
    <w:p w14:paraId="168B34A9" w14:textId="76F2432E" w:rsidR="00AD68B7" w:rsidRPr="00A9434B" w:rsidRDefault="00DF7AEF" w:rsidP="00A42B50">
      <w:pPr>
        <w:pStyle w:val="ListParagraph"/>
        <w:numPr>
          <w:ilvl w:val="0"/>
          <w:numId w:val="49"/>
        </w:numPr>
      </w:pPr>
      <w:r w:rsidRPr="00A9434B">
        <w:t>A</w:t>
      </w:r>
      <w:r w:rsidR="00C14761" w:rsidRPr="00A9434B">
        <w:t xml:space="preserve"> coordinating body able to harmonize law such that no conflicts </w:t>
      </w:r>
      <w:r w:rsidR="0079673B" w:rsidRPr="00A9434B">
        <w:t xml:space="preserve">exist </w:t>
      </w:r>
      <w:r w:rsidR="00C14761" w:rsidRPr="00A9434B">
        <w:t xml:space="preserve">between sectors </w:t>
      </w:r>
      <w:r w:rsidR="00C14761" w:rsidRPr="00A9434B">
        <w:fldChar w:fldCharType="begin">
          <w:fldData xml:space="preserve">PEVuZE5vdGU+PENpdGU+PEF1dGhvcj5SaWxleTwvQXV0aG9yPjxZZWFyPjIwMTI8L1llYXI+PFJl
Y051bT40OTE1NjwvUmVjTnVtPjxEaXNwbGF5VGV4dD4oU2hpbmUsIFdpbGxpYW1zIGV0IGFsLiAy
MDA1LCBSaWxleSAyMDEyKTwvRGlzcGxheVRleHQ+PHJlY29yZD48cmVjLW51bWJlcj40OTE1Njwv
cmVjLW51bWJlcj48Zm9yZWlnbi1rZXlzPjxrZXkgYXBwPSJFTiIgZGItaWQ9ImF3eDlyYWRkcjB4
eDJoZXYwNXJ4cjB6MDV3ZWVwd3B0MGZleCIgdGltZXN0YW1wPSIxNTgxNDk3MzIwIj40OTE1Njwv
a2V5PjwvZm9yZWlnbi1rZXlzPjxyZWYtdHlwZSBuYW1lPSJKb3VybmFsIEFydGljbGUiPjE3PC9y
ZWYtdHlwZT48Y29udHJpYnV0b3JzPjxhdXRob3JzPjxhdXRob3I+UmlsZXksIFNvcGhpZTwvYXV0
aG9yPjwvYXV0aG9ycz48L2NvbnRyaWJ1dG9ycz48dGl0bGVzPjx0aXRsZT5MYXcgaXMgb3JkZXIs
IGFuZCBnb29kIGxhdyBpcyBnb29kIG9yZGVyOiBUaGUgcm9sZSBvZiBnb3Zlcm5hbmNlIGluIHRo
ZSByZWd1bGF0aW9uIG9mIGludmFzaXZlIGFsaWVuIHNwZWNpZXM8L3RpdGxlPjxzZWNvbmRhcnkt
dGl0bGU+RW52aXJvbm1lbnRhbCBhbmQgUGxhbm5pbmcgTGF3IEpvdXJuYWw8L3NlY29uZGFyeS10
aXRsZT48L3RpdGxlcz48cGVyaW9kaWNhbD48ZnVsbC10aXRsZT5FbnZpcm9ubWVudGFsIGFuZCBw
bGFubmluZyBsYXcgam91cm5hbDwvZnVsbC10aXRsZT48YWJici0xPkVudmlyb24uIFBsYW4uIExh
dyBKLjwvYWJici0xPjxhYmJyLTI+RW52aXJvbiBQbGFuIExhdyBKPC9hYmJyLTI+PC9wZXJpb2Rp
Y2FsPjx2b2x1bWU+Mjk8L3ZvbHVtZT48bnVtYmVyPjE8L251bWJlcj48ZGF0ZXM+PHllYXI+MjAx
MjwveWVhcj48cHViLWRhdGVzPjxkYXRlPjIwMTI8L2RhdGU+PC9wdWItZGF0ZXM+PC9kYXRlcz48
aXNibj4wODEzLTMwMFg8L2lzYm4+PGFjY2Vzc2lvbi1udW0+V09TOjAwMDIxMzcyNTIwMDAwMjwv
YWNjZXNzaW9uLW51bT48dXJscz48cmVsYXRlZC11cmxzPjx1cmw+Jmx0O0dvIHRvIElTSSZndDs6
Ly9XT1M6MDAwMjEzNzI1MjAwMDAyPC91cmw+PC9yZWxhdGVkLXVybHM+PC91cmxzPjxjdXN0b203
PlVuc3AgMTY8L2N1c3RvbTc+PC9yZWNvcmQ+PC9DaXRlPjxDaXRlPjxBdXRob3I+U2hpbmU8L0F1
dGhvcj48WWVhcj4yMDA1PC9ZZWFyPjxSZWNOdW0+NjM8L1JlY051bT48cmVjb3JkPjxyZWMtbnVt
YmVyPjc5PC9yZWMtbnVtYmVyPjxmb3JlaWduLWtleXM+PGtleSBhcHA9IkVOIiBkYi1pZD0iMGQ1
NXBheGRjdndwZWJlNTVkMXZyejVuZTJwYXR0cHJhcnRhIiB0aW1lc3RhbXA9IjE1OTc5OTI3MzQi
Pjc5PC9rZXk+PC9mb3JlaWduLWtleXM+PHJlZi10eXBlIG5hbWU9IkJvb2sgU2VjdGlvbiI+NTwv
cmVmLXR5cGU+PGNvbnRyaWJ1dG9ycz48YXV0aG9ycz48YXV0aG9yPlNoaW5lLCBDLjwvYXV0aG9y
PjxhdXRob3I+V2lsbGlhbXMsIE4uTS48L2F1dGhvcj48YXV0aG9yPkJ1cm5oZW5uZS1HdWlsbWlu
LCBGLjwvYXV0aG9yPjwvYXV0aG9ycz48c2Vjb25kYXJ5LWF1dGhvcnM+PGF1dGhvcj5Nb29uZXks
IEguIEEuPC9hdXRob3I+PGF1dGhvcj5NYWNrLCBSLk4uPC9hdXRob3I+PGF1dGhvcj5NY05lZWx5
LCBKLkEuPC9hdXRob3I+PGF1dGhvcj5OZXZpbGxlLCBMLkUuPC9hdXRob3I+PGF1dGhvcj5TY2hl
aSwgUC5KLjwvYXV0aG9yPjxhdXRob3I+V2FhZ2UsIEouSy48L2F1dGhvcj48L3NlY29uZGFyeS1h
dXRob3JzPjwvY29udHJpYnV0b3JzPjx0aXRsZXM+PHRpdGxlPkxlZ2FsIGFuZCBpbnN0aXR1dGlv
bmFsIGZyYW1ld29ya3MgZm9yIGludmFzaXZlIGFsaWVuIHNwZWNpZXM8L3RpdGxlPjxzZWNvbmRh
cnktdGl0bGU+SW52YXNpdmUgYWxpZW4gc3BlY2llczogYSBuZXcgc3ludGhlc2lzPC9zZWNvbmRh
cnktdGl0bGU+PC90aXRsZXM+PHBhZ2VzPjIzMy0yODQ8L3BhZ2VzPjxrZXl3b3Jkcz48a2V5d29y
ZD5JTlZBU0lPTjwva2V5d29yZD48L2tleXdvcmRzPjxkYXRlcz48eWVhcj4yMDA1PC95ZWFyPjwv
ZGF0ZXM+PHB1Yi1sb2NhdGlvbj5XYXNoaW5ndG9uPC9wdWItbG9jYXRpb24+PHB1Ymxpc2hlcj5J
c2xhbmQgUHJlc3M8L3B1Ymxpc2hlcj48dXJscz48L3VybHM+PC9yZWNvcmQ+PC9DaXRlPjwvRW5k
Tm90ZT5=
</w:fldData>
        </w:fldChar>
      </w:r>
      <w:r w:rsidR="00C14761" w:rsidRPr="00A9434B">
        <w:instrText xml:space="preserve"> ADDIN EN.CITE </w:instrText>
      </w:r>
      <w:r w:rsidR="00C14761" w:rsidRPr="00A9434B">
        <w:fldChar w:fldCharType="begin">
          <w:fldData xml:space="preserve">PEVuZE5vdGU+PENpdGU+PEF1dGhvcj5SaWxleTwvQXV0aG9yPjxZZWFyPjIwMTI8L1llYXI+PFJl
Y051bT40OTE1NjwvUmVjTnVtPjxEaXNwbGF5VGV4dD4oU2hpbmUsIFdpbGxpYW1zIGV0IGFsLiAy
MDA1LCBSaWxleSAyMDEyKTwvRGlzcGxheVRleHQ+PHJlY29yZD48cmVjLW51bWJlcj40OTE1Njwv
cmVjLW51bWJlcj48Zm9yZWlnbi1rZXlzPjxrZXkgYXBwPSJFTiIgZGItaWQ9ImF3eDlyYWRkcjB4
eDJoZXYwNXJ4cjB6MDV3ZWVwd3B0MGZleCIgdGltZXN0YW1wPSIxNTgxNDk3MzIwIj40OTE1Njwv
a2V5PjwvZm9yZWlnbi1rZXlzPjxyZWYtdHlwZSBuYW1lPSJKb3VybmFsIEFydGljbGUiPjE3PC9y
ZWYtdHlwZT48Y29udHJpYnV0b3JzPjxhdXRob3JzPjxhdXRob3I+UmlsZXksIFNvcGhpZTwvYXV0
aG9yPjwvYXV0aG9ycz48L2NvbnRyaWJ1dG9ycz48dGl0bGVzPjx0aXRsZT5MYXcgaXMgb3JkZXIs
IGFuZCBnb29kIGxhdyBpcyBnb29kIG9yZGVyOiBUaGUgcm9sZSBvZiBnb3Zlcm5hbmNlIGluIHRo
ZSByZWd1bGF0aW9uIG9mIGludmFzaXZlIGFsaWVuIHNwZWNpZXM8L3RpdGxlPjxzZWNvbmRhcnkt
dGl0bGU+RW52aXJvbm1lbnRhbCBhbmQgUGxhbm5pbmcgTGF3IEpvdXJuYWw8L3NlY29uZGFyeS10
aXRsZT48L3RpdGxlcz48cGVyaW9kaWNhbD48ZnVsbC10aXRsZT5FbnZpcm9ubWVudGFsIGFuZCBw
bGFubmluZyBsYXcgam91cm5hbDwvZnVsbC10aXRsZT48YWJici0xPkVudmlyb24uIFBsYW4uIExh
dyBKLjwvYWJici0xPjxhYmJyLTI+RW52aXJvbiBQbGFuIExhdyBKPC9hYmJyLTI+PC9wZXJpb2Rp
Y2FsPjx2b2x1bWU+Mjk8L3ZvbHVtZT48bnVtYmVyPjE8L251bWJlcj48ZGF0ZXM+PHllYXI+MjAx
MjwveWVhcj48cHViLWRhdGVzPjxkYXRlPjIwMTI8L2RhdGU+PC9wdWItZGF0ZXM+PC9kYXRlcz48
aXNibj4wODEzLTMwMFg8L2lzYm4+PGFjY2Vzc2lvbi1udW0+V09TOjAwMDIxMzcyNTIwMDAwMjwv
YWNjZXNzaW9uLW51bT48dXJscz48cmVsYXRlZC11cmxzPjx1cmw+Jmx0O0dvIHRvIElTSSZndDs6
Ly9XT1M6MDAwMjEzNzI1MjAwMDAyPC91cmw+PC9yZWxhdGVkLXVybHM+PC91cmxzPjxjdXN0b203
PlVuc3AgMTY8L2N1c3RvbTc+PC9yZWNvcmQ+PC9DaXRlPjxDaXRlPjxBdXRob3I+U2hpbmU8L0F1
dGhvcj48WWVhcj4yMDA1PC9ZZWFyPjxSZWNOdW0+NjM8L1JlY051bT48cmVjb3JkPjxyZWMtbnVt
YmVyPjc5PC9yZWMtbnVtYmVyPjxmb3JlaWduLWtleXM+PGtleSBhcHA9IkVOIiBkYi1pZD0iMGQ1
NXBheGRjdndwZWJlNTVkMXZyejVuZTJwYXR0cHJhcnRhIiB0aW1lc3RhbXA9IjE1OTc5OTI3MzQi
Pjc5PC9rZXk+PC9mb3JlaWduLWtleXM+PHJlZi10eXBlIG5hbWU9IkJvb2sgU2VjdGlvbiI+NTwv
cmVmLXR5cGU+PGNvbnRyaWJ1dG9ycz48YXV0aG9ycz48YXV0aG9yPlNoaW5lLCBDLjwvYXV0aG9y
PjxhdXRob3I+V2lsbGlhbXMsIE4uTS48L2F1dGhvcj48YXV0aG9yPkJ1cm5oZW5uZS1HdWlsbWlu
LCBGLjwvYXV0aG9yPjwvYXV0aG9ycz48c2Vjb25kYXJ5LWF1dGhvcnM+PGF1dGhvcj5Nb29uZXks
IEguIEEuPC9hdXRob3I+PGF1dGhvcj5NYWNrLCBSLk4uPC9hdXRob3I+PGF1dGhvcj5NY05lZWx5
LCBKLkEuPC9hdXRob3I+PGF1dGhvcj5OZXZpbGxlLCBMLkUuPC9hdXRob3I+PGF1dGhvcj5TY2hl
aSwgUC5KLjwvYXV0aG9yPjxhdXRob3I+V2FhZ2UsIEouSy48L2F1dGhvcj48L3NlY29uZGFyeS1h
dXRob3JzPjwvY29udHJpYnV0b3JzPjx0aXRsZXM+PHRpdGxlPkxlZ2FsIGFuZCBpbnN0aXR1dGlv
bmFsIGZyYW1ld29ya3MgZm9yIGludmFzaXZlIGFsaWVuIHNwZWNpZXM8L3RpdGxlPjxzZWNvbmRh
cnktdGl0bGU+SW52YXNpdmUgYWxpZW4gc3BlY2llczogYSBuZXcgc3ludGhlc2lzPC9zZWNvbmRh
cnktdGl0bGU+PC90aXRsZXM+PHBhZ2VzPjIzMy0yODQ8L3BhZ2VzPjxrZXl3b3Jkcz48a2V5d29y
ZD5JTlZBU0lPTjwva2V5d29yZD48L2tleXdvcmRzPjxkYXRlcz48eWVhcj4yMDA1PC95ZWFyPjwv
ZGF0ZXM+PHB1Yi1sb2NhdGlvbj5XYXNoaW5ndG9uPC9wdWItbG9jYXRpb24+PHB1Ymxpc2hlcj5J
c2xhbmQgUHJlc3M8L3B1Ymxpc2hlcj48dXJscz48L3VybHM+PC9yZWNvcmQ+PC9DaXRlPjwvRW5k
Tm90ZT5=
</w:fldData>
        </w:fldChar>
      </w:r>
      <w:r w:rsidR="00C14761" w:rsidRPr="00A9434B">
        <w:instrText xml:space="preserve"> ADDIN EN.CITE.DATA </w:instrText>
      </w:r>
      <w:r w:rsidR="00C14761" w:rsidRPr="00A9434B">
        <w:fldChar w:fldCharType="end"/>
      </w:r>
      <w:r w:rsidR="00C14761" w:rsidRPr="00A9434B">
        <w:fldChar w:fldCharType="separate"/>
      </w:r>
      <w:r w:rsidR="006C00E2" w:rsidRPr="00A9434B">
        <w:fldChar w:fldCharType="begin"/>
      </w:r>
      <w:r w:rsidR="0006613E">
        <w:instrText xml:space="preserve"> ADDIN ZOTERO_ITEM CSL_CITATION {"citationID":"as5d5s1jdk","properties":{"formattedCitation":"(Riley, 2012; Shine et al., 2005)","plainCitation":"(Riley, 2012; Shine et al., 2005)","noteIndex":0},"citationItems":[{"id":24138,"uris":["http://zotero.org/groups/2352922/items/3MLHJ4IF"],"itemData":{"id":24138,"type":"article-journal","abstract":"In Australia, invasive alien species (IAS) are the second largest threat to biodiversity after loss of habitat. International obligations provide that Australia should prevent the introduction of, or control or eradicate those alien species that threaten ecosystems, habitats or species. Yet, designing and implementing effective IAS regimes remains elusive. It is a multidimensional exercise that engages a variety of actors across all levels of government. The purpose of this paper is to examine complications stemming from governance of IAS regimes in federal systems where law-making power is shared.","container-title":"Environmental and planning law journal","DOI":"10.3316/agispt.20121130","ISSN":"0813-300X","issue":"1","journalAbbreviation":"Environ. Plan. Law J.","language":"en","page":"16–44","title":"Law is order, and good law is good order: The role of governance in the regulation of invasive alien species","URL":"https://search.informit.org/doi/10.3316/agispt.20121130","volume":"29","author":[{"family":"Riley","given":"Sophie"}],"issued":{"date-parts":[["2012"]]}},"label":"page"},{"id":53446,"uris":["http://zotero.org/groups/2352922/items/G2YGAELX"],"itemData":{"id":53446,"type":"chapter","container-title":"Invasive alien species: a new synthesis","event-place":"Washington","ISBN":"1-55963-363-8","page":"233-284","publisher":"Island Press","publisher-place":"Washington","title":"Legal and institutional frameworks for invasive alien species","author":[{"family":"Shine","given":"C."},{"family":"Williams","given":"N. M."},{"family":"Burnhenne-Guilmin","given":"F."}],"editor":[{"family":"Mooney","given":"H. A."},{"family":"Mack","given":"R. N."},{"family":"McNeely","given":"J. A."},{"family":"Neville","given":"L. E."},{"family":"Schei","given":"P. J."},{"family":"Waage","given":"J. K."}],"issued":{"date-parts":[["2005"]]}},"label":"page"}],"schema":"https://github.com/citation-style-language/schema/raw/master/csl-citation.json"} </w:instrText>
      </w:r>
      <w:r w:rsidR="006C00E2" w:rsidRPr="00A9434B">
        <w:fldChar w:fldCharType="separate"/>
      </w:r>
      <w:r w:rsidR="00C71E80" w:rsidRPr="00A9434B">
        <w:t>(Riley, 2012; Shine et al., 2005)</w:t>
      </w:r>
      <w:r w:rsidR="006C00E2" w:rsidRPr="00A9434B">
        <w:fldChar w:fldCharType="end"/>
      </w:r>
      <w:r w:rsidR="00C14761" w:rsidRPr="00A9434B">
        <w:fldChar w:fldCharType="end"/>
      </w:r>
      <w:r w:rsidR="009D3AD2" w:rsidRPr="00A9434B">
        <w:t>;</w:t>
      </w:r>
    </w:p>
    <w:p w14:paraId="756FEA58" w14:textId="716C10AE" w:rsidR="00DF7AEF" w:rsidRPr="00A9434B" w:rsidRDefault="00DF7AEF" w:rsidP="00A42B50">
      <w:pPr>
        <w:pStyle w:val="ListParagraph"/>
        <w:numPr>
          <w:ilvl w:val="0"/>
          <w:numId w:val="49"/>
        </w:numPr>
      </w:pPr>
      <w:r w:rsidRPr="00A9434B">
        <w:t>C</w:t>
      </w:r>
      <w:r w:rsidR="00C14761" w:rsidRPr="00A9434B">
        <w:rPr>
          <w:rFonts w:eastAsia="Batang"/>
        </w:rPr>
        <w:t xml:space="preserve">ollaborative and inclusive definition of goals and objectives for </w:t>
      </w:r>
      <w:r w:rsidR="00C14761" w:rsidRPr="00A9434B">
        <w:t>invasive alien species</w:t>
      </w:r>
      <w:r w:rsidR="00C14761" w:rsidRPr="00A9434B">
        <w:rPr>
          <w:rFonts w:eastAsia="Batang"/>
        </w:rPr>
        <w:t xml:space="preserve"> across sectors and levels </w:t>
      </w:r>
      <w:r w:rsidR="00030A53">
        <w:rPr>
          <w:rFonts w:eastAsia="Batang"/>
        </w:rPr>
        <w:t xml:space="preserve">that </w:t>
      </w:r>
      <w:r w:rsidR="00C14761" w:rsidRPr="00A9434B">
        <w:rPr>
          <w:rFonts w:eastAsia="Batang"/>
        </w:rPr>
        <w:t>can be integrated into nation</w:t>
      </w:r>
      <w:r w:rsidR="00AD68B7" w:rsidRPr="00A9434B">
        <w:rPr>
          <w:rFonts w:eastAsia="Batang"/>
        </w:rPr>
        <w:t>al</w:t>
      </w:r>
      <w:r w:rsidR="00C14761" w:rsidRPr="00A9434B">
        <w:rPr>
          <w:rFonts w:eastAsia="Batang"/>
        </w:rPr>
        <w:t xml:space="preserve"> strategies </w:t>
      </w:r>
      <w:r w:rsidR="00C14761" w:rsidRPr="00A9434B">
        <w:fldChar w:fldCharType="begin">
          <w:fldData xml:space="preserve">PEVuZE5vdGU+PENpdGU+PEF1dGhvcj5TbW9sYXJ6PC9BdXRob3I+PFllYXI+MjAxNjwvWWVhcj48
UmVjTnVtPjQ5MDk2PC9SZWNOdW0+PERpc3BsYXlUZXh0PihQcmFzZWVkYSBhbmQgTmV3cG9ydCAy
MDEwLCBTbW9sYXJ6LCBCaXNrdXAgZXQgYWwuIDIwMTYsIEJhcm5oaWxsLURpbGxpbmcsIFNlcnIg
ZXQgYWwuIDIwMTkpPC9EaXNwbGF5VGV4dD48cmVjb3JkPjxyZWMtbnVtYmVyPjQ5MDk2PC9yZWMt
bnVtYmVyPjxmb3JlaWduLWtleXM+PGtleSBhcHA9IkVOIiBkYi1pZD0iYXd4OXJhZGRyMHh4Mmhl
djA1cnhyMHowNXdlZXB3cHQwZmV4IiB0aW1lc3RhbXA9IjE1ODE0OTczMjAiPjQ5MDk2PC9rZXk+
PC9mb3JlaWduLWtleXM+PHJlZi10eXBlIG5hbWU9IkJvb2sgU2VjdGlvbiI+NTwvcmVmLXR5cGU+
PGNvbnRyaWJ1dG9ycz48YXV0aG9ycz48YXV0aG9yPlNtb2xhcnosIEthdGFyenluYTwvYXV0aG9y
PjxhdXRob3I+Qmlza3VwLCBQYXVsaW5hPC9hdXRob3I+PGF1dGhvcj5aZ3J1bmRvLCBBbGVrc2Fu
ZHJhPC9hdXRob3I+PC9hdXRob3JzPjxzZWNvbmRhcnktYXV0aG9ycz48YXV0aG9yPkdpbGVrLCBN
LjwvYXV0aG9yPjxhdXRob3I+S2FybHNzb24sIE0uPC9hdXRob3I+PGF1dGhvcj5MaW5rZSwgUy48
L2F1dGhvcj48YXV0aG9yPlNtb2xhcnosIEsuPC9hdXRob3I+PC9zZWNvbmRhcnktYXV0aG9ycz48
L2NvbnRyaWJ1dG9ycz48dGl0bGVzPjx0aXRsZT5CaW9sb2dpY2FsIEludmFzaW9uczogQSBDYXNl
IFN0dWR5IG9mIEJhbHRpYyBTZWEgRW52aXJvbm1lbnRhbCBHb3Zlcm5hbmNlPC90aXRsZT48c2Vj
b25kYXJ5LXRpdGxlPkVudmlyb25tZW50YWwgR292ZXJuYW5jZSBvZiB0aGUgQmFsdGljIFNlYTwv
c2Vjb25kYXJ5LXRpdGxlPjx0ZXJ0aWFyeS10aXRsZT5NQVJFIFB1YmxpY2F0aW9uIFNlcmllczwv
dGVydGlhcnktdGl0bGU+PC90aXRsZXM+PHBlcmlvZGljYWw+PGZ1bGwtdGl0bGU+RW52aXJvbm1l
bnRhbCBnb3Zlcm5hbmNlIG9mIHRoZSBCYWx0aWMgU2VhPC9mdWxsLXRpdGxlPjwvcGVyaW9kaWNh
bD48cGFnZXM+NzMtOTU8L3BhZ2VzPjx2b2x1bWU+MTA8L3ZvbHVtZT48ZGF0ZXM+PHllYXI+MjAx
NjwveWVhcj48L2RhdGVzPjxpc2JuPjk3OC0zLTMxOS0yNzAwNi03OyA5NzgtMy0zMTktMjcwMDUt
MDwvaXNibj48YWNjZXNzaW9uLW51bT5XT1M6MDAwMzg2Njk1MzAwMDA1PC9hY2Nlc3Npb24tbnVt
Pjx1cmxzPjxyZWxhdGVkLXVybHM+PHVybD4mbHQ7R28gdG8gSVNJJmd0OzovL1dPUzowMDAzODY2
OTUzMDAwMDU8L3VybD48L3JlbGF0ZWQtdXJscz48L3VybHM+PGVsZWN0cm9uaWMtcmVzb3VyY2Ut
bnVtPjEwLjEwMDcvOTc4LTMtMzE5LTI3MDA2LTdfNDwvZWxlY3Ryb25pYy1yZXNvdXJjZS1udW0+
PC9yZWNvcmQ+PC9DaXRlPjxDaXRlPjxBdXRob3I+UHJhc2VlZGE8L0F1dGhvcj48WWVhcj4yMDEw
PC9ZZWFyPjxSZWNOdW0+NDkxNzI8L1JlY051bT48cmVjb3JkPjxyZWMtbnVtYmVyPjQ5MTcyPC9y
ZWMtbnVtYmVyPjxmb3JlaWduLWtleXM+PGtleSBhcHA9IkVOIiBkYi1pZD0iYXd4OXJhZGRyMHh4
MmhldjA1cnhyMHowNXdlZXB3cHQwZmV4IiB0aW1lc3RhbXA9IjE1ODE0OTczMjAiPjQ5MTcyPC9r
ZXk+PC9mb3JlaWduLWtleXM+PHJlZi10eXBlIG5hbWU9IkpvdXJuYWwgQXJ0aWNsZSI+MTc8L3Jl
Zi10eXBlPjxjb250cmlidXRvcnM+PGF1dGhvcnM+PGF1dGhvcj5QcmFzZWVkYSwgU2FudSBWLjwv
YXV0aG9yPjxhdXRob3I+TmV3cG9ydCwgSmV5YW50aCBLLjwvYXV0aG9yPjwvYXV0aG9ycz48L2Nv
bnRyaWJ1dG9ycz48dGl0bGVzPjx0aXRsZT5JbnZhc2l2ZSBhbGllbiBzcGVjaWVzIGRpc3BlcnNh
bDogdGhlIG1pbGxlbm5pdW0gYmlvZGl2ZXJzaXR5IGRpc2FzdGVyPC90aXRsZT48c2Vjb25kYXJ5
LXRpdGxlPkRpc2FzdGVyIFByZXZlbnRpb24gYW5kIE1hbmFnZW1lbnQ8L3NlY29uZGFyeS10aXRs
ZT48L3RpdGxlcz48cGVyaW9kaWNhbD48ZnVsbC10aXRsZT5EaXNhc3RlciBQcmV2ZW50aW9uIGFu
ZCBNYW5hZ2VtZW50PC9mdWxsLXRpdGxlPjxhYmJyLTE+RGlzYXN0ZXIgUHJldi4gTWFuYWdlLjwv
YWJici0xPjxhYmJyLTI+RGlzYXN0ZXIgUHJldiBNYW5hZ2U8L2FiYnItMj48L3BlcmlvZGljYWw+
PHBhZ2VzPjI5MS0yOTc8L3BhZ2VzPjx2b2x1bWU+MTk8L3ZvbHVtZT48bnVtYmVyPjM8L251bWJl
cj48ZGF0ZXM+PHllYXI+MjAxMDwveWVhcj48cHViLWRhdGVzPjxkYXRlPjIwMTA8L2RhdGU+PC9w
dWItZGF0ZXM+PC9kYXRlcz48aXNibj4wOTY1LTM1NjI8L2lzYm4+PGFjY2Vzc2lvbi1udW0+V09T
OjAwMDI5MTEyODkwMDAwMzwvYWNjZXNzaW9uLW51bT48dXJscz48cmVsYXRlZC11cmxzPjx1cmw+
Jmx0O0dvIHRvIElTSSZndDs6Ly9XT1M6MDAwMjkxMTI4OTAwMDAzPC91cmw+PC9yZWxhdGVkLXVy
bHM+PC91cmxzPjxlbGVjdHJvbmljLXJlc291cmNlLW51bT4xMC4xMTA4LzA5NjUzNTYxMDExMDUy
NDc1PC9lbGVjdHJvbmljLXJlc291cmNlLW51bT48L3JlY29yZD48L0NpdGU+PENpdGU+PEF1dGhv
cj5CYXJuaGlsbC1EaWxsaW5nPC9BdXRob3I+PFllYXI+MjAxOTwvWWVhcj48UmVjTnVtPjQ5MDE2
PC9SZWNOdW0+PHJlY29yZD48cmVjLW51bWJlcj40OTAxNjwvcmVjLW51bWJlcj48Zm9yZWlnbi1r
ZXlzPjxrZXkgYXBwPSJFTiIgZGItaWQ9ImF3eDlyYWRkcjB4eDJoZXYwNXJ4cjB6MDV3ZWVwd3B0
MGZleCIgdGltZXN0YW1wPSIxNTgxNDk3MzIwIj40OTAxNjwva2V5PjwvZm9yZWlnbi1rZXlzPjxy
ZWYtdHlwZSBuYW1lPSJKb3VybmFsIEFydGljbGUiPjE3PC9yZWYtdHlwZT48Y29udHJpYnV0b3Jz
PjxhdXRob3JzPjxhdXRob3I+QmFybmhpbGwtRGlsbGluZywgUy4gS2F0aGxlZW48L2F1dGhvcj48
YXV0aG9yPlNlcnIsIE1lZ2FuPC9hdXRob3I+PGF1dGhvcj5CbG9uZGVsLCBEaW1pdHJpIFYuPC9h
dXRob3I+PGF1dGhvcj5Hb2R3aW4sIEpvaG48L2F1dGhvcj48L2F1dGhvcnM+PC9jb250cmlidXRv
cnM+PHRpdGxlcz48dGl0bGU+U3VzdGFpbmFiaWxpdHkgYXMgYSBGcmFtZXdvcmsgZm9yIENvbnNp
ZGVyaW5nIEdlbmUgRHJpdmUgTWljZSBmb3IgSW52YXNpdmUgUm9kZW50IEVyYWRpY2F0aW9uPC90
aXRsZT48c2Vjb25kYXJ5LXRpdGxlPlN1c3RhaW5hYmlsaXR5PC9zZWNvbmRhcnktdGl0bGU+PC90
aXRsZXM+PHBlcmlvZGljYWw+PGZ1bGwtdGl0bGU+U3VzdGFpbmFiaWxpdHk8L2Z1bGwtdGl0bGU+
PC9wZXJpb2RpY2FsPjx2b2x1bWU+MTE8L3ZvbHVtZT48bnVtYmVyPjU8L251bWJlcj48ZGF0ZXM+
PHllYXI+MjAxOTwveWVhcj48cHViLWRhdGVzPjxkYXRlPk1hciAxPC9kYXRlPjwvcHViLWRhdGVz
PjwvZGF0ZXM+PGlzYm4+MjA3MS0xMDUwPC9pc2JuPjxhY2Nlc3Npb24tbnVtPldPUzowMDA0NjI2
NjEwMDAxMTg8L2FjY2Vzc2lvbi1udW0+PHVybHM+PHJlbGF0ZWQtdXJscz48dXJsPiZsdDtHbyB0
byBJU0kmZ3Q7Oi8vV09TOjAwMDQ2MjY2MTAwMDExODwvdXJsPjwvcmVsYXRlZC11cmxzPjwvdXJs
cz48Y3VzdG9tNz4xMzM0PC9jdXN0b203PjxlbGVjdHJvbmljLXJlc291cmNlLW51bT4xMC4zMzkw
L3N1MTEwNTEzMzQ8L2VsZWN0cm9uaWMtcmVzb3VyY2UtbnVtPjwvcmVjb3JkPjwvQ2l0ZT48L0Vu
ZE5vdGU+AG==
</w:fldData>
        </w:fldChar>
      </w:r>
      <w:r w:rsidR="00C14761" w:rsidRPr="00A9434B">
        <w:instrText xml:space="preserve"> ADDIN EN.CITE </w:instrText>
      </w:r>
      <w:r w:rsidR="00C14761" w:rsidRPr="00A9434B">
        <w:fldChar w:fldCharType="begin">
          <w:fldData xml:space="preserve">PEVuZE5vdGU+PENpdGU+PEF1dGhvcj5TbW9sYXJ6PC9BdXRob3I+PFllYXI+MjAxNjwvWWVhcj48
UmVjTnVtPjQ5MDk2PC9SZWNOdW0+PERpc3BsYXlUZXh0PihQcmFzZWVkYSBhbmQgTmV3cG9ydCAy
MDEwLCBTbW9sYXJ6LCBCaXNrdXAgZXQgYWwuIDIwMTYsIEJhcm5oaWxsLURpbGxpbmcsIFNlcnIg
ZXQgYWwuIDIwMTkpPC9EaXNwbGF5VGV4dD48cmVjb3JkPjxyZWMtbnVtYmVyPjQ5MDk2PC9yZWMt
bnVtYmVyPjxmb3JlaWduLWtleXM+PGtleSBhcHA9IkVOIiBkYi1pZD0iYXd4OXJhZGRyMHh4Mmhl
djA1cnhyMHowNXdlZXB3cHQwZmV4IiB0aW1lc3RhbXA9IjE1ODE0OTczMjAiPjQ5MDk2PC9rZXk+
PC9mb3JlaWduLWtleXM+PHJlZi10eXBlIG5hbWU9IkJvb2sgU2VjdGlvbiI+NTwvcmVmLXR5cGU+
PGNvbnRyaWJ1dG9ycz48YXV0aG9ycz48YXV0aG9yPlNtb2xhcnosIEthdGFyenluYTwvYXV0aG9y
PjxhdXRob3I+Qmlza3VwLCBQYXVsaW5hPC9hdXRob3I+PGF1dGhvcj5aZ3J1bmRvLCBBbGVrc2Fu
ZHJhPC9hdXRob3I+PC9hdXRob3JzPjxzZWNvbmRhcnktYXV0aG9ycz48YXV0aG9yPkdpbGVrLCBN
LjwvYXV0aG9yPjxhdXRob3I+S2FybHNzb24sIE0uPC9hdXRob3I+PGF1dGhvcj5MaW5rZSwgUy48
L2F1dGhvcj48YXV0aG9yPlNtb2xhcnosIEsuPC9hdXRob3I+PC9zZWNvbmRhcnktYXV0aG9ycz48
L2NvbnRyaWJ1dG9ycz48dGl0bGVzPjx0aXRsZT5CaW9sb2dpY2FsIEludmFzaW9uczogQSBDYXNl
IFN0dWR5IG9mIEJhbHRpYyBTZWEgRW52aXJvbm1lbnRhbCBHb3Zlcm5hbmNlPC90aXRsZT48c2Vj
b25kYXJ5LXRpdGxlPkVudmlyb25tZW50YWwgR292ZXJuYW5jZSBvZiB0aGUgQmFsdGljIFNlYTwv
c2Vjb25kYXJ5LXRpdGxlPjx0ZXJ0aWFyeS10aXRsZT5NQVJFIFB1YmxpY2F0aW9uIFNlcmllczwv
dGVydGlhcnktdGl0bGU+PC90aXRsZXM+PHBlcmlvZGljYWw+PGZ1bGwtdGl0bGU+RW52aXJvbm1l
bnRhbCBnb3Zlcm5hbmNlIG9mIHRoZSBCYWx0aWMgU2VhPC9mdWxsLXRpdGxlPjwvcGVyaW9kaWNh
bD48cGFnZXM+NzMtOTU8L3BhZ2VzPjx2b2x1bWU+MTA8L3ZvbHVtZT48ZGF0ZXM+PHllYXI+MjAx
NjwveWVhcj48L2RhdGVzPjxpc2JuPjk3OC0zLTMxOS0yNzAwNi03OyA5NzgtMy0zMTktMjcwMDUt
MDwvaXNibj48YWNjZXNzaW9uLW51bT5XT1M6MDAwMzg2Njk1MzAwMDA1PC9hY2Nlc3Npb24tbnVt
Pjx1cmxzPjxyZWxhdGVkLXVybHM+PHVybD4mbHQ7R28gdG8gSVNJJmd0OzovL1dPUzowMDAzODY2
OTUzMDAwMDU8L3VybD48L3JlbGF0ZWQtdXJscz48L3VybHM+PGVsZWN0cm9uaWMtcmVzb3VyY2Ut
bnVtPjEwLjEwMDcvOTc4LTMtMzE5LTI3MDA2LTdfNDwvZWxlY3Ryb25pYy1yZXNvdXJjZS1udW0+
PC9yZWNvcmQ+PC9DaXRlPjxDaXRlPjxBdXRob3I+UHJhc2VlZGE8L0F1dGhvcj48WWVhcj4yMDEw
PC9ZZWFyPjxSZWNOdW0+NDkxNzI8L1JlY051bT48cmVjb3JkPjxyZWMtbnVtYmVyPjQ5MTcyPC9y
ZWMtbnVtYmVyPjxmb3JlaWduLWtleXM+PGtleSBhcHA9IkVOIiBkYi1pZD0iYXd4OXJhZGRyMHh4
MmhldjA1cnhyMHowNXdlZXB3cHQwZmV4IiB0aW1lc3RhbXA9IjE1ODE0OTczMjAiPjQ5MTcyPC9r
ZXk+PC9mb3JlaWduLWtleXM+PHJlZi10eXBlIG5hbWU9IkpvdXJuYWwgQXJ0aWNsZSI+MTc8L3Jl
Zi10eXBlPjxjb250cmlidXRvcnM+PGF1dGhvcnM+PGF1dGhvcj5QcmFzZWVkYSwgU2FudSBWLjwv
YXV0aG9yPjxhdXRob3I+TmV3cG9ydCwgSmV5YW50aCBLLjwvYXV0aG9yPjwvYXV0aG9ycz48L2Nv
bnRyaWJ1dG9ycz48dGl0bGVzPjx0aXRsZT5JbnZhc2l2ZSBhbGllbiBzcGVjaWVzIGRpc3BlcnNh
bDogdGhlIG1pbGxlbm5pdW0gYmlvZGl2ZXJzaXR5IGRpc2FzdGVyPC90aXRsZT48c2Vjb25kYXJ5
LXRpdGxlPkRpc2FzdGVyIFByZXZlbnRpb24gYW5kIE1hbmFnZW1lbnQ8L3NlY29uZGFyeS10aXRs
ZT48L3RpdGxlcz48cGVyaW9kaWNhbD48ZnVsbC10aXRsZT5EaXNhc3RlciBQcmV2ZW50aW9uIGFu
ZCBNYW5hZ2VtZW50PC9mdWxsLXRpdGxlPjxhYmJyLTE+RGlzYXN0ZXIgUHJldi4gTWFuYWdlLjwv
YWJici0xPjxhYmJyLTI+RGlzYXN0ZXIgUHJldiBNYW5hZ2U8L2FiYnItMj48L3BlcmlvZGljYWw+
PHBhZ2VzPjI5MS0yOTc8L3BhZ2VzPjx2b2x1bWU+MTk8L3ZvbHVtZT48bnVtYmVyPjM8L251bWJl
cj48ZGF0ZXM+PHllYXI+MjAxMDwveWVhcj48cHViLWRhdGVzPjxkYXRlPjIwMTA8L2RhdGU+PC9w
dWItZGF0ZXM+PC9kYXRlcz48aXNibj4wOTY1LTM1NjI8L2lzYm4+PGFjY2Vzc2lvbi1udW0+V09T
OjAwMDI5MTEyODkwMDAwMzwvYWNjZXNzaW9uLW51bT48dXJscz48cmVsYXRlZC11cmxzPjx1cmw+
Jmx0O0dvIHRvIElTSSZndDs6Ly9XT1M6MDAwMjkxMTI4OTAwMDAzPC91cmw+PC9yZWxhdGVkLXVy
bHM+PC91cmxzPjxlbGVjdHJvbmljLXJlc291cmNlLW51bT4xMC4xMTA4LzA5NjUzNTYxMDExMDUy
NDc1PC9lbGVjdHJvbmljLXJlc291cmNlLW51bT48L3JlY29yZD48L0NpdGU+PENpdGU+PEF1dGhv
cj5CYXJuaGlsbC1EaWxsaW5nPC9BdXRob3I+PFllYXI+MjAxOTwvWWVhcj48UmVjTnVtPjQ5MDE2
PC9SZWNOdW0+PHJlY29yZD48cmVjLW51bWJlcj40OTAxNjwvcmVjLW51bWJlcj48Zm9yZWlnbi1r
ZXlzPjxrZXkgYXBwPSJFTiIgZGItaWQ9ImF3eDlyYWRkcjB4eDJoZXYwNXJ4cjB6MDV3ZWVwd3B0
MGZleCIgdGltZXN0YW1wPSIxNTgxNDk3MzIwIj40OTAxNjwva2V5PjwvZm9yZWlnbi1rZXlzPjxy
ZWYtdHlwZSBuYW1lPSJKb3VybmFsIEFydGljbGUiPjE3PC9yZWYtdHlwZT48Y29udHJpYnV0b3Jz
PjxhdXRob3JzPjxhdXRob3I+QmFybmhpbGwtRGlsbGluZywgUy4gS2F0aGxlZW48L2F1dGhvcj48
YXV0aG9yPlNlcnIsIE1lZ2FuPC9hdXRob3I+PGF1dGhvcj5CbG9uZGVsLCBEaW1pdHJpIFYuPC9h
dXRob3I+PGF1dGhvcj5Hb2R3aW4sIEpvaG48L2F1dGhvcj48L2F1dGhvcnM+PC9jb250cmlidXRv
cnM+PHRpdGxlcz48dGl0bGU+U3VzdGFpbmFiaWxpdHkgYXMgYSBGcmFtZXdvcmsgZm9yIENvbnNp
ZGVyaW5nIEdlbmUgRHJpdmUgTWljZSBmb3IgSW52YXNpdmUgUm9kZW50IEVyYWRpY2F0aW9uPC90
aXRsZT48c2Vjb25kYXJ5LXRpdGxlPlN1c3RhaW5hYmlsaXR5PC9zZWNvbmRhcnktdGl0bGU+PC90
aXRsZXM+PHBlcmlvZGljYWw+PGZ1bGwtdGl0bGU+U3VzdGFpbmFiaWxpdHk8L2Z1bGwtdGl0bGU+
PC9wZXJpb2RpY2FsPjx2b2x1bWU+MTE8L3ZvbHVtZT48bnVtYmVyPjU8L251bWJlcj48ZGF0ZXM+
PHllYXI+MjAxOTwveWVhcj48cHViLWRhdGVzPjxkYXRlPk1hciAxPC9kYXRlPjwvcHViLWRhdGVz
PjwvZGF0ZXM+PGlzYm4+MjA3MS0xMDUwPC9pc2JuPjxhY2Nlc3Npb24tbnVtPldPUzowMDA0NjI2
NjEwMDAxMTg8L2FjY2Vzc2lvbi1udW0+PHVybHM+PHJlbGF0ZWQtdXJscz48dXJsPiZsdDtHbyB0
byBJU0kmZ3Q7Oi8vV09TOjAwMDQ2MjY2MTAwMDExODwvdXJsPjwvcmVsYXRlZC11cmxzPjwvdXJs
cz48Y3VzdG9tNz4xMzM0PC9jdXN0b203PjxlbGVjdHJvbmljLXJlc291cmNlLW51bT4xMC4zMzkw
L3N1MTEwNTEzMzQ8L2VsZWN0cm9uaWMtcmVzb3VyY2UtbnVtPjwvcmVjb3JkPjwvQ2l0ZT48L0Vu
ZE5vdGU+AG==
</w:fldData>
        </w:fldChar>
      </w:r>
      <w:r w:rsidR="00C14761" w:rsidRPr="00A9434B">
        <w:instrText xml:space="preserve"> ADDIN EN.CITE.DATA </w:instrText>
      </w:r>
      <w:r w:rsidR="00C14761" w:rsidRPr="00A9434B">
        <w:fldChar w:fldCharType="end"/>
      </w:r>
      <w:r w:rsidR="00C14761" w:rsidRPr="00A9434B">
        <w:fldChar w:fldCharType="separate"/>
      </w:r>
      <w:r w:rsidR="006C00E2" w:rsidRPr="00A9434B">
        <w:fldChar w:fldCharType="begin"/>
      </w:r>
      <w:r w:rsidR="0006613E">
        <w:instrText xml:space="preserve"> ADDIN ZOTERO_ITEM CSL_CITATION {"citationID":"a2no4qq29q3","properties":{"formattedCitation":"(Barnhill-Dilling et al., 2019; Praseeda Sanu &amp; Newport, 2010; Smolarz et al., 2016)","plainCitation":"(Barnhill-Dilling et al., 2019; Praseeda Sanu &amp; Newport, 2010; Smolarz et al., 2016)","noteIndex":0},"citationItems":[{"id":11516,"uris":["http://zotero.org/groups/2352922/items/Y5JDKBQE"],"itemData":{"id":11516,"type":"article-journal","abstract":"Gene drives represent a dynamic and controversial set of technologies with applications that range from mosquito control to the conservation of biological diversity on islands. Currently, gene drives are being developed in mice that may one day serve as an important tool for reducing invasive rodent pests, a key threat to island biodiversity and economies. Gene drives in mice are still in development in laboratories, and wild release of modified mice is likely a distant reality. However, technological changes outpace the existing capacity of regulatory frameworks, and thus require integrated governance frameworks. We suggest sustainability-which gives equal consideration to the environment, economy, and society-as one framework for addressing complexity and uncertainty in the governance of emerging gene drive technologies for invasive species management. We explore the impacts of rodent gene drives on island environments, including potential conservation and restoration of island biodiversity. We outline considerations for rodent gene drives on island economies, including impacts on agricultural and tourism losses, and reductions in biosecurity costs. Finally, we address the social dimension as an essential space for deliberation that will be integral to evaluating the potential deployment of gene drive rodents on islands. © 2019 by the authors.","container-title":"Sustainability","DOI":"10.3390/su11051334","issue":"5","page":"1334","title":"Sustainability as a framework for considering gene drive mice for invasive rodent eradication","URL":"https://www.scopus.com/inward/record.uri?eid=2-s2.0-85062831026&amp;doi=10.3390%2fsu11051334&amp;partnerID=40&amp;md5=750cea28316b86ae9f0742e159eab4ef","volume":"11","author":[{"family":"Barnhill-Dilling","given":"S.K."},{"family":"Serr","given":"M."},{"family":"Blondel","given":"D.V."},{"family":"Godwin","given":"J."}],"issued":{"date-parts":[["2019"]]}},"label":"page"},{"id":24315,"uris":["http://zotero.org/groups/2352922/items/3PGKCLKA"],"itemData":{"id":24315,"type":"article-journal","abstract":"Purpose: The purpose of the paper is to analyze the different modes of species dispersal and the various types of alien species dispersed in the Indian peninsular region and its impact on the eco system and livelihoods. Design/methodology/approach: The paper portrays the various identified alien species, the scale of invasion thereby resulting in biological disaster caused by mankind. Findings: The paper lists the invasive alien species (IAS) are those that are transmitted from their own ecological niche and to a new niche due to human influence, which causes the biodiversity disaster. International boundaries are indeed porous to the intentional and unintentional movement of species from various eco systems in the country. Originality/value: It is felt that few initiatives are being taken by International Union for Conservation of Nature (IUCN) and governance of eco system from IAS is a necessity. Sustainable eco system governance (SESG) from invasive alien species should be emphasized to avoid biodiversity disasters that will have an impact on food security and nutrition of human beings. © Emerald Group Publishing Limited.","container-title":"Disaster Prevention and Management","DOI":"10.1108/09653561011052475","ISSN":"0965-3562","issue":"3","journalAbbreviation":"Disaster Prev. Manage.","page":"291-297","title":"Invasive alien species dispersal: The millennium biodiversity disaster","URL":"https://www.scopus.com/inward/record.uri?eid=2-s2.0-77954225108&amp;doi=10.1108%2f09653561011052475&amp;partnerID=40&amp;md5=a732ec33f0d11d58e4d7cf013d4752f0","volume":"19","author":[{"family":"Praseeda Sanu","given":"V."},{"family":"Newport","given":"Jeyanth K."}],"issued":{"date-parts":[["2010"]]}},"label":"page"},{"id":11449,"uris":["http://zotero.org/groups/2352922/items/K5CN724I"],"itemData":{"id":11449,"type":"chapter","collection-title":"MARE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label":"page"}],"schema":"https://github.com/citation-style-language/schema/raw/master/csl-citation.json"} </w:instrText>
      </w:r>
      <w:r w:rsidR="006C00E2" w:rsidRPr="00A9434B">
        <w:fldChar w:fldCharType="separate"/>
      </w:r>
      <w:r w:rsidR="00065870" w:rsidRPr="00065870">
        <w:t>(Barnhill-Dilling et al., 2019; Praseeda Sanu &amp; Newport, 2010; Smolarz et al., 2016)</w:t>
      </w:r>
      <w:r w:rsidR="006C00E2" w:rsidRPr="00A9434B">
        <w:fldChar w:fldCharType="end"/>
      </w:r>
      <w:r w:rsidR="00C14761" w:rsidRPr="00A9434B">
        <w:fldChar w:fldCharType="end"/>
      </w:r>
      <w:r w:rsidR="009D3AD2" w:rsidRPr="00A9434B">
        <w:t>;</w:t>
      </w:r>
    </w:p>
    <w:p w14:paraId="1AA41593" w14:textId="77777777" w:rsidR="00017C04" w:rsidRDefault="00F50AF9" w:rsidP="00C25E77">
      <w:pPr>
        <w:pStyle w:val="ListParagraph"/>
        <w:numPr>
          <w:ilvl w:val="0"/>
          <w:numId w:val="49"/>
        </w:numPr>
      </w:pPr>
      <w:r w:rsidRPr="00C25E77">
        <w:t xml:space="preserve">The identification, prioritization and management of pathways and drivers; </w:t>
      </w:r>
    </w:p>
    <w:p w14:paraId="23DC5C1B" w14:textId="3C207AFE" w:rsidR="00017C04" w:rsidRDefault="00F50AF9" w:rsidP="00C25E77">
      <w:pPr>
        <w:pStyle w:val="ListParagraph"/>
        <w:numPr>
          <w:ilvl w:val="0"/>
          <w:numId w:val="49"/>
        </w:numPr>
      </w:pPr>
      <w:r w:rsidRPr="00C25E77">
        <w:rPr>
          <w:color w:val="000000"/>
        </w:rPr>
        <w:t>Prioritizing established and future invasive alien species threats</w:t>
      </w:r>
      <w:r w:rsidR="00896CEC">
        <w:rPr>
          <w:color w:val="000000"/>
        </w:rPr>
        <w:t xml:space="preserve"> and</w:t>
      </w:r>
      <w:r w:rsidRPr="00C25E77">
        <w:rPr>
          <w:color w:val="000000"/>
        </w:rPr>
        <w:t xml:space="preserve"> committing related resources accordingly;</w:t>
      </w:r>
    </w:p>
    <w:p w14:paraId="57C63805" w14:textId="3EBBCEC8" w:rsidR="00017C04" w:rsidRDefault="00F50AF9" w:rsidP="00C25E77">
      <w:pPr>
        <w:pStyle w:val="ListParagraph"/>
        <w:numPr>
          <w:ilvl w:val="0"/>
          <w:numId w:val="49"/>
        </w:numPr>
      </w:pPr>
      <w:r w:rsidRPr="00C25E77">
        <w:t>Optimizing surveillance, early detection</w:t>
      </w:r>
      <w:r w:rsidR="00896CEC">
        <w:t xml:space="preserve"> and</w:t>
      </w:r>
      <w:r w:rsidRPr="00C25E77">
        <w:t xml:space="preserve"> rapid response, eradication, containment</w:t>
      </w:r>
      <w:r w:rsidR="00896CEC">
        <w:t xml:space="preserve"> and</w:t>
      </w:r>
      <w:r w:rsidRPr="00C25E77">
        <w:t xml:space="preserve"> control programmes at local and sub-national scales;</w:t>
      </w:r>
    </w:p>
    <w:p w14:paraId="6A600B34" w14:textId="77777777" w:rsidR="00017C04" w:rsidRDefault="00F50AF9" w:rsidP="00C25E77">
      <w:pPr>
        <w:pStyle w:val="ListParagraph"/>
        <w:numPr>
          <w:ilvl w:val="0"/>
          <w:numId w:val="49"/>
        </w:numPr>
      </w:pPr>
      <w:r w:rsidRPr="00C25E77">
        <w:t xml:space="preserve">The prioritization of national strategies to improve the efficiency of deployment of limited resources for invasive alien species prevention and control; </w:t>
      </w:r>
    </w:p>
    <w:p w14:paraId="019ABF9B" w14:textId="2199FBE1" w:rsidR="00017C04" w:rsidRDefault="00F50AF9" w:rsidP="00C25E77">
      <w:pPr>
        <w:pStyle w:val="ListParagraph"/>
        <w:numPr>
          <w:ilvl w:val="0"/>
          <w:numId w:val="49"/>
        </w:numPr>
      </w:pPr>
      <w:r w:rsidRPr="00C12647">
        <w:rPr>
          <w:color w:val="000000"/>
        </w:rPr>
        <w:t xml:space="preserve">National strategies can also define instruments and processes to encourage shared </w:t>
      </w:r>
      <w:r w:rsidR="00444DDB" w:rsidRPr="00444DDB">
        <w:rPr>
          <w:color w:val="000000"/>
        </w:rPr>
        <w:t xml:space="preserve">efforts and commitments, and understanding of the specific roles of all </w:t>
      </w:r>
      <w:r w:rsidR="00444DDB">
        <w:rPr>
          <w:color w:val="000000"/>
        </w:rPr>
        <w:t>sectors</w:t>
      </w:r>
      <w:r>
        <w:rPr>
          <w:color w:val="000000"/>
        </w:rPr>
        <w:t xml:space="preserve"> </w:t>
      </w:r>
      <w:r w:rsidR="00444DDB">
        <w:rPr>
          <w:color w:val="000000"/>
        </w:rPr>
        <w:t xml:space="preserve">and actors </w:t>
      </w:r>
      <w:r w:rsidRPr="00C12647">
        <w:rPr>
          <w:color w:val="000000"/>
        </w:rPr>
        <w:t>(</w:t>
      </w:r>
      <w:r w:rsidR="00273868">
        <w:rPr>
          <w:color w:val="000000"/>
        </w:rPr>
        <w:t>I</w:t>
      </w:r>
      <w:r w:rsidRPr="00C12647">
        <w:rPr>
          <w:color w:val="000000"/>
        </w:rPr>
        <w:t>ndigenous</w:t>
      </w:r>
      <w:r w:rsidR="00273868">
        <w:rPr>
          <w:color w:val="000000"/>
        </w:rPr>
        <w:t xml:space="preserve"> Peoples</w:t>
      </w:r>
      <w:r w:rsidRPr="00C12647">
        <w:rPr>
          <w:color w:val="000000"/>
        </w:rPr>
        <w:t>, community</w:t>
      </w:r>
      <w:r w:rsidR="00896CEC">
        <w:rPr>
          <w:color w:val="000000"/>
        </w:rPr>
        <w:t xml:space="preserve"> and</w:t>
      </w:r>
      <w:r w:rsidRPr="00C12647">
        <w:rPr>
          <w:color w:val="000000"/>
        </w:rPr>
        <w:t xml:space="preserve"> industries) and multi-scale coordination of response programmes (e</w:t>
      </w:r>
      <w:r w:rsidRPr="00C25E77">
        <w:t xml:space="preserve">.g., </w:t>
      </w:r>
      <w:r w:rsidR="00B77753" w:rsidRPr="00A9434B">
        <w:rPr>
          <w:rFonts w:eastAsia="Arial"/>
        </w:rPr>
        <w:fldChar w:fldCharType="begin"/>
      </w:r>
      <w:r w:rsidR="0006613E">
        <w:rPr>
          <w:rFonts w:eastAsia="Arial"/>
        </w:rPr>
        <w:instrText xml:space="preserve"> ADDIN ZOTERO_ITEM CSL_CITATION {"citationID":"agqtoq5j5s","properties":{"formattedCitation":"\\uldash{(Maclean et al., 2021)}","plainCitation":"(Maclean et al., 2021)","dontUpdate":true,"noteIndex":0},"citationItems":[{"id":56507,"uris":["http://zotero.org/groups/2352922/items/TPSRGWP3","http://zotero.org/groups/2352922/items/RFVNIBJT"],"itemData":{"id":56507,"type":"article-journal","container-title":"Journal of Cultural Geography","DOI":"10.1080/08873631.2021.1911078","ISSN":"0887-3631, 1940-6320","issue":"1","journalAbbreviation":"Journal of Cultural Geography","language":"en","page":"32-54","source":"DOI.org (Crossref)","title":"Reconciling risk and responsibility on Indigenous country: bridging the boundaries to guide knowledge sharing for cross-cultural biosecurity risk management in northern Australia","title-short":"Reconciling risk and responsibility on Indigenous country","URL":"https://www.tandfonline.com/doi/full/10.1080/08873631.2021.1911078","volume":"39","author":[{"family":"Maclean","given":"Kirsten"},{"family":"Robinson","given":"Cathy"},{"family":"Bock","given":"Ellie"},{"family":"Rist","given":"Phil"}],"accessed":{"date-parts":[["2023",6,8]]},"issued":{"date-parts":[["2022",1,2]]}},"label":"page"}],"schema":"https://github.com/citation-style-language/schema/raw/master/csl-citation.json"} </w:instrText>
      </w:r>
      <w:r w:rsidR="00B77753" w:rsidRPr="00A9434B">
        <w:rPr>
          <w:rFonts w:eastAsia="Arial"/>
        </w:rPr>
        <w:fldChar w:fldCharType="separate"/>
      </w:r>
      <w:r w:rsidR="00E12FD4" w:rsidRPr="00A9434B">
        <w:t>Maclean et al., 2021)</w:t>
      </w:r>
      <w:r w:rsidR="00B77753" w:rsidRPr="00A9434B">
        <w:rPr>
          <w:rFonts w:eastAsia="Arial"/>
        </w:rPr>
        <w:fldChar w:fldCharType="end"/>
      </w:r>
      <w:r w:rsidR="009D3AD2" w:rsidRPr="00A9434B">
        <w:rPr>
          <w:rFonts w:eastAsia="Arial"/>
        </w:rPr>
        <w:t>;</w:t>
      </w:r>
      <w:r w:rsidRPr="00C25E77">
        <w:t xml:space="preserve"> </w:t>
      </w:r>
    </w:p>
    <w:p w14:paraId="28B55E7F" w14:textId="62067870" w:rsidR="00017C04" w:rsidRDefault="00F50AF9" w:rsidP="00C25E77">
      <w:pPr>
        <w:pStyle w:val="ListParagraph"/>
        <w:numPr>
          <w:ilvl w:val="0"/>
          <w:numId w:val="49"/>
        </w:numPr>
      </w:pPr>
      <w:r w:rsidRPr="00C25E77">
        <w:t xml:space="preserve">Mechanisms for specifying the distribution of responsibility (financial, planning, infrastructure, etc.) </w:t>
      </w:r>
      <w:r w:rsidR="00C14761" w:rsidRPr="00A9434B">
        <w:rPr>
          <w:rFonts w:eastAsia="Batang"/>
        </w:rPr>
        <w:t>amongst stakeholders</w:t>
      </w:r>
      <w:r w:rsidR="00C14761" w:rsidRPr="00A9434B">
        <w:t xml:space="preserve"> </w:t>
      </w:r>
      <w:r w:rsidR="00F653C9" w:rsidRPr="00A9434B">
        <w:fldChar w:fldCharType="begin"/>
      </w:r>
      <w:r w:rsidR="0006613E">
        <w:instrText xml:space="preserve"> ADDIN ZOTERO_ITEM CSL_CITATION {"citationID":"a1g3oln45dn","properties":{"formattedCitation":"(Smolarz et al., 2016)","plainCitation":"(Smolarz et al., 2016)","noteIndex":0},"citationItems":[{"id":11449,"uris":["http://zotero.org/groups/2352922/items/K5CN724I"],"itemData":{"id":11449,"type":"chapter","collection-title":"MARE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schema":"https://github.com/citation-style-language/schema/raw/master/csl-citation.json"} </w:instrText>
      </w:r>
      <w:r w:rsidR="00F653C9" w:rsidRPr="00A9434B">
        <w:fldChar w:fldCharType="separate"/>
      </w:r>
      <w:r w:rsidR="00C71E80" w:rsidRPr="00A9434B">
        <w:t>(Smolarz et al., 2016)</w:t>
      </w:r>
      <w:r w:rsidR="00F653C9" w:rsidRPr="00A9434B">
        <w:fldChar w:fldCharType="end"/>
      </w:r>
      <w:r w:rsidR="009D3AD2" w:rsidRPr="00A9434B">
        <w:t>;</w:t>
      </w:r>
    </w:p>
    <w:p w14:paraId="50F70906" w14:textId="79DD6C48" w:rsidR="00017C04" w:rsidRDefault="00F50AF9" w:rsidP="00C25E77">
      <w:pPr>
        <w:pStyle w:val="ListParagraph"/>
        <w:numPr>
          <w:ilvl w:val="0"/>
          <w:numId w:val="49"/>
        </w:numPr>
      </w:pPr>
      <w:r w:rsidRPr="00C25E77">
        <w:t xml:space="preserve">Coordination and justification for efficient and effective investment (whether national and sub-national) and appropriate support and reporting on invasive alien species guiding principles </w:t>
      </w:r>
      <w:r w:rsidR="00C14761" w:rsidRPr="00A9434B">
        <w:rPr>
          <w:rFonts w:eastAsia="Arial"/>
        </w:rPr>
        <w:t>(</w:t>
      </w:r>
      <w:r w:rsidR="00363D20" w:rsidRPr="00673554">
        <w:rPr>
          <w:rFonts w:eastAsia="Arial"/>
          <w:b/>
          <w:iCs/>
        </w:rPr>
        <w:fldChar w:fldCharType="begin"/>
      </w:r>
      <w:r w:rsidR="00363D20" w:rsidRPr="00673554">
        <w:rPr>
          <w:rFonts w:eastAsia="Arial"/>
          <w:b/>
          <w:iCs/>
        </w:rPr>
        <w:instrText xml:space="preserve"> REF _Ref104892405 \h  \* MERGEFORMAT </w:instrText>
      </w:r>
      <w:r w:rsidR="00363D20" w:rsidRPr="00673554">
        <w:rPr>
          <w:rFonts w:eastAsia="Arial"/>
          <w:b/>
          <w:iCs/>
        </w:rPr>
      </w:r>
      <w:r w:rsidR="00363D20" w:rsidRPr="00673554">
        <w:rPr>
          <w:rFonts w:eastAsia="Arial"/>
          <w:b/>
          <w:iCs/>
        </w:rPr>
        <w:fldChar w:fldCharType="separate"/>
      </w:r>
      <w:r w:rsidR="0011368C" w:rsidRPr="00673554">
        <w:rPr>
          <w:b/>
          <w:iCs/>
        </w:rPr>
        <w:t>Table 6.3</w:t>
      </w:r>
      <w:r w:rsidR="00363D20" w:rsidRPr="00673554">
        <w:rPr>
          <w:rFonts w:eastAsia="Arial"/>
          <w:b/>
          <w:iCs/>
        </w:rPr>
        <w:fldChar w:fldCharType="end"/>
      </w:r>
      <w:r w:rsidR="00C14761" w:rsidRPr="00A9434B">
        <w:rPr>
          <w:rFonts w:eastAsia="Arial"/>
        </w:rPr>
        <w:t>),</w:t>
      </w:r>
      <w:r w:rsidRPr="00C25E77">
        <w:t xml:space="preserve"> guidelines, goals and targets under multilateral </w:t>
      </w:r>
      <w:r w:rsidRPr="00C25E77">
        <w:lastRenderedPageBreak/>
        <w:t xml:space="preserve">agreements, in the context of societal and economic goals of sustainable development and international trade; </w:t>
      </w:r>
    </w:p>
    <w:p w14:paraId="30221D2F" w14:textId="2B60AD79" w:rsidR="00017C04" w:rsidRDefault="00F50AF9" w:rsidP="00C25E77">
      <w:pPr>
        <w:pStyle w:val="ListParagraph"/>
        <w:numPr>
          <w:ilvl w:val="0"/>
          <w:numId w:val="49"/>
        </w:numPr>
      </w:pPr>
      <w:r w:rsidRPr="00C25E77">
        <w:t xml:space="preserve">Mechanisms to drive institutional and organizational structures that allow for flexible strategic thinking and reflection </w:t>
      </w:r>
      <w:r w:rsidR="00C14761" w:rsidRPr="00A9434B">
        <w:rPr>
          <w:rFonts w:eastAsia="Batang"/>
        </w:rPr>
        <w:fldChar w:fldCharType="begin"/>
      </w:r>
      <w:r w:rsidR="00C14761" w:rsidRPr="00A9434B">
        <w:rPr>
          <w:rFonts w:eastAsia="Batang"/>
        </w:rPr>
        <w:instrText xml:space="preserve"> ADDIN EN.CITE &lt;EndNote&gt;&lt;Cite&gt;&lt;Author&gt;Bostrom&lt;/Author&gt;&lt;Year&gt;2016&lt;/Year&gt;&lt;RecNum&gt;49097&lt;/RecNum&gt;&lt;DisplayText&gt;(Bostrom, Gronholm et al. 2016)&lt;/DisplayText&gt;&lt;record&gt;&lt;rec-number&gt;49097&lt;/rec-number&gt;&lt;foreign-keys&gt;&lt;key app="EN" db-id="awx9raddr0xx2hev05rxr0z05weepwpt0fex" timestamp="1581497320"&gt;49097&lt;/key&gt;&lt;/foreign-keys&gt;&lt;ref-type name="Book Section"&gt;5&lt;/ref-type&gt;&lt;contributors&gt;&lt;authors&gt;&lt;author&gt;Bostrom, Magnus&lt;/author&gt;&lt;author&gt;Gronholm, Sam&lt;/author&gt;&lt;author&gt;Hassler, Bjorn&lt;/author&gt;&lt;/authors&gt;&lt;secondary-authors&gt;&lt;author&gt;Gilek, M.&lt;/author&gt;&lt;author&gt;Karlsson, M.&lt;/author&gt;&lt;author&gt;Linke, S.&lt;/author&gt;&lt;author&gt;Smolarz, K.&lt;/author&gt;&lt;/secondary-authors&gt;&lt;/contributors&gt;&lt;titles&gt;&lt;title&gt;The Ecosystem Approach to Management in Baltic Sea Governance: Towards Increased Reflexivity?&lt;/title&gt;&lt;secondary-title&gt;Environmental Governance of the Baltic Sea&lt;/secondary-title&gt;&lt;tertiary-title&gt;MARE Publication Series&lt;/tertiary-title&gt;&lt;/titles&gt;&lt;periodical&gt;&lt;full-title&gt;Environmental governance of the Baltic Sea&lt;/full-title&gt;&lt;/periodical&gt;&lt;pages&gt;149-172&lt;/pages&gt;&lt;volume&gt;10&lt;/volume&gt;&lt;dates&gt;&lt;year&gt;2016&lt;/year&gt;&lt;/dates&gt;&lt;isbn&gt;978-3-319-27006-7; 978-3-319-27005-0&lt;/isbn&gt;&lt;accession-num&gt;WOS:000386695300008&lt;/accession-num&gt;&lt;urls&gt;&lt;related-urls&gt;&lt;url&gt;&amp;lt;Go to ISI&amp;gt;://WOS:000386695300008&lt;/url&gt;&lt;/related-urls&gt;&lt;/urls&gt;&lt;electronic-resource-num&gt;10.1007/978-3-319-27006-7_7&lt;/electronic-resource-num&gt;&lt;/record&gt;&lt;/Cite&gt;&lt;/EndNote&gt;</w:instrText>
      </w:r>
      <w:r w:rsidR="00C14761" w:rsidRPr="00A9434B">
        <w:rPr>
          <w:rFonts w:eastAsia="Batang"/>
        </w:rPr>
        <w:fldChar w:fldCharType="separate"/>
      </w:r>
      <w:r w:rsidR="00C14761" w:rsidRPr="00A9434B">
        <w:rPr>
          <w:rFonts w:eastAsia="Batang"/>
        </w:rPr>
        <w:fldChar w:fldCharType="begin"/>
      </w:r>
      <w:r w:rsidR="0006613E">
        <w:rPr>
          <w:rFonts w:eastAsia="Batang"/>
        </w:rPr>
        <w:instrText xml:space="preserve"> ADDIN ZOTERO_ITEM CSL_CITATION {"citationID":"a2kdq88bo2u","properties":{"formattedCitation":"(Bostr\\uc0\\u246{}m et al., 2016)","plainCitation":"(Boström et al., 2016)","noteIndex":0},"citationItems":[{"id":11493,"uris":["http://zotero.org/groups/2352922/items/3P28L9PQ"],"itemData":{"id":11493,"type":"chapter","collection-title":"MARE Publication Series","container-title":"Environmental Governance of the Baltic Sea","event-place":"Cham","ISBN":"978-3-319-27006-7","note":"DOI: 10.1007/978-3-319-27006-7_7","page":"149-172","publisher":"Springer","publisher-place":"Cham","title":"The Ecosystem Approach to Management in Baltic Sea Governance: Towards Increased Reflexivity?","volume":"10","author":[{"family":"Boström","given":"Magnus"},{"family":"Grönholm","given":"Sam"},{"family":"Hassler","given":"Björn"}],"editor":[{"family":"Gilek","given":"M."},{"family":"Karlsson","given":"M."},{"family":"Linke","given":"S."},{"family":"Smolarz","given":"K."}],"issued":{"date-parts":[["2016"]]}},"label":"page"}],"schema":"https://github.com/citation-style-language/schema/raw/master/csl-citation.json"} </w:instrText>
      </w:r>
      <w:r w:rsidR="00C14761" w:rsidRPr="00A9434B">
        <w:rPr>
          <w:rFonts w:eastAsia="Batang"/>
        </w:rPr>
        <w:fldChar w:fldCharType="separate"/>
      </w:r>
      <w:r w:rsidR="00017441" w:rsidRPr="00017441">
        <w:t>(Boström et al., 2016)</w:t>
      </w:r>
      <w:r w:rsidR="00C14761" w:rsidRPr="00A9434B">
        <w:rPr>
          <w:rFonts w:eastAsia="Batang"/>
        </w:rPr>
        <w:fldChar w:fldCharType="end"/>
      </w:r>
      <w:r w:rsidR="00C14761" w:rsidRPr="00A9434B">
        <w:rPr>
          <w:rFonts w:eastAsia="Batang"/>
        </w:rPr>
        <w:fldChar w:fldCharType="end"/>
      </w:r>
      <w:r w:rsidR="00896CEC">
        <w:rPr>
          <w:rFonts w:eastAsia="Batang"/>
        </w:rPr>
        <w:t xml:space="preserve"> and</w:t>
      </w:r>
      <w:r w:rsidR="00C14761" w:rsidRPr="00A9434B">
        <w:rPr>
          <w:rFonts w:eastAsia="Batang"/>
        </w:rPr>
        <w:t xml:space="preserve"> adaptive cooperation between stakeholders</w:t>
      </w:r>
      <w:r w:rsidR="00F653C9" w:rsidRPr="00A9434B">
        <w:t xml:space="preserve"> </w:t>
      </w:r>
      <w:r w:rsidR="00C14761" w:rsidRPr="00A9434B">
        <w:fldChar w:fldCharType="begin"/>
      </w:r>
      <w:r w:rsidR="0006613E">
        <w:instrText xml:space="preserve"> ADDIN ZOTERO_ITEM CSL_CITATION {"citationID":"agpjc1dj5g","properties":{"formattedCitation":"(Smolarz et al., 2016)","plainCitation":"(Smolarz et al., 2016)","noteIndex":0},"citationItems":[{"id":11449,"uris":["http://zotero.org/groups/2352922/items/K5CN724I"],"itemData":{"id":11449,"type":"chapter","collection-title":"MARE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schema":"https://github.com/citation-style-language/schema/raw/master/csl-citation.json"} </w:instrText>
      </w:r>
      <w:r w:rsidR="00C14761" w:rsidRPr="00A9434B">
        <w:fldChar w:fldCharType="separate"/>
      </w:r>
      <w:r w:rsidR="00C71E80" w:rsidRPr="00A9434B">
        <w:t>(Smolarz et al., 2016)</w:t>
      </w:r>
      <w:r w:rsidR="00C14761" w:rsidRPr="00A9434B">
        <w:fldChar w:fldCharType="end"/>
      </w:r>
      <w:r w:rsidR="009D3AD2" w:rsidRPr="00A9434B">
        <w:t>;</w:t>
      </w:r>
      <w:r w:rsidRPr="00C25E77">
        <w:t xml:space="preserve"> </w:t>
      </w:r>
    </w:p>
    <w:p w14:paraId="27C668BF" w14:textId="36EBC06B" w:rsidR="00017C04" w:rsidRDefault="00F50AF9" w:rsidP="00C25E77">
      <w:pPr>
        <w:pStyle w:val="ListParagraph"/>
        <w:numPr>
          <w:ilvl w:val="0"/>
          <w:numId w:val="49"/>
        </w:numPr>
      </w:pPr>
      <w:r w:rsidRPr="00C25E77">
        <w:t>National strategies that address the need for</w:t>
      </w:r>
      <w:r w:rsidR="00896CEC">
        <w:t xml:space="preserve"> and</w:t>
      </w:r>
      <w:r w:rsidRPr="00C25E77">
        <w:t xml:space="preserve"> design of, local and subnational strategies for the eradication of priority species.</w:t>
      </w:r>
    </w:p>
    <w:p w14:paraId="01AD249B" w14:textId="0D418AF6" w:rsidR="00017C04" w:rsidRDefault="00F50AF9" w:rsidP="00C12647">
      <w:pPr>
        <w:pStyle w:val="Heading3"/>
        <w:ind w:left="720"/>
      </w:pPr>
      <w:bookmarkStart w:id="186" w:name="_heading=h.37m2jsg" w:colFirst="0" w:colLast="0"/>
      <w:bookmarkStart w:id="187" w:name="_Toc1377551739"/>
      <w:bookmarkStart w:id="188" w:name="_Toc75698974"/>
      <w:bookmarkStart w:id="189" w:name="_Toc133428301"/>
      <w:bookmarkEnd w:id="186"/>
      <w:r>
        <w:t>Including actors across scales, levels</w:t>
      </w:r>
      <w:r w:rsidR="00896CEC">
        <w:t xml:space="preserve"> and</w:t>
      </w:r>
      <w:r>
        <w:t xml:space="preserve"> sectors</w:t>
      </w:r>
      <w:bookmarkEnd w:id="187"/>
      <w:bookmarkEnd w:id="188"/>
      <w:bookmarkEnd w:id="189"/>
    </w:p>
    <w:p w14:paraId="6A621124" w14:textId="72455F4E" w:rsidR="00017C04" w:rsidRDefault="00F50AF9">
      <w:r>
        <w:t>There is increasing evidence and a growing realization that the involvement of multiple sectors, stakeholders and Indigenous Peoples and local communit</w:t>
      </w:r>
      <w:r w:rsidR="00C27DCE">
        <w:t>ies</w:t>
      </w:r>
      <w:r>
        <w:t xml:space="preserve">, together with the consideration of diverse perspectives and interests, can achieve effective governance and management of biological invasions </w:t>
      </w:r>
      <w:r w:rsidR="00C14761" w:rsidRPr="00A9434B">
        <w:fldChar w:fldCharType="begin"/>
      </w:r>
      <w:r w:rsidR="00C14761" w:rsidRPr="00A9434B">
        <w:instrText xml:space="preserve"> ADDIN EN.CITE &lt;EndNote&gt;&lt;Cite&gt;&lt;Author&gt;Guerrero&lt;/Author&gt;&lt;Year&gt;2015&lt;/Year&gt;&lt;RecNum&gt;49120&lt;/RecNum&gt;&lt;DisplayText&gt;(Guerrero, McAllister et al. 2015)&lt;/DisplayText&gt;&lt;record&gt;&lt;rec-number&gt;49120&lt;/rec-number&gt;&lt;foreign-keys&gt;&lt;key app="EN" db-id="awx9raddr0xx2hev05rxr0z05weepwpt0fex" timestamp="1581497320"&gt;49120&lt;/key&gt;&lt;/foreign-keys&gt;&lt;ref-type name="Journal Article"&gt;17&lt;/ref-type&gt;&lt;contributors&gt;&lt;authors&gt;&lt;author&gt;Guerrero, Angela M.&lt;/author&gt;&lt;author&gt;McAllister, Ryan R. J.&lt;/author&gt;&lt;author&gt;Wilson, Kerrie A.&lt;/author&gt;&lt;/authors&gt;&lt;/contributors&gt;&lt;titles&gt;&lt;title&gt;Achieving Cross-Scale Collaboration for Large Scale Conservation Initiatives&lt;/title&gt;&lt;secondary-title&gt;Conservation Letters&lt;/secondary-title&gt;&lt;/titles&gt;&lt;periodical&gt;&lt;full-title&gt;Conservation Letters&lt;/full-title&gt;&lt;/periodical&gt;&lt;pages&gt;107-117&lt;/pages&gt;&lt;volume&gt;8&lt;/volume&gt;&lt;number&gt;2&lt;/number&gt;&lt;dates&gt;&lt;year&gt;2015&lt;/year&gt;&lt;pub-dates&gt;&lt;date&gt;Mar-Apr&lt;/date&gt;&lt;/pub-dates&gt;&lt;/dates&gt;&lt;isbn&gt;1755-263X&lt;/isbn&gt;&lt;accession-num&gt;WOS:000353383800004&lt;/accession-num&gt;&lt;urls&gt;&lt;related-urls&gt;&lt;url&gt;&amp;lt;Go to ISI&amp;gt;://WOS:000353383800004&lt;/url&gt;&lt;/related-urls&gt;&lt;/urls&gt;&lt;electronic-resource-num&gt;10.1111/conl.12112&lt;/electronic-resource-num&gt;&lt;/record&gt;&lt;/Cite&gt;&lt;/EndNote&gt;</w:instrText>
      </w:r>
      <w:r w:rsidR="00C14761" w:rsidRPr="00A9434B">
        <w:fldChar w:fldCharType="separate"/>
      </w:r>
      <w:r w:rsidR="00F653C9" w:rsidRPr="00A9434B">
        <w:fldChar w:fldCharType="begin"/>
      </w:r>
      <w:r w:rsidR="0006613E">
        <w:instrText xml:space="preserve"> ADDIN ZOTERO_ITEM CSL_CITATION {"citationID":"a1qlkr3qtdc","properties":{"formattedCitation":"(Guerrero et al., 2015)","plainCitation":"(Guerrero et al., 2015)","noteIndex":0},"citationItems":[{"id":11463,"uris":["http://zotero.org/groups/2352922/items/6PK72M9Z"],"itemData":{"id":11463,"type":"article-journal","container-title":"Conservation Letters","DOI":"10.1111/conl.12112","ISSN":"1755-263X","issue":"2","page":"107-117","title":"Achieving Cross-Scale Collaboration for Large Scale Conservation Initiatives","volume":"8","author":[{"family":"Guerrero","given":"Angela M."},{"family":"McAllister","given":"Ryan R. J."},{"family":"Wilson","given":"Kerrie A."}],"issued":{"date-parts":[["2015",4]]}},"label":"page"}],"schema":"https://github.com/citation-style-language/schema/raw/master/csl-citation.json"} </w:instrText>
      </w:r>
      <w:r w:rsidR="00F653C9" w:rsidRPr="00A9434B">
        <w:fldChar w:fldCharType="separate"/>
      </w:r>
      <w:r w:rsidR="00C71E80" w:rsidRPr="00A9434B">
        <w:t>(Guerrero et al., 2015)</w:t>
      </w:r>
      <w:r w:rsidR="00F653C9" w:rsidRPr="00A9434B">
        <w:fldChar w:fldCharType="end"/>
      </w:r>
      <w:r w:rsidR="00C14761" w:rsidRPr="00A9434B">
        <w:fldChar w:fldCharType="end"/>
      </w:r>
      <w:r w:rsidR="00550EEF" w:rsidRPr="00A9434B">
        <w:t>;</w:t>
      </w:r>
      <w:r w:rsidR="00310C1A" w:rsidRPr="00A9434B">
        <w:t xml:space="preserve"> </w:t>
      </w:r>
      <w:r w:rsidR="00B86069" w:rsidRPr="00A9434B">
        <w:t xml:space="preserve">thus, </w:t>
      </w:r>
      <w:r w:rsidR="52F88508" w:rsidRPr="00A9434B">
        <w:t xml:space="preserve">a </w:t>
      </w:r>
      <w:r w:rsidR="326765F3" w:rsidRPr="00A9434B">
        <w:t xml:space="preserve">sustainability framework </w:t>
      </w:r>
      <w:r w:rsidR="00550EEF" w:rsidRPr="00A9434B">
        <w:t>for an invasive alien species strategy c</w:t>
      </w:r>
      <w:r w:rsidR="00B86069" w:rsidRPr="00A9434B">
        <w:t xml:space="preserve">ould be appropriate </w:t>
      </w:r>
      <w:r w:rsidR="559C0934" w:rsidRPr="00A9434B">
        <w:t>(</w:t>
      </w:r>
      <w:r w:rsidR="775A821C" w:rsidRPr="00A9434B">
        <w:t xml:space="preserve">e.g., </w:t>
      </w:r>
      <w:r w:rsidR="00C14761" w:rsidRPr="00A9434B">
        <w:fldChar w:fldCharType="begin">
          <w:fldData xml:space="preserve">PEVuZE5vdGU+PENpdGU+PEF1dGhvcj5CYXJuaGlsbC1EaWxsaW5nPC9BdXRob3I+PFllYXI+MjAx
OTwvWWVhcj48UmVjTnVtPjQ5MDE2PC9SZWNOdW0+PERpc3BsYXlUZXh0PihWYWFzLCBEcmllc3Nl
biBldCBhbC4gMjAxNywgQmFybmhpbGwtRGlsbGluZywgU2VyciBldCBhbC4gMjAxOSk8L0Rpc3Bs
YXlUZXh0PjxyZWNvcmQ+PHJlYy1udW1iZXI+NDkwMTY8L3JlYy1udW1iZXI+PGZvcmVpZ24ta2V5
cz48a2V5IGFwcD0iRU4iIGRiLWlkPSJhd3g5cmFkZHIweHgyaGV2MDVyeHIwejA1d2VlcHdwdDBm
ZXgiIHRpbWVzdGFtcD0iMTU4MTQ5NzMyMCI+NDkwMTY8L2tleT48L2ZvcmVpZ24ta2V5cz48cmVm
LXR5cGUgbmFtZT0iSm91cm5hbCBBcnRpY2xlIj4xNzwvcmVmLXR5cGU+PGNvbnRyaWJ1dG9ycz48
YXV0aG9ycz48YXV0aG9yPkJhcm5oaWxsLURpbGxpbmcsIFMuIEthdGhsZWVuPC9hdXRob3I+PGF1
dGhvcj5TZXJyLCBNZWdhbjwvYXV0aG9yPjxhdXRob3I+QmxvbmRlbCwgRGltaXRyaSBWLjwvYXV0
aG9yPjxhdXRob3I+R29kd2luLCBKb2huPC9hdXRob3I+PC9hdXRob3JzPjwvY29udHJpYnV0b3Jz
Pjx0aXRsZXM+PHRpdGxlPlN1c3RhaW5hYmlsaXR5IGFzIGEgRnJhbWV3b3JrIGZvciBDb25zaWRl
cmluZyBHZW5lIERyaXZlIE1pY2UgZm9yIEludmFzaXZlIFJvZGVudCBFcmFkaWNhdGlvbjwvdGl0
bGU+PHNlY29uZGFyeS10aXRsZT5TdXN0YWluYWJpbGl0eTwvc2Vjb25kYXJ5LXRpdGxlPjwvdGl0
bGVzPjxwZXJpb2RpY2FsPjxmdWxsLXRpdGxlPlN1c3RhaW5hYmlsaXR5PC9mdWxsLXRpdGxlPjwv
cGVyaW9kaWNhbD48dm9sdW1lPjExPC92b2x1bWU+PG51bWJlcj41PC9udW1iZXI+PGRhdGVzPjx5
ZWFyPjIwMTk8L3llYXI+PHB1Yi1kYXRlcz48ZGF0ZT5NYXIgMTwvZGF0ZT48L3B1Yi1kYXRlcz48
L2RhdGVzPjxpc2JuPjIwNzEtMTA1MDwvaXNibj48YWNjZXNzaW9uLW51bT5XT1M6MDAwNDYyNjYx
MDAwMTE4PC9hY2Nlc3Npb24tbnVtPjx1cmxzPjxyZWxhdGVkLXVybHM+PHVybD4mbHQ7R28gdG8g
SVNJJmd0OzovL1dPUzowMDA0NjI2NjEwMDAxMTg8L3VybD48L3JlbGF0ZWQtdXJscz48L3VybHM+
PGN1c3RvbTc+MTMzNDwvY3VzdG9tNz48ZWxlY3Ryb25pYy1yZXNvdXJjZS1udW0+MTAuMzM5MC9z
dTExMDUxMzM0PC9lbGVjdHJvbmljLXJlc291cmNlLW51bT48L3JlY29yZD48L0NpdGU+PENpdGU+
PEF1dGhvcj5WYWFzPC9BdXRob3I+PFllYXI+MjAxNzwvWWVhcj48UmVjTnVtPjYyPC9SZWNOdW0+
PHJlY29yZD48cmVjLW51bWJlcj43ODwvcmVjLW51bWJlcj48Zm9yZWlnbi1rZXlzPjxrZXkgYXBw
PSJFTiIgZGItaWQ9IjBkNTVwYXhkY3Z3cGViZTU1ZDF2cno1bmUycGF0dHByYXJ0YSIgdGltZXN0
YW1wPSIxNTk3OTkyNzM0Ij43ODwva2V5PjwvZm9yZWlnbi1rZXlzPjxyZWYtdHlwZSBuYW1lPSJK
b3VybmFsIEFydGljbGUiPjE3PC9yZWYtdHlwZT48Y29udHJpYnV0b3JzPjxhdXRob3JzPjxhdXRo
b3I+VmFhcywgSmV0c2tlPC9hdXRob3I+PGF1dGhvcj5Ecmllc3NlbiwgUGV0ZXIgUEo8L2F1dGhv
cj48YXV0aG9yPkdpZXplbiwgTWVuZGVsPC9hdXRob3I+PGF1dGhvcj52YW4gTGFlcmhvdmVuLCBG
cmFuazwvYXV0aG9yPjxhdXRob3I+V2Fzc2VuLCBNYXJ0aW4gSjwvYXV0aG9yPjwvYXV0aG9ycz48
L2NvbnRyaWJ1dG9ycz48dGl0bGVzPjx0aXRsZT5XaG8mYXBvcztzIGluIGNoYXJnZSBoZXJlIGFu
eXdheT8gUG9seWNlbnRyaWMgZ292ZXJuYW5jZSBjb25maWd1cmF0aW9ucyBhbmQgdGhlIGRldmVs
b3BtZW50IG9mIHBvbGljeSBvbiBpbnZhc2l2ZSBhbGllbiBzcGVjaWVzIGluIHRoZSBzZW1pc292
ZXJlaWduIENhcmliYmVhbjwvdGl0bGU+PHNlY29uZGFyeS10aXRsZT5FY29sb2d5IGFuZCBTb2Np
ZXR5PC9zZWNvbmRhcnktdGl0bGU+PC90aXRsZXM+PHBlcmlvZGljYWw+PGZ1bGwtdGl0bGU+RWNv
bG9neSBhbmQgU29jaWV0eTwvZnVsbC10aXRsZT48L3BlcmlvZGljYWw+PHZvbHVtZT4yMjwvdm9s
dW1lPjxudW1iZXI+NDwvbnVtYmVyPjxkYXRlcz48eWVhcj4yMDE3PC95ZWFyPjwvZGF0ZXM+PHVy
bHM+PC91cmxzPjwvcmVjb3JkPjwvQ2l0ZT48L0VuZE5vdGU+
</w:fldData>
        </w:fldChar>
      </w:r>
      <w:r w:rsidR="00C14761" w:rsidRPr="00A9434B">
        <w:instrText xml:space="preserve"> ADDIN EN.CITE </w:instrText>
      </w:r>
      <w:r w:rsidR="00C14761" w:rsidRPr="00A9434B">
        <w:fldChar w:fldCharType="begin">
          <w:fldData xml:space="preserve">PEVuZE5vdGU+PENpdGU+PEF1dGhvcj5CYXJuaGlsbC1EaWxsaW5nPC9BdXRob3I+PFllYXI+MjAx
OTwvWWVhcj48UmVjTnVtPjQ5MDE2PC9SZWNOdW0+PERpc3BsYXlUZXh0PihWYWFzLCBEcmllc3Nl
biBldCBhbC4gMjAxNywgQmFybmhpbGwtRGlsbGluZywgU2VyciBldCBhbC4gMjAxOSk8L0Rpc3Bs
YXlUZXh0PjxyZWNvcmQ+PHJlYy1udW1iZXI+NDkwMTY8L3JlYy1udW1iZXI+PGZvcmVpZ24ta2V5
cz48a2V5IGFwcD0iRU4iIGRiLWlkPSJhd3g5cmFkZHIweHgyaGV2MDVyeHIwejA1d2VlcHdwdDBm
ZXgiIHRpbWVzdGFtcD0iMTU4MTQ5NzMyMCI+NDkwMTY8L2tleT48L2ZvcmVpZ24ta2V5cz48cmVm
LXR5cGUgbmFtZT0iSm91cm5hbCBBcnRpY2xlIj4xNzwvcmVmLXR5cGU+PGNvbnRyaWJ1dG9ycz48
YXV0aG9ycz48YXV0aG9yPkJhcm5oaWxsLURpbGxpbmcsIFMuIEthdGhsZWVuPC9hdXRob3I+PGF1
dGhvcj5TZXJyLCBNZWdhbjwvYXV0aG9yPjxhdXRob3I+QmxvbmRlbCwgRGltaXRyaSBWLjwvYXV0
aG9yPjxhdXRob3I+R29kd2luLCBKb2huPC9hdXRob3I+PC9hdXRob3JzPjwvY29udHJpYnV0b3Jz
Pjx0aXRsZXM+PHRpdGxlPlN1c3RhaW5hYmlsaXR5IGFzIGEgRnJhbWV3b3JrIGZvciBDb25zaWRl
cmluZyBHZW5lIERyaXZlIE1pY2UgZm9yIEludmFzaXZlIFJvZGVudCBFcmFkaWNhdGlvbjwvdGl0
bGU+PHNlY29uZGFyeS10aXRsZT5TdXN0YWluYWJpbGl0eTwvc2Vjb25kYXJ5LXRpdGxlPjwvdGl0
bGVzPjxwZXJpb2RpY2FsPjxmdWxsLXRpdGxlPlN1c3RhaW5hYmlsaXR5PC9mdWxsLXRpdGxlPjwv
cGVyaW9kaWNhbD48dm9sdW1lPjExPC92b2x1bWU+PG51bWJlcj41PC9udW1iZXI+PGRhdGVzPjx5
ZWFyPjIwMTk8L3llYXI+PHB1Yi1kYXRlcz48ZGF0ZT5NYXIgMTwvZGF0ZT48L3B1Yi1kYXRlcz48
L2RhdGVzPjxpc2JuPjIwNzEtMTA1MDwvaXNibj48YWNjZXNzaW9uLW51bT5XT1M6MDAwNDYyNjYx
MDAwMTE4PC9hY2Nlc3Npb24tbnVtPjx1cmxzPjxyZWxhdGVkLXVybHM+PHVybD4mbHQ7R28gdG8g
SVNJJmd0OzovL1dPUzowMDA0NjI2NjEwMDAxMTg8L3VybD48L3JlbGF0ZWQtdXJscz48L3VybHM+
PGN1c3RvbTc+MTMzNDwvY3VzdG9tNz48ZWxlY3Ryb25pYy1yZXNvdXJjZS1udW0+MTAuMzM5MC9z
dTExMDUxMzM0PC9lbGVjdHJvbmljLXJlc291cmNlLW51bT48L3JlY29yZD48L0NpdGU+PENpdGU+
PEF1dGhvcj5WYWFzPC9BdXRob3I+PFllYXI+MjAxNzwvWWVhcj48UmVjTnVtPjYyPC9SZWNOdW0+
PHJlY29yZD48cmVjLW51bWJlcj43ODwvcmVjLW51bWJlcj48Zm9yZWlnbi1rZXlzPjxrZXkgYXBw
PSJFTiIgZGItaWQ9IjBkNTVwYXhkY3Z3cGViZTU1ZDF2cno1bmUycGF0dHByYXJ0YSIgdGltZXN0
YW1wPSIxNTk3OTkyNzM0Ij43ODwva2V5PjwvZm9yZWlnbi1rZXlzPjxyZWYtdHlwZSBuYW1lPSJK
b3VybmFsIEFydGljbGUiPjE3PC9yZWYtdHlwZT48Y29udHJpYnV0b3JzPjxhdXRob3JzPjxhdXRo
b3I+VmFhcywgSmV0c2tlPC9hdXRob3I+PGF1dGhvcj5Ecmllc3NlbiwgUGV0ZXIgUEo8L2F1dGhv
cj48YXV0aG9yPkdpZXplbiwgTWVuZGVsPC9hdXRob3I+PGF1dGhvcj52YW4gTGFlcmhvdmVuLCBG
cmFuazwvYXV0aG9yPjxhdXRob3I+V2Fzc2VuLCBNYXJ0aW4gSjwvYXV0aG9yPjwvYXV0aG9ycz48
L2NvbnRyaWJ1dG9ycz48dGl0bGVzPjx0aXRsZT5XaG8mYXBvcztzIGluIGNoYXJnZSBoZXJlIGFu
eXdheT8gUG9seWNlbnRyaWMgZ292ZXJuYW5jZSBjb25maWd1cmF0aW9ucyBhbmQgdGhlIGRldmVs
b3BtZW50IG9mIHBvbGljeSBvbiBpbnZhc2l2ZSBhbGllbiBzcGVjaWVzIGluIHRoZSBzZW1pc292
ZXJlaWduIENhcmliYmVhbjwvdGl0bGU+PHNlY29uZGFyeS10aXRsZT5FY29sb2d5IGFuZCBTb2Np
ZXR5PC9zZWNvbmRhcnktdGl0bGU+PC90aXRsZXM+PHBlcmlvZGljYWw+PGZ1bGwtdGl0bGU+RWNv
bG9neSBhbmQgU29jaWV0eTwvZnVsbC10aXRsZT48L3BlcmlvZGljYWw+PHZvbHVtZT4yMjwvdm9s
dW1lPjxudW1iZXI+NDwvbnVtYmVyPjxkYXRlcz48eWVhcj4yMDE3PC95ZWFyPjwvZGF0ZXM+PHVy
bHM+PC91cmxzPjwvcmVjb3JkPjwvQ2l0ZT48L0VuZE5vdGU+
</w:fldData>
        </w:fldChar>
      </w:r>
      <w:r w:rsidR="00C14761" w:rsidRPr="00A9434B">
        <w:instrText xml:space="preserve"> ADDIN EN.CITE.DATA </w:instrText>
      </w:r>
      <w:r w:rsidR="00C14761" w:rsidRPr="00A9434B">
        <w:fldChar w:fldCharType="end"/>
      </w:r>
      <w:r w:rsidR="00C14761" w:rsidRPr="00A9434B">
        <w:fldChar w:fldCharType="separate"/>
      </w:r>
      <w:r w:rsidR="00BF0F6C" w:rsidRPr="00A9434B">
        <w:fldChar w:fldCharType="begin"/>
      </w:r>
      <w:r w:rsidR="0006613E">
        <w:instrText xml:space="preserve"> ADDIN ZOTERO_ITEM CSL_CITATION {"citationID":"a2akhb4fgu3","properties":{"formattedCitation":"\\uldash{(Barnhill-Dilling et al., 2019; Vaas et al., 2017)}","plainCitation":"(Barnhill-Dilling et al., 2019; Vaas et al., 2017)","dontUpdate":true,"noteIndex":0},"citationItems":[{"id":11516,"uris":["http://zotero.org/groups/2352922/items/Y5JDKBQE"],"itemData":{"id":11516,"type":"article-journal","abstract":"Gene drives represent a dynamic and controversial set of technologies with applications that range from mosquito control to the conservation of biological diversity on islands. Currently, gene drives are being developed in mice that may one day serve as an important tool for reducing invasive rodent pests, a key threat to island biodiversity and economies. Gene drives in mice are still in development in laboratories, and wild release of modified mice is likely a distant reality. However, technological changes outpace the existing capacity of regulatory frameworks, and thus require integrated governance frameworks. We suggest sustainability-which gives equal consideration to the environment, economy, and society-as one framework for addressing complexity and uncertainty in the governance of emerging gene drive technologies for invasive species management. We explore the impacts of rodent gene drives on island environments, including potential conservation and restoration of island biodiversity. We outline considerations for rodent gene drives on island economies, including impacts on agricultural and tourism losses, and reductions in biosecurity costs. Finally, we address the social dimension as an essential space for deliberation that will be integral to evaluating the potential deployment of gene drive rodents on islands. © 2019 by the authors.","container-title":"Sustainability","DOI":"10.3390/su11051334","issue":"5","page":"1334","title":"Sustainability as a framework for considering gene drive mice for invasive rodent eradication","URL":"https://www.scopus.com/inward/record.uri?eid=2-s2.0-85062831026&amp;doi=10.3390%2fsu11051334&amp;partnerID=40&amp;md5=750cea28316b86ae9f0742e159eab4ef","volume":"11","author":[{"family":"Barnhill-Dilling","given":"S.K."},{"family":"Serr","given":"M."},{"family":"Blondel","given":"D.V."},{"family":"Godwin","given":"J."}],"issued":{"date-parts":[["2019"]]}},"label":"page"},{"id":11426,"uris":["http://zotero.org/groups/2352922/items/I2E6MVQB"],"itemData":{"id":11426,"type":"article-journal","abstract":"We address the development of policy by polycentric governance configurations, taking Caribbean overseas territories and their advancements on invasive alien species (IAS) policy as an example. The British, Dutch, and French islands in the Caribbean address this matter to different degrees, which we analyzed through differences in their type of polycentric governance configuration with their respective European counterpart. We employ a continuum ranging from predominantly polycentric to predominantly monocentric governance configurations to characterize the three case studies. Based on semistructured interviews with government actors, park managers, and NGO employees on Anguilla, Guadeloupe, and St. Eustatius, plus a literature study, we characterize St. Eustatius as highly polycentric and Guadeloupe as becoming increasingly polycentric. Anguilla cannot be considered either of the two, given the virtually absent involvement of the UK. Policy development on IAS showed most progress in Guadeloupe, whereas in Anguilla and St. Eustatius, IAS management is ad hoc. Within these cases, the hampering effect of dispute about the functioning of the configuration was clear. For Guadeloupe, increasing autonomy to decide on policy priorities within a coherent system where standards are set and ample resources made available appears conducive to policy development. That same balance inherent to polycentric systems between autonomy and coherence is hard to strike for St. Eustatius, and currently mainly perceived as a trade-off, hampering policy development. By discussing these three cases, this study illustrates how different polycentric configurations can affect policy development.","container-title":"Ecology and Society","DOI":"10.5751/ES-09487-220401","ISSN":"1708-3087","issue":"4","journalAbbreviation":"E&amp;S","language":"en","page":"1","source":"DOI.org (Crossref)","title":"Who's in charge here anyway? Polycentric governance configurations and the development of policy on invasive alien species in the semisovereign Caribbean","title-short":"Who's in charge here anyway?","URL":"https://www.ecologyandsociety.org/vol22/iss4/art1/","volume":"22","author":[{"family":"Vaas","given":"Jetske"},{"family":"Driessen","given":"Peter P. J."},{"family":"Giezen","given":"Mendel"},{"family":"Laerhoven","given":"Frank","non-dropping-particle":"van"},{"family":"Wassen","given":"Martin J."}],"accessed":{"date-parts":[["2019",11,6]]},"issued":{"date-parts":[["2017"]]}},"label":"page"}],"schema":"https://github.com/citation-style-language/schema/raw/master/csl-citation.json"} </w:instrText>
      </w:r>
      <w:r w:rsidR="00BF0F6C" w:rsidRPr="00A9434B">
        <w:fldChar w:fldCharType="separate"/>
      </w:r>
      <w:r w:rsidR="0007157D" w:rsidRPr="00A9434B">
        <w:t>Barnhill-Dilling et al., 2019; Vaas et al., 2017)</w:t>
      </w:r>
      <w:r w:rsidR="00BF0F6C" w:rsidRPr="00A9434B">
        <w:fldChar w:fldCharType="end"/>
      </w:r>
      <w:r w:rsidR="00C14761" w:rsidRPr="00A9434B">
        <w:fldChar w:fldCharType="end"/>
      </w:r>
      <w:r w:rsidR="326765F3" w:rsidRPr="00A9434B">
        <w:t xml:space="preserve">. Governing invasive alien species </w:t>
      </w:r>
      <w:r w:rsidR="00580323" w:rsidRPr="00A9434B">
        <w:t>within a sustainability framework</w:t>
      </w:r>
      <w:r w:rsidR="326765F3" w:rsidRPr="00A9434B">
        <w:t xml:space="preserve"> provides a widely</w:t>
      </w:r>
      <w:r w:rsidR="2D753093" w:rsidRPr="00A9434B">
        <w:t>-</w:t>
      </w:r>
      <w:r w:rsidR="326765F3" w:rsidRPr="00A9434B">
        <w:t>accepted departure point for national environmental strateg</w:t>
      </w:r>
      <w:r w:rsidR="20D35F51" w:rsidRPr="00A9434B">
        <w:t>ies</w:t>
      </w:r>
      <w:r w:rsidR="326765F3" w:rsidRPr="00A9434B">
        <w:t xml:space="preserve"> </w:t>
      </w:r>
      <w:r w:rsidR="00BF0F6C" w:rsidRPr="00A9434B">
        <w:fldChar w:fldCharType="begin"/>
      </w:r>
      <w:r w:rsidR="0006613E">
        <w:instrText xml:space="preserve"> ADDIN ZOTERO_ITEM CSL_CITATION {"citationID":"a2m21fk9sib","properties":{"formattedCitation":"(Nourani et al., 2018)","plainCitation":"(Nourani et al., 2018)","noteIndex":0},"citationItems":[{"id":10793,"uris":["http://zotero.org/groups/2352922/items/HHBPHS6N"],"itemData":{"id":10793,"type":"article-journal","abstract":"Invasive species can create economic and safety concerns. Responding to invasive species requires communication of research, localized management, and collaboration across jurisdictional boundaries. We examined the use of adaptive comanagement in three New York counties to mitigate the impacts of emerald ash borer, a wood-boring beetle that causes widespread death of ash trees. We assessed learning along three typologies (cognitive, normative, and relational), linking (through network analysis), and connections of learning and linking to management outcomes. Findings indicate that knowledge networks were built through task forces that brought together local and state government, university, and private stakeholders. In addition, this study suggests types of learning that are needed for stakeholders to respond to invasive species management.","container-title":"Ecology and Society","DOI":"10.5751/ES-10327-230329","ISSN":"1708-3087","issue":"3","journalAbbreviation":"E&amp;S","language":"en","page":"29","source":"DOI.org (Crossref)","title":"Learning and linking for invasive species management","URL":"https://www.ecologyandsociety.org/vol23/iss3/art29/","volume":"23","author":[{"family":"Nourani","given":"Sally W."},{"family":"Krasny","given":"Marianne E."},{"family":"Decker","given":"Daniel J."}],"accessed":{"date-parts":[["2019",11,28]]},"issued":{"date-parts":[["2018"]]}},"label":"page"}],"schema":"https://github.com/citation-style-language/schema/raw/master/csl-citation.json"} </w:instrText>
      </w:r>
      <w:r w:rsidR="00BF0F6C" w:rsidRPr="00A9434B">
        <w:fldChar w:fldCharType="separate"/>
      </w:r>
      <w:r w:rsidR="00C71E80" w:rsidRPr="00A9434B">
        <w:t>(Nourani et al., 2018)</w:t>
      </w:r>
      <w:r w:rsidR="00BF0F6C" w:rsidRPr="00A9434B">
        <w:fldChar w:fldCharType="end"/>
      </w:r>
      <w:r w:rsidR="00C14761" w:rsidRPr="00A9434B">
        <w:fldChar w:fldCharType="begin"/>
      </w:r>
      <w:r w:rsidR="00C14761" w:rsidRPr="00A9434B">
        <w:instrText xml:space="preserve"> ADDIN EN.CITE &lt;EndNote&gt;&lt;Cite&gt;&lt;Author&gt;Nourani&lt;/Author&gt;&lt;Year&gt;2018&lt;/Year&gt;&lt;RecNum&gt;49051&lt;/RecNum&gt;&lt;DisplayText&gt;(Nourani, Krasny et al. 2018)&lt;/DisplayText&gt;&lt;record&gt;&lt;rec-number&gt;49051&lt;/rec-number&gt;&lt;foreign-keys&gt;&lt;key app="EN" db-id="awx9raddr0xx2hev05rxr0z05weepwpt0fex" timestamp="1581497320"&gt;49051&lt;/key&gt;&lt;/foreign-keys&gt;&lt;ref-type name="Journal Article"&gt;17&lt;/ref-type&gt;&lt;contributors&gt;&lt;authors&gt;&lt;author&gt;Nourani, Sally W.&lt;/author&gt;&lt;author&gt;Krasny, Marianne E.&lt;/author&gt;&lt;author&gt;Decker, Daniel J.&lt;/author&gt;&lt;/authors&gt;&lt;/contributors&gt;&lt;titles&gt;&lt;title&gt;Learning and linking for invasive species management&lt;/title&gt;&lt;secondary-title&gt;Ecology and Society&lt;/secondary-title&gt;&lt;/titles&gt;&lt;periodical&gt;&lt;full-title&gt;Ecology and Society&lt;/full-title&gt;&lt;abbr-1&gt;Ecol. Soc.&lt;/abbr-1&gt;&lt;abbr-2&gt;Ecol Soc&lt;/abbr-2&gt;&lt;/periodical&gt;&lt;volume&gt;23&lt;/volume&gt;&lt;number&gt;3&lt;/number&gt;&lt;dates&gt;&lt;year&gt;2018&lt;/year&gt;&lt;pub-dates&gt;&lt;date&gt;2018&lt;/date&gt;&lt;/pub-dates&gt;&lt;/dates&gt;&lt;isbn&gt;1708-3087&lt;/isbn&gt;&lt;accession-num&gt;WOS:000446321000033&lt;/accession-num&gt;&lt;urls&gt;&lt;related-urls&gt;&lt;url&gt;&amp;lt;Go to ISI&amp;gt;://WOS:000446321000033&lt;/url&gt;&lt;/related-urls&gt;&lt;/urls&gt;&lt;custom7&gt;29&lt;/custom7&gt;&lt;electronic-resource-num&gt;10.5751/es-10327-230329&lt;/electronic-resource-num&gt;&lt;/record&gt;&lt;/Cite&gt;&lt;/EndNote&gt;</w:instrText>
      </w:r>
      <w:r w:rsidR="00C14761" w:rsidRPr="00A9434B">
        <w:fldChar w:fldCharType="separate"/>
      </w:r>
      <w:r w:rsidR="00BF0F6C" w:rsidRPr="00A9434B">
        <w:fldChar w:fldCharType="begin"/>
      </w:r>
      <w:r w:rsidR="00BF0F6C" w:rsidRPr="00A9434B">
        <w:instrText xml:space="preserve"> ADDIN ZOTERO_TEMP </w:instrText>
      </w:r>
      <w:r w:rsidR="00BF0F6C" w:rsidRPr="00A9434B">
        <w:fldChar w:fldCharType="end"/>
      </w:r>
      <w:r w:rsidR="00C14761" w:rsidRPr="00A9434B">
        <w:fldChar w:fldCharType="end"/>
      </w:r>
      <w:r w:rsidR="326765F3" w:rsidRPr="00A9434B">
        <w:t>, including strateg</w:t>
      </w:r>
      <w:r w:rsidR="4D77FAB6" w:rsidRPr="00A9434B">
        <w:t>ies</w:t>
      </w:r>
      <w:r w:rsidR="326765F3" w:rsidRPr="00A9434B">
        <w:t xml:space="preserve"> for invasive alien species</w:t>
      </w:r>
      <w:r w:rsidR="00C27DCE">
        <w:t>.</w:t>
      </w:r>
      <w:r w:rsidR="326765F3" w:rsidRPr="00A9434B">
        <w:t xml:space="preserve"> </w:t>
      </w:r>
      <w:r w:rsidR="00C25E77">
        <w:t>Including stakeholders and Indigenous Peoples and local communities with different knowledge, perceptions</w:t>
      </w:r>
      <w:r w:rsidR="00896CEC">
        <w:t xml:space="preserve"> and</w:t>
      </w:r>
      <w:r w:rsidR="00C25E77">
        <w:t xml:space="preserve"> socio-cultural contexts can help achieve shared </w:t>
      </w:r>
      <w:r w:rsidR="00C25E77" w:rsidRPr="00B26317">
        <w:t xml:space="preserve">efforts and commitments, </w:t>
      </w:r>
      <w:r w:rsidR="00C25E77">
        <w:t xml:space="preserve">the </w:t>
      </w:r>
      <w:r w:rsidR="00C25E77" w:rsidRPr="00B26317">
        <w:t>understanding of the specific roles of all actors</w:t>
      </w:r>
      <w:r w:rsidR="00C25E77">
        <w:t>, improve the efficiency of proposed mechanisms</w:t>
      </w:r>
      <w:r w:rsidR="00896CEC">
        <w:t xml:space="preserve"> and</w:t>
      </w:r>
      <w:r w:rsidR="00C25E77">
        <w:t xml:space="preserve"> build trust </w:t>
      </w:r>
      <w:r w:rsidR="00AB707E" w:rsidRPr="00A9434B">
        <w:rPr>
          <w:lang w:eastAsia="zh-CN"/>
        </w:rPr>
        <w:fldChar w:fldCharType="begin"/>
      </w:r>
      <w:r w:rsidR="0006613E">
        <w:rPr>
          <w:lang w:eastAsia="zh-CN"/>
        </w:rPr>
        <w:instrText xml:space="preserve"> ADDIN ZOTERO_ITEM CSL_CITATION {"citationID":"ai1iajvgd8","properties":{"formattedCitation":"(Maclean et al., 2022; Shackleton, Richardson, et al., 2019)","plainCitation":"(Maclean et al., 2022; Shackleton, Richardson, et al., 2019)","noteIndex":0},"citationItems":[{"id":56507,"uris":["http://zotero.org/groups/2352922/items/TPSRGWP3","http://zotero.org/groups/2352922/items/RFVNIBJT"],"itemData":{"id":56507,"type":"article-journal","container-title":"Journal of Cultural Geography","DOI":"10.1080/08873631.2021.1911078","ISSN":"0887-3631, 1940-6320","issue":"1","journalAbbreviation":"Journal of Cultural Geography","language":"en","page":"32-54","source":"DOI.org (Crossref)","title":"Reconciling risk and responsibility on Indigenous country: bridging the boundaries to guide knowledge sharing for cross-cultural biosecurity risk management in northern Australia","title-short":"Reconciling risk and responsibility on Indigenous country","URL":"https://www.tandfonline.com/doi/full/10.1080/08873631.2021.1911078","volume":"39","author":[{"family":"Maclean","given":"Kirsten"},{"family":"Robinson","given":"Cathy"},{"family":"Bock","given":"Ellie"},{"family":"Rist","given":"Phil"}],"accessed":{"date-parts":[["2023",6,8]]},"issued":{"date-parts":[["2022",1,2]]}},"label":"page"},{"id":56685,"uris":["http://zotero.org/groups/2352922/items/VMEJ4YLE","http://zotero.org/groups/2352922/items/4BWBLIBN"],"itemData":{"id":56685,"type":"article-journal","container-title":"Journal of Environmental Management","DOI":"10.1016/j.jenvman.2018.04.045","ISSN":"03014797","journalAbbreviation":"Journal of Environmental Management","language":"en","page":"10-26","source":"DOI.org (Crossref)","title":"Explaining people's perceptions of invasive alien species: A conceptual framework","title-short":"Explaining people's perceptions of invasive alien species","URL":"https://linkinghub.elsevier.com/retrieve/pii/S0301479718304274","volume":"229","author":[{"family":"Shackleton","given":"Ross T."},{"family":"Richardson","given":"David M."},{"family":"Shackleton","given":"Charlie M."},{"family":"Bennett","given":"Brett"},{"family":"Crowley","given":"Sarah L."},{"family":"Dehnen-Schmutz","given":"Katharina"},{"family":"Estévez","given":"Rodrigo A."},{"family":"Fischer","given":"Anke"},{"family":"Kueffer","given":"Christoph"},{"family":"Kull","given":"Christian A."},{"family":"Marchante","given":"Elizabete"},{"family":"Novoa","given":"Ana"},{"family":"Potgieter","given":"Luke J."},{"family":"Vaas","given":"Jetske"},{"family":"Vaz","given":"Ana S."},{"family":"Larson","given":"Brendon M.H."}],"accessed":{"date-parts":[["2023",6,8]]},"issued":{"date-parts":[["2019",1]]}}}],"schema":"https://github.com/citation-style-language/schema/raw/master/csl-citation.json"} </w:instrText>
      </w:r>
      <w:r w:rsidR="00AB707E" w:rsidRPr="00A9434B">
        <w:rPr>
          <w:lang w:eastAsia="zh-CN"/>
        </w:rPr>
        <w:fldChar w:fldCharType="separate"/>
      </w:r>
      <w:r w:rsidR="00F0011F" w:rsidRPr="00F0011F">
        <w:t>(Maclean et al., 2022; Shackleton, Richardson, et al., 2019)</w:t>
      </w:r>
      <w:r w:rsidR="00AB707E" w:rsidRPr="00A9434B">
        <w:rPr>
          <w:lang w:eastAsia="zh-CN"/>
        </w:rPr>
        <w:fldChar w:fldCharType="end"/>
      </w:r>
      <w:r w:rsidR="326765F3" w:rsidRPr="00A9434B">
        <w:rPr>
          <w:lang w:eastAsia="zh-CN"/>
        </w:rPr>
        <w:t>.</w:t>
      </w:r>
      <w:r>
        <w:t xml:space="preserve"> In other words, everyone has a role to play in the governance for biological invasions. </w:t>
      </w:r>
    </w:p>
    <w:p w14:paraId="4F38932E" w14:textId="726A3245" w:rsidR="00017C04" w:rsidRDefault="00F50AF9">
      <w:r>
        <w:t>Such joint or integrated approaches (</w:t>
      </w:r>
      <w:r>
        <w:rPr>
          <w:b/>
        </w:rPr>
        <w:t>section 6.2.4</w:t>
      </w:r>
      <w:r>
        <w:t xml:space="preserve">) across the components and processes that characterize the socioecological system relevant to biological invasion (i.e., multilevel and multisector governance) can improve the effectiveness and efficiency with which the complexity of the invasive alien species problem can be managed </w:t>
      </w:r>
      <w:r w:rsidR="00C14761" w:rsidRPr="00A9434B">
        <w:rPr>
          <w:rFonts w:eastAsia="Batang"/>
        </w:rPr>
        <w:fldChar w:fldCharType="begin">
          <w:fldData xml:space="preserve">PEVuZE5vdGU+PENpdGU+PEF1dGhvcj5MdWJlY2s8L0F1dGhvcj48WWVhcj4yMDE5PC9ZZWFyPjxS
ZWNOdW0+NDkwMTE8L1JlY051bT48RGlzcGxheVRleHQ+KFN0b2V0dCAyMDA3LCBMdWJlY2ssIE1l
dGNhbGYgZXQgYWwuIDIwMTkpPC9EaXNwbGF5VGV4dD48cmVjb3JkPjxyZWMtbnVtYmVyPjQ5MDEx
PC9yZWMtbnVtYmVyPjxmb3JlaWduLWtleXM+PGtleSBhcHA9IkVOIiBkYi1pZD0iYXd4OXJhZGRy
MHh4MmhldjA1cnhyMHowNXdlZXB3cHQwZmV4IiB0aW1lc3RhbXA9IjE1ODE0OTczMjAiPjQ5MDEx
PC9rZXk+PC9mb3JlaWduLWtleXM+PHJlZi10eXBlIG5hbWU9IkpvdXJuYWwgQXJ0aWNsZSI+MTc8
L3JlZi10eXBlPjxjb250cmlidXRvcnM+PGF1dGhvcnM+PGF1dGhvcj5MdWJlY2ssIEFsaWNlIEEu
PC9hdXRob3I+PGF1dGhvcj5NZXRjYWxmLCBBbGV4YW5kZXIgTC48L2F1dGhvcj48YXV0aG9yPkJl
Y2ttYW4sIENyeXN0YWwgTC48L2F1dGhvcj48YXV0aG9yPll1bmcsIExhdXJpZTwvYXV0aG9yPjxh
dXRob3I+QW5nbGUsIEp1c3RpbiBXLjwvYXV0aG9yPjwvYXV0aG9ycz48L2NvbnRyaWJ1dG9ycz48
dGl0bGVzPjx0aXRsZT5Db2xsZWN0aXZlIGZhY3RvcnMgZHJpdmUgaW5kaXZpZHVhbCBpbnZhc2l2
ZSBzcGVjaWVzIGNvbnRyb2wgYmVoYXZpb3JzOiBldmlkZW5jZSBmcm9tIHByaXZhdGUgbGFuZHMg
aW4gTW9udGFuYSwgVVNBPC90aXRsZT48c2Vjb25kYXJ5LXRpdGxlPkVjb2xvZ3kgYW5kIFNvY2ll
dHk8L3NlY29uZGFyeS10aXRsZT48L3RpdGxlcz48cGVyaW9kaWNhbD48ZnVsbC10aXRsZT5FY29s
b2d5IGFuZCBTb2NpZXR5PC9mdWxsLXRpdGxlPjxhYmJyLTE+RWNvbC4gU29jLjwvYWJici0xPjxh
YmJyLTI+RWNvbCBTb2M8L2FiYnItMj48L3BlcmlvZGljYWw+PHZvbHVtZT4yNDwvdm9sdW1lPjxu
dW1iZXI+MjwvbnVtYmVyPjxkYXRlcz48eWVhcj4yMDE5PC95ZWFyPjxwdWItZGF0ZXM+PGRhdGU+
SnVsPC9kYXRlPjwvcHViLWRhdGVzPjwvZGF0ZXM+PGlzYm4+MTcwOC0zMDg3PC9pc2JuPjxhY2Nl
c3Npb24tbnVtPldPUzowMDA0ODI3MTI0MDAwMjI8L2FjY2Vzc2lvbi1udW0+PHVybHM+PHJlbGF0
ZWQtdXJscz48dXJsPiZsdDtHbyB0byBJU0kmZ3Q7Oi8vV09TOjAwMDQ4MjcxMjQwMDAyMjwvdXJs
PjwvcmVsYXRlZC11cmxzPjwvdXJscz48Y3VzdG9tNz4zMjwvY3VzdG9tNz48ZWxlY3Ryb25pYy1y
ZXNvdXJjZS1udW0+MTAuNTc1MS9lcy0xMDg5Ny0yNDAyMzI8L2VsZWN0cm9uaWMtcmVzb3VyY2Ut
bnVtPjwvcmVjb3JkPjwvQ2l0ZT48Q2l0ZT48QXV0aG9yPlN0b2V0dDwvQXV0aG9yPjxZZWFyPjIw
MDc8L1llYXI+PFJlY051bT40OTE4NzwvUmVjTnVtPjxyZWNvcmQ+PHJlYy1udW1iZXI+NDkxODc8
L3JlYy1udW1iZXI+PGZvcmVpZ24ta2V5cz48a2V5IGFwcD0iRU4iIGRiLWlkPSJhd3g5cmFkZHIw
eHgyaGV2MDVyeHIwejA1d2VlcHdwdDBmZXgiIHRpbWVzdGFtcD0iMTU4MTQ5NzMyMCI+NDkxODc8
L2tleT48L2ZvcmVpZ24ta2V5cz48cmVmLXR5cGUgbmFtZT0iSm91cm5hbCBBcnRpY2xlIj4xNzwv
cmVmLXR5cGU+PGNvbnRyaWJ1dG9ycz48YXV0aG9ycz48YXV0aG9yPlN0b2V0dCwgUGV0ZXIgSi48
L2F1dGhvcj48L2F1dGhvcnM+PC9jb250cmlidXRvcnM+PHRpdGxlcz48dGl0bGU+Q291bnRlci1i
aW9pbnZhc2lvbjogQ29uY2VwdHVhbCBhbmQgZ292ZXJuYW5jZSBjaGFsbGVuZ2VzPC90aXRsZT48
c2Vjb25kYXJ5LXRpdGxlPkVudmlyb25tZW50YWwgUG9saXRpY3M8L3NlY29uZGFyeS10aXRsZT48
L3RpdGxlcz48cGVyaW9kaWNhbD48ZnVsbC10aXRsZT5FbnZpcm9ubWVudGFsIFBvbGl0aWNzPC9m
dWxsLXRpdGxlPjwvcGVyaW9kaWNhbD48cGFnZXM+NDMzLTQ1MjwvcGFnZXM+PHZvbHVtZT4xNjwv
dm9sdW1lPjxudW1iZXI+MzwvbnVtYmVyPjxkYXRlcz48eWVhcj4yMDA3PC95ZWFyPjxwdWItZGF0
ZXM+PGRhdGU+MjAwNzwvZGF0ZT48L3B1Yi1kYXRlcz48L2RhdGVzPjxpc2JuPjA5NjQtNDAxNjwv
aXNibj48YWNjZXNzaW9uLW51bT5XT1M6MDAwMjQ3Mzc0MDAwMDA0PC9hY2Nlc3Npb24tbnVtPjx1
cmxzPjxyZWxhdGVkLXVybHM+PHVybD4mbHQ7R28gdG8gSVNJJmd0OzovL1dPUzowMDAyNDczNzQw
MDAwMDQ8L3VybD48L3JlbGF0ZWQtdXJscz48L3VybHM+PGVsZWN0cm9uaWMtcmVzb3VyY2UtbnVt
PjEwLjEwODAvMDk2NDQwMTA3MDEyNTE2NzI8L2VsZWN0cm9uaWMtcmVzb3VyY2UtbnVtPjwvcmVj
b3JkPjwvQ2l0ZT48L0VuZE5vdGU+
</w:fldData>
        </w:fldChar>
      </w:r>
      <w:r w:rsidR="00C14761" w:rsidRPr="00A9434B">
        <w:rPr>
          <w:rFonts w:eastAsia="Batang"/>
        </w:rPr>
        <w:instrText xml:space="preserve"> ADDIN EN.CITE </w:instrText>
      </w:r>
      <w:r w:rsidR="00C14761" w:rsidRPr="00A9434B">
        <w:rPr>
          <w:rFonts w:eastAsia="Batang"/>
        </w:rPr>
        <w:fldChar w:fldCharType="begin">
          <w:fldData xml:space="preserve">PEVuZE5vdGU+PENpdGU+PEF1dGhvcj5MdWJlY2s8L0F1dGhvcj48WWVhcj4yMDE5PC9ZZWFyPjxS
ZWNOdW0+NDkwMTE8L1JlY051bT48RGlzcGxheVRleHQ+KFN0b2V0dCAyMDA3LCBMdWJlY2ssIE1l
dGNhbGYgZXQgYWwuIDIwMTkpPC9EaXNwbGF5VGV4dD48cmVjb3JkPjxyZWMtbnVtYmVyPjQ5MDEx
PC9yZWMtbnVtYmVyPjxmb3JlaWduLWtleXM+PGtleSBhcHA9IkVOIiBkYi1pZD0iYXd4OXJhZGRy
MHh4MmhldjA1cnhyMHowNXdlZXB3cHQwZmV4IiB0aW1lc3RhbXA9IjE1ODE0OTczMjAiPjQ5MDEx
PC9rZXk+PC9mb3JlaWduLWtleXM+PHJlZi10eXBlIG5hbWU9IkpvdXJuYWwgQXJ0aWNsZSI+MTc8
L3JlZi10eXBlPjxjb250cmlidXRvcnM+PGF1dGhvcnM+PGF1dGhvcj5MdWJlY2ssIEFsaWNlIEEu
PC9hdXRob3I+PGF1dGhvcj5NZXRjYWxmLCBBbGV4YW5kZXIgTC48L2F1dGhvcj48YXV0aG9yPkJl
Y2ttYW4sIENyeXN0YWwgTC48L2F1dGhvcj48YXV0aG9yPll1bmcsIExhdXJpZTwvYXV0aG9yPjxh
dXRob3I+QW5nbGUsIEp1c3RpbiBXLjwvYXV0aG9yPjwvYXV0aG9ycz48L2NvbnRyaWJ1dG9ycz48
dGl0bGVzPjx0aXRsZT5Db2xsZWN0aXZlIGZhY3RvcnMgZHJpdmUgaW5kaXZpZHVhbCBpbnZhc2l2
ZSBzcGVjaWVzIGNvbnRyb2wgYmVoYXZpb3JzOiBldmlkZW5jZSBmcm9tIHByaXZhdGUgbGFuZHMg
aW4gTW9udGFuYSwgVVNBPC90aXRsZT48c2Vjb25kYXJ5LXRpdGxlPkVjb2xvZ3kgYW5kIFNvY2ll
dHk8L3NlY29uZGFyeS10aXRsZT48L3RpdGxlcz48cGVyaW9kaWNhbD48ZnVsbC10aXRsZT5FY29s
b2d5IGFuZCBTb2NpZXR5PC9mdWxsLXRpdGxlPjxhYmJyLTE+RWNvbC4gU29jLjwvYWJici0xPjxh
YmJyLTI+RWNvbCBTb2M8L2FiYnItMj48L3BlcmlvZGljYWw+PHZvbHVtZT4yNDwvdm9sdW1lPjxu
dW1iZXI+MjwvbnVtYmVyPjxkYXRlcz48eWVhcj4yMDE5PC95ZWFyPjxwdWItZGF0ZXM+PGRhdGU+
SnVsPC9kYXRlPjwvcHViLWRhdGVzPjwvZGF0ZXM+PGlzYm4+MTcwOC0zMDg3PC9pc2JuPjxhY2Nl
c3Npb24tbnVtPldPUzowMDA0ODI3MTI0MDAwMjI8L2FjY2Vzc2lvbi1udW0+PHVybHM+PHJlbGF0
ZWQtdXJscz48dXJsPiZsdDtHbyB0byBJU0kmZ3Q7Oi8vV09TOjAwMDQ4MjcxMjQwMDAyMjwvdXJs
PjwvcmVsYXRlZC11cmxzPjwvdXJscz48Y3VzdG9tNz4zMjwvY3VzdG9tNz48ZWxlY3Ryb25pYy1y
ZXNvdXJjZS1udW0+MTAuNTc1MS9lcy0xMDg5Ny0yNDAyMzI8L2VsZWN0cm9uaWMtcmVzb3VyY2Ut
bnVtPjwvcmVjb3JkPjwvQ2l0ZT48Q2l0ZT48QXV0aG9yPlN0b2V0dDwvQXV0aG9yPjxZZWFyPjIw
MDc8L1llYXI+PFJlY051bT40OTE4NzwvUmVjTnVtPjxyZWNvcmQ+PHJlYy1udW1iZXI+NDkxODc8
L3JlYy1udW1iZXI+PGZvcmVpZ24ta2V5cz48a2V5IGFwcD0iRU4iIGRiLWlkPSJhd3g5cmFkZHIw
eHgyaGV2MDVyeHIwejA1d2VlcHdwdDBmZXgiIHRpbWVzdGFtcD0iMTU4MTQ5NzMyMCI+NDkxODc8
L2tleT48L2ZvcmVpZ24ta2V5cz48cmVmLXR5cGUgbmFtZT0iSm91cm5hbCBBcnRpY2xlIj4xNzwv
cmVmLXR5cGU+PGNvbnRyaWJ1dG9ycz48YXV0aG9ycz48YXV0aG9yPlN0b2V0dCwgUGV0ZXIgSi48
L2F1dGhvcj48L2F1dGhvcnM+PC9jb250cmlidXRvcnM+PHRpdGxlcz48dGl0bGU+Q291bnRlci1i
aW9pbnZhc2lvbjogQ29uY2VwdHVhbCBhbmQgZ292ZXJuYW5jZSBjaGFsbGVuZ2VzPC90aXRsZT48
c2Vjb25kYXJ5LXRpdGxlPkVudmlyb25tZW50YWwgUG9saXRpY3M8L3NlY29uZGFyeS10aXRsZT48
L3RpdGxlcz48cGVyaW9kaWNhbD48ZnVsbC10aXRsZT5FbnZpcm9ubWVudGFsIFBvbGl0aWNzPC9m
dWxsLXRpdGxlPjwvcGVyaW9kaWNhbD48cGFnZXM+NDMzLTQ1MjwvcGFnZXM+PHZvbHVtZT4xNjwv
dm9sdW1lPjxudW1iZXI+MzwvbnVtYmVyPjxkYXRlcz48eWVhcj4yMDA3PC95ZWFyPjxwdWItZGF0
ZXM+PGRhdGU+MjAwNzwvZGF0ZT48L3B1Yi1kYXRlcz48L2RhdGVzPjxpc2JuPjA5NjQtNDAxNjwv
aXNibj48YWNjZXNzaW9uLW51bT5XT1M6MDAwMjQ3Mzc0MDAwMDA0PC9hY2Nlc3Npb24tbnVtPjx1
cmxzPjxyZWxhdGVkLXVybHM+PHVybD4mbHQ7R28gdG8gSVNJJmd0OzovL1dPUzowMDAyNDczNzQw
MDAwMDQ8L3VybD48L3JlbGF0ZWQtdXJscz48L3VybHM+PGVsZWN0cm9uaWMtcmVzb3VyY2UtbnVt
PjEwLjEwODAvMDk2NDQwMTA3MDEyNTE2NzI8L2VsZWN0cm9uaWMtcmVzb3VyY2UtbnVtPjwvcmVj
b3JkPjwvQ2l0ZT48L0VuZE5vdGU+
</w:fldData>
        </w:fldChar>
      </w:r>
      <w:r w:rsidR="00C14761" w:rsidRPr="00A9434B">
        <w:rPr>
          <w:rFonts w:eastAsia="Batang"/>
        </w:rPr>
        <w:instrText xml:space="preserve"> ADDIN EN.CITE.DATA </w:instrText>
      </w:r>
      <w:r w:rsidR="00C14761" w:rsidRPr="00A9434B">
        <w:rPr>
          <w:rFonts w:eastAsia="Batang"/>
        </w:rPr>
      </w:r>
      <w:r w:rsidR="00C14761" w:rsidRPr="00A9434B">
        <w:rPr>
          <w:rFonts w:eastAsia="Batang"/>
        </w:rPr>
        <w:fldChar w:fldCharType="end"/>
      </w:r>
      <w:r w:rsidR="00C14761" w:rsidRPr="00A9434B">
        <w:rPr>
          <w:rFonts w:eastAsia="Batang"/>
        </w:rPr>
      </w:r>
      <w:r w:rsidR="00C14761" w:rsidRPr="00A9434B">
        <w:rPr>
          <w:rFonts w:eastAsia="Batang"/>
        </w:rPr>
        <w:fldChar w:fldCharType="separate"/>
      </w:r>
      <w:r w:rsidR="00BF0F6C" w:rsidRPr="00A9434B">
        <w:rPr>
          <w:rFonts w:eastAsia="Batang"/>
        </w:rPr>
        <w:fldChar w:fldCharType="begin"/>
      </w:r>
      <w:r w:rsidR="0006613E">
        <w:rPr>
          <w:rFonts w:eastAsia="Batang"/>
        </w:rPr>
        <w:instrText xml:space="preserve"> ADDIN ZOTERO_ITEM CSL_CITATION {"citationID":"a2ckcf05bkd","properties":{"formattedCitation":"\\uldash{(Lubeck et al., 2019; Stoett, 2007)}","plainCitation":"(Lubeck et al., 2019; Stoett, 2007)","dontUpdate":true,"noteIndex":0},"citationItems":[{"id":27175,"uris":["http://zotero.org/groups/2352922/items/HNDDJUPR"],"itemData":{"id":27175,"type":"article-journal","abstract":"Invasive terrestrial plants globally threaten agricultural and natural systems. Prolific dispersal mechanisms enable “weeds” to colonize across ownership boundaries, constituting a collective action problem where effective control requires contributions from multiple actors. Researchers have long recognized the cross-boundary nature of weed control, yet most studies have focused on whether actor-specific characteristics, such as sociodemographics and cognition, influenced individual weed control behaviors. More recent work has begun to explore the drivers of communal control efforts, i.e., cooperatives, group actions. Few studies have empirically investigated how the collective aspects of weed invasions influence individual control behaviors. Here we provide quantitative evidence of a relationship between collective aspects of the weed control problem and landowners’ willingness to engage in individual weed control efforts. In a mail-back survey of Montana landowners (n = 1327) we found collective factors, such as injunctive norms and the belief that weeds are a cross-boundary problem, were significantly correlated with willingness to engage in three different weed control behaviors. Each behavior was correlated with a unique suite of collective factors suggesting that successful interventions must be behavior-specific. These results add to a growing body of evidence that the collective nature of invasive species control is critical for understanding human behavioral responses.","container-title":"Ecology and Society","DOI":"10.5751/es-10897-240232","ISSN":"1708-3087","issue":"2","journalAbbreviation":"Ecol. Soc.","page":"32","title":"Collective factors drive individual invasive species control behaviors: evidence from private lands in Montana, USA","title-short":"Collective factors drive individual invasive species control behaviors","URL":"https://www.ecologyandsociety.org/vol24/iss2/art32/","volume":"24","author":[{"family":"Lubeck","given":"Alice A."},{"family":"Metcalf","given":"Alexander L."},{"family":"Beckman","given":"Crystal L."},{"family":"Yung","given":"Laurie"},{"family":"Angle","given":"Justin W."}],"issued":{"date-parts":[["2019",7]]}},"label":"page"},{"id":56669,"uris":["http://zotero.org/groups/2352922/items/6MYVB4YP","http://zotero.org/groups/2352922/items/AADLXSAH","http://zotero.org/groups/2352922/items/GSRMTZSR"],"itemData":{"id":56669,"type":"article-journal","container-title":"Environmental Politics","DOI":"10.1080/09644010701251672","ISSN":"0964-4016, 1743-8934","issue":"3","journalAbbreviation":"Environmental Politics","language":"en","page":"433-452","source":"DOI.org (Crossref)","title":"Counter-bioinvasion: Conceptual and governance challenges","title-short":"Counter-bioinvasion","URL":"http://www.tandfonline.com/doi/full/10.1080/09644010701251672","volume":"16","author":[{"family":"Stoett","given":"Peter"}],"accessed":{"date-parts":[["2023",6,8]]},"issued":{"date-parts":[["2007",6]]}},"label":"page"}],"schema":"https://github.com/citation-style-language/schema/raw/master/csl-citation.json"} </w:instrText>
      </w:r>
      <w:r w:rsidR="00BF0F6C" w:rsidRPr="00A9434B">
        <w:rPr>
          <w:rFonts w:eastAsia="Batang"/>
        </w:rPr>
        <w:fldChar w:fldCharType="separate"/>
      </w:r>
      <w:r w:rsidR="0007157D" w:rsidRPr="00A9434B">
        <w:t>(Lubeck et al., 2019; Stoett, 2007;</w:t>
      </w:r>
      <w:r w:rsidR="00BF0F6C" w:rsidRPr="00A9434B">
        <w:rPr>
          <w:rFonts w:eastAsia="Batang"/>
        </w:rPr>
        <w:fldChar w:fldCharType="end"/>
      </w:r>
      <w:r w:rsidR="00C14761" w:rsidRPr="00A9434B">
        <w:rPr>
          <w:rFonts w:eastAsia="Batang"/>
        </w:rPr>
        <w:fldChar w:fldCharType="end"/>
      </w:r>
      <w:r w:rsidR="00C14761" w:rsidRPr="00A9434B">
        <w:rPr>
          <w:rFonts w:eastAsia="Batang"/>
        </w:rPr>
        <w:t xml:space="preserve"> </w:t>
      </w:r>
      <w:r w:rsidR="004155A5" w:rsidRPr="00673554">
        <w:rPr>
          <w:b/>
          <w:iCs/>
        </w:rPr>
        <w:fldChar w:fldCharType="begin"/>
      </w:r>
      <w:r w:rsidR="004155A5" w:rsidRPr="00673554">
        <w:rPr>
          <w:b/>
          <w:iCs/>
        </w:rPr>
        <w:instrText xml:space="preserve"> REF _Ref104895003 \h  \* MERGEFORMAT </w:instrText>
      </w:r>
      <w:r w:rsidR="004155A5" w:rsidRPr="00673554">
        <w:rPr>
          <w:b/>
          <w:iCs/>
        </w:rPr>
      </w:r>
      <w:r w:rsidR="004155A5" w:rsidRPr="00673554">
        <w:rPr>
          <w:b/>
          <w:iCs/>
        </w:rPr>
        <w:fldChar w:fldCharType="separate"/>
      </w:r>
      <w:r w:rsidR="0011368C" w:rsidRPr="00673554">
        <w:rPr>
          <w:b/>
          <w:iCs/>
        </w:rPr>
        <w:t>Figure 6.7</w:t>
      </w:r>
      <w:r w:rsidR="004155A5" w:rsidRPr="00673554">
        <w:rPr>
          <w:b/>
          <w:iCs/>
        </w:rPr>
        <w:fldChar w:fldCharType="end"/>
      </w:r>
      <w:r w:rsidR="00C14761" w:rsidRPr="00A9434B">
        <w:rPr>
          <w:rFonts w:eastAsia="Batang"/>
        </w:rPr>
        <w:t>).</w:t>
      </w:r>
      <w:r>
        <w:t xml:space="preserve"> While the terms “level” and “scale” are often used interchangeably, they have distinct, complementary meanings in governance for biological invasions. Because of their importance to the design of effective governance systems, these dimensions and the roles that they play are outlined below and discussed in terms of their importance for sectors and networks.</w:t>
      </w:r>
    </w:p>
    <w:p w14:paraId="48733B47" w14:textId="77777777" w:rsidR="00017C04" w:rsidRDefault="00F50AF9">
      <w:pPr>
        <w:pStyle w:val="Heading5"/>
      </w:pPr>
      <w:r>
        <w:t>Scales and governance - spatially and temporally continuous structures and processes</w:t>
      </w:r>
    </w:p>
    <w:p w14:paraId="07B5FE65" w14:textId="1114173B" w:rsidR="00017C04" w:rsidRDefault="00F50AF9" w:rsidP="00C25E77">
      <w:pPr>
        <w:spacing w:before="0"/>
      </w:pPr>
      <w:r>
        <w:t xml:space="preserve">One way of viewing governance is through a scaling lens </w:t>
      </w:r>
      <w:r w:rsidR="00C14761" w:rsidRPr="00A9434B">
        <w:rPr>
          <w:rFonts w:eastAsia="Batang"/>
        </w:rPr>
        <w:fldChar w:fldCharType="begin"/>
      </w:r>
      <w:r w:rsidR="0006613E">
        <w:rPr>
          <w:rFonts w:eastAsia="Batang"/>
        </w:rPr>
        <w:instrText xml:space="preserve"> ADDIN ZOTERO_ITEM CSL_CITATION {"citationID":"a1moc6tqjpr","properties":{"formattedCitation":"(Padt &amp; Arts, 2014)","plainCitation":"(Padt &amp; Arts, 2014)","noteIndex":0},"citationItems":[{"id":12451,"uris":["http://zotero.org/groups/2352922/items/BJWHCNX6"],"itemData":{"id":12451,"type":"chapter","container-title":"Scale-sensitive governance of the environment","event-place":"West Sussex, U.K.","ISBN":"978-1-118-56715-9","note":"DOI: 10.1002/9781118567135.ch1","page":"1-13","publisher":"John Wiley &amp; Sons","publisher-place":"West Sussex, U.K.","title":"Concepts of scale","URL":"https://doi.org/10.1002/9781118567135.ch1","author":[{"family":"Padt","given":"F."},{"family":"Arts","given":"B."}],"editor":[{"family":"Padt","given":"F."},{"family":"Opdam","given":"P."},{"family":"Polman","given":"N."},{"family":"Termeer","given":"C."}],"issued":{"date-parts":[["2014"]]}},"label":"page"}],"schema":"https://github.com/citation-style-language/schema/raw/master/csl-citation.json"} </w:instrText>
      </w:r>
      <w:r w:rsidR="00C14761" w:rsidRPr="00A9434B">
        <w:rPr>
          <w:rFonts w:eastAsia="Batang"/>
        </w:rPr>
        <w:fldChar w:fldCharType="separate"/>
      </w:r>
      <w:r w:rsidR="00C71E80" w:rsidRPr="00A9434B">
        <w:t>(Padt &amp; Arts, 2014)</w:t>
      </w:r>
      <w:r w:rsidR="00C14761" w:rsidRPr="00A9434B">
        <w:rPr>
          <w:rFonts w:eastAsia="Batang"/>
        </w:rPr>
        <w:fldChar w:fldCharType="end"/>
      </w:r>
      <w:r w:rsidR="326765F3" w:rsidRPr="00A9434B">
        <w:rPr>
          <w:rFonts w:eastAsia="Batang"/>
        </w:rPr>
        <w:t>.</w:t>
      </w:r>
      <w:r w:rsidR="5B53FCA1" w:rsidRPr="00A9434B">
        <w:rPr>
          <w:rFonts w:eastAsia="Batang"/>
        </w:rPr>
        <w:t xml:space="preserve"> </w:t>
      </w:r>
      <w:r w:rsidR="00C25E77">
        <w:t>While the impacts of invasive alien species occur locally, the drivers that facilitate biological invasions operate across scales from global to local, and the impacts also accumulate upwards to affect national and global economies and ecosystem processes</w:t>
      </w:r>
      <w:r>
        <w:t xml:space="preserve"> </w:t>
      </w:r>
      <w:r w:rsidR="00C14761" w:rsidRPr="00A9434B">
        <w:rPr>
          <w:rFonts w:eastAsia="Batang"/>
        </w:rPr>
        <w:fldChar w:fldCharType="begin"/>
      </w:r>
      <w:r w:rsidR="0006613E">
        <w:rPr>
          <w:rFonts w:eastAsia="Batang"/>
        </w:rPr>
        <w:instrText xml:space="preserve"> ADDIN ZOTERO_ITEM CSL_CITATION {"citationID":"adpprvn67e","properties":{"formattedCitation":"(Andonova &amp; Mitchell, 2010; Bostr\\uc0\\u246{}m et al., 2016; Termeer &amp; Dewulf, 2014)","plainCitation":"(Andonova &amp; Mitchell, 2010; Boström et al., 2016; Termeer &amp; Dewulf, 2014)","noteIndex":0},"citationItems":[{"id":11297,"uris":["http://zotero.org/groups/2352922/items/SCEW9H9Y"],"itemData":{"id":11297,"type":"article-journal","abstract":"In the past half-century, the practice and study of global environmental politics and governance have been dramatically rescaled. They have become increasingly complex and interconnected with respect to the level (between local and global) at which they take place, the range of actors engaged in them, and the linkages between them and nominally nonenvironmental issues. Global environmental politics and governance have been rescaled vertically down toward provincial and municipal governments and up toward supranational regimes. They have also been rescaled horizontally across regional and sectoral organizations and networks and across new issues, such as development, security, and trade among others. This rescaling reflects shifts in the magnitude, complexity, and interconnectedness of the global environmental problems humans face as well as epistemological shifts in how humans understand and respond to these problems, and rescaling has implications for both the practice and study of global environmental politics.","container-title":"Annual Review of Environment and Resources","DOI":"10.1146/annurev-environ-100809-125346","issue":"1","note":"_eprint: https://doi.org/10.1146/annurev-environ-100809-125346","page":"255-282","source":"Annual Reviews","title":"The Rescaling of Global Environmental Politics","URL":"https://doi.org/10.1146/annurev-environ-100809-125346","volume":"35","author":[{"family":"Andonova","given":"Liliana B."},{"family":"Mitchell","given":"Ronald B."}],"accessed":{"date-parts":[["2020",8,18]]},"issued":{"date-parts":[["2010"]]}},"label":"page"},{"id":11493,"uris":["http://zotero.org/groups/2352922/items/3P28L9PQ"],"itemData":{"id":11493,"type":"chapter","collection-title":"MARE Publication Series","container-title":"Environmental Governance of the Baltic Sea","event-place":"Cham","ISBN":"978-3-319-27006-7","note":"DOI: 10.1007/978-3-319-27006-7_7","page":"149-172","publisher":"Springer","publisher-place":"Cham","title":"The Ecosystem Approach to Management in Baltic Sea Governance: Towards Increased Reflexivity?","volume":"10","author":[{"family":"Boström","given":"Magnus"},{"family":"Grönholm","given":"Sam"},{"family":"Hassler","given":"Björn"}],"editor":[{"family":"Gilek","given":"M."},{"family":"Karlsson","given":"M."},{"family":"Linke","given":"S."},{"family":"Smolarz","given":"K."}],"issued":{"date-parts":[["2016"]]}},"label":"page"},{"id":24366,"uris":["http://zotero.org/groups/2352922/items/NWG39SPM"],"itemData":{"id":24366,"type":"chapter","container-title":"Scale-sensitive Governance of the Environment","event-place":"Oxford, UK","ISBN":"978-1-118-56713-5","language":"en","note":"DOI: 10.1002/9781118567135.ch3","page":"38-55","publisher":"John Wiley &amp; Sons, Ltd","publisher-place":"Oxford, UK","source":"DOI.org (Crossref)","title":"Scale-Sensitivity as a Governance Capability: Observing, Acting and Enabling","title-short":"Scale-Sensitivity as a Governance Capability","URL":"http://doi.wiley.com/10.1002/9781118567135.ch3","editor":[{"family":"Padt","given":"Frans"},{"family":"Opdam","given":"Paul"},{"family":"Polman","given":"Nico"},{"family":"Termeer","given":"C. J. A. M."}],"author":[{"family":"Termeer","given":"C. J. A. M."},{"family":"Dewulf","given":"Art"}],"accessed":{"date-parts":[["2021",2,9]]},"issued":{"date-parts":[["2014",3,14]]}},"label":"page"}],"schema":"https://github.com/citation-style-language/schema/raw/master/csl-citation.json"} </w:instrText>
      </w:r>
      <w:r w:rsidR="00C14761" w:rsidRPr="00A9434B">
        <w:rPr>
          <w:rFonts w:eastAsia="Batang"/>
        </w:rPr>
        <w:fldChar w:fldCharType="separate"/>
      </w:r>
      <w:r w:rsidR="00E452E2" w:rsidRPr="00E452E2">
        <w:t>(Andonova &amp; Mitchell, 2010; Boström et al., 2016; Termeer &amp; Dewulf, 2014)</w:t>
      </w:r>
      <w:r w:rsidR="00C14761" w:rsidRPr="00A9434B">
        <w:rPr>
          <w:rFonts w:eastAsia="Batang"/>
        </w:rPr>
        <w:fldChar w:fldCharType="end"/>
      </w:r>
      <w:r w:rsidR="326765F3" w:rsidRPr="00A9434B">
        <w:rPr>
          <w:rFonts w:eastAsia="Batang"/>
        </w:rPr>
        <w:t>.</w:t>
      </w:r>
      <w:r>
        <w:t xml:space="preserve"> As a global change phenomenon, biological invasion is both complex and dynamic because it involves interacting social, biological</w:t>
      </w:r>
      <w:r w:rsidR="00896CEC">
        <w:t xml:space="preserve"> and</w:t>
      </w:r>
      <w:r>
        <w:t xml:space="preserve"> abiotic environmental dimensions, often with context-specific outcomes (</w:t>
      </w:r>
      <w:r w:rsidRPr="25C90E76">
        <w:rPr>
          <w:b/>
          <w:bCs/>
        </w:rPr>
        <w:t>Chapter 1</w:t>
      </w:r>
      <w:r>
        <w:t xml:space="preserve">, </w:t>
      </w:r>
      <w:r w:rsidRPr="25C90E76">
        <w:rPr>
          <w:b/>
          <w:bCs/>
        </w:rPr>
        <w:t>section 1.5</w:t>
      </w:r>
      <w:r>
        <w:t>). Biological invasions are also transboundary in nature. This is a consequence of the fact that species movements are not naturally constrained by geopolitical boundaries: borders can be fluid for stakeholders and Indigenous Peoples and local communities</w:t>
      </w:r>
      <w:r w:rsidR="00896CEC">
        <w:t xml:space="preserve"> and</w:t>
      </w:r>
      <w:r>
        <w:t xml:space="preserve"> trade and human movement across natural and geopolitical borders are the primary drivers </w:t>
      </w:r>
      <w:r w:rsidR="00C25E77">
        <w:t xml:space="preserve">promoting </w:t>
      </w:r>
      <w:r w:rsidR="326765F3" w:rsidRPr="00A9434B">
        <w:rPr>
          <w:rFonts w:eastAsia="Batang"/>
        </w:rPr>
        <w:t xml:space="preserve">biological invasion </w:t>
      </w:r>
      <w:r w:rsidR="00C73308" w:rsidRPr="00A9434B">
        <w:rPr>
          <w:rFonts w:eastAsia="Batang"/>
        </w:rPr>
        <w:fldChar w:fldCharType="begin"/>
      </w:r>
      <w:r w:rsidR="0006613E">
        <w:rPr>
          <w:rFonts w:eastAsia="Batang"/>
        </w:rPr>
        <w:instrText xml:space="preserve"> ADDIN ZOTERO_ITEM CSL_CITATION {"citationID":"a1v6ju4vifr","properties":{"formattedCitation":"(S. Muller et al., 2009)","plainCitation":"(S. Muller et al., 2009)","noteIndex":0},"citationItems":[{"id":56531,"uris":["http://zotero.org/groups/2352922/items/I9IHDPUU","http://zotero.org/groups/2352922/items/NRV83A9D"],"itemData":{"id":56531,"type":"article-journal","abstract":"This paper investigates practices of border formation through an analysis of Australia's quarantine processes. We use the work of the Australian Quarantine and Inspection Service (AQIS), through the Northern Australia Quarantine Strategy (NAQS), to interrogate the ways in which borders are made and remade in daily life. By exploring quotidian practices of quarantine we argue that borders are the sites of complex and fluid relationships that are constantly being renegotiated as multiple active agents cohabit, contest, belong, and exclude. We find that quarantine borders are constantly being (re)made by forces outside NAQS's control, including through the practices of Yolngu Indigenous land-management staff and rangers, individual local residents, and diverse non-humans. Borders are revealed as active spaces produced in multiple locations at multiple scales. They are underpinned by diverse ontologies and are always more-than-human. This challenges the overly simplified view evoked within AQIS's public awareness material and the prevailing national discourse of defence, invasion, and fear. Through attention to quotidian practices of border making, different ways of understanding borderland geographies emerge.","container-title":"Environment and Planning A: Economy and Space","DOI":"10.1068/a40196","ISSN":"0308-518X, 1472-3409","issue":"4","journalAbbreviation":"Environ Plan A","language":"en","page":"780-795","source":"DOI.org (Crossref)","title":"“Quarantine Matters!”: Quotidian Relationships around Quarantine in Australia's Northern Borderlands","title-short":"“Quarantine Matters!”","URL":"http://journals.sagepub.com/doi/10.1068/a40196","volume":"41","author":[{"family":"Muller","given":"Samantha"},{"family":"Power","given":"Emma R"},{"family":"Suchet-Pearson","given":"Sandra"},{"family":"Wright","given":"Sarah"},{"family":"Lloyd","given":"Kate"}],"accessed":{"date-parts":[["2023",6,8]]},"issued":{"date-parts":[["2009",4]]}},"label":"page"}],"schema":"https://github.com/citation-style-language/schema/raw/master/csl-citation.json"} </w:instrText>
      </w:r>
      <w:r w:rsidR="00C73308" w:rsidRPr="00A9434B">
        <w:rPr>
          <w:rFonts w:eastAsia="Batang"/>
        </w:rPr>
        <w:fldChar w:fldCharType="separate"/>
      </w:r>
      <w:r w:rsidR="00C71E80" w:rsidRPr="00A9434B">
        <w:t>(S. Muller et al., 2009)</w:t>
      </w:r>
      <w:r w:rsidR="00C73308" w:rsidRPr="00A9434B">
        <w:rPr>
          <w:rFonts w:eastAsia="Batang"/>
        </w:rPr>
        <w:fldChar w:fldCharType="end"/>
      </w:r>
      <w:r w:rsidR="326765F3" w:rsidRPr="00A9434B">
        <w:rPr>
          <w:rFonts w:eastAsia="Batang"/>
        </w:rPr>
        <w:t>.</w:t>
      </w:r>
      <w:r>
        <w:t xml:space="preserve"> As a result, solutions for managing biological invasions demand strategy, communication, cooperation, data</w:t>
      </w:r>
      <w:r w:rsidR="00896CEC">
        <w:t xml:space="preserve"> and</w:t>
      </w:r>
      <w:r>
        <w:t xml:space="preserve"> information that are similarly geopolitically unbounded </w:t>
      </w:r>
      <w:r w:rsidR="326765F3" w:rsidRPr="00A9434B">
        <w:rPr>
          <w:rFonts w:eastAsia="Batang"/>
        </w:rPr>
        <w:t>(</w:t>
      </w:r>
      <w:r w:rsidR="004155A5" w:rsidRPr="00673554">
        <w:rPr>
          <w:b/>
          <w:iCs/>
        </w:rPr>
        <w:fldChar w:fldCharType="begin"/>
      </w:r>
      <w:r w:rsidR="004155A5" w:rsidRPr="00673554">
        <w:rPr>
          <w:b/>
          <w:iCs/>
        </w:rPr>
        <w:instrText xml:space="preserve"> REF _Ref104895003 \h  \* MERGEFORMAT </w:instrText>
      </w:r>
      <w:r w:rsidR="004155A5" w:rsidRPr="00673554">
        <w:rPr>
          <w:b/>
          <w:iCs/>
        </w:rPr>
      </w:r>
      <w:r w:rsidR="004155A5" w:rsidRPr="00673554">
        <w:rPr>
          <w:b/>
          <w:iCs/>
        </w:rPr>
        <w:fldChar w:fldCharType="separate"/>
      </w:r>
      <w:r w:rsidR="0011368C" w:rsidRPr="00673554">
        <w:rPr>
          <w:b/>
          <w:iCs/>
        </w:rPr>
        <w:t>Figure 6.7</w:t>
      </w:r>
      <w:r w:rsidR="004155A5" w:rsidRPr="00673554">
        <w:rPr>
          <w:b/>
          <w:iCs/>
        </w:rPr>
        <w:fldChar w:fldCharType="end"/>
      </w:r>
      <w:r w:rsidR="326765F3" w:rsidRPr="00A9434B">
        <w:rPr>
          <w:rFonts w:eastAsia="Batang"/>
        </w:rPr>
        <w:t>).</w:t>
      </w:r>
      <w:r>
        <w:t xml:space="preserve"> Agencies responsible for management are often local and the transfer of knowledge and management technology to this level is crucial (</w:t>
      </w:r>
      <w:r w:rsidRPr="25C90E76">
        <w:rPr>
          <w:b/>
          <w:bCs/>
        </w:rPr>
        <w:t>section 6.6</w:t>
      </w:r>
      <w:r>
        <w:t xml:space="preserve">). Biological invasions and management events at one place or time, and the reporting of such events, have a fundamental bearing on relevant response options at scales beyond which they occur. The process of biological invasion operates continuously across spatial scales from local - sites at which populations of invasive alien species establish or have impact - to the large regions </w:t>
      </w:r>
      <w:r>
        <w:lastRenderedPageBreak/>
        <w:t>over which invasive alien species are transported, cross borders</w:t>
      </w:r>
      <w:r w:rsidR="00896CEC">
        <w:t xml:space="preserve"> and</w:t>
      </w:r>
      <w:r>
        <w:t xml:space="preserve"> spread. Similarly, invasive alien species management spans short-term actions - such as rapid responses to eradicate newly established invasive alien species - to long-term efforts to contain or control well-established invasive alien species in order to mitigate their impacts. Investing in invasive alien species management systems is a long-term endeavour to protect and maintain good quality of life and nature’s contributions to people. Therefore, it is appropriate, for example, that invasive alien species information systems, management of invasive alien species, and governance for biological invasions structures account for such scales. All of these information, structures and processes are planned and implemented across multiple spatial and temporal scales of biological organization (i.e., considering genetic diversity and adaptation, species population dynamics, community processes and ecosystem function; </w:t>
      </w:r>
      <w:r w:rsidR="00C14761" w:rsidRPr="00A9434B">
        <w:rPr>
          <w:rFonts w:eastAsia="Arial"/>
        </w:rPr>
        <w:fldChar w:fldCharType="begin"/>
      </w:r>
      <w:r w:rsidR="0006613E">
        <w:rPr>
          <w:rFonts w:eastAsia="Arial"/>
        </w:rPr>
        <w:instrText xml:space="preserve"> ADDIN ZOTERO_ITEM CSL_CITATION {"citationID":"a2j27jlh0nc","properties":{"formattedCitation":"\\uldash{(Padt &amp; Arts, 2014)}","plainCitation":"(Padt &amp; Arts, 2014)","dontUpdate":true,"noteIndex":0},"citationItems":[{"id":12451,"uris":["http://zotero.org/groups/2352922/items/BJWHCNX6"],"itemData":{"id":12451,"type":"chapter","container-title":"Scale-sensitive governance of the environment","event-place":"West Sussex, U.K.","ISBN":"978-1-118-56715-9","note":"DOI: 10.1002/9781118567135.ch1","page":"1-13","publisher":"John Wiley &amp; Sons","publisher-place":"West Sussex, U.K.","title":"Concepts of scale","URL":"https://doi.org/10.1002/9781118567135.ch1","author":[{"family":"Padt","given":"F."},{"family":"Arts","given":"B."}],"editor":[{"family":"Padt","given":"F."},{"family":"Opdam","given":"P."},{"family":"Polman","given":"N."},{"family":"Termeer","given":"C."}],"issued":{"date-parts":[["2014"]]}},"label":"page"}],"schema":"https://github.com/citation-style-language/schema/raw/master/csl-citation.json"} </w:instrText>
      </w:r>
      <w:r w:rsidR="00C14761" w:rsidRPr="00A9434B">
        <w:rPr>
          <w:rFonts w:eastAsia="Arial"/>
        </w:rPr>
        <w:fldChar w:fldCharType="separate"/>
      </w:r>
      <w:r w:rsidR="0007157D" w:rsidRPr="00A9434B">
        <w:t>Padt &amp; Arts, 2014)</w:t>
      </w:r>
      <w:r w:rsidR="00C14761" w:rsidRPr="00A9434B">
        <w:rPr>
          <w:rFonts w:eastAsia="Arial"/>
        </w:rPr>
        <w:fldChar w:fldCharType="end"/>
      </w:r>
      <w:r w:rsidR="326765F3" w:rsidRPr="00A9434B">
        <w:rPr>
          <w:rFonts w:eastAsia="Arial"/>
        </w:rPr>
        <w:t>.</w:t>
      </w:r>
    </w:p>
    <w:p w14:paraId="6BED15DF" w14:textId="77777777" w:rsidR="00017C04" w:rsidRDefault="00F50AF9">
      <w:pPr>
        <w:pStyle w:val="Heading5"/>
        <w:rPr>
          <w:i/>
        </w:rPr>
      </w:pPr>
      <w:r>
        <w:t>Levels of governance - vertical interactions</w:t>
      </w:r>
    </w:p>
    <w:p w14:paraId="016CFA29" w14:textId="0D4DF5A7" w:rsidR="00017C04" w:rsidRDefault="00F50AF9">
      <w:pPr>
        <w:spacing w:before="0"/>
      </w:pPr>
      <w:bookmarkStart w:id="190" w:name="_heading=h.1mrcu09" w:colFirst="0" w:colLast="0"/>
      <w:bookmarkEnd w:id="190"/>
      <w:r>
        <w:t>Invasive alien species are governed and managed at multiple levels of societal organization, from regional to national and sub-national (</w:t>
      </w:r>
      <w:r>
        <w:rPr>
          <w:b/>
        </w:rPr>
        <w:t>Chapter 1</w:t>
      </w:r>
      <w:r>
        <w:t>,</w:t>
      </w:r>
      <w:r>
        <w:rPr>
          <w:b/>
        </w:rPr>
        <w:t xml:space="preserve"> </w:t>
      </w:r>
      <w:r w:rsidR="00134ACA" w:rsidRPr="00673554">
        <w:rPr>
          <w:rFonts w:eastAsia="Batang"/>
          <w:b/>
          <w:iCs/>
        </w:rPr>
        <w:t>Figure</w:t>
      </w:r>
      <w:r>
        <w:rPr>
          <w:b/>
        </w:rPr>
        <w:t xml:space="preserve"> 1.9</w:t>
      </w:r>
      <w:r>
        <w:t>). Levels of governance encompass civil society groups, for example, that contribute to weed clearing in local neighbourhoods, to sectoral land-management at a sub-national scale (such as protected and production areas), to states and provinces, countries, regions</w:t>
      </w:r>
      <w:r w:rsidR="00896CEC">
        <w:t xml:space="preserve"> and</w:t>
      </w:r>
      <w:r>
        <w:t xml:space="preserve"> broader intergovernmental arrangements </w:t>
      </w:r>
      <w:r w:rsidR="326765F3" w:rsidRPr="00A9434B">
        <w:rPr>
          <w:rFonts w:eastAsia="Batang"/>
        </w:rPr>
        <w:t>(</w:t>
      </w:r>
      <w:r w:rsidR="00C25E77" w:rsidRPr="00673554">
        <w:rPr>
          <w:rFonts w:eastAsia="Batang"/>
          <w:b/>
          <w:iCs/>
        </w:rPr>
        <w:t>Figures</w:t>
      </w:r>
      <w:r w:rsidR="00C25E77">
        <w:rPr>
          <w:b/>
        </w:rPr>
        <w:t xml:space="preserve"> 6.7 </w:t>
      </w:r>
      <w:r w:rsidR="00C25E77">
        <w:t>and</w:t>
      </w:r>
      <w:r w:rsidR="00C25E77">
        <w:rPr>
          <w:b/>
        </w:rPr>
        <w:t xml:space="preserve"> 6.8</w:t>
      </w:r>
      <w:r w:rsidR="326765F3" w:rsidRPr="00A9434B">
        <w:rPr>
          <w:rFonts w:eastAsia="Batang"/>
        </w:rPr>
        <w:t>).</w:t>
      </w:r>
      <w:r>
        <w:t xml:space="preserve"> When a mismatch exists between the level of governance and the scales at which biological invasion occurs, policy and resulting interventions are less likely to succeed </w:t>
      </w:r>
      <w:r w:rsidR="00C14761" w:rsidRPr="00A9434B">
        <w:rPr>
          <w:rFonts w:eastAsia="Batang"/>
        </w:rPr>
        <w:fldChar w:fldCharType="begin"/>
      </w:r>
      <w:r w:rsidR="00C14761" w:rsidRPr="00A9434B">
        <w:rPr>
          <w:rFonts w:eastAsia="Batang"/>
        </w:rPr>
        <w:instrText xml:space="preserve"> ADDIN EN.CITE &lt;EndNote&gt;&lt;Cite&gt;&lt;Author&gt;Primmer&lt;/Author&gt;&lt;Year&gt;2015&lt;/Year&gt;&lt;RecNum&gt;49254&lt;/RecNum&gt;&lt;DisplayText&gt;(Primmer, Jokinen et al. 2015)&lt;/DisplayText&gt;&lt;record&gt;&lt;rec-number&gt;49254&lt;/rec-number&gt;&lt;foreign-keys&gt;&lt;key app="EN" db-id="awx9raddr0xx2hev05rxr0z05weepwpt0fex" timestamp="1592109318"&gt;49254&lt;/key&gt;&lt;/foreign-keys&gt;&lt;ref-type name="Journal Article"&gt;17&lt;/ref-type&gt;&lt;contributors&gt;&lt;authors&gt;&lt;author&gt;Primmer, Eeva&lt;/author&gt;&lt;author&gt;Jokinen, Pekka&lt;/author&gt;&lt;author&gt;Blicharska, Malgorzata&lt;/author&gt;&lt;author&gt;Barton, David N&lt;/author&gt;&lt;author&gt;Bugter, Rob&lt;/author&gt;&lt;author&gt;Potschin, Marion&lt;/author&gt;&lt;/authors&gt;&lt;/contributors&gt;&lt;titles&gt;&lt;title&gt;Governance of ecosystem services: a framework for empirical analysis&lt;/title&gt;&lt;secondary-title&gt;Ecosystem Services&lt;/secondary-title&gt;&lt;/titles&gt;&lt;periodical&gt;&lt;full-title&gt;Ecosystem Services&lt;/full-title&gt;&lt;/periodical&gt;&lt;pages&gt;158-166&lt;/pages&gt;&lt;volume&gt;16&lt;/volume&gt;&lt;dates&gt;&lt;year&gt;2015&lt;/year&gt;&lt;/dates&gt;&lt;isbn&gt;2212-0416&lt;/isbn&gt;&lt;urls&gt;&lt;/urls&gt;&lt;/record&gt;&lt;/Cite&gt;&lt;/EndNote&gt;</w:instrText>
      </w:r>
      <w:r w:rsidR="00C14761" w:rsidRPr="00A9434B">
        <w:rPr>
          <w:rFonts w:eastAsia="Batang"/>
        </w:rPr>
        <w:fldChar w:fldCharType="separate"/>
      </w:r>
      <w:r w:rsidR="00C14761" w:rsidRPr="00A9434B">
        <w:rPr>
          <w:rFonts w:eastAsia="Batang"/>
        </w:rPr>
        <w:fldChar w:fldCharType="begin"/>
      </w:r>
      <w:r w:rsidR="0006613E">
        <w:rPr>
          <w:rFonts w:eastAsia="Batang"/>
        </w:rPr>
        <w:instrText xml:space="preserve"> ADDIN ZOTERO_ITEM CSL_CITATION {"citationID":"a1e92hbks1i","properties":{"formattedCitation":"(Primmer et al., 2015)","plainCitation":"(Primmer et al., 2015)","noteIndex":0},"citationItems":[{"id":24254,"uris":["http://zotero.org/groups/2352922/items/LLCPTQ6P"],"itemData":{"id":24254,"type":"article-journal","abstract":"Biodiversity conservation policies justiﬁed with science and intrinsic value arguments have produced disappointing outcomes, and the need for conservation is now being additionally justiﬁed with the concept of ecosystem services. However, little, if any empirical attention is paid to ways in which different types of ecosystem service decisions are made, to what arguments are effective in turning policy into practice and further into conservation outcomes and, in general, to how ecosystem services are governed. To close this gap, this paper identiﬁes the different modes of governance in policy implementation from biodiversity and environmental conservation literature and incorporates them in a conceptual model of ecosystem services commonly utilised at present, the cascade model. The resulting conceptual framework encompasses: (1) hierarchical governance; (2) scientiﬁc-technical governance; (3) adaptive collaborative governance; and; (4) governing strategic behaviour. This comprehensive framework provides a structure for empirical analysis of ecosystem services governance, which takes into account the people and organisations making decisions, and, in particular, the different arguments that are used when implementing policies. The framework will facilitate holistic ecosystem service analyses and support policies in generating conservation and sustainability impact.","container-title":"Ecosystem Services","DOI":"10.1016/j.ecoser.2015.05.002","ISSN":"22120416","journalAbbreviation":"Ecosystem Services","language":"en","page":"158-166","source":"DOI.org (Crossref)","title":"Governance of Ecosystem Services: A framework for empirical analysis","title-short":"Governance of Ecosystem Services","URL":"https://linkinghub.elsevier.com/retrieve/pii/S2212041615300012","volume":"16","author":[{"family":"Primmer","given":"Eeva"},{"family":"Jokinen","given":"Pekka"},{"family":"Blicharska","given":"Malgorzata"},{"family":"Barton","given":"David N."},{"family":"Bugter","given":"Rob"},{"family":"Potschin","given":"Marion"}],"accessed":{"date-parts":[["2020",6,10]]},"issued":{"date-parts":[["2015",12]]}},"label":"page"}],"schema":"https://github.com/citation-style-language/schema/raw/master/csl-citation.json"} </w:instrText>
      </w:r>
      <w:r w:rsidR="00C14761" w:rsidRPr="00A9434B">
        <w:rPr>
          <w:rFonts w:eastAsia="Batang"/>
        </w:rPr>
        <w:fldChar w:fldCharType="separate"/>
      </w:r>
      <w:r w:rsidR="00C71E80" w:rsidRPr="00A9434B">
        <w:t>(Primmer et al., 2015)</w:t>
      </w:r>
      <w:r w:rsidR="00C14761" w:rsidRPr="00A9434B">
        <w:rPr>
          <w:rFonts w:eastAsia="Batang"/>
        </w:rPr>
        <w:fldChar w:fldCharType="end"/>
      </w:r>
      <w:r w:rsidR="00C14761" w:rsidRPr="00A9434B">
        <w:rPr>
          <w:rFonts w:eastAsia="Batang"/>
        </w:rPr>
        <w:fldChar w:fldCharType="end"/>
      </w:r>
      <w:r w:rsidR="326765F3" w:rsidRPr="00A9434B">
        <w:rPr>
          <w:rFonts w:eastAsia="Batang"/>
        </w:rPr>
        <w:t>.</w:t>
      </w:r>
      <w:r>
        <w:t xml:space="preserve"> Biological invasions policy is relevant and necessary at all levels of governance, and specification of those levels is useful, if not essential, in strategic planning and decision-making </w:t>
      </w:r>
      <w:r w:rsidR="00C14761" w:rsidRPr="00A9434B">
        <w:rPr>
          <w:rFonts w:eastAsia="Batang"/>
        </w:rPr>
        <w:fldChar w:fldCharType="begin"/>
      </w:r>
      <w:r w:rsidR="0006613E">
        <w:rPr>
          <w:rFonts w:eastAsia="Batang"/>
        </w:rPr>
        <w:instrText xml:space="preserve"> ADDIN ZOTERO_ITEM CSL_CITATION {"citationID":"a1lv487le8","properties":{"formattedCitation":"(Lescrauwaet et al., 2015)","plainCitation":"(Lescrauwaet et al., 2015)","noteIndex":0},"citationItems":[{"id":53505,"uris":["http://zotero.org/groups/2352922/items/T8835Q2Q","http://zotero.org/groups/2352922/items/VCEGZDFY"],"itemData":{"id":53505,"type":"article-journal","container-title":"Management of Biological Invasions","DOI":"10.3391/mbi.2015.6.2.11","ISSN":"1989-8649","issue":"2","page":"209-213","title":"Invasive Alien Species in Belgian marine waters: an information platform and checklist for science and policy support","volume":"6","author":[{"family":"Lescrauwaet","given":"Ann-Katrien"},{"family":"Vandepitte","given":"Leen"},{"family":"Fockedey","given":"Nancy"},{"family":"De Pooter","given":"Daphnis"},{"family":"Verleye","given":"Thomas"},{"family":"Mees","given":"Jan"}],"issued":{"date-parts":[["2015",6]]}},"label":"page"}],"schema":"https://github.com/citation-style-language/schema/raw/master/csl-citation.json"} </w:instrText>
      </w:r>
      <w:r w:rsidR="00C14761" w:rsidRPr="00A9434B">
        <w:rPr>
          <w:rFonts w:eastAsia="Batang"/>
        </w:rPr>
        <w:fldChar w:fldCharType="separate"/>
      </w:r>
      <w:r w:rsidR="00C71E80" w:rsidRPr="00A9434B">
        <w:t>(Lescrauwaet et al., 2015)</w:t>
      </w:r>
      <w:r w:rsidR="00C14761" w:rsidRPr="00A9434B">
        <w:rPr>
          <w:rFonts w:eastAsia="Batang"/>
        </w:rPr>
        <w:fldChar w:fldCharType="end"/>
      </w:r>
      <w:r w:rsidR="63BEA52C" w:rsidRPr="00A9434B">
        <w:rPr>
          <w:rFonts w:eastAsia="Batang"/>
        </w:rPr>
        <w:t>.</w:t>
      </w:r>
      <w:r>
        <w:t xml:space="preserve"> Stakeholders and institutions affected by and responsible for governance for biological invasions operate across either more or less hierarchical or inclusive levels of responsibility and cooperation. At a sub-national level, there are several possible invasive alien species management institutions, such as state/province-wide management programmes (bounded by sub-national government borders), cooperative management areas (delineated by land use or ownership)</w:t>
      </w:r>
      <w:r w:rsidR="00896CEC">
        <w:t xml:space="preserve"> and</w:t>
      </w:r>
      <w:r>
        <w:t xml:space="preserve"> volunteer groups (</w:t>
      </w:r>
      <w:r w:rsidR="00BC2911" w:rsidRPr="00673554">
        <w:rPr>
          <w:rFonts w:eastAsia="Batang"/>
          <w:b/>
          <w:iCs/>
        </w:rPr>
        <w:t>Figures</w:t>
      </w:r>
      <w:r>
        <w:rPr>
          <w:b/>
        </w:rPr>
        <w:t xml:space="preserve"> 6.7 </w:t>
      </w:r>
      <w:r>
        <w:t>and</w:t>
      </w:r>
      <w:r>
        <w:rPr>
          <w:b/>
        </w:rPr>
        <w:t xml:space="preserve"> 6.8</w:t>
      </w:r>
      <w:r>
        <w:t xml:space="preserve">). </w:t>
      </w:r>
      <w:bookmarkStart w:id="191" w:name="_Hlk129687113"/>
      <w:r>
        <w:t xml:space="preserve">For example, the Landcare movement across multiple IPBES regions provides a tested option for government-supported, community-led information sharing and action, including partnerships among business, researchers, natural resource management agencies, governments, stakeholders and Indigenous Peoples and local communities, resulting in several successful cases of local implementation </w:t>
      </w:r>
      <w:r w:rsidR="00C14761" w:rsidRPr="00A9434B">
        <w:rPr>
          <w:rFonts w:eastAsia="Batang"/>
        </w:rPr>
        <w:fldChar w:fldCharType="begin"/>
      </w:r>
      <w:r w:rsidR="0006613E">
        <w:rPr>
          <w:rFonts w:eastAsia="Batang"/>
        </w:rPr>
        <w:instrText xml:space="preserve"> ADDIN ZOTERO_ITEM CSL_CITATION {"citationID":"dn0DV18Q","properties":{"formattedCitation":"(Catacutan et al., 2009; McKiernan, 2018)","plainCitation":"(Catacutan et al., 2009; McKiernan, 2018)","noteIndex":0},"citationItems":[{"id":54796,"uris":["http://zotero.org/groups/2352922/items/GHQC63E3"],"itemData":{"id":54796,"type":"report","event-place":"Nairobi, Kenya","publisher":"World Agroforestry Centre","publisher-place":"Nairobi, Kenya","title":"Landcare:Local action – global progress","URL":"http://apps.worldagroforestry.org/downloads/Publications/PDFS/B16017.pdf","author":[{"family":"Catacutan","given":"D"},{"family":"Neely","given":"C"},{"family":"Johnson","given":"M"},{"family":"Poussard","given":"H"},{"family":"Youl","given":"R"}],"accessed":{"date-parts":[["2023",3,14]]},"issued":{"date-parts":[["2009"]]}},"label":"page"},{"id":52846,"uris":["http://zotero.org/groups/2352922/items/S8J6K9IA"],"itemData":{"id":52846,"type":"article-journal","abstract":"Rural-amenity migration is changing the social and ecological compositions of landscapes globally. The in-migration of new landholders is contributing to significant biophysical changes to rural landscapes, as well as the weakening of collective awareness, knowledge and skills needed to manage natural resources. This is leading to the proliferation of environmental harm. This paper focuses on invasive plants as one such harm, detailing how collective action is developed and challenged in a rural landscape undergoing increasing property turnover and diversifying management priorities. Focusing on the role of a Landcare group, located in southern New South Wales, Australia, I explore how social capital – with a particular focus on trust and social norms – is mobilised to recruit newly arrived residents and maintain commitment among landholders to manage invasive plants. This research provides insights into how policy can better steer management interventions, particularly how to develop and maintain collective action in diversifying rural landscapes.","container-title":"Journal of Environmental Planning and Management","DOI":"10.1080/09640568.2017.1351930","ISSN":"0964-0568","issue":"8","note":"publisher: Routledge\n_eprint: https://doi.org/10.1080/09640568.2017.1351930","page":"1419-1437","source":"Taylor and Francis+NEJM","title":"Managing invasive plants in a rural-amenity landscape: the role of social capital and Landcare","title-short":"Managing invasive plants in a rural-amenity landscape","URL":"https://doi.org/10.1080/09640568.2017.1351930","volume":"61","author":[{"family":"McKiernan","given":"Shaun"}],"accessed":{"date-parts":[["2022",8,4]]},"issued":{"date-parts":[["2018",7,3]]}},"label":"page"}],"schema":"https://github.com/citation-style-language/schema/raw/master/csl-citation.json"} </w:instrText>
      </w:r>
      <w:r w:rsidR="00C14761" w:rsidRPr="00A9434B">
        <w:rPr>
          <w:rFonts w:eastAsia="Batang"/>
        </w:rPr>
        <w:fldChar w:fldCharType="separate"/>
      </w:r>
      <w:r w:rsidR="00A92887" w:rsidRPr="00A9434B">
        <w:t>(Catacutan et al., 2009; McKiernan, 2018)</w:t>
      </w:r>
      <w:r w:rsidR="00C14761" w:rsidRPr="00A9434B">
        <w:rPr>
          <w:rFonts w:eastAsia="Batang"/>
        </w:rPr>
        <w:fldChar w:fldCharType="end"/>
      </w:r>
      <w:r w:rsidR="00A92887" w:rsidRPr="00A9434B">
        <w:rPr>
          <w:rFonts w:eastAsia="Batang"/>
        </w:rPr>
        <w:t>.</w:t>
      </w:r>
      <w:r>
        <w:t xml:space="preserve"> </w:t>
      </w:r>
    </w:p>
    <w:bookmarkEnd w:id="191"/>
    <w:p w14:paraId="4CC5AAF8" w14:textId="77777777" w:rsidR="00017C04" w:rsidRDefault="00F50AF9">
      <w:pPr>
        <w:pStyle w:val="Heading5"/>
        <w:rPr>
          <w:i/>
        </w:rPr>
      </w:pPr>
      <w:r>
        <w:t>Sector governance - horizontal interactions</w:t>
      </w:r>
    </w:p>
    <w:p w14:paraId="563CCF26" w14:textId="00E5B574" w:rsidR="00017C04" w:rsidRPr="00C25E77" w:rsidRDefault="2F958343" w:rsidP="0B8DB0CC">
      <w:pPr>
        <w:spacing w:before="0"/>
        <w:rPr>
          <w:rStyle w:val="normaltextrun"/>
        </w:rPr>
      </w:pPr>
      <w:r>
        <w:t xml:space="preserve">Invasive alien species prevention and control activities, including legal and regulatory instruments for biological invasions, involve multiple institutions with global (CBD, WTO, IMO) or regional (Council of Europe) mandates and tend to be developed for and organized within key industry sectors </w:t>
      </w:r>
      <w:r w:rsidR="7952F114" w:rsidRPr="00A9434B">
        <w:rPr>
          <w:rFonts w:eastAsiaTheme="majorEastAsia"/>
        </w:rPr>
        <w:fldChar w:fldCharType="begin"/>
      </w:r>
      <w:r w:rsidR="0006613E">
        <w:rPr>
          <w:rFonts w:eastAsiaTheme="majorEastAsia"/>
        </w:rPr>
        <w:instrText xml:space="preserve"> ADDIN ZOTERO_ITEM CSL_CITATION {"citationID":"a139ahcpp7f","properties":{"formattedCitation":"(Hulme, 2020)","plainCitation":"(Hulme, 2020)","noteIndex":0},"citationItems":[{"id":56418,"uris":["http://zotero.org/groups/2352922/items/22XLFGB4","http://zotero.org/groups/2352922/items/CFXAKMXQ"],"itemData":{"id":56418,"type":"article-journal","abstract":"In the wake of the SARS-CoV-2 pandemic, the world has woken up to the importance of biosecurity and the need to manage international borders. Yet strong sectorial identities exist within biosecurity that are associated with specific international standards, individual economic interests, specific research communities, and unique stakeholder involvement. Despite considerable research addressing human, animal, plant, and environmental health, the science connections between these sectors remain quite limited. One Biosecurity aims to address these limitations at global, national, and local scales. It is an interdisciplinary approach to biosecurity policy and research that builds on the interconnections between human, animal, plant, and environmental health to effectively prevent and mitigate the impacts of invasive alien species. It provides an integrated perspective to address the many biosecurity risks that transcend the traditional boundaries of health, agriculture, and the environment. Individual invasive alien plant and animal species often have multiple impacts across sectors: as hosts of zoonotic parasites, vectors of pathogens, pests of agriculture or forestry, as well as threats to biodiversity and ecosystem function. It is time these risks were addressed in a systematic way. One Biosecurity is essential to address several major sociological and environmental challenges to biosecurity: climate change, increasing urbanisation, agricultural intensification, human global mobility, loss of technical capability as well as public resistance to pesticides and vaccines. One Biosecurity will require the bringing together of taxonomists, population biologists, modellers, economists, chemists, engineers, and social scientists to engage in a new agenda that is shaped by politics, legislation, and public perceptions.","container-title":"Emerging Topics in Life Sciences","DOI":"10.1042/ETLS20200067","ISSN":"2397-8554, 2397-8562","issue":"5","language":"en","page":"539-549","source":"DOI.org (Crossref)","title":"One Biosecurity: a unified concept to integrate human, animal, plant, and environmental health","title-short":"One Biosecurity","URL":"https://portlandpress.com/emergtoplifesci/article/4/5/539/226789/One-Biosecurity-a-unified-concept-to-integrate","volume":"4","editor":[{"family":"MacLeod","given":"Alan"},{"family":"Spence","given":"Nicola"}],"author":[{"family":"Hulme","given":"Philip E."}],"accessed":{"date-parts":[["2023",6,8]]},"issued":{"date-parts":[["2020",12,15]]}},"label":"page"}],"schema":"https://github.com/citation-style-language/schema/raw/master/csl-citation.json"} </w:instrText>
      </w:r>
      <w:r w:rsidR="7952F114" w:rsidRPr="00A9434B">
        <w:rPr>
          <w:rFonts w:eastAsiaTheme="majorEastAsia"/>
        </w:rPr>
        <w:fldChar w:fldCharType="separate"/>
      </w:r>
      <w:r w:rsidR="00C71E80" w:rsidRPr="00A9434B">
        <w:t>(Hulme, 2020)</w:t>
      </w:r>
      <w:r w:rsidR="7952F114" w:rsidRPr="00A9434B">
        <w:rPr>
          <w:rFonts w:eastAsiaTheme="majorEastAsia"/>
        </w:rPr>
        <w:fldChar w:fldCharType="end"/>
      </w:r>
      <w:r w:rsidR="326765F3" w:rsidRPr="00A9434B">
        <w:rPr>
          <w:rFonts w:eastAsiaTheme="majorEastAsia"/>
        </w:rPr>
        <w:t>.</w:t>
      </w:r>
      <w:r>
        <w:t xml:space="preserve"> As discussed further in </w:t>
      </w:r>
      <w:r w:rsidRPr="0B8DB0CC">
        <w:rPr>
          <w:b/>
          <w:bCs/>
        </w:rPr>
        <w:t>section 6.3.1</w:t>
      </w:r>
      <w:r>
        <w:t>, these sectors include environment and biodiversity, transport, trade, production systems, extraction systems</w:t>
      </w:r>
      <w:r w:rsidR="00896CEC">
        <w:t xml:space="preserve"> and</w:t>
      </w:r>
      <w:r>
        <w:t xml:space="preserve"> public health. One main limitation of the current policy regime for managing </w:t>
      </w:r>
      <w:r w:rsidR="53E0BC72">
        <w:t xml:space="preserve">biological invasions </w:t>
      </w:r>
      <w:r>
        <w:t xml:space="preserve">is the narrow sectorial focus, where legal and regulatory instruments focus only on addressing either biosafety or biodiversity issues. The need for information flows and communication across governance systems from different sectors has been identified as a major challenge that undermines the effectiveness of invasive alien species management </w:t>
      </w:r>
      <w:r w:rsidR="7952F114" w:rsidRPr="00A9434B">
        <w:rPr>
          <w:rFonts w:eastAsiaTheme="majorEastAsia"/>
        </w:rPr>
        <w:fldChar w:fldCharType="begin"/>
      </w:r>
      <w:r w:rsidR="0006613E">
        <w:rPr>
          <w:rFonts w:eastAsiaTheme="majorEastAsia"/>
        </w:rPr>
        <w:instrText xml:space="preserve"> ADDIN ZOTERO_ITEM CSL_CITATION {"citationID":"a7eps702iu","properties":{"formattedCitation":"\\uldash{(Roura-Pascual et al., 2021)}","plainCitation":"(Roura-Pascual et al., 2021)","dontUpdate":true,"noteIndex":0},"citationItems":[{"id":56593,"uris":["http://zotero.org/groups/2352922/items/KPK9SJDV","http://zotero.org/groups/2352922/items/X2LKL353","http://zotero.org/groups/2352922/items/9AZDLGMH"],"itemData":{"id":56593,"type":"article-journal","abstract":"Abstract\n            Scenario analysis has emerged as a key tool to analyze complex and uncertain future socio-ecological developments. However, currently existing global scenarios (narratives of how the world may develop) have neglected biological invasions, a major threat to biodiversity and the economy. Here, we use a novel participatory process to develop a diverse set of global biological invasion scenarios spanning a wide range of plausible global futures through to 2050. We adapted the widely used “two axes” scenario analysis approach to develop four families of four scenarios each, resulting in 16 scenarios that were later clustered into four contrasting sets of futures. Our analysis highlights that socioeconomic developments and technological innovation have the potential to shape biological invasions, in addition to well-known drivers, such as climate and human land use change and global trade. Our scenarios partially align with the shared socioeconomic pathways created by the climate change research community. Several factors that drive differences in biological invasions were underrepresented in the shared socioeconomic pathways; in particular, the implementation of biosecurity policies. We argue that including factors related to public environmental awareness and technological and trade development in global scenarios and models is essential to adequately consider biological invasions in global environmental assessments and thereby obtain a more integrative picture of future social–ecological developments.","container-title":"Sustainability Science","DOI":"10.1007/s11625-021-00963-6","ISSN":"1862-4065, 1862-4057","issue":"5","journalAbbreviation":"Sustain Sci","language":"en","page":"1637-1650","source":"DOI.org (Crossref)","title":"Alternative futures for global biological invasions","URL":"https://link.springer.com/10.1007/s11625-021-00963-6","volume":"16","author":[{"family":"Roura-Pascual","given":"Núria"},{"family":"Leung","given":"Brian"},{"family":"Rabitsch","given":"Wolfgang"},{"family":"Rutting","given":"Lucas"},{"family":"Vervoort","given":"Joost"},{"family":"Bacher","given":"Sven"},{"family":"Dullinger","given":"Stefan"},{"family":"Erb","given":"Karl-Heinz"},{"family":"Jeschke","given":"Jonathan M."},{"family":"Katsanevakis","given":"Stelios"},{"family":"Kühn","given":"Ingolf"},{"family":"Lenzner","given":"Bernd"},{"family":"Liebhold","given":"Andrew M."},{"family":"Obersteiner","given":"Michael"},{"family":"Pauchard","given":"Anibal"},{"family":"Peterson","given":"Garry D."},{"family":"Roy","given":"Helen E."},{"family":"Seebens","given":"Hanno"},{"family":"Winter","given":"Marten"},{"family":"Burgman","given":"Mark A."},{"family":"Genovesi","given":"Piero"},{"family":"Hulme","given":"Philip E."},{"family":"Keller","given":"Reuben P."},{"family":"Latombe","given":"Guillaume"},{"family":"McGeoch","given":"Melodie A."},{"family":"Ruiz","given":"Gregory M."},{"family":"Scalera","given":"Riccardo"},{"family":"Springborn","given":"Michael R."},{"family":"Von Holle","given":"Betsy"},{"family":"Essl","given":"Franz"}],"accessed":{"date-parts":[["2023",6,8]]},"issued":{"date-parts":[["2021",9]]}},"label":"page"}],"schema":"https://github.com/citation-style-language/schema/raw/master/csl-citation.json"} </w:instrText>
      </w:r>
      <w:r w:rsidR="7952F114" w:rsidRPr="00A9434B">
        <w:rPr>
          <w:rFonts w:eastAsiaTheme="majorEastAsia"/>
        </w:rPr>
        <w:fldChar w:fldCharType="separate"/>
      </w:r>
      <w:r w:rsidR="004C1D55" w:rsidRPr="00A9434B">
        <w:t>(Roura-Pascual et al., 2021</w:t>
      </w:r>
      <w:r w:rsidR="7952F114" w:rsidRPr="00A9434B">
        <w:rPr>
          <w:rFonts w:eastAsiaTheme="majorEastAsia"/>
        </w:rPr>
        <w:fldChar w:fldCharType="end"/>
      </w:r>
      <w:r w:rsidR="001416BD">
        <w:rPr>
          <w:rFonts w:eastAsiaTheme="majorEastAsia"/>
        </w:rPr>
        <w:t>;</w:t>
      </w:r>
      <w:r>
        <w:t xml:space="preserve"> </w:t>
      </w:r>
      <w:r w:rsidRPr="0B8DB0CC">
        <w:rPr>
          <w:b/>
          <w:bCs/>
        </w:rPr>
        <w:t>Chapter 5</w:t>
      </w:r>
      <w:r>
        <w:t>,</w:t>
      </w:r>
      <w:r w:rsidRPr="0B8DB0CC">
        <w:rPr>
          <w:b/>
          <w:bCs/>
        </w:rPr>
        <w:t xml:space="preserve"> section 5.6.2.2</w:t>
      </w:r>
      <w:r>
        <w:t>) and a limitation for effective horizontal integration of invasive alien species management approaches. Moreover, many of these sectors influence public policy and resources (notably production, extraction, development aid</w:t>
      </w:r>
      <w:r w:rsidR="00896CEC">
        <w:t xml:space="preserve"> and</w:t>
      </w:r>
      <w:r>
        <w:t xml:space="preserve"> health sectors), so the explicit consideration and inclusion of all sectors is critical for effective governance for biological invasions. </w:t>
      </w:r>
    </w:p>
    <w:p w14:paraId="75E3CF0D" w14:textId="77777777" w:rsidR="00017C04" w:rsidRDefault="00F50AF9">
      <w:pPr>
        <w:pStyle w:val="Heading5"/>
      </w:pPr>
      <w:r>
        <w:t>Network governance – horizontal and vertical interactions</w:t>
      </w:r>
    </w:p>
    <w:p w14:paraId="5C6D7038" w14:textId="327F9546" w:rsidR="00C14761" w:rsidRPr="00A9434B" w:rsidRDefault="00C14761" w:rsidP="00082050">
      <w:pPr>
        <w:spacing w:before="0"/>
        <w:rPr>
          <w:color w:val="000000"/>
          <w:lang w:eastAsia="en-AU"/>
        </w:rPr>
      </w:pPr>
      <w:r w:rsidRPr="00A9434B">
        <w:rPr>
          <w:rFonts w:eastAsia="Batang"/>
        </w:rPr>
        <w:t xml:space="preserve">From an analytical perspective, and with the purpose of better understanding the roles and interactions </w:t>
      </w:r>
      <w:r w:rsidR="00433213" w:rsidRPr="00A9434B">
        <w:rPr>
          <w:rFonts w:eastAsia="Batang"/>
        </w:rPr>
        <w:t xml:space="preserve">among </w:t>
      </w:r>
      <w:r w:rsidRPr="00A9434B">
        <w:rPr>
          <w:rFonts w:eastAsia="Batang"/>
        </w:rPr>
        <w:t>act</w:t>
      </w:r>
      <w:r w:rsidR="00C022B9" w:rsidRPr="00A9434B">
        <w:rPr>
          <w:rFonts w:eastAsia="Batang"/>
        </w:rPr>
        <w:t xml:space="preserve">ors, </w:t>
      </w:r>
      <w:r w:rsidR="00B57D0B" w:rsidRPr="00A9434B">
        <w:rPr>
          <w:rFonts w:eastAsia="Batang"/>
        </w:rPr>
        <w:t xml:space="preserve">scales, </w:t>
      </w:r>
      <w:r w:rsidR="00C022B9" w:rsidRPr="00A9434B">
        <w:rPr>
          <w:rFonts w:eastAsia="Batang"/>
        </w:rPr>
        <w:t>levels</w:t>
      </w:r>
      <w:r w:rsidR="00896CEC">
        <w:rPr>
          <w:rFonts w:eastAsia="Batang"/>
        </w:rPr>
        <w:t xml:space="preserve"> and</w:t>
      </w:r>
      <w:r w:rsidR="00C022B9" w:rsidRPr="00A9434B">
        <w:rPr>
          <w:rFonts w:eastAsia="Batang"/>
        </w:rPr>
        <w:t xml:space="preserve"> sectors (</w:t>
      </w:r>
      <w:r w:rsidR="00E560BA">
        <w:rPr>
          <w:b/>
          <w:iCs/>
        </w:rPr>
        <w:t>Figure 6.7</w:t>
      </w:r>
      <w:r w:rsidRPr="00A9434B">
        <w:rPr>
          <w:rFonts w:eastAsia="Batang"/>
        </w:rPr>
        <w:t xml:space="preserve">), governance systems can be </w:t>
      </w:r>
      <w:r w:rsidRPr="00A9434B">
        <w:rPr>
          <w:rFonts w:eastAsia="Batang"/>
        </w:rPr>
        <w:lastRenderedPageBreak/>
        <w:t xml:space="preserve">considered as networks </w:t>
      </w:r>
      <w:r w:rsidRPr="00A9434B">
        <w:rPr>
          <w:rFonts w:eastAsia="Batang"/>
        </w:rPr>
        <w:fldChar w:fldCharType="begin"/>
      </w:r>
      <w:r w:rsidRPr="00A9434B">
        <w:rPr>
          <w:rFonts w:eastAsia="Batang"/>
        </w:rPr>
        <w:instrText xml:space="preserve"> ADDIN EN.CITE &lt;EndNote&gt;&lt;Cite&gt;&lt;Author&gt;Provan&lt;/Author&gt;&lt;Year&gt;2008&lt;/Year&gt;&lt;RecNum&gt;49263&lt;/RecNum&gt;&lt;DisplayText&gt;(Provan and Kenis 2008, Lubell, Jasny et al. 2017)&lt;/DisplayText&gt;&lt;record&gt;&lt;rec-number&gt;49263&lt;/rec-number&gt;&lt;foreign-keys&gt;&lt;key app="EN" db-id="awx9raddr0xx2hev05rxr0z05weepwpt0fex" timestamp="1592353512"&gt;49263&lt;/key&gt;&lt;/foreign-keys&gt;&lt;ref-type name="Journal Article"&gt;17&lt;/ref-type&gt;&lt;contributors&gt;&lt;authors&gt;&lt;author&gt;Provan, Keith G&lt;/author&gt;&lt;author&gt;Kenis, Patrick&lt;/author&gt;&lt;/authors&gt;&lt;/contributors&gt;&lt;titles&gt;&lt;title&gt;Modes of network governance: Structure, management, and effectiveness&lt;/title&gt;&lt;secondary-title&gt;Journal of public administration research and theory&lt;/secondary-title&gt;&lt;/titles&gt;&lt;periodical&gt;&lt;full-title&gt;Journal of public administration research and theory&lt;/full-title&gt;&lt;/periodical&gt;&lt;pages&gt;229-252&lt;/pages&gt;&lt;volume&gt;18&lt;/volume&gt;&lt;number&gt;2&lt;/number&gt;&lt;dates&gt;&lt;year&gt;2008&lt;/year&gt;&lt;/dates&gt;&lt;isbn&gt;1053-1858&lt;/isbn&gt;&lt;urls&gt;&lt;/urls&gt;&lt;/record&gt;&lt;/Cite&gt;&lt;Cite&gt;&lt;Author&gt;Lubell&lt;/Author&gt;&lt;Year&gt;2017&lt;/Year&gt;&lt;RecNum&gt;15&lt;/RecNum&gt;&lt;record&gt;&lt;rec-number&gt;27&lt;/rec-number&gt;&lt;foreign-keys&gt;&lt;key app="EN" db-id="0d55paxdcvwpebe55d1vrz5ne2pattprarta" timestamp="1597992733"&gt;27&lt;/key&gt;&lt;/foreign-keys&gt;&lt;ref-type name="Journal Article"&gt;17&lt;/ref-type&gt;&lt;contributors&gt;&lt;authors&gt;&lt;author&gt;Lubell, Mark&lt;/author&gt;&lt;author&gt;Jasny, Lorien&lt;/author&gt;&lt;author&gt;Hastings, Alan&lt;/author&gt;&lt;/authors&gt;&lt;/contributors&gt;&lt;titles&gt;&lt;title&gt;Network Governance for Invasive Species Management&lt;/title&gt;&lt;secondary-title&gt;Conservation Letters&lt;/secondary-title&gt;&lt;/titles&gt;&lt;periodical&gt;&lt;full-title&gt;Conservation Letters&lt;/full-title&gt;&lt;/periodical&gt;&lt;pages&gt;699-707&lt;/pages&gt;&lt;volume&gt;10&lt;/volume&gt;&lt;number&gt;6&lt;/number&gt;&lt;dates&gt;&lt;year&gt;2017&lt;/year&gt;&lt;pub-dates&gt;&lt;date&gt;Nov-Dec&lt;/date&gt;&lt;/pub-dates&gt;&lt;/dates&gt;&lt;isbn&gt;1755-263X&lt;/isbn&gt;&lt;accession-num&gt;WOS:000417917800006&lt;/accession-num&gt;&lt;urls&gt;&lt;related-urls&gt;&lt;url&gt;&amp;lt;Go to ISI&amp;gt;://WOS:000417917800006&lt;/url&gt;&lt;/related-urls&gt;&lt;/urls&gt;&lt;electronic-resource-num&gt;10.1111/conl.12311&lt;/electronic-resource-num&gt;&lt;/record&gt;&lt;/Cite&gt;&lt;/EndNote&gt;</w:instrText>
      </w:r>
      <w:r w:rsidRPr="00A9434B">
        <w:rPr>
          <w:rFonts w:eastAsia="Batang"/>
        </w:rPr>
        <w:fldChar w:fldCharType="separate"/>
      </w:r>
      <w:r w:rsidR="0031315A" w:rsidRPr="00A9434B">
        <w:rPr>
          <w:rFonts w:eastAsia="Batang"/>
        </w:rPr>
        <w:fldChar w:fldCharType="begin"/>
      </w:r>
      <w:r w:rsidR="0006613E">
        <w:rPr>
          <w:rFonts w:eastAsia="Batang"/>
        </w:rPr>
        <w:instrText xml:space="preserve"> ADDIN ZOTERO_ITEM CSL_CITATION {"citationID":"a18r4fcc73r","properties":{"formattedCitation":"\\uldash{(Lubell et al., 2017; Provan &amp; Kenis, 2008)}","plainCitation":"(Lubell et al., 2017; Provan &amp; Kenis, 2008)","dontUpdate":true,"noteIndex":0},"citationItems":[{"id":29543,"uris":["http://zotero.org/groups/2352922/items/ZEAPGNJU"],"itemData":{"id":29543,"type":"article-journal","container-title":"Conservation Letters","DOI":"10.1111/conl.12311","ISSN":"1755-263X, 1755-263X","issue":"6","journalAbbreviation":"CONSERVATION LETTERS","language":"en","page":"699-707","source":"DOI.org (Crossref)","title":"Network Governance for Invasive Species Management","URL":"https://onlinelibrary.wiley.com/doi/10.1111/conl.12311","volume":"10","author":[{"family":"Lubell","given":"Mark"},{"family":"Jasny","given":"Lorien"},{"family":"Hastings","given":"Alan"}],"accessed":{"date-parts":[["2021",8,3]]},"issued":{"date-parts":[["2017",11]]}},"label":"page"},{"id":29989,"uris":["http://zotero.org/groups/2352922/items/IB9YPPAS"],"itemData":{"id":29989,"type":"article-journal","abstract":"This article examines the governance of organizational networks and the impact of governance on network effectiveness. Three basic models, or forms, of network governance are developed focusing on their distinct structural properties. Propositions are formulated examining conditions for the effectiveness of each form. The tensions inherent in each form are then discussed, followed by the role that management may play in addressing these tensions. Finally, the evolution of governance is explored.","container-title":"Journal of Public Administration Research and Theory","DOI":"10.1093/jopart/mum015","ISSN":"1053-1858","issue":"2","journalAbbreviation":"Journal of Public Administration Research and Theory","page":"229-252","source":"Silverchair","title":"Modes of Network Governance: Structure, Management, and Effectiveness","title-short":"Modes of Network Governance","URL":"https://doi.org/10.1093/jopart/mum015","volume":"18","author":[{"family":"Provan","given":"Keith G."},{"family":"Kenis","given":"Patrick"}],"accessed":{"date-parts":[["2021",8,3]]},"issued":{"date-parts":[["2008",4,1]]}},"label":"page"}],"schema":"https://github.com/citation-style-language/schema/raw/master/csl-citation.json"} </w:instrText>
      </w:r>
      <w:r w:rsidR="0031315A" w:rsidRPr="00A9434B">
        <w:rPr>
          <w:rFonts w:eastAsia="Batang"/>
        </w:rPr>
        <w:fldChar w:fldCharType="separate"/>
      </w:r>
      <w:r w:rsidR="004C1D55" w:rsidRPr="00A9434B">
        <w:t>(Lubell et al., 2017; Provan &amp; Kenis, 2008</w:t>
      </w:r>
      <w:r w:rsidR="0031315A" w:rsidRPr="00A9434B">
        <w:rPr>
          <w:rFonts w:eastAsia="Batang"/>
        </w:rPr>
        <w:fldChar w:fldCharType="end"/>
      </w:r>
      <w:r w:rsidRPr="00A9434B">
        <w:rPr>
          <w:rFonts w:eastAsia="Batang"/>
        </w:rPr>
        <w:fldChar w:fldCharType="end"/>
      </w:r>
      <w:r w:rsidR="00982C0D" w:rsidRPr="00A9434B">
        <w:rPr>
          <w:rFonts w:eastAsia="Batang"/>
        </w:rPr>
        <w:t>;</w:t>
      </w:r>
      <w:r w:rsidR="00AE025D" w:rsidRPr="00A9434B">
        <w:rPr>
          <w:rFonts w:eastAsia="Batang"/>
        </w:rPr>
        <w:t xml:space="preserve"> </w:t>
      </w:r>
      <w:r w:rsidR="00CB08B6">
        <w:rPr>
          <w:rFonts w:eastAsia="Batang"/>
          <w:b/>
          <w:iCs/>
        </w:rPr>
        <w:t>C</w:t>
      </w:r>
      <w:r w:rsidR="00AE025D" w:rsidRPr="00673554">
        <w:rPr>
          <w:rFonts w:eastAsia="Batang"/>
          <w:b/>
          <w:iCs/>
        </w:rPr>
        <w:t>hapter 5</w:t>
      </w:r>
      <w:r w:rsidR="00AE025D" w:rsidRPr="00673554">
        <w:rPr>
          <w:rFonts w:eastAsia="Batang"/>
          <w:iCs/>
        </w:rPr>
        <w:t>,</w:t>
      </w:r>
      <w:r w:rsidR="00AE025D" w:rsidRPr="00673554">
        <w:rPr>
          <w:rFonts w:eastAsia="Batang"/>
          <w:b/>
          <w:iCs/>
        </w:rPr>
        <w:t xml:space="preserve"> section </w:t>
      </w:r>
      <w:r w:rsidR="00F14525" w:rsidRPr="00673554">
        <w:rPr>
          <w:rFonts w:eastAsia="Batang"/>
          <w:b/>
          <w:iCs/>
        </w:rPr>
        <w:t>5.6.3.1</w:t>
      </w:r>
      <w:r w:rsidR="00AE025D" w:rsidRPr="00A9434B">
        <w:rPr>
          <w:rFonts w:eastAsia="Batang"/>
        </w:rPr>
        <w:t>)</w:t>
      </w:r>
      <w:r w:rsidRPr="00A9434B">
        <w:rPr>
          <w:rFonts w:eastAsia="Batang"/>
        </w:rPr>
        <w:t xml:space="preserve">. </w:t>
      </w:r>
      <w:r w:rsidR="00F54F51" w:rsidRPr="00A9434B">
        <w:rPr>
          <w:rFonts w:eastAsia="Batang"/>
        </w:rPr>
        <w:t xml:space="preserve">Networks are a useful way to jointly consider </w:t>
      </w:r>
      <w:r w:rsidR="00955CC4" w:rsidRPr="00A9434B">
        <w:rPr>
          <w:rFonts w:eastAsia="Batang"/>
        </w:rPr>
        <w:t>the scales, levels</w:t>
      </w:r>
      <w:r w:rsidR="00896CEC">
        <w:rPr>
          <w:rFonts w:eastAsia="Batang"/>
        </w:rPr>
        <w:t xml:space="preserve"> and</w:t>
      </w:r>
      <w:r w:rsidR="00955CC4" w:rsidRPr="00A9434B">
        <w:rPr>
          <w:rFonts w:eastAsia="Batang"/>
        </w:rPr>
        <w:t xml:space="preserve"> sectors outlined above. </w:t>
      </w:r>
      <w:r w:rsidRPr="00A9434B">
        <w:rPr>
          <w:rFonts w:eastAsia="Batang"/>
        </w:rPr>
        <w:t xml:space="preserve">For example, the multiple relationship links between stakeholders needed to manage aquatic invasions in rivers in </w:t>
      </w:r>
      <w:r w:rsidR="00E560BA" w:rsidRPr="00E560BA">
        <w:rPr>
          <w:b/>
          <w:iCs/>
        </w:rPr>
        <w:t>Figure 6.8</w:t>
      </w:r>
      <w:r w:rsidR="00E560BA">
        <w:rPr>
          <w:bCs/>
          <w:iCs/>
        </w:rPr>
        <w:t xml:space="preserve"> </w:t>
      </w:r>
      <w:r w:rsidRPr="00A9434B">
        <w:rPr>
          <w:rFonts w:eastAsia="Batang"/>
        </w:rPr>
        <w:t xml:space="preserve">can be viewed and as a network to better understand the strengths, </w:t>
      </w:r>
      <w:r w:rsidR="00760049" w:rsidRPr="00A9434B">
        <w:rPr>
          <w:rFonts w:eastAsia="Batang"/>
        </w:rPr>
        <w:t>weaknesses</w:t>
      </w:r>
      <w:r w:rsidR="00896CEC">
        <w:rPr>
          <w:rFonts w:eastAsia="Batang"/>
        </w:rPr>
        <w:t xml:space="preserve"> and</w:t>
      </w:r>
      <w:r w:rsidRPr="00A9434B">
        <w:rPr>
          <w:rFonts w:eastAsia="Batang"/>
        </w:rPr>
        <w:t xml:space="preserve"> gaps in </w:t>
      </w:r>
      <w:r w:rsidRPr="00A9434B">
        <w:rPr>
          <w:rStyle w:val="normaltextrun"/>
          <w:rFonts w:eastAsiaTheme="majorEastAsia"/>
          <w:color w:val="000000"/>
          <w:shd w:val="clear" w:color="auto" w:fill="FFFFFF"/>
        </w:rPr>
        <w:t xml:space="preserve">governance </w:t>
      </w:r>
      <w:r w:rsidR="000A7DC2" w:rsidRPr="00A9434B">
        <w:rPr>
          <w:rStyle w:val="normaltextrun"/>
          <w:rFonts w:eastAsiaTheme="majorEastAsia"/>
          <w:color w:val="000000"/>
          <w:shd w:val="clear" w:color="auto" w:fill="FFFFFF"/>
        </w:rPr>
        <w:t>for biological invasions</w:t>
      </w:r>
      <w:r w:rsidRPr="00A9434B">
        <w:rPr>
          <w:rFonts w:eastAsia="Batang"/>
        </w:rPr>
        <w:t xml:space="preserve"> in this freshwater context. A network approach is useful for understanding the roles and contributions of stakeholders and institutions </w:t>
      </w:r>
      <w:r w:rsidR="537C4DE6" w:rsidRPr="00A9434B">
        <w:rPr>
          <w:rFonts w:eastAsia="Batang"/>
        </w:rPr>
        <w:t xml:space="preserve">for </w:t>
      </w:r>
      <w:r w:rsidRPr="00A9434B">
        <w:rPr>
          <w:rFonts w:eastAsia="Batang"/>
        </w:rPr>
        <w:t xml:space="preserve">cooperation and </w:t>
      </w:r>
      <w:r w:rsidR="4FAEF632" w:rsidRPr="00A9434B">
        <w:rPr>
          <w:rFonts w:eastAsia="Batang"/>
        </w:rPr>
        <w:t xml:space="preserve">for </w:t>
      </w:r>
      <w:r w:rsidRPr="00A9434B">
        <w:rPr>
          <w:rFonts w:eastAsia="Batang"/>
        </w:rPr>
        <w:t>strengthen</w:t>
      </w:r>
      <w:r w:rsidR="58351CB3" w:rsidRPr="00A9434B">
        <w:rPr>
          <w:rFonts w:eastAsia="Batang"/>
        </w:rPr>
        <w:t>ing</w:t>
      </w:r>
      <w:r w:rsidRPr="00A9434B">
        <w:rPr>
          <w:rFonts w:eastAsia="Batang"/>
        </w:rPr>
        <w:t xml:space="preserve"> the effectiveness of working relationship</w:t>
      </w:r>
      <w:r w:rsidR="66A06751" w:rsidRPr="00A9434B">
        <w:rPr>
          <w:rFonts w:eastAsia="Batang"/>
        </w:rPr>
        <w:t>s</w:t>
      </w:r>
      <w:r w:rsidRPr="00A9434B">
        <w:rPr>
          <w:rFonts w:eastAsia="Batang"/>
        </w:rPr>
        <w:t xml:space="preserve"> </w:t>
      </w:r>
      <w:r w:rsidRPr="00A9434B">
        <w:rPr>
          <w:rFonts w:eastAsia="Batang"/>
        </w:rPr>
        <w:fldChar w:fldCharType="begin"/>
      </w:r>
      <w:r w:rsidRPr="00A9434B">
        <w:rPr>
          <w:rFonts w:eastAsia="Batang"/>
        </w:rPr>
        <w:instrText xml:space="preserve"> ADDIN EN.CITE &lt;EndNote&gt;&lt;Cite&gt;&lt;Author&gt;VanNijnatten&lt;/Author&gt;&lt;Year&gt;2016&lt;/Year&gt;&lt;RecNum&gt;50281&lt;/RecNum&gt;&lt;DisplayText&gt;(Moon, Blackman et al. 2015, VanNijnatten 2016)&lt;/DisplayText&gt;&lt;record&gt;&lt;rec-number&gt;50281&lt;/rec-number&gt;&lt;foreign-keys&gt;&lt;key app="EN" db-id="awx9raddr0xx2hev05rxr0z05weepwpt0fex" timestamp="1594857251"&gt;50281&lt;/key&gt;&lt;/foreign-keys&gt;&lt;ref-type name="Journal Article"&gt;17&lt;/ref-type&gt;&lt;contributors&gt;&lt;authors&gt;&lt;author&gt;VanNijnatten, Debora L&lt;/author&gt;&lt;/authors&gt;&lt;/contributors&gt;&lt;titles&gt;&lt;title&gt;The aquatic invasion: Assembling transboundary governance capacity for prevention and detection&lt;/title&gt;&lt;secondary-title&gt;International Journal of Water Governance (Special issue on ‘‘Assessing Adaptive Transboundary Governance Capacity in the Great Lakes Basin’’)&lt;/secondary-title&gt;&lt;/titles&gt;&lt;periodical&gt;&lt;full-title&gt;International Journal of Water Governance (Special issue on ‘‘Assessing Adaptive Transboundary Governance Capacity in the Great Lakes Basin’’)&lt;/full-title&gt;&lt;/periodical&gt;&lt;pages&gt;91-110&lt;/pages&gt;&lt;volume&gt;4&lt;/volume&gt;&lt;number&gt;1&lt;/number&gt;&lt;dates&gt;&lt;year&gt;2016&lt;/year&gt;&lt;/dates&gt;&lt;urls&gt;&lt;/urls&gt;&lt;/record&gt;&lt;/Cite&gt;&lt;Cite&gt;&lt;Author&gt;Moon&lt;/Author&gt;&lt;Year&gt;2015&lt;/Year&gt;&lt;RecNum&gt;50373&lt;/RecNum&gt;&lt;record&gt;&lt;rec-number&gt;50373&lt;/rec-number&gt;&lt;foreign-keys&gt;&lt;key app="EN" db-id="awx9raddr0xx2hev05rxr0z05weepwpt0fex" timestamp="1594857752"&gt;50373&lt;/key&gt;&lt;/foreign-keys&gt;&lt;ref-type name="Journal Article"&gt;17&lt;/ref-type&gt;&lt;contributors&gt;&lt;authors&gt;&lt;author&gt;Moon, Katie&lt;/author&gt;&lt;author&gt;Blackman, Deborah A&lt;/author&gt;&lt;author&gt;Brewer, Tom D&lt;/author&gt;&lt;/authors&gt;&lt;/contributors&gt;&lt;titles&gt;&lt;title&gt;Understanding and integrating knowledge to improve invasive species management&lt;/title&gt;&lt;secondary-title&gt;Biological Invasions&lt;/secondary-title&gt;&lt;/titles&gt;&lt;periodical&gt;&lt;full-title&gt;Biological Invasions&lt;/full-title&gt;&lt;abbr-1&gt;Biol. Invasions&lt;/abbr-1&gt;&lt;abbr-2&gt;Biol Invasions&lt;/abbr-2&gt;&lt;/periodical&gt;&lt;pages&gt;2675-2689&lt;/pages&gt;&lt;volume&gt;17&lt;/volume&gt;&lt;number&gt;9&lt;/number&gt;&lt;dates&gt;&lt;year&gt;2015&lt;/year&gt;&lt;/dates&gt;&lt;isbn&gt;1387-3547&lt;/isbn&gt;&lt;urls&gt;&lt;/urls&gt;&lt;/record&gt;&lt;/Cite&gt;&lt;/EndNote&gt;</w:instrText>
      </w:r>
      <w:r w:rsidRPr="00A9434B">
        <w:rPr>
          <w:rFonts w:eastAsia="Batang"/>
        </w:rPr>
        <w:fldChar w:fldCharType="separate"/>
      </w:r>
      <w:r w:rsidR="0031315A" w:rsidRPr="00A9434B">
        <w:rPr>
          <w:rFonts w:eastAsia="Batang"/>
        </w:rPr>
        <w:fldChar w:fldCharType="begin"/>
      </w:r>
      <w:r w:rsidR="0006613E">
        <w:rPr>
          <w:rFonts w:eastAsia="Batang"/>
        </w:rPr>
        <w:instrText xml:space="preserve"> ADDIN ZOTERO_ITEM CSL_CITATION {"citationID":"amg3krj2hn","properties":{"formattedCitation":"(Moon et al., 2015; VanNijnatten, 2016)","plainCitation":"(Moon et al., 2015; VanNijnatten, 2016)","noteIndex":0},"citationItems":[{"id":11438,"uris":["http://zotero.org/groups/2352922/items/P5EALT95"],"itemData":{"id":11438,"type":"article-journal","container-title":"Biological Invasions","DOI":"10.1007/s10530-015-0904-5","ISSN":"1387-3547, 1573-1464","issue":"9","journalAbbreviation":"Biol Invasions","language":"en","page":"2675-2689","source":"DOI.org (Crossref)","title":"Understanding and integrating knowledge to improve invasive species management","URL":"http://link.springer.com/10.1007/s10530-015-0904-5","volume":"17","author":[{"family":"Moon","given":"Katie"},{"family":"Blackman","given":"Deborah A."},{"family":"Brewer","given":"Tom D."}],"accessed":{"date-parts":[["2019",9,11]]},"issued":{"date-parts":[["2015",9]]}}},{"id":11468,"uris":["http://zotero.org/groups/2352922/items/2Z5U8XMI"],"itemData":{"id":11468,"type":"article-journal","container-title":"International Journal of Water Governance","DOI":"10.7564/15-ijwg84","ISSN":"2211-4491","issue":"6","page":"91–110","title":"The Aquatic Invasion: Assembling Transboundary Governance Capacity for Prevention and Detection","URL":"https://journals.open.tudelft.nl/ijwg/article/view/5849","volume":"4","author":[{"family":"VanNijnatten","given":"Debora L."}],"issued":{"date-parts":[["2016"]]}}}],"schema":"https://github.com/citation-style-language/schema/raw/master/csl-citation.json"} </w:instrText>
      </w:r>
      <w:r w:rsidR="0031315A" w:rsidRPr="00A9434B">
        <w:rPr>
          <w:rFonts w:eastAsia="Batang"/>
        </w:rPr>
        <w:fldChar w:fldCharType="separate"/>
      </w:r>
      <w:r w:rsidR="00C71E80" w:rsidRPr="00A9434B">
        <w:t>(Moon et al., 2015; VanNijnatten, 2016)</w:t>
      </w:r>
      <w:r w:rsidR="0031315A" w:rsidRPr="00A9434B">
        <w:rPr>
          <w:rFonts w:eastAsia="Batang"/>
        </w:rPr>
        <w:fldChar w:fldCharType="end"/>
      </w:r>
      <w:r w:rsidRPr="00A9434B">
        <w:rPr>
          <w:rFonts w:eastAsia="Batang"/>
        </w:rPr>
        <w:fldChar w:fldCharType="end"/>
      </w:r>
      <w:r w:rsidRPr="00A9434B">
        <w:rPr>
          <w:rFonts w:eastAsia="Batang"/>
        </w:rPr>
        <w:t xml:space="preserve">. A network view of </w:t>
      </w:r>
      <w:r w:rsidRPr="00A9434B">
        <w:rPr>
          <w:rStyle w:val="normaltextrun"/>
          <w:rFonts w:eastAsiaTheme="majorEastAsia"/>
          <w:color w:val="000000"/>
          <w:shd w:val="clear" w:color="auto" w:fill="FFFFFF"/>
        </w:rPr>
        <w:t>governance</w:t>
      </w:r>
      <w:r w:rsidR="000A7DC2" w:rsidRPr="00A9434B">
        <w:rPr>
          <w:rStyle w:val="normaltextrun"/>
          <w:rFonts w:eastAsiaTheme="majorEastAsia"/>
          <w:color w:val="000000"/>
          <w:shd w:val="clear" w:color="auto" w:fill="FFFFFF"/>
        </w:rPr>
        <w:t xml:space="preserve"> for biological invasions</w:t>
      </w:r>
      <w:r w:rsidRPr="00A9434B">
        <w:rPr>
          <w:rFonts w:eastAsia="Batang"/>
        </w:rPr>
        <w:t xml:space="preserve"> encompasses the concept of polycentric governance (one with multiple centres of power in decision-making) that has been identified as a successful and complementary model for inclusive governance </w:t>
      </w:r>
      <w:r w:rsidR="008C4602" w:rsidRPr="00A9434B">
        <w:rPr>
          <w:rFonts w:eastAsia="Batang"/>
        </w:rPr>
        <w:t>for biological invasions</w:t>
      </w:r>
      <w:r w:rsidRPr="00A9434B">
        <w:rPr>
          <w:rFonts w:eastAsia="Batang"/>
        </w:rPr>
        <w:t xml:space="preserve"> </w:t>
      </w:r>
      <w:r w:rsidRPr="00A9434B">
        <w:rPr>
          <w:rFonts w:eastAsia="Batang"/>
        </w:rPr>
        <w:fldChar w:fldCharType="begin">
          <w:fldData xml:space="preserve">PEVuZE5vdGU+PENpdGU+PEF1dGhvcj5NYXJzaGFsbDwvQXV0aG9yPjxZZWFyPjIwMTY8L1llYXI+
PFJlY051bT40OTA4NDwvUmVjTnVtPjxEaXNwbGF5VGV4dD4oTWFyc2hhbGwsIENvbGVtYW4gZXQg
YWwuIDIwMTYsIFZhYXMsIERyaWVzc2VuIGV0IGFsLiAyMDE3KTwvRGlzcGxheVRleHQ+PHJlY29y
ZD48cmVjLW51bWJlcj40OTA4NDwvcmVjLW51bWJlcj48Zm9yZWlnbi1rZXlzPjxrZXkgYXBwPSJF
TiIgZGItaWQ9ImF3eDlyYWRkcjB4eDJoZXYwNXJ4cjB6MDV3ZWVwd3B0MGZleCIgdGltZXN0YW1w
PSIxNTgxNDk3MzIwIj40OTA4NDwva2V5PjwvZm9yZWlnbi1rZXlzPjxyZWYtdHlwZSBuYW1lPSJK
b3VybmFsIEFydGljbGUiPjE3PC9yZWYtdHlwZT48Y29udHJpYnV0b3JzPjxhdXRob3JzPjxhdXRo
b3I+TWFyc2hhbGwsIEdyYWhhbSBSLjwvYXV0aG9yPjxhdXRob3I+Q29sZW1hbiwgTWljaGFlbCBK
LjwvYXV0aG9yPjxhdXRob3I+U2luZGVsLCBCcmlhbiBNLjwvYXV0aG9yPjxhdXRob3I+UmVldmUs
IElhbiBKLjwvYXV0aG9yPjxhdXRob3I+QmVybmV5LCBQZXRlciBKLjwvYXV0aG9yPjwvYXV0aG9y
cz48L2NvbnRyaWJ1dG9ycz48dGl0bGVzPjx0aXRsZT5Db2xsZWN0aXZlIGFjdGlvbiBpbiBpbnZh
c2l2ZSBzcGVjaWVzIGNvbnRyb2wsIGFuZCBwcm9zcGVjdHMgZm9yIGNvbW11bml0eS1iYXNlZCBn
b3Zlcm5hbmNlOiBUaGUgY2FzZSBvZiBzZXJyYXRlZCB0dXNzb2NrIChOYXNzZWxsYSB0cmljaG90
b21hKSBpbiBOZXcgU291dGggV2FsZXMsIEF1c3RyYWxpYTwvdGl0bGU+PHNlY29uZGFyeS10aXRs
ZT5MYW5kIFVzZSBQb2xpY3k8L3NlY29uZGFyeS10aXRsZT48L3RpdGxlcz48cGVyaW9kaWNhbD48
ZnVsbC10aXRsZT5MYW5kIFVzZSBQb2xpY3k8L2Z1bGwtdGl0bGU+PC9wZXJpb2RpY2FsPjxwYWdl
cz4xMDAtMTExPC9wYWdlcz48dm9sdW1lPjU2PC92b2x1bWU+PGRhdGVzPjx5ZWFyPjIwMTY8L3ll
YXI+PHB1Yi1kYXRlcz48ZGF0ZT5Ob3Y8L2RhdGU+PC9wdWItZGF0ZXM+PC9kYXRlcz48aXNibj4w
MjY0LTgzNzc8L2lzYm4+PGFjY2Vzc2lvbi1udW0+V09TOjAwMDM3OTU1NzAwMDAxMTwvYWNjZXNz
aW9uLW51bT48dXJscz48cmVsYXRlZC11cmxzPjx1cmw+Jmx0O0dvIHRvIElTSSZndDs6Ly9XT1M6
MDAwMzc5NTU3MDAwMDExPC91cmw+PC9yZWxhdGVkLXVybHM+PC91cmxzPjxlbGVjdHJvbmljLXJl
c291cmNlLW51bT4xMC4xMDE2L2oubGFuZHVzZXBvbC4yMDE2LjA0LjAyODwvZWxlY3Ryb25pYy1y
ZXNvdXJjZS1udW0+PC9yZWNvcmQ+PC9DaXRlPjxDaXRlPjxBdXRob3I+VmFhczwvQXV0aG9yPjxZ
ZWFyPjIwMTc8L1llYXI+PFJlY051bT40OTA3NjwvUmVjTnVtPjxyZWNvcmQ+PHJlYy1udW1iZXI+
NDkwNzY8L3JlYy1udW1iZXI+PGZvcmVpZ24ta2V5cz48a2V5IGFwcD0iRU4iIGRiLWlkPSJhd3g5
cmFkZHIweHgyaGV2MDVyeHIwejA1d2VlcHdwdDBmZXgiIHRpbWVzdGFtcD0iMTU4MTQ5NzMyMCI+
NDkwNzY8L2tleT48L2ZvcmVpZ24ta2V5cz48cmVmLXR5cGUgbmFtZT0iSm91cm5hbCBBcnRpY2xl
Ij4xNzwvcmVmLXR5cGU+PGNvbnRyaWJ1dG9ycz48YXV0aG9ycz48YXV0aG9yPlZhYXMsIEpldHNr
ZTwvYXV0aG9yPjxhdXRob3I+RHJpZXNzZW4sIFBldGVyIFAuIEouPC9hdXRob3I+PGF1dGhvcj5H
aWV6ZW4sIE1lbmRlbDwvYXV0aG9yPjxhdXRob3I+dmFuIExhZXJob3ZlbiwgRnJhbms8L2F1dGhv
cj48YXV0aG9yPldhc3NlbiwgTWFydGluIEouPC9hdXRob3I+PC9hdXRob3JzPjwvY29udHJpYnV0
b3JzPjx0aXRsZXM+PHRpdGxlPldobyZhcG9zO3MgaW4gY2hhcmdlIGhlcmUgYW55d2F5PyBQb2x5
Y2VudHJpYyBnb3Zlcm5hbmNlIGNvbmZpZ3VyYXRpb25zIGFuZCB0aGUgZGV2ZWxvcG1lbnQgb2Yg
cG9saWN5IG9uIGludmFzaXZlIGFsaWVuIHNwZWNpZXMgaW4gdGhlIHNlbWlzb3ZlcmVpZ24gQ2Fy
aWJiZWFuPC90aXRsZT48c2Vjb25kYXJ5LXRpdGxlPkVjb2xvZ3kgYW5kIFNvY2lldHk8L3NlY29u
ZGFyeS10aXRsZT48L3RpdGxlcz48cGVyaW9kaWNhbD48ZnVsbC10aXRsZT5FY29sb2d5IGFuZCBT
b2NpZXR5PC9mdWxsLXRpdGxlPjxhYmJyLTE+RWNvbC4gU29jLjwvYWJici0xPjxhYmJyLTI+RWNv
bCBTb2M8L2FiYnItMj48L3BlcmlvZGljYWw+PHZvbHVtZT4yMjwvdm9sdW1lPjxudW1iZXI+NDwv
bnVtYmVyPjxkYXRlcz48eWVhcj4yMDE3PC95ZWFyPjxwdWItZGF0ZXM+PGRhdGU+MjAxNzwvZGF0
ZT48L3B1Yi1kYXRlcz48L2RhdGVzPjxpc2JuPjE3MDgtMzA4NzwvaXNibj48YWNjZXNzaW9uLW51
bT5XT1M6MDAwNDE5MzUxMDAwMDAzPC9hY2Nlc3Npb24tbnVtPjx1cmxzPjxyZWxhdGVkLXVybHM+
PHVybD4mbHQ7R28gdG8gSVNJJmd0OzovL1dPUzowMDA0MTkzNTEwMDAwMDM8L3VybD48L3JlbGF0
ZWQtdXJscz48L3VybHM+PGN1c3RvbTc+MTwvY3VzdG9tNz48ZWxlY3Ryb25pYy1yZXNvdXJjZS1u
dW0+MTAuNTc1MS9lcy0wOTQ4Ny0yMjA0MDE8L2VsZWN0cm9uaWMtcmVzb3VyY2UtbnVtPjwvcmVj
b3JkPjwvQ2l0ZT48L0VuZE5vdGU+AG==
</w:fldData>
        </w:fldChar>
      </w:r>
      <w:r w:rsidRPr="00A9434B">
        <w:rPr>
          <w:rFonts w:eastAsia="Batang"/>
        </w:rPr>
        <w:instrText xml:space="preserve"> ADDIN EN.CITE </w:instrText>
      </w:r>
      <w:r w:rsidRPr="00A9434B">
        <w:rPr>
          <w:rFonts w:eastAsia="Batang"/>
        </w:rPr>
        <w:fldChar w:fldCharType="begin">
          <w:fldData xml:space="preserve">PEVuZE5vdGU+PENpdGU+PEF1dGhvcj5NYXJzaGFsbDwvQXV0aG9yPjxZZWFyPjIwMTY8L1llYXI+
PFJlY051bT40OTA4NDwvUmVjTnVtPjxEaXNwbGF5VGV4dD4oTWFyc2hhbGwsIENvbGVtYW4gZXQg
YWwuIDIwMTYsIFZhYXMsIERyaWVzc2VuIGV0IGFsLiAyMDE3KTwvRGlzcGxheVRleHQ+PHJlY29y
ZD48cmVjLW51bWJlcj40OTA4NDwvcmVjLW51bWJlcj48Zm9yZWlnbi1rZXlzPjxrZXkgYXBwPSJF
TiIgZGItaWQ9ImF3eDlyYWRkcjB4eDJoZXYwNXJ4cjB6MDV3ZWVwd3B0MGZleCIgdGltZXN0YW1w
PSIxNTgxNDk3MzIwIj40OTA4NDwva2V5PjwvZm9yZWlnbi1rZXlzPjxyZWYtdHlwZSBuYW1lPSJK
b3VybmFsIEFydGljbGUiPjE3PC9yZWYtdHlwZT48Y29udHJpYnV0b3JzPjxhdXRob3JzPjxhdXRo
b3I+TWFyc2hhbGwsIEdyYWhhbSBSLjwvYXV0aG9yPjxhdXRob3I+Q29sZW1hbiwgTWljaGFlbCBK
LjwvYXV0aG9yPjxhdXRob3I+U2luZGVsLCBCcmlhbiBNLjwvYXV0aG9yPjxhdXRob3I+UmVldmUs
IElhbiBKLjwvYXV0aG9yPjxhdXRob3I+QmVybmV5LCBQZXRlciBKLjwvYXV0aG9yPjwvYXV0aG9y
cz48L2NvbnRyaWJ1dG9ycz48dGl0bGVzPjx0aXRsZT5Db2xsZWN0aXZlIGFjdGlvbiBpbiBpbnZh
c2l2ZSBzcGVjaWVzIGNvbnRyb2wsIGFuZCBwcm9zcGVjdHMgZm9yIGNvbW11bml0eS1iYXNlZCBn
b3Zlcm5hbmNlOiBUaGUgY2FzZSBvZiBzZXJyYXRlZCB0dXNzb2NrIChOYXNzZWxsYSB0cmljaG90
b21hKSBpbiBOZXcgU291dGggV2FsZXMsIEF1c3RyYWxpYTwvdGl0bGU+PHNlY29uZGFyeS10aXRs
ZT5MYW5kIFVzZSBQb2xpY3k8L3NlY29uZGFyeS10aXRsZT48L3RpdGxlcz48cGVyaW9kaWNhbD48
ZnVsbC10aXRsZT5MYW5kIFVzZSBQb2xpY3k8L2Z1bGwtdGl0bGU+PC9wZXJpb2RpY2FsPjxwYWdl
cz4xMDAtMTExPC9wYWdlcz48dm9sdW1lPjU2PC92b2x1bWU+PGRhdGVzPjx5ZWFyPjIwMTY8L3ll
YXI+PHB1Yi1kYXRlcz48ZGF0ZT5Ob3Y8L2RhdGU+PC9wdWItZGF0ZXM+PC9kYXRlcz48aXNibj4w
MjY0LTgzNzc8L2lzYm4+PGFjY2Vzc2lvbi1udW0+V09TOjAwMDM3OTU1NzAwMDAxMTwvYWNjZXNz
aW9uLW51bT48dXJscz48cmVsYXRlZC11cmxzPjx1cmw+Jmx0O0dvIHRvIElTSSZndDs6Ly9XT1M6
MDAwMzc5NTU3MDAwMDExPC91cmw+PC9yZWxhdGVkLXVybHM+PC91cmxzPjxlbGVjdHJvbmljLXJl
c291cmNlLW51bT4xMC4xMDE2L2oubGFuZHVzZXBvbC4yMDE2LjA0LjAyODwvZWxlY3Ryb25pYy1y
ZXNvdXJjZS1udW0+PC9yZWNvcmQ+PC9DaXRlPjxDaXRlPjxBdXRob3I+VmFhczwvQXV0aG9yPjxZ
ZWFyPjIwMTc8L1llYXI+PFJlY051bT40OTA3NjwvUmVjTnVtPjxyZWNvcmQ+PHJlYy1udW1iZXI+
NDkwNzY8L3JlYy1udW1iZXI+PGZvcmVpZ24ta2V5cz48a2V5IGFwcD0iRU4iIGRiLWlkPSJhd3g5
cmFkZHIweHgyaGV2MDVyeHIwejA1d2VlcHdwdDBmZXgiIHRpbWVzdGFtcD0iMTU4MTQ5NzMyMCI+
NDkwNzY8L2tleT48L2ZvcmVpZ24ta2V5cz48cmVmLXR5cGUgbmFtZT0iSm91cm5hbCBBcnRpY2xl
Ij4xNzwvcmVmLXR5cGU+PGNvbnRyaWJ1dG9ycz48YXV0aG9ycz48YXV0aG9yPlZhYXMsIEpldHNr
ZTwvYXV0aG9yPjxhdXRob3I+RHJpZXNzZW4sIFBldGVyIFAuIEouPC9hdXRob3I+PGF1dGhvcj5H
aWV6ZW4sIE1lbmRlbDwvYXV0aG9yPjxhdXRob3I+dmFuIExhZXJob3ZlbiwgRnJhbms8L2F1dGhv
cj48YXV0aG9yPldhc3NlbiwgTWFydGluIEouPC9hdXRob3I+PC9hdXRob3JzPjwvY29udHJpYnV0
b3JzPjx0aXRsZXM+PHRpdGxlPldobyZhcG9zO3MgaW4gY2hhcmdlIGhlcmUgYW55d2F5PyBQb2x5
Y2VudHJpYyBnb3Zlcm5hbmNlIGNvbmZpZ3VyYXRpb25zIGFuZCB0aGUgZGV2ZWxvcG1lbnQgb2Yg
cG9saWN5IG9uIGludmFzaXZlIGFsaWVuIHNwZWNpZXMgaW4gdGhlIHNlbWlzb3ZlcmVpZ24gQ2Fy
aWJiZWFuPC90aXRsZT48c2Vjb25kYXJ5LXRpdGxlPkVjb2xvZ3kgYW5kIFNvY2lldHk8L3NlY29u
ZGFyeS10aXRsZT48L3RpdGxlcz48cGVyaW9kaWNhbD48ZnVsbC10aXRsZT5FY29sb2d5IGFuZCBT
b2NpZXR5PC9mdWxsLXRpdGxlPjxhYmJyLTE+RWNvbC4gU29jLjwvYWJici0xPjxhYmJyLTI+RWNv
bCBTb2M8L2FiYnItMj48L3BlcmlvZGljYWw+PHZvbHVtZT4yMjwvdm9sdW1lPjxudW1iZXI+NDwv
bnVtYmVyPjxkYXRlcz48eWVhcj4yMDE3PC95ZWFyPjxwdWItZGF0ZXM+PGRhdGU+MjAxNzwvZGF0
ZT48L3B1Yi1kYXRlcz48L2RhdGVzPjxpc2JuPjE3MDgtMzA4NzwvaXNibj48YWNjZXNzaW9uLW51
bT5XT1M6MDAwNDE5MzUxMDAwMDAzPC9hY2Nlc3Npb24tbnVtPjx1cmxzPjxyZWxhdGVkLXVybHM+
PHVybD4mbHQ7R28gdG8gSVNJJmd0OzovL1dPUzowMDA0MTkzNTEwMDAwMDM8L3VybD48L3JlbGF0
ZWQtdXJscz48L3VybHM+PGN1c3RvbTc+MTwvY3VzdG9tNz48ZWxlY3Ryb25pYy1yZXNvdXJjZS1u
dW0+MTAuNTc1MS9lcy0wOTQ4Ny0yMjA0MDE8L2VsZWN0cm9uaWMtcmVzb3VyY2UtbnVtPjwvcmVj
b3JkPjwvQ2l0ZT48L0VuZE5vdGU+AG==
</w:fldData>
        </w:fldChar>
      </w:r>
      <w:r w:rsidRPr="00A9434B">
        <w:rPr>
          <w:rFonts w:eastAsia="Batang"/>
        </w:rPr>
        <w:instrText xml:space="preserve"> ADDIN EN.CITE.DATA </w:instrText>
      </w:r>
      <w:r w:rsidRPr="00A9434B">
        <w:rPr>
          <w:rFonts w:eastAsia="Batang"/>
        </w:rPr>
      </w:r>
      <w:r w:rsidRPr="00A9434B">
        <w:rPr>
          <w:rFonts w:eastAsia="Batang"/>
        </w:rPr>
        <w:fldChar w:fldCharType="end"/>
      </w:r>
      <w:r w:rsidRPr="00A9434B">
        <w:rPr>
          <w:rFonts w:eastAsia="Batang"/>
        </w:rPr>
      </w:r>
      <w:r w:rsidRPr="00A9434B">
        <w:rPr>
          <w:rFonts w:eastAsia="Batang"/>
        </w:rPr>
        <w:fldChar w:fldCharType="separate"/>
      </w:r>
      <w:r w:rsidR="0031315A" w:rsidRPr="00A9434B">
        <w:rPr>
          <w:rFonts w:eastAsia="Batang"/>
        </w:rPr>
        <w:fldChar w:fldCharType="begin"/>
      </w:r>
      <w:r w:rsidR="0006613E">
        <w:rPr>
          <w:rFonts w:eastAsia="Batang"/>
        </w:rPr>
        <w:instrText xml:space="preserve"> ADDIN ZOTERO_ITEM CSL_CITATION {"citationID":"a729m3pg4d","properties":{"formattedCitation":"(Marshall et al., 2016; Vaas et al., 2017)","plainCitation":"(Marshall et al., 2016; Vaas et al., 2017)","noteIndex":0},"citationItems":[{"id":10010,"uris":["http://zotero.org/groups/2352922/items/MZTX9XFJ"],"itemData":{"id":10010,"type":"article-journal","abstract":"Responsibility for solving collective action problems in invasive species control has conventionally been assigned to government. The large continuing costs arising from invasive species demonstrate the limitations of government-centred (monocentric) approaches to governance in this domain, and indicate a need for polycentric alternatives which complement government capacities with those of landholders and their community organisations. We sought to add to existing knowledge about collective action problems for invasive species management, and to explore the potential for community-based, polycentric approaches to improve management in this domain, through workshops and a survey of landholders regarding the weed serrated tussock (Nassella trichotoma) in two regions of New South Wales, Australia. Serrated tussock threatens the private interests of a substantial proportion of landholders in the two regions. Private landholders recognise how management of this weed on their own properties poses a collective action problem, where success is dependent on the diligent control efforts of neighbouring private and public landholders. They are more likely to consider issues relating to horizontal social capital (e.g. relationships with public and private neighbours) as barriers to effective serrated tussock control on their own property, than issues relating to information and education about this species. Community-based approaches to this weed have the potential to improve its management across the landscape, and a great majority of private landholders appear willing to participate in such a program. Such an approach will require the active participation of public land managers, continued coercion of non-cooperative landholders, and can be developed from the foundation of existing institutional arrangements for land management, taking into account unique regional relationships and characteristics. It should complement and build on, rather than replace existing legislative, research, and extension approaches.","container-title":"Land Use Policy","DOI":"10.1016/j.landusepol.2016.04.028","ISSN":"0264-8377","journalAbbreviation":"Land Use Policy","language":"en","page":"100-111","title":"Collective action in invasive species control, and prospects for community-based governance: The case of serrated tussock (&lt;i&gt;Nassella trichotoma&lt;/i&gt;) in New South Wales, Australia","title-short":"Collective action in invasive species control, and prospects for community-based governance","URL":"https://linkinghub.elsevier.com/retrieve/pii/S0264837715301745","volume":"56","author":[{"family":"Marshall","given":"Graham R."},{"family":"Coleman","given":"Michael J."},{"family":"Sindel","given":"Brian M."},{"family":"Reeve","given":"Ian J."},{"family":"Berney","given":"Peter J."}],"issued":{"date-parts":[["2016",11]]}},"label":"page"},{"id":11426,"uris":["http://zotero.org/groups/2352922/items/I2E6MVQB"],"itemData":{"id":11426,"type":"article-journal","abstract":"We address the development of policy by polycentric governance configurations, taking Caribbean overseas territories and their advancements on invasive alien species (IAS) policy as an example. The British, Dutch, and French islands in the Caribbean address this matter to different degrees, which we analyzed through differences in their type of polycentric governance configuration with their respective European counterpart. We employ a continuum ranging from predominantly polycentric to predominantly monocentric governance configurations to characterize the three case studies. Based on semistructured interviews with government actors, park managers, and NGO employees on Anguilla, Guadeloupe, and St. Eustatius, plus a literature study, we characterize St. Eustatius as highly polycentric and Guadeloupe as becoming increasingly polycentric. Anguilla cannot be considered either of the two, given the virtually absent involvement of the UK. Policy development on IAS showed most progress in Guadeloupe, whereas in Anguilla and St. Eustatius, IAS management is ad hoc. Within these cases, the hampering effect of dispute about the functioning of the configuration was clear. For Guadeloupe, increasing autonomy to decide on policy priorities within a coherent system where standards are set and ample resources made available appears conducive to policy development. That same balance inherent to polycentric systems between autonomy and coherence is hard to strike for St. Eustatius, and currently mainly perceived as a trade-off, hampering policy development. By discussing these three cases, this study illustrates how different polycentric configurations can affect policy development.","container-title":"Ecology and Society","DOI":"10.5751/ES-09487-220401","ISSN":"1708-3087","issue":"4","journalAbbreviation":"E&amp;S","language":"en","page":"1","source":"DOI.org (Crossref)","title":"Who's in charge here anyway? Polycentric governance configurations and the development of policy on invasive alien species in the semisovereign Caribbean","title-short":"Who's in charge here anyway?","URL":"https://www.ecologyandsociety.org/vol22/iss4/art1/","volume":"22","author":[{"family":"Vaas","given":"Jetske"},{"family":"Driessen","given":"Peter P. J."},{"family":"Giezen","given":"Mendel"},{"family":"Laerhoven","given":"Frank","non-dropping-particle":"van"},{"family":"Wassen","given":"Martin J."}],"accessed":{"date-parts":[["2019",11,6]]},"issued":{"date-parts":[["2017"]]}},"label":"page"}],"schema":"https://github.com/citation-style-language/schema/raw/master/csl-citation.json"} </w:instrText>
      </w:r>
      <w:r w:rsidR="0031315A" w:rsidRPr="00A9434B">
        <w:rPr>
          <w:rFonts w:eastAsia="Batang"/>
        </w:rPr>
        <w:fldChar w:fldCharType="separate"/>
      </w:r>
      <w:r w:rsidR="00C71E80" w:rsidRPr="00A9434B">
        <w:t>(Marshall et al., 2016; Vaas et al., 2017)</w:t>
      </w:r>
      <w:r w:rsidR="0031315A" w:rsidRPr="00A9434B">
        <w:rPr>
          <w:rFonts w:eastAsia="Batang"/>
        </w:rPr>
        <w:fldChar w:fldCharType="end"/>
      </w:r>
      <w:r w:rsidRPr="00A9434B">
        <w:rPr>
          <w:rFonts w:eastAsia="Batang"/>
        </w:rPr>
        <w:fldChar w:fldCharType="end"/>
      </w:r>
      <w:r w:rsidRPr="00A9434B">
        <w:rPr>
          <w:rFonts w:eastAsia="Batang"/>
        </w:rPr>
        <w:t xml:space="preserve">. Some of the advantages of polycentric governance include </w:t>
      </w:r>
      <w:r w:rsidRPr="00A9434B">
        <w:rPr>
          <w:color w:val="000000"/>
          <w:lang w:eastAsia="en-AU"/>
        </w:rPr>
        <w:t xml:space="preserve">better information generation and flow within and across actors (nodes) in the network compared to monocentric governance, as well as short social and physical distances between interacting nodes </w:t>
      </w:r>
      <w:r w:rsidRPr="00A9434B">
        <w:rPr>
          <w:color w:val="000000"/>
          <w:lang w:eastAsia="en-AU"/>
        </w:rPr>
        <w:fldChar w:fldCharType="begin">
          <w:fldData xml:space="preserve">PEVuZE5vdGU+PENpdGU+PEF1dGhvcj5Db29rPC9BdXRob3I+PFllYXI+MjAxNDwvWWVhcj48UmVj
TnVtPjQ5MTMwPC9SZWNOdW0+PERpc3BsYXlUZXh0PihDb29rLCBMaXUgZXQgYWwuIDIwMTAsIENv
b2ssIEtyaXN0ZW5zZW4gZXQgYWwuIDIwMTQsIFZhYXMsIERyaWVzc2VuIGV0IGFsLiAyMDE3KTwv
RGlzcGxheVRleHQ+PHJlY29yZD48cmVjLW51bWJlcj40OTEzMDwvcmVjLW51bWJlcj48Zm9yZWln
bi1rZXlzPjxrZXkgYXBwPSJFTiIgZGItaWQ9ImF3eDlyYWRkcjB4eDJoZXYwNXJ4cjB6MDV3ZWVw
d3B0MGZleCIgdGltZXN0YW1wPSIxNTgxNDk3MzIwIj40OTEzMDwva2V5PjwvZm9yZWlnbi1rZXlz
PjxyZWYtdHlwZSBuYW1lPSJKb3VybmFsIEFydGljbGUiPjE3PC9yZWYtdHlwZT48Y29udHJpYnV0
b3JzPjxhdXRob3JzPjxhdXRob3I+Q29vaywgRGF2aWQgQy48L2F1dGhvcj48YXV0aG9yPktyaXN0
ZW5zZW4sIE5hZGlhaCBQLjwvYXV0aG9yPjxhdXRob3I+TGl1LCBTaHVhbmc8L2F1dGhvcj48YXV0
aG9yPlBhaW5pLCBEZWFuIFIuPC9hdXRob3I+PGF1dGhvcj5LZXJyLCBQZXRlciBKLjwvYXV0aG9y
PjxhdXRob3I+U2hlcHBhcmQsIEFuZHkgVy48L2F1dGhvcj48YXV0aG9yPkxvbnNkYWxlLCBXLiBN
YXJrPC9hdXRob3I+PGF1dGhvcj5NY0FsbGlzdGVyLCBSeWFuIFIuIEouPC9hdXRob3I+PGF1dGhv
cj5EZSBCYXJybywgUGF1bCBKLjwvYXV0aG9yPjwvYXV0aG9ycz48L2NvbnRyaWJ1dG9ycz48dGl0
bGVzPjx0aXRsZT5QbGFudCBiaW9zZWN1cml0eSBwb2xpY3ktbWFraW5nIG1vZGVsbGVkIG9uIHRo
ZSBodW1hbiBpbW11bmUgc3lzdGVtOiBXaGF0IHdvdWxkIGl0IGxvb2sgbGlrZT88L3RpdGxlPjxz
ZWNvbmRhcnktdGl0bGU+RW52aXJvbm1lbnRhbCBTY2llbmNlICZhbXA7IFBvbGljeTwvc2Vjb25k
YXJ5LXRpdGxlPjwvdGl0bGVzPjxwZXJpb2RpY2FsPjxmdWxsLXRpdGxlPkVudmlyb25tZW50YWwg
U2NpZW5jZSAmYW1wOyBQb2xpY3k8L2Z1bGwtdGl0bGU+PC9wZXJpb2RpY2FsPjxwYWdlcz4xLTEw
PC9wYWdlcz48dm9sdW1lPjQxPC92b2x1bWU+PGRhdGVzPjx5ZWFyPjIwMTQ8L3llYXI+PHB1Yi1k
YXRlcz48ZGF0ZT5BdWc8L2RhdGU+PC9wdWItZGF0ZXM+PC9kYXRlcz48aXNibj4xNDYyLTkwMTE8
L2lzYm4+PGFjY2Vzc2lvbi1udW0+V09TOjAwMDMzODgyNjEwMDAwMTwvYWNjZXNzaW9uLW51bT48
dXJscz48cmVsYXRlZC11cmxzPjx1cmw+Jmx0O0dvIHRvIElTSSZndDs6Ly9XT1M6MDAwMzM4ODI2
MTAwMDAxPC91cmw+PC9yZWxhdGVkLXVybHM+PC91cmxzPjxlbGVjdHJvbmljLXJlc291cmNlLW51
bT4xMC4xMDE2L2ouZW52c2NpLjIwMTQuMDQuMDA3PC9lbGVjdHJvbmljLXJlc291cmNlLW51bT48
L3JlY29yZD48L0NpdGU+PENpdGU+PEF1dGhvcj5Db29rPC9BdXRob3I+PFllYXI+MjAxMDwvWWVh
cj48UmVjTnVtPjQ5MTcwPC9SZWNOdW0+PHJlY29yZD48cmVjLW51bWJlcj40OTE3MDwvcmVjLW51
bWJlcj48Zm9yZWlnbi1rZXlzPjxrZXkgYXBwPSJFTiIgZGItaWQ9ImF3eDlyYWRkcjB4eDJoZXYw
NXJ4cjB6MDV3ZWVwd3B0MGZleCIgdGltZXN0YW1wPSIxNTgxNDk3MzIwIj40OTE3MDwva2V5Pjwv
Zm9yZWlnbi1rZXlzPjxyZWYtdHlwZSBuYW1lPSJKb3VybmFsIEFydGljbGUiPjE3PC9yZWYtdHlw
ZT48Y29udHJpYnV0b3JzPjxhdXRob3JzPjxhdXRob3I+Q29vaywgRGF2aWQgQy48L2F1dGhvcj48
YXV0aG9yPkxpdSwgU2h1YW5nPC9hdXRob3I+PGF1dGhvcj5NdXJwaHksIEJyZW5kYW48L2F1dGhv
cj48YXV0aG9yPkxvbnNkYWxlLCBXLiBNYXJrPC9hdXRob3I+PC9hdXRob3JzPjwvY29udHJpYnV0
b3JzPjx0aXRsZXM+PHRpdGxlPkFkYXB0aXZlIEFwcHJvYWNoZXMgdG8gQmlvc2VjdXJpdHkgR292
ZXJuYW5jZTwvdGl0bGU+PHNlY29uZGFyeS10aXRsZT5SaXNrIEFuYWx5c2lzPC9zZWNvbmRhcnkt
dGl0bGU+PC90aXRsZXM+PHBlcmlvZGljYWw+PGZ1bGwtdGl0bGU+UmlzayBBbmFseXNpczwvZnVs
bC10aXRsZT48YWJici0xPlJpc2sgQW5hbC48L2FiYnItMT48YWJici0yPlJpc2sgQW5hbDwvYWJi
ci0yPjwvcGVyaW9kaWNhbD48cGFnZXM+MTMwMy0xMzE0PC9wYWdlcz48dm9sdW1lPjMwPC92b2x1
bWU+PG51bWJlcj45PC9udW1iZXI+PGRhdGVzPjx5ZWFyPjIwMTA8L3llYXI+PHB1Yi1kYXRlcz48
ZGF0ZT5TZXA8L2RhdGU+PC9wdWItZGF0ZXM+PC9kYXRlcz48aXNibj4wMjcyLTQzMzI8L2lzYm4+
PGFjY2Vzc2lvbi1udW0+V09TOjAwMDI4MTgzNDYwMDAwMjwvYWNjZXNzaW9uLW51bT48dXJscz48
cmVsYXRlZC11cmxzPjx1cmw+Jmx0O0dvIHRvIElTSSZndDs6Ly9XT1M6MDAwMjgxODM0NjAwMDAy
PC91cmw+PC9yZWxhdGVkLXVybHM+PC91cmxzPjxlbGVjdHJvbmljLXJlc291cmNlLW51bT4xMC4x
MTExL2ouMTUzOS02OTI0LjIwMTAuMDE0MzkueDwvZWxlY3Ryb25pYy1yZXNvdXJjZS1udW0+PC9y
ZWNvcmQ+PC9DaXRlPjxDaXRlPjxBdXRob3I+VmFhczwvQXV0aG9yPjxZZWFyPjIwMTc8L1llYXI+
PFJlY051bT40OTA3NjwvUmVjTnVtPjxyZWNvcmQ+PHJlYy1udW1iZXI+NDkwNzY8L3JlYy1udW1i
ZXI+PGZvcmVpZ24ta2V5cz48a2V5IGFwcD0iRU4iIGRiLWlkPSJhd3g5cmFkZHIweHgyaGV2MDVy
eHIwejA1d2VlcHdwdDBmZXgiIHRpbWVzdGFtcD0iMTU4MTQ5NzMyMCI+NDkwNzY8L2tleT48L2Zv
cmVpZ24ta2V5cz48cmVmLXR5cGUgbmFtZT0iSm91cm5hbCBBcnRpY2xlIj4xNzwvcmVmLXR5cGU+
PGNvbnRyaWJ1dG9ycz48YXV0aG9ycz48YXV0aG9yPlZhYXMsIEpldHNrZTwvYXV0aG9yPjxhdXRo
b3I+RHJpZXNzZW4sIFBldGVyIFAuIEouPC9hdXRob3I+PGF1dGhvcj5HaWV6ZW4sIE1lbmRlbDwv
YXV0aG9yPjxhdXRob3I+dmFuIExhZXJob3ZlbiwgRnJhbms8L2F1dGhvcj48YXV0aG9yPldhc3Nl
biwgTWFydGluIEouPC9hdXRob3I+PC9hdXRob3JzPjwvY29udHJpYnV0b3JzPjx0aXRsZXM+PHRp
dGxlPldobyZhcG9zO3MgaW4gY2hhcmdlIGhlcmUgYW55d2F5PyBQb2x5Y2VudHJpYyBnb3Zlcm5h
bmNlIGNvbmZpZ3VyYXRpb25zIGFuZCB0aGUgZGV2ZWxvcG1lbnQgb2YgcG9saWN5IG9uIGludmFz
aXZlIGFsaWVuIHNwZWNpZXMgaW4gdGhlIHNlbWlzb3ZlcmVpZ24gQ2FyaWJiZWFuPC90aXRsZT48
c2Vjb25kYXJ5LXRpdGxlPkVjb2xvZ3kgYW5kIFNvY2lldHk8L3NlY29uZGFyeS10aXRsZT48L3Rp
dGxlcz48cGVyaW9kaWNhbD48ZnVsbC10aXRsZT5FY29sb2d5IGFuZCBTb2NpZXR5PC9mdWxsLXRp
dGxlPjxhYmJyLTE+RWNvbC4gU29jLjwvYWJici0xPjxhYmJyLTI+RWNvbCBTb2M8L2FiYnItMj48
L3BlcmlvZGljYWw+PHZvbHVtZT4yMjwvdm9sdW1lPjxudW1iZXI+NDwvbnVtYmVyPjxkYXRlcz48
eWVhcj4yMDE3PC95ZWFyPjxwdWItZGF0ZXM+PGRhdGU+MjAxNzwvZGF0ZT48L3B1Yi1kYXRlcz48
L2RhdGVzPjxpc2JuPjE3MDgtMzA4NzwvaXNibj48YWNjZXNzaW9uLW51bT5XT1M6MDAwNDE5MzUx
MDAwMDAzPC9hY2Nlc3Npb24tbnVtPjx1cmxzPjxyZWxhdGVkLXVybHM+PHVybD4mbHQ7R28gdG8g
SVNJJmd0OzovL1dPUzowMDA0MTkzNTEwMDAwMDM8L3VybD48L3JlbGF0ZWQtdXJscz48L3VybHM+
PGN1c3RvbTc+MTwvY3VzdG9tNz48ZWxlY3Ryb25pYy1yZXNvdXJjZS1udW0+MTAuNTc1MS9lcy0w
OTQ4Ny0yMjA0MDE8L2VsZWN0cm9uaWMtcmVzb3VyY2UtbnVtPjwvcmVjb3JkPjwvQ2l0ZT48L0Vu
ZE5vdGU+AG==
</w:fldData>
        </w:fldChar>
      </w:r>
      <w:r w:rsidRPr="00A9434B">
        <w:rPr>
          <w:color w:val="000000"/>
          <w:lang w:eastAsia="en-AU"/>
        </w:rPr>
        <w:instrText xml:space="preserve"> ADDIN EN.CITE </w:instrText>
      </w:r>
      <w:r w:rsidRPr="00A9434B">
        <w:rPr>
          <w:color w:val="000000"/>
          <w:lang w:eastAsia="en-AU"/>
        </w:rPr>
        <w:fldChar w:fldCharType="begin">
          <w:fldData xml:space="preserve">PEVuZE5vdGU+PENpdGU+PEF1dGhvcj5Db29rPC9BdXRob3I+PFllYXI+MjAxNDwvWWVhcj48UmVj
TnVtPjQ5MTMwPC9SZWNOdW0+PERpc3BsYXlUZXh0PihDb29rLCBMaXUgZXQgYWwuIDIwMTAsIENv
b2ssIEtyaXN0ZW5zZW4gZXQgYWwuIDIwMTQsIFZhYXMsIERyaWVzc2VuIGV0IGFsLiAyMDE3KTwv
RGlzcGxheVRleHQ+PHJlY29yZD48cmVjLW51bWJlcj40OTEzMDwvcmVjLW51bWJlcj48Zm9yZWln
bi1rZXlzPjxrZXkgYXBwPSJFTiIgZGItaWQ9ImF3eDlyYWRkcjB4eDJoZXYwNXJ4cjB6MDV3ZWVw
d3B0MGZleCIgdGltZXN0YW1wPSIxNTgxNDk3MzIwIj40OTEzMDwva2V5PjwvZm9yZWlnbi1rZXlz
PjxyZWYtdHlwZSBuYW1lPSJKb3VybmFsIEFydGljbGUiPjE3PC9yZWYtdHlwZT48Y29udHJpYnV0
b3JzPjxhdXRob3JzPjxhdXRob3I+Q29vaywgRGF2aWQgQy48L2F1dGhvcj48YXV0aG9yPktyaXN0
ZW5zZW4sIE5hZGlhaCBQLjwvYXV0aG9yPjxhdXRob3I+TGl1LCBTaHVhbmc8L2F1dGhvcj48YXV0
aG9yPlBhaW5pLCBEZWFuIFIuPC9hdXRob3I+PGF1dGhvcj5LZXJyLCBQZXRlciBKLjwvYXV0aG9y
PjxhdXRob3I+U2hlcHBhcmQsIEFuZHkgVy48L2F1dGhvcj48YXV0aG9yPkxvbnNkYWxlLCBXLiBN
YXJrPC9hdXRob3I+PGF1dGhvcj5NY0FsbGlzdGVyLCBSeWFuIFIuIEouPC9hdXRob3I+PGF1dGhv
cj5EZSBCYXJybywgUGF1bCBKLjwvYXV0aG9yPjwvYXV0aG9ycz48L2NvbnRyaWJ1dG9ycz48dGl0
bGVzPjx0aXRsZT5QbGFudCBiaW9zZWN1cml0eSBwb2xpY3ktbWFraW5nIG1vZGVsbGVkIG9uIHRo
ZSBodW1hbiBpbW11bmUgc3lzdGVtOiBXaGF0IHdvdWxkIGl0IGxvb2sgbGlrZT88L3RpdGxlPjxz
ZWNvbmRhcnktdGl0bGU+RW52aXJvbm1lbnRhbCBTY2llbmNlICZhbXA7IFBvbGljeTwvc2Vjb25k
YXJ5LXRpdGxlPjwvdGl0bGVzPjxwZXJpb2RpY2FsPjxmdWxsLXRpdGxlPkVudmlyb25tZW50YWwg
U2NpZW5jZSAmYW1wOyBQb2xpY3k8L2Z1bGwtdGl0bGU+PC9wZXJpb2RpY2FsPjxwYWdlcz4xLTEw
PC9wYWdlcz48dm9sdW1lPjQxPC92b2x1bWU+PGRhdGVzPjx5ZWFyPjIwMTQ8L3llYXI+PHB1Yi1k
YXRlcz48ZGF0ZT5BdWc8L2RhdGU+PC9wdWItZGF0ZXM+PC9kYXRlcz48aXNibj4xNDYyLTkwMTE8
L2lzYm4+PGFjY2Vzc2lvbi1udW0+V09TOjAwMDMzODgyNjEwMDAwMTwvYWNjZXNzaW9uLW51bT48
dXJscz48cmVsYXRlZC11cmxzPjx1cmw+Jmx0O0dvIHRvIElTSSZndDs6Ly9XT1M6MDAwMzM4ODI2
MTAwMDAxPC91cmw+PC9yZWxhdGVkLXVybHM+PC91cmxzPjxlbGVjdHJvbmljLXJlc291cmNlLW51
bT4xMC4xMDE2L2ouZW52c2NpLjIwMTQuMDQuMDA3PC9lbGVjdHJvbmljLXJlc291cmNlLW51bT48
L3JlY29yZD48L0NpdGU+PENpdGU+PEF1dGhvcj5Db29rPC9BdXRob3I+PFllYXI+MjAxMDwvWWVh
cj48UmVjTnVtPjQ5MTcwPC9SZWNOdW0+PHJlY29yZD48cmVjLW51bWJlcj40OTE3MDwvcmVjLW51
bWJlcj48Zm9yZWlnbi1rZXlzPjxrZXkgYXBwPSJFTiIgZGItaWQ9ImF3eDlyYWRkcjB4eDJoZXYw
NXJ4cjB6MDV3ZWVwd3B0MGZleCIgdGltZXN0YW1wPSIxNTgxNDk3MzIwIj40OTE3MDwva2V5Pjwv
Zm9yZWlnbi1rZXlzPjxyZWYtdHlwZSBuYW1lPSJKb3VybmFsIEFydGljbGUiPjE3PC9yZWYtdHlw
ZT48Y29udHJpYnV0b3JzPjxhdXRob3JzPjxhdXRob3I+Q29vaywgRGF2aWQgQy48L2F1dGhvcj48
YXV0aG9yPkxpdSwgU2h1YW5nPC9hdXRob3I+PGF1dGhvcj5NdXJwaHksIEJyZW5kYW48L2F1dGhv
cj48YXV0aG9yPkxvbnNkYWxlLCBXLiBNYXJrPC9hdXRob3I+PC9hdXRob3JzPjwvY29udHJpYnV0
b3JzPjx0aXRsZXM+PHRpdGxlPkFkYXB0aXZlIEFwcHJvYWNoZXMgdG8gQmlvc2VjdXJpdHkgR292
ZXJuYW5jZTwvdGl0bGU+PHNlY29uZGFyeS10aXRsZT5SaXNrIEFuYWx5c2lzPC9zZWNvbmRhcnkt
dGl0bGU+PC90aXRsZXM+PHBlcmlvZGljYWw+PGZ1bGwtdGl0bGU+UmlzayBBbmFseXNpczwvZnVs
bC10aXRsZT48YWJici0xPlJpc2sgQW5hbC48L2FiYnItMT48YWJici0yPlJpc2sgQW5hbDwvYWJi
ci0yPjwvcGVyaW9kaWNhbD48cGFnZXM+MTMwMy0xMzE0PC9wYWdlcz48dm9sdW1lPjMwPC92b2x1
bWU+PG51bWJlcj45PC9udW1iZXI+PGRhdGVzPjx5ZWFyPjIwMTA8L3llYXI+PHB1Yi1kYXRlcz48
ZGF0ZT5TZXA8L2RhdGU+PC9wdWItZGF0ZXM+PC9kYXRlcz48aXNibj4wMjcyLTQzMzI8L2lzYm4+
PGFjY2Vzc2lvbi1udW0+V09TOjAwMDI4MTgzNDYwMDAwMjwvYWNjZXNzaW9uLW51bT48dXJscz48
cmVsYXRlZC11cmxzPjx1cmw+Jmx0O0dvIHRvIElTSSZndDs6Ly9XT1M6MDAwMjgxODM0NjAwMDAy
PC91cmw+PC9yZWxhdGVkLXVybHM+PC91cmxzPjxlbGVjdHJvbmljLXJlc291cmNlLW51bT4xMC4x
MTExL2ouMTUzOS02OTI0LjIwMTAuMDE0MzkueDwvZWxlY3Ryb25pYy1yZXNvdXJjZS1udW0+PC9y
ZWNvcmQ+PC9DaXRlPjxDaXRlPjxBdXRob3I+VmFhczwvQXV0aG9yPjxZZWFyPjIwMTc8L1llYXI+
PFJlY051bT40OTA3NjwvUmVjTnVtPjxyZWNvcmQ+PHJlYy1udW1iZXI+NDkwNzY8L3JlYy1udW1i
ZXI+PGZvcmVpZ24ta2V5cz48a2V5IGFwcD0iRU4iIGRiLWlkPSJhd3g5cmFkZHIweHgyaGV2MDVy
eHIwejA1d2VlcHdwdDBmZXgiIHRpbWVzdGFtcD0iMTU4MTQ5NzMyMCI+NDkwNzY8L2tleT48L2Zv
cmVpZ24ta2V5cz48cmVmLXR5cGUgbmFtZT0iSm91cm5hbCBBcnRpY2xlIj4xNzwvcmVmLXR5cGU+
PGNvbnRyaWJ1dG9ycz48YXV0aG9ycz48YXV0aG9yPlZhYXMsIEpldHNrZTwvYXV0aG9yPjxhdXRo
b3I+RHJpZXNzZW4sIFBldGVyIFAuIEouPC9hdXRob3I+PGF1dGhvcj5HaWV6ZW4sIE1lbmRlbDwv
YXV0aG9yPjxhdXRob3I+dmFuIExhZXJob3ZlbiwgRnJhbms8L2F1dGhvcj48YXV0aG9yPldhc3Nl
biwgTWFydGluIEouPC9hdXRob3I+PC9hdXRob3JzPjwvY29udHJpYnV0b3JzPjx0aXRsZXM+PHRp
dGxlPldobyZhcG9zO3MgaW4gY2hhcmdlIGhlcmUgYW55d2F5PyBQb2x5Y2VudHJpYyBnb3Zlcm5h
bmNlIGNvbmZpZ3VyYXRpb25zIGFuZCB0aGUgZGV2ZWxvcG1lbnQgb2YgcG9saWN5IG9uIGludmFz
aXZlIGFsaWVuIHNwZWNpZXMgaW4gdGhlIHNlbWlzb3ZlcmVpZ24gQ2FyaWJiZWFuPC90aXRsZT48
c2Vjb25kYXJ5LXRpdGxlPkVjb2xvZ3kgYW5kIFNvY2lldHk8L3NlY29uZGFyeS10aXRsZT48L3Rp
dGxlcz48cGVyaW9kaWNhbD48ZnVsbC10aXRsZT5FY29sb2d5IGFuZCBTb2NpZXR5PC9mdWxsLXRp
dGxlPjxhYmJyLTE+RWNvbC4gU29jLjwvYWJici0xPjxhYmJyLTI+RWNvbCBTb2M8L2FiYnItMj48
L3BlcmlvZGljYWw+PHZvbHVtZT4yMjwvdm9sdW1lPjxudW1iZXI+NDwvbnVtYmVyPjxkYXRlcz48
eWVhcj4yMDE3PC95ZWFyPjxwdWItZGF0ZXM+PGRhdGU+MjAxNzwvZGF0ZT48L3B1Yi1kYXRlcz48
L2RhdGVzPjxpc2JuPjE3MDgtMzA4NzwvaXNibj48YWNjZXNzaW9uLW51bT5XT1M6MDAwNDE5MzUx
MDAwMDAzPC9hY2Nlc3Npb24tbnVtPjx1cmxzPjxyZWxhdGVkLXVybHM+PHVybD4mbHQ7R28gdG8g
SVNJJmd0OzovL1dPUzowMDA0MTkzNTEwMDAwMDM8L3VybD48L3JlbGF0ZWQtdXJscz48L3VybHM+
PGN1c3RvbTc+MTwvY3VzdG9tNz48ZWxlY3Ryb25pYy1yZXNvdXJjZS1udW0+MTAuNTc1MS9lcy0w
OTQ4Ny0yMjA0MDE8L2VsZWN0cm9uaWMtcmVzb3VyY2UtbnVtPjwvcmVjb3JkPjwvQ2l0ZT48L0Vu
ZE5vdGU+AG==
</w:fldData>
        </w:fldChar>
      </w:r>
      <w:r w:rsidRPr="00A9434B">
        <w:rPr>
          <w:color w:val="000000"/>
          <w:lang w:eastAsia="en-AU"/>
        </w:rPr>
        <w:instrText xml:space="preserve"> ADDIN EN.CITE.DATA </w:instrText>
      </w:r>
      <w:r w:rsidRPr="00A9434B">
        <w:rPr>
          <w:color w:val="000000"/>
          <w:lang w:eastAsia="en-AU"/>
        </w:rPr>
      </w:r>
      <w:r w:rsidRPr="00A9434B">
        <w:rPr>
          <w:color w:val="000000"/>
          <w:lang w:eastAsia="en-AU"/>
        </w:rPr>
        <w:fldChar w:fldCharType="end"/>
      </w:r>
      <w:r w:rsidRPr="00A9434B">
        <w:rPr>
          <w:color w:val="000000"/>
          <w:lang w:eastAsia="en-AU"/>
        </w:rPr>
      </w:r>
      <w:r w:rsidRPr="00A9434B">
        <w:rPr>
          <w:color w:val="000000"/>
          <w:lang w:eastAsia="en-AU"/>
        </w:rPr>
        <w:fldChar w:fldCharType="separate"/>
      </w:r>
      <w:r w:rsidR="0031315A" w:rsidRPr="00A9434B">
        <w:rPr>
          <w:color w:val="000000"/>
          <w:lang w:eastAsia="en-AU"/>
        </w:rPr>
        <w:fldChar w:fldCharType="begin"/>
      </w:r>
      <w:r w:rsidR="0006613E">
        <w:rPr>
          <w:color w:val="000000"/>
          <w:lang w:eastAsia="en-AU"/>
        </w:rPr>
        <w:instrText xml:space="preserve"> ADDIN ZOTERO_ITEM CSL_CITATION {"citationID":"a11lrcgv8ls","properties":{"formattedCitation":"\\uldash{(Cook et al., 2010, 2014; Vaas et al., 2017)}","plainCitation":"(Cook et al., 2010, 2014; Vaas et al., 2017)","dontUpdate":true,"noteIndex":0},"citationItems":[{"id":10809,"uris":["http://zotero.org/groups/2352922/items/WCG8AH7V"],"itemData":{"id":10809,"type":"article-journal","container-title":"Risk Analysis","DOI":"10.1111/j.1539-6924.2010.01439.x","ISSN":"02724332","issue":"9","language":"en","page":"1303-1314","source":"DOI.org (Crossref)","title":"Adaptive Approaches to Biosecurity Governance","title-short":"Adaptive Approaches to Biosecurity Governance","URL":"http://doi.wiley.com/10.1111/j.1539-6924.2010.01439.x","volume":"30","author":[{"family":"Cook","given":"David C."},{"family":"Liu","given":"Shuang"},{"family":"Murphy","given":"Brendan"},{"family":"Lonsdale","given":"W. Mark"}],"accessed":{"date-parts":[["2021",5,27]]},"issued":{"date-parts":[["2010",9]]}},"label":"page"},{"id":23958,"uris":["http://zotero.org/groups/2352922/items/XTK2VNGK"],"itemData":{"id":23958,"type":"article-journal","container-title":"Environmental Science &amp; Policy","DOI":"10.1016/j.envsci.2014.04.007","ISSN":"1462-9011","page":"1-10","title":"Plant biosecurity policy-making modelled on the human immune system: What would it look like?","volume":"41","author":[{"family":"Cook","given":"David C."},{"family":"Kristensen","given":"Nadiah P."},{"family":"Liu","given":"Shuang"},{"family":"Paini","given":"Dean R."},{"family":"Kerr","given":"Peter J."},{"family":"Sheppard","given":"Andy W."},{"family":"Lonsdale","given":"W. Mark"},{"family":"McAllister","given":"Ryan R. J."},{"family":"De Barro","given":"Paul J."}],"issued":{"date-parts":[["2014",8]]}},"label":"page"},{"id":11426,"uris":["http://zotero.org/groups/2352922/items/I2E6MVQB"],"itemData":{"id":11426,"type":"article-journal","abstract":"We address the development of policy by polycentric governance configurations, taking Caribbean overseas territories and their advancements on invasive alien species (IAS) policy as an example. The British, Dutch, and French islands in the Caribbean address this matter to different degrees, which we analyzed through differences in their type of polycentric governance configuration with their respective European counterpart. We employ a continuum ranging from predominantly polycentric to predominantly monocentric governance configurations to characterize the three case studies. Based on semistructured interviews with government actors, park managers, and NGO employees on Anguilla, Guadeloupe, and St. Eustatius, plus a literature study, we characterize St. Eustatius as highly polycentric and Guadeloupe as becoming increasingly polycentric. Anguilla cannot be considered either of the two, given the virtually absent involvement of the UK. Policy development on IAS showed most progress in Guadeloupe, whereas in Anguilla and St. Eustatius, IAS management is ad hoc. Within these cases, the hampering effect of dispute about the functioning of the configuration was clear. For Guadeloupe, increasing autonomy to decide on policy priorities within a coherent system where standards are set and ample resources made available appears conducive to policy development. That same balance inherent to polycentric systems between autonomy and coherence is hard to strike for St. Eustatius, and currently mainly perceived as a trade-off, hampering policy development. By discussing these three cases, this study illustrates how different polycentric configurations can affect policy development.","container-title":"Ecology and Society","DOI":"10.5751/ES-09487-220401","ISSN":"1708-3087","issue":"4","journalAbbreviation":"E&amp;S","language":"en","page":"1","source":"DOI.org (Crossref)","title":"Who's in charge here anyway? Polycentric governance configurations and the development of policy on invasive alien species in the semisovereign Caribbean","title-short":"Who's in charge here anyway?","URL":"https://www.ecologyandsociety.org/vol22/iss4/art1/","volume":"22","author":[{"family":"Vaas","given":"Jetske"},{"family":"Driessen","given":"Peter P. J."},{"family":"Giezen","given":"Mendel"},{"family":"Laerhoven","given":"Frank","non-dropping-particle":"van"},{"family":"Wassen","given":"Martin J."}],"accessed":{"date-parts":[["2019",11,6]]},"issued":{"date-parts":[["2017"]]}},"label":"page"}],"schema":"https://github.com/citation-style-language/schema/raw/master/csl-citation.json"} </w:instrText>
      </w:r>
      <w:r w:rsidR="0031315A" w:rsidRPr="00A9434B">
        <w:rPr>
          <w:color w:val="000000"/>
          <w:lang w:eastAsia="en-AU"/>
        </w:rPr>
        <w:fldChar w:fldCharType="separate"/>
      </w:r>
      <w:r w:rsidR="004C1D55" w:rsidRPr="00A9434B">
        <w:t>(Cook et al., 2010, 2014; Vaas et al., 2017</w:t>
      </w:r>
      <w:r w:rsidR="0031315A" w:rsidRPr="00A9434B">
        <w:rPr>
          <w:color w:val="000000"/>
          <w:lang w:eastAsia="en-AU"/>
        </w:rPr>
        <w:fldChar w:fldCharType="end"/>
      </w:r>
      <w:r w:rsidRPr="00A9434B">
        <w:rPr>
          <w:color w:val="000000"/>
          <w:lang w:eastAsia="en-AU"/>
        </w:rPr>
        <w:fldChar w:fldCharType="end"/>
      </w:r>
      <w:r w:rsidR="004C1D55" w:rsidRPr="00A9434B">
        <w:rPr>
          <w:color w:val="000000"/>
          <w:lang w:eastAsia="en-AU"/>
        </w:rPr>
        <w:t>;</w:t>
      </w:r>
      <w:r w:rsidR="00982C0D" w:rsidRPr="00A9434B">
        <w:rPr>
          <w:color w:val="000000"/>
          <w:lang w:eastAsia="en-AU"/>
        </w:rPr>
        <w:t xml:space="preserve"> </w:t>
      </w:r>
      <w:r w:rsidR="00EA1E5E" w:rsidRPr="00673554">
        <w:rPr>
          <w:b/>
          <w:iCs/>
          <w:color w:val="000000"/>
          <w:lang w:eastAsia="en-AU"/>
        </w:rPr>
        <w:t>section 6.4.4</w:t>
      </w:r>
      <w:r w:rsidR="00EA1E5E" w:rsidRPr="00A9434B">
        <w:rPr>
          <w:color w:val="000000"/>
          <w:lang w:eastAsia="en-AU"/>
        </w:rPr>
        <w:t>)</w:t>
      </w:r>
      <w:r w:rsidRPr="00A9434B">
        <w:rPr>
          <w:color w:val="000000"/>
          <w:lang w:eastAsia="en-AU"/>
        </w:rPr>
        <w:t>.</w:t>
      </w:r>
    </w:p>
    <w:p w14:paraId="55BCA38E" w14:textId="429BFFE6" w:rsidR="00017C04" w:rsidRDefault="00DF2EC0" w:rsidP="00C12647">
      <w:pPr>
        <w:pStyle w:val="Heading3"/>
        <w:ind w:left="720"/>
      </w:pPr>
      <w:bookmarkStart w:id="192" w:name="_heading=h.46r0co2" w:colFirst="0" w:colLast="0"/>
      <w:bookmarkStart w:id="193" w:name="_Toc75698976"/>
      <w:bookmarkStart w:id="194" w:name="_Toc1600100086"/>
      <w:bookmarkStart w:id="195" w:name="_Toc133428302"/>
      <w:bookmarkEnd w:id="192"/>
      <w:r>
        <w:t>C</w:t>
      </w:r>
      <w:r w:rsidRPr="00DF2EC0">
        <w:t xml:space="preserve">oordination </w:t>
      </w:r>
      <w:r w:rsidR="00F50AF9">
        <w:t xml:space="preserve">and cooperation to support </w:t>
      </w:r>
      <w:bookmarkEnd w:id="193"/>
      <w:r w:rsidR="00F50AF9">
        <w:t xml:space="preserve">the governance </w:t>
      </w:r>
      <w:bookmarkEnd w:id="194"/>
      <w:r w:rsidR="00F50AF9">
        <w:t>for biological invasions</w:t>
      </w:r>
      <w:bookmarkEnd w:id="195"/>
    </w:p>
    <w:p w14:paraId="090936D1" w14:textId="69B51644" w:rsidR="00C14761" w:rsidRPr="00A9434B" w:rsidRDefault="326765F3" w:rsidP="006B3143">
      <w:r w:rsidRPr="00A9434B">
        <w:rPr>
          <w:rFonts w:eastAsia="Batang"/>
        </w:rPr>
        <w:t xml:space="preserve">Regardless of the view taken (scaled, multilevel or multisector, </w:t>
      </w:r>
      <w:r w:rsidR="19A7F36C" w:rsidRPr="00A9434B">
        <w:rPr>
          <w:rFonts w:eastAsia="Batang"/>
        </w:rPr>
        <w:t>networked,</w:t>
      </w:r>
      <w:r w:rsidRPr="00A9434B">
        <w:rPr>
          <w:rFonts w:eastAsia="Batang"/>
        </w:rPr>
        <w:t xml:space="preserve"> or integrated), governance </w:t>
      </w:r>
      <w:r w:rsidR="008C4602" w:rsidRPr="00A9434B">
        <w:rPr>
          <w:rFonts w:eastAsia="Batang"/>
        </w:rPr>
        <w:t>for biological invasions</w:t>
      </w:r>
      <w:r w:rsidRPr="00A9434B">
        <w:rPr>
          <w:rFonts w:eastAsia="Batang"/>
        </w:rPr>
        <w:t xml:space="preserve"> </w:t>
      </w:r>
      <w:r w:rsidR="56E7ABB6" w:rsidRPr="00A9434B">
        <w:rPr>
          <w:rFonts w:eastAsia="Batang"/>
        </w:rPr>
        <w:t xml:space="preserve">is achieved </w:t>
      </w:r>
      <w:r w:rsidR="19A7F36C" w:rsidRPr="00A9434B">
        <w:rPr>
          <w:rFonts w:eastAsia="Batang"/>
        </w:rPr>
        <w:t>through</w:t>
      </w:r>
      <w:r w:rsidRPr="00A9434B">
        <w:rPr>
          <w:rFonts w:eastAsia="Batang"/>
        </w:rPr>
        <w:t xml:space="preserve"> cooperation, </w:t>
      </w:r>
      <w:r w:rsidR="64F58D48" w:rsidRPr="00A9434B">
        <w:rPr>
          <w:rFonts w:eastAsia="Batang"/>
        </w:rPr>
        <w:t>coordination</w:t>
      </w:r>
      <w:r w:rsidR="00896CEC">
        <w:rPr>
          <w:rFonts w:eastAsia="Batang"/>
        </w:rPr>
        <w:t xml:space="preserve"> and</w:t>
      </w:r>
      <w:r w:rsidRPr="00A9434B">
        <w:rPr>
          <w:rFonts w:eastAsia="Batang"/>
        </w:rPr>
        <w:t xml:space="preserve"> effective communication </w:t>
      </w:r>
      <w:r w:rsidR="005D0547" w:rsidRPr="00A9434B">
        <w:rPr>
          <w:rFonts w:eastAsia="Batang"/>
        </w:rPr>
        <w:fldChar w:fldCharType="begin"/>
      </w:r>
      <w:r w:rsidR="005D0547" w:rsidRPr="00A9434B">
        <w:rPr>
          <w:rFonts w:eastAsia="Batang"/>
        </w:rPr>
        <w:instrText xml:space="preserve"> ADDIN EN.CITE &lt;EndNote&gt;&lt;Cite&gt;&lt;Author&gt;Provan&lt;/Author&gt;&lt;Year&gt;2008&lt;/Year&gt;&lt;RecNum&gt;49263&lt;/RecNum&gt;&lt;DisplayText&gt;(Provan and Kenis 2008, Lubell, Jasny et al. 2017)&lt;/DisplayText&gt;&lt;record&gt;&lt;rec-number&gt;49263&lt;/rec-number&gt;&lt;foreign-keys&gt;&lt;key app="EN" db-id="awx9raddr0xx2hev05rxr0z05weepwpt0fex" timestamp="1592353512"&gt;49263&lt;/key&gt;&lt;/foreign-keys&gt;&lt;ref-type name="Journal Article"&gt;17&lt;/ref-type&gt;&lt;contributors&gt;&lt;authors&gt;&lt;author&gt;Provan, Keith G&lt;/author&gt;&lt;author&gt;Kenis, Patrick&lt;/author&gt;&lt;/authors&gt;&lt;/contributors&gt;&lt;titles&gt;&lt;title&gt;Modes of network governance: Structure, management, and effectiveness&lt;/title&gt;&lt;secondary-title&gt;Journal of public administration research and theory&lt;/secondary-title&gt;&lt;/titles&gt;&lt;periodical&gt;&lt;full-title&gt;Journal of public administration research and theory&lt;/full-title&gt;&lt;/periodical&gt;&lt;pages&gt;229-252&lt;/pages&gt;&lt;volume&gt;18&lt;/volume&gt;&lt;number&gt;2&lt;/number&gt;&lt;dates&gt;&lt;year&gt;2008&lt;/year&gt;&lt;/dates&gt;&lt;isbn&gt;1053-1858&lt;/isbn&gt;&lt;urls&gt;&lt;/urls&gt;&lt;/record&gt;&lt;/Cite&gt;&lt;Cite&gt;&lt;Author&gt;Lubell&lt;/Author&gt;&lt;Year&gt;2017&lt;/Year&gt;&lt;RecNum&gt;15&lt;/RecNum&gt;&lt;record&gt;&lt;rec-number&gt;27&lt;/rec-number&gt;&lt;foreign-keys&gt;&lt;key app="EN" db-id="0d55paxdcvwpebe55d1vrz5ne2pattprarta" timestamp="1597992733"&gt;27&lt;/key&gt;&lt;/foreign-keys&gt;&lt;ref-type name="Journal Article"&gt;17&lt;/ref-type&gt;&lt;contributors&gt;&lt;authors&gt;&lt;author&gt;Lubell, Mark&lt;/author&gt;&lt;author&gt;Jasny, Lorien&lt;/author&gt;&lt;author&gt;Hastings, Alan&lt;/author&gt;&lt;/authors&gt;&lt;/contributors&gt;&lt;titles&gt;&lt;title&gt;Network Governance for Invasive Species Management&lt;/title&gt;&lt;secondary-title&gt;Conservation Letters&lt;/secondary-title&gt;&lt;/titles&gt;&lt;periodical&gt;&lt;full-title&gt;Conservation Letters&lt;/full-title&gt;&lt;/periodical&gt;&lt;pages&gt;699-707&lt;/pages&gt;&lt;volume&gt;10&lt;/volume&gt;&lt;number&gt;6&lt;/number&gt;&lt;dates&gt;&lt;year&gt;2017&lt;/year&gt;&lt;pub-dates&gt;&lt;date&gt;Nov-Dec&lt;/date&gt;&lt;/pub-dates&gt;&lt;/dates&gt;&lt;isbn&gt;1755-263X&lt;/isbn&gt;&lt;accession-num&gt;WOS:000417917800006&lt;/accession-num&gt;&lt;urls&gt;&lt;related-urls&gt;&lt;url&gt;&amp;lt;Go to ISI&amp;gt;://WOS:000417917800006&lt;/url&gt;&lt;/related-urls&gt;&lt;/urls&gt;&lt;electronic-resource-num&gt;10.1111/conl.12311&lt;/electronic-resource-num&gt;&lt;/record&gt;&lt;/Cite&gt;&lt;/EndNote&gt;</w:instrText>
      </w:r>
      <w:r w:rsidR="005D0547" w:rsidRPr="00A9434B">
        <w:rPr>
          <w:rFonts w:eastAsia="Batang"/>
        </w:rPr>
        <w:fldChar w:fldCharType="separate"/>
      </w:r>
      <w:r w:rsidR="005D0547" w:rsidRPr="00A9434B">
        <w:rPr>
          <w:rFonts w:eastAsia="Batang"/>
        </w:rPr>
        <w:fldChar w:fldCharType="begin"/>
      </w:r>
      <w:r w:rsidR="0006613E">
        <w:rPr>
          <w:rFonts w:eastAsia="Batang"/>
        </w:rPr>
        <w:instrText xml:space="preserve"> ADDIN ZOTERO_ITEM CSL_CITATION {"citationID":"a1db344v2hv","properties":{"formattedCitation":"(Jacobs, 2017; Lubell et al., 2017; McKiernan, 2018; Vaas et al., 2017)","plainCitation":"(Jacobs, 2017; Lubell et al., 2017; McKiernan, 2018; Vaas et al., 2017)","noteIndex":0},"citationItems":[{"id":24046,"uris":["http://zotero.org/groups/2352922/items/KCMLAMR5"],"itemData":{"id":24046,"type":"article-journal","container-title":"Forests","DOI":"10.3390/f8070246","ISSN":"1999-4907","issue":"7","page":"246","title":"Teams at Their Core: Implementing an \"All LANDS Approach to Conservation\" Requires Focusing on Relationships, Teamwork Process, and Communications","volume":"8","author":[{"family":"Jacobs","given":"Kasey R."}],"issued":{"date-parts":[["2017",7]]}},"label":"page"},{"id":29543,"uris":["http://zotero.org/groups/2352922/items/ZEAPGNJU"],"itemData":{"id":29543,"type":"article-journal","container-title":"Conservation Letters","DOI":"10.1111/conl.12311","ISSN":"1755-263X, 1755-263X","issue":"6","journalAbbreviation":"CONSERVATION LETTERS","language":"en","page":"699-707","source":"DOI.org (Crossref)","title":"Network Governance for Invasive Species Management","URL":"https://onlinelibrary.wiley.com/doi/10.1111/conl.12311","volume":"10","author":[{"family":"Lubell","given":"Mark"},{"family":"Jasny","given":"Lorien"},{"family":"Hastings","given":"Alan"}],"accessed":{"date-parts":[["2021",8,3]]},"issued":{"date-parts":[["2017",11]]}}},{"id":52846,"uris":["http://zotero.org/groups/2352922/items/S8J6K9IA"],"itemData":{"id":52846,"type":"article-journal","abstract":"Rural-amenity migration is changing the social and ecological compositions of landscapes globally. The in-migration of new landholders is contributing to significant biophysical changes to rural landscapes, as well as the weakening of collective awareness, knowledge and skills needed to manage natural resources. This is leading to the proliferation of environmental harm. This paper focuses on invasive plants as one such harm, detailing how collective action is developed and challenged in a rural landscape undergoing increasing property turnover and diversifying management priorities. Focusing on the role of a Landcare group, located in southern New South Wales, Australia, I explore how social capital – with a particular focus on trust and social norms – is mobilised to recruit newly arrived residents and maintain commitment among landholders to manage invasive plants. This research provides insights into how policy can better steer management interventions, particularly how to develop and maintain collective action in diversifying rural landscapes.","container-title":"Journal of Environmental Planning and Management","DOI":"10.1080/09640568.2017.1351930","ISSN":"0964-0568","issue":"8","note":"publisher: Routledge\n_eprint: https://doi.org/10.1080/09640568.2017.1351930","page":"1419-1437","source":"Taylor and Francis+NEJM","title":"Managing invasive plants in a rural-amenity landscape: the role of social capital and Landcare","title-short":"Managing invasive plants in a rural-amenity landscape","URL":"https://doi.org/10.1080/09640568.2017.1351930","volume":"61","author":[{"family":"McKiernan","given":"Shaun"}],"accessed":{"date-parts":[["2022",8,4]]},"issued":{"date-parts":[["2018",7,3]]}},"label":"page"},{"id":11426,"uris":["http://zotero.org/groups/2352922/items/I2E6MVQB"],"itemData":{"id":11426,"type":"article-journal","abstract":"We address the development of policy by polycentric governance configurations, taking Caribbean overseas territories and their advancements on invasive alien species (IAS) policy as an example. The British, Dutch, and French islands in the Caribbean address this matter to different degrees, which we analyzed through differences in their type of polycentric governance configuration with their respective European counterpart. We employ a continuum ranging from predominantly polycentric to predominantly monocentric governance configurations to characterize the three case studies. Based on semistructured interviews with government actors, park managers, and NGO employees on Anguilla, Guadeloupe, and St. Eustatius, plus a literature study, we characterize St. Eustatius as highly polycentric and Guadeloupe as becoming increasingly polycentric. Anguilla cannot be considered either of the two, given the virtually absent involvement of the UK. Policy development on IAS showed most progress in Guadeloupe, whereas in Anguilla and St. Eustatius, IAS management is ad hoc. Within these cases, the hampering effect of dispute about the functioning of the configuration was clear. For Guadeloupe, increasing autonomy to decide on policy priorities within a coherent system where standards are set and ample resources made available appears conducive to policy development. That same balance inherent to polycentric systems between autonomy and coherence is hard to strike for St. Eustatius, and currently mainly perceived as a trade-off, hampering policy development. By discussing these three cases, this study illustrates how different polycentric configurations can affect policy development.","container-title":"Ecology and Society","DOI":"10.5751/ES-09487-220401","ISSN":"1708-3087","issue":"4","journalAbbreviation":"E&amp;S","language":"en","page":"1","source":"DOI.org (Crossref)","title":"Who's in charge here anyway? Polycentric governance configurations and the development of policy on invasive alien species in the semisovereign Caribbean","title-short":"Who's in charge here anyway?","URL":"https://www.ecologyandsociety.org/vol22/iss4/art1/","volume":"22","author":[{"family":"Vaas","given":"Jetske"},{"family":"Driessen","given":"Peter P. J."},{"family":"Giezen","given":"Mendel"},{"family":"Laerhoven","given":"Frank","non-dropping-particle":"van"},{"family":"Wassen","given":"Martin J."}],"accessed":{"date-parts":[["2019",11,6]]},"issued":{"date-parts":[["2017"]]}},"label":"page"}],"schema":"https://github.com/citation-style-language/schema/raw/master/csl-citation.json"} </w:instrText>
      </w:r>
      <w:r w:rsidR="005D0547" w:rsidRPr="00A9434B">
        <w:rPr>
          <w:rFonts w:eastAsia="Batang"/>
        </w:rPr>
        <w:fldChar w:fldCharType="separate"/>
      </w:r>
      <w:r w:rsidR="00EA1CE6" w:rsidRPr="00EA1CE6">
        <w:t>(Jacobs, 2017; Lubell et al., 2017; McKiernan, 2018; Vaas et al., 2017)</w:t>
      </w:r>
      <w:r w:rsidR="005D0547" w:rsidRPr="00A9434B">
        <w:rPr>
          <w:rFonts w:eastAsia="Batang"/>
        </w:rPr>
        <w:fldChar w:fldCharType="end"/>
      </w:r>
      <w:r w:rsidR="005D0547" w:rsidRPr="00A9434B">
        <w:rPr>
          <w:rFonts w:eastAsia="Batang"/>
        </w:rPr>
        <w:fldChar w:fldCharType="end"/>
      </w:r>
      <w:r w:rsidR="00C14761" w:rsidRPr="00A9434B">
        <w:rPr>
          <w:rFonts w:eastAsia="Batang"/>
        </w:rPr>
        <w:fldChar w:fldCharType="begin">
          <w:fldData xml:space="preserve">PEVuZE5vdGU+PENpdGU+PEF1dGhvcj5KYWNvYnM8L0F1dGhvcj48WWVhcj4yMDE3PC9ZZWFyPjxS
ZWNOdW0+NDkwNjc8L1JlY051bT48RGlzcGxheVRleHQ+KEphY29icyAyMDE3LCBMdWJlbGwsIEph
c255IGV0IGFsLiAyMDE3LCBWYWFzLCBEcmllc3NlbiBldCBhbC4gMjAxNyk8L0Rpc3BsYXlUZXh0
PjxyZWNvcmQ+PHJlYy1udW1iZXI+NDkwNjc8L3JlYy1udW1iZXI+PGZvcmVpZ24ta2V5cz48a2V5
IGFwcD0iRU4iIGRiLWlkPSJhd3g5cmFkZHIweHgyaGV2MDVyeHIwejA1d2VlcHdwdDBmZXgiIHRp
bWVzdGFtcD0iMTU4MTQ5NzMyMCI+NDkwNjc8L2tleT48L2ZvcmVpZ24ta2V5cz48cmVmLXR5cGUg
bmFtZT0iSm91cm5hbCBBcnRpY2xlIj4xNzwvcmVmLXR5cGU+PGNvbnRyaWJ1dG9ycz48YXV0aG9y
cz48YXV0aG9yPkphY29icywgS2FzZXkgUi48L2F1dGhvcj48L2F1dGhvcnM+PC9jb250cmlidXRv
cnM+PHRpdGxlcz48dGl0bGU+VGVhbXMgYXQgVGhlaXIgQ29yZTogSW1wbGVtZW50aW5nIGFuICZx
dW90O0FsbCBMQU5EUyBBcHByb2FjaCB0byBDb25zZXJ2YXRpb24mcXVvdDsgUmVxdWlyZXMgRm9j
dXNpbmcgb24gUmVsYXRpb25zaGlwcywgVGVhbXdvcmsgUHJvY2VzcywgYW5kIENvbW11bmljYXRp
b25zPC90aXRsZT48c2Vjb25kYXJ5LXRpdGxlPkZvcmVzdHM8L3NlY29uZGFyeS10aXRsZT48L3Rp
dGxlcz48cGVyaW9kaWNhbD48ZnVsbC10aXRsZT5Gb3Jlc3RzPC9mdWxsLXRpdGxlPjwvcGVyaW9k
aWNhbD48dm9sdW1lPjg8L3ZvbHVtZT48bnVtYmVyPjc8L251bWJlcj48ZGF0ZXM+PHllYXI+MjAx
NzwveWVhcj48cHViLWRhdGVzPjxkYXRlPkp1bDwvZGF0ZT48L3B1Yi1kYXRlcz48L2RhdGVzPjxp
c2JuPjE5OTktNDkwNzwvaXNibj48YWNjZXNzaW9uLW51bT5XT1M6MDAwNDA2Njk0NDAwMDI2PC9h
Y2Nlc3Npb24tbnVtPjx1cmxzPjxyZWxhdGVkLXVybHM+PHVybD4mbHQ7R28gdG8gSVNJJmd0Ozov
L1dPUzowMDA0MDY2OTQ0MDAwMjY8L3VybD48L3JlbGF0ZWQtdXJscz48L3VybHM+PGN1c3RvbTc+
MjQ2PC9jdXN0b203PjxlbGVjdHJvbmljLXJlc291cmNlLW51bT4xMC4zMzkwL2Y4MDcwMjQ2PC9l
bGVjdHJvbmljLXJlc291cmNlLW51bT48L3JlY29yZD48L0NpdGU+PENpdGU+PEF1dGhvcj5WYWFz
PC9BdXRob3I+PFllYXI+MjAxNzwvWWVhcj48UmVjTnVtPjQ5MDc2PC9SZWNOdW0+PHJlY29yZD48
cmVjLW51bWJlcj40OTA3NjwvcmVjLW51bWJlcj48Zm9yZWlnbi1rZXlzPjxrZXkgYXBwPSJFTiIg
ZGItaWQ9ImF3eDlyYWRkcjB4eDJoZXYwNXJ4cjB6MDV3ZWVwd3B0MGZleCIgdGltZXN0YW1wPSIx
NTgxNDk3MzIwIj40OTA3Njwva2V5PjwvZm9yZWlnbi1rZXlzPjxyZWYtdHlwZSBuYW1lPSJKb3Vy
bmFsIEFydGljbGUiPjE3PC9yZWYtdHlwZT48Y29udHJpYnV0b3JzPjxhdXRob3JzPjxhdXRob3I+
VmFhcywgSmV0c2tlPC9hdXRob3I+PGF1dGhvcj5Ecmllc3NlbiwgUGV0ZXIgUC4gSi48L2F1dGhv
cj48YXV0aG9yPkdpZXplbiwgTWVuZGVsPC9hdXRob3I+PGF1dGhvcj52YW4gTGFlcmhvdmVuLCBG
cmFuazwvYXV0aG9yPjxhdXRob3I+V2Fzc2VuLCBNYXJ0aW4gSi48L2F1dGhvcj48L2F1dGhvcnM+
PC9jb250cmlidXRvcnM+PHRpdGxlcz48dGl0bGU+V2hvJmFwb3M7cyBpbiBjaGFyZ2UgaGVyZSBh
bnl3YXk/IFBvbHljZW50cmljIGdvdmVybmFuY2UgY29uZmlndXJhdGlvbnMgYW5kIHRoZSBkZXZl
bG9wbWVudCBvZiBwb2xpY3kgb24gaW52YXNpdmUgYWxpZW4gc3BlY2llcyBpbiB0aGUgc2VtaXNv
dmVyZWlnbiBDYXJpYmJlYW48L3RpdGxlPjxzZWNvbmRhcnktdGl0bGU+RWNvbG9neSBhbmQgU29j
aWV0eTwvc2Vjb25kYXJ5LXRpdGxlPjwvdGl0bGVzPjxwZXJpb2RpY2FsPjxmdWxsLXRpdGxlPkVj
b2xvZ3kgYW5kIFNvY2lldHk8L2Z1bGwtdGl0bGU+PGFiYnItMT5FY29sLiBTb2MuPC9hYmJyLTE+
PGFiYnItMj5FY29sIFNvYzwvYWJici0yPjwvcGVyaW9kaWNhbD48dm9sdW1lPjIyPC92b2x1bWU+
PG51bWJlcj40PC9udW1iZXI+PGRhdGVzPjx5ZWFyPjIwMTc8L3llYXI+PHB1Yi1kYXRlcz48ZGF0
ZT4yMDE3PC9kYXRlPjwvcHViLWRhdGVzPjwvZGF0ZXM+PGlzYm4+MTcwOC0zMDg3PC9pc2JuPjxh
Y2Nlc3Npb24tbnVtPldPUzowMDA0MTkzNTEwMDAwMDM8L2FjY2Vzc2lvbi1udW0+PHVybHM+PHJl
bGF0ZWQtdXJscz48dXJsPiZsdDtHbyB0byBJU0kmZ3Q7Oi8vV09TOjAwMDQxOTM1MTAwMDAwMzwv
dXJsPjwvcmVsYXRlZC11cmxzPjwvdXJscz48Y3VzdG9tNz4xPC9jdXN0b203PjxlbGVjdHJvbmlj
LXJlc291cmNlLW51bT4xMC41NzUxL2VzLTA5NDg3LTIyMDQwMTwvZWxlY3Ryb25pYy1yZXNvdXJj
ZS1udW0+PC9yZWNvcmQ+PC9DaXRlPjxDaXRlPjxBdXRob3I+THViZWxsPC9BdXRob3I+PFllYXI+
MjAxNzwvWWVhcj48UmVjTnVtPjE1PC9SZWNOdW0+PHJlY29yZD48cmVjLW51bWJlcj4yNzwvcmVj
LW51bWJlcj48Zm9yZWlnbi1rZXlzPjxrZXkgYXBwPSJFTiIgZGItaWQ9IjBkNTVwYXhkY3Z3cGVi
ZTU1ZDF2cno1bmUycGF0dHByYXJ0YSIgdGltZXN0YW1wPSIxNTk3OTkyNzMzIj4yNzwva2V5Pjwv
Zm9yZWlnbi1rZXlzPjxyZWYtdHlwZSBuYW1lPSJKb3VybmFsIEFydGljbGUiPjE3PC9yZWYtdHlw
ZT48Y29udHJpYnV0b3JzPjxhdXRob3JzPjxhdXRob3I+THViZWxsLCBNYXJrPC9hdXRob3I+PGF1
dGhvcj5KYXNueSwgTG9yaWVuPC9hdXRob3I+PGF1dGhvcj5IYXN0aW5ncywgQWxhbjwvYXV0aG9y
PjwvYXV0aG9ycz48L2NvbnRyaWJ1dG9ycz48dGl0bGVzPjx0aXRsZT5OZXR3b3JrIEdvdmVybmFu
Y2UgZm9yIEludmFzaXZlIFNwZWNpZXMgTWFuYWdlbWVudDwvdGl0bGU+PHNlY29uZGFyeS10aXRs
ZT5Db25zZXJ2YXRpb24gTGV0dGVyczwvc2Vjb25kYXJ5LXRpdGxlPjwvdGl0bGVzPjxwZXJpb2Rp
Y2FsPjxmdWxsLXRpdGxlPkNvbnNlcnZhdGlvbiBMZXR0ZXJzPC9mdWxsLXRpdGxlPjwvcGVyaW9k
aWNhbD48cGFnZXM+Njk5LTcwNzwvcGFnZXM+PHZvbHVtZT4xMDwvdm9sdW1lPjxudW1iZXI+Njwv
bnVtYmVyPjxkYXRlcz48eWVhcj4yMDE3PC95ZWFyPjxwdWItZGF0ZXM+PGRhdGU+Tm92LURlYzwv
ZGF0ZT48L3B1Yi1kYXRlcz48L2RhdGVzPjxpc2JuPjE3NTUtMjYzWDwvaXNibj48YWNjZXNzaW9u
LW51bT5XT1M6MDAwNDE3OTE3ODAwMDA2PC9hY2Nlc3Npb24tbnVtPjx1cmxzPjxyZWxhdGVkLXVy
bHM+PHVybD4mbHQ7R28gdG8gSVNJJmd0OzovL1dPUzowMDA0MTc5MTc4MDAwMDY8L3VybD48L3Jl
bGF0ZWQtdXJscz48L3VybHM+PGVsZWN0cm9uaWMtcmVzb3VyY2UtbnVtPjEwLjExMTEvY29ubC4x
MjMxMTwvZWxlY3Ryb25pYy1yZXNvdXJjZS1udW0+PC9yZWNvcmQ+PC9DaXRlPjwvRW5kTm90ZT5=
</w:fldData>
        </w:fldChar>
      </w:r>
      <w:r w:rsidR="00C14761" w:rsidRPr="00A9434B">
        <w:rPr>
          <w:rFonts w:eastAsia="Batang"/>
        </w:rPr>
        <w:instrText xml:space="preserve"> ADDIN EN.CITE </w:instrText>
      </w:r>
      <w:r w:rsidR="00C14761" w:rsidRPr="00A9434B">
        <w:rPr>
          <w:rFonts w:eastAsia="Batang"/>
        </w:rPr>
        <w:fldChar w:fldCharType="begin">
          <w:fldData xml:space="preserve">PEVuZE5vdGU+PENpdGU+PEF1dGhvcj5KYWNvYnM8L0F1dGhvcj48WWVhcj4yMDE3PC9ZZWFyPjxS
ZWNOdW0+NDkwNjc8L1JlY051bT48RGlzcGxheVRleHQ+KEphY29icyAyMDE3LCBMdWJlbGwsIEph
c255IGV0IGFsLiAyMDE3LCBWYWFzLCBEcmllc3NlbiBldCBhbC4gMjAxNyk8L0Rpc3BsYXlUZXh0
PjxyZWNvcmQ+PHJlYy1udW1iZXI+NDkwNjc8L3JlYy1udW1iZXI+PGZvcmVpZ24ta2V5cz48a2V5
IGFwcD0iRU4iIGRiLWlkPSJhd3g5cmFkZHIweHgyaGV2MDVyeHIwejA1d2VlcHdwdDBmZXgiIHRp
bWVzdGFtcD0iMTU4MTQ5NzMyMCI+NDkwNjc8L2tleT48L2ZvcmVpZ24ta2V5cz48cmVmLXR5cGUg
bmFtZT0iSm91cm5hbCBBcnRpY2xlIj4xNzwvcmVmLXR5cGU+PGNvbnRyaWJ1dG9ycz48YXV0aG9y
cz48YXV0aG9yPkphY29icywgS2FzZXkgUi48L2F1dGhvcj48L2F1dGhvcnM+PC9jb250cmlidXRv
cnM+PHRpdGxlcz48dGl0bGU+VGVhbXMgYXQgVGhlaXIgQ29yZTogSW1wbGVtZW50aW5nIGFuICZx
dW90O0FsbCBMQU5EUyBBcHByb2FjaCB0byBDb25zZXJ2YXRpb24mcXVvdDsgUmVxdWlyZXMgRm9j
dXNpbmcgb24gUmVsYXRpb25zaGlwcywgVGVhbXdvcmsgUHJvY2VzcywgYW5kIENvbW11bmljYXRp
b25zPC90aXRsZT48c2Vjb25kYXJ5LXRpdGxlPkZvcmVzdHM8L3NlY29uZGFyeS10aXRsZT48L3Rp
dGxlcz48cGVyaW9kaWNhbD48ZnVsbC10aXRsZT5Gb3Jlc3RzPC9mdWxsLXRpdGxlPjwvcGVyaW9k
aWNhbD48dm9sdW1lPjg8L3ZvbHVtZT48bnVtYmVyPjc8L251bWJlcj48ZGF0ZXM+PHllYXI+MjAx
NzwveWVhcj48cHViLWRhdGVzPjxkYXRlPkp1bDwvZGF0ZT48L3B1Yi1kYXRlcz48L2RhdGVzPjxp
c2JuPjE5OTktNDkwNzwvaXNibj48YWNjZXNzaW9uLW51bT5XT1M6MDAwNDA2Njk0NDAwMDI2PC9h
Y2Nlc3Npb24tbnVtPjx1cmxzPjxyZWxhdGVkLXVybHM+PHVybD4mbHQ7R28gdG8gSVNJJmd0Ozov
L1dPUzowMDA0MDY2OTQ0MDAwMjY8L3VybD48L3JlbGF0ZWQtdXJscz48L3VybHM+PGN1c3RvbTc+
MjQ2PC9jdXN0b203PjxlbGVjdHJvbmljLXJlc291cmNlLW51bT4xMC4zMzkwL2Y4MDcwMjQ2PC9l
bGVjdHJvbmljLXJlc291cmNlLW51bT48L3JlY29yZD48L0NpdGU+PENpdGU+PEF1dGhvcj5WYWFz
PC9BdXRob3I+PFllYXI+MjAxNzwvWWVhcj48UmVjTnVtPjQ5MDc2PC9SZWNOdW0+PHJlY29yZD48
cmVjLW51bWJlcj40OTA3NjwvcmVjLW51bWJlcj48Zm9yZWlnbi1rZXlzPjxrZXkgYXBwPSJFTiIg
ZGItaWQ9ImF3eDlyYWRkcjB4eDJoZXYwNXJ4cjB6MDV3ZWVwd3B0MGZleCIgdGltZXN0YW1wPSIx
NTgxNDk3MzIwIj40OTA3Njwva2V5PjwvZm9yZWlnbi1rZXlzPjxyZWYtdHlwZSBuYW1lPSJKb3Vy
bmFsIEFydGljbGUiPjE3PC9yZWYtdHlwZT48Y29udHJpYnV0b3JzPjxhdXRob3JzPjxhdXRob3I+
VmFhcywgSmV0c2tlPC9hdXRob3I+PGF1dGhvcj5Ecmllc3NlbiwgUGV0ZXIgUC4gSi48L2F1dGhv
cj48YXV0aG9yPkdpZXplbiwgTWVuZGVsPC9hdXRob3I+PGF1dGhvcj52YW4gTGFlcmhvdmVuLCBG
cmFuazwvYXV0aG9yPjxhdXRob3I+V2Fzc2VuLCBNYXJ0aW4gSi48L2F1dGhvcj48L2F1dGhvcnM+
PC9jb250cmlidXRvcnM+PHRpdGxlcz48dGl0bGU+V2hvJmFwb3M7cyBpbiBjaGFyZ2UgaGVyZSBh
bnl3YXk/IFBvbHljZW50cmljIGdvdmVybmFuY2UgY29uZmlndXJhdGlvbnMgYW5kIHRoZSBkZXZl
bG9wbWVudCBvZiBwb2xpY3kgb24gaW52YXNpdmUgYWxpZW4gc3BlY2llcyBpbiB0aGUgc2VtaXNv
dmVyZWlnbiBDYXJpYmJlYW48L3RpdGxlPjxzZWNvbmRhcnktdGl0bGU+RWNvbG9neSBhbmQgU29j
aWV0eTwvc2Vjb25kYXJ5LXRpdGxlPjwvdGl0bGVzPjxwZXJpb2RpY2FsPjxmdWxsLXRpdGxlPkVj
b2xvZ3kgYW5kIFNvY2lldHk8L2Z1bGwtdGl0bGU+PGFiYnItMT5FY29sLiBTb2MuPC9hYmJyLTE+
PGFiYnItMj5FY29sIFNvYzwvYWJici0yPjwvcGVyaW9kaWNhbD48dm9sdW1lPjIyPC92b2x1bWU+
PG51bWJlcj40PC9udW1iZXI+PGRhdGVzPjx5ZWFyPjIwMTc8L3llYXI+PHB1Yi1kYXRlcz48ZGF0
ZT4yMDE3PC9kYXRlPjwvcHViLWRhdGVzPjwvZGF0ZXM+PGlzYm4+MTcwOC0zMDg3PC9pc2JuPjxh
Y2Nlc3Npb24tbnVtPldPUzowMDA0MTkzNTEwMDAwMDM8L2FjY2Vzc2lvbi1udW0+PHVybHM+PHJl
bGF0ZWQtdXJscz48dXJsPiZsdDtHbyB0byBJU0kmZ3Q7Oi8vV09TOjAwMDQxOTM1MTAwMDAwMzwv
dXJsPjwvcmVsYXRlZC11cmxzPjwvdXJscz48Y3VzdG9tNz4xPC9jdXN0b203PjxlbGVjdHJvbmlj
LXJlc291cmNlLW51bT4xMC41NzUxL2VzLTA5NDg3LTIyMDQwMTwvZWxlY3Ryb25pYy1yZXNvdXJj
ZS1udW0+PC9yZWNvcmQ+PC9DaXRlPjxDaXRlPjxBdXRob3I+THViZWxsPC9BdXRob3I+PFllYXI+
MjAxNzwvWWVhcj48UmVjTnVtPjE1PC9SZWNOdW0+PHJlY29yZD48cmVjLW51bWJlcj4yNzwvcmVj
LW51bWJlcj48Zm9yZWlnbi1rZXlzPjxrZXkgYXBwPSJFTiIgZGItaWQ9IjBkNTVwYXhkY3Z3cGVi
ZTU1ZDF2cno1bmUycGF0dHByYXJ0YSIgdGltZXN0YW1wPSIxNTk3OTkyNzMzIj4yNzwva2V5Pjwv
Zm9yZWlnbi1rZXlzPjxyZWYtdHlwZSBuYW1lPSJKb3VybmFsIEFydGljbGUiPjE3PC9yZWYtdHlw
ZT48Y29udHJpYnV0b3JzPjxhdXRob3JzPjxhdXRob3I+THViZWxsLCBNYXJrPC9hdXRob3I+PGF1
dGhvcj5KYXNueSwgTG9yaWVuPC9hdXRob3I+PGF1dGhvcj5IYXN0aW5ncywgQWxhbjwvYXV0aG9y
PjwvYXV0aG9ycz48L2NvbnRyaWJ1dG9ycz48dGl0bGVzPjx0aXRsZT5OZXR3b3JrIEdvdmVybmFu
Y2UgZm9yIEludmFzaXZlIFNwZWNpZXMgTWFuYWdlbWVudDwvdGl0bGU+PHNlY29uZGFyeS10aXRs
ZT5Db25zZXJ2YXRpb24gTGV0dGVyczwvc2Vjb25kYXJ5LXRpdGxlPjwvdGl0bGVzPjxwZXJpb2Rp
Y2FsPjxmdWxsLXRpdGxlPkNvbnNlcnZhdGlvbiBMZXR0ZXJzPC9mdWxsLXRpdGxlPjwvcGVyaW9k
aWNhbD48cGFnZXM+Njk5LTcwNzwvcGFnZXM+PHZvbHVtZT4xMDwvdm9sdW1lPjxudW1iZXI+Njwv
bnVtYmVyPjxkYXRlcz48eWVhcj4yMDE3PC95ZWFyPjxwdWItZGF0ZXM+PGRhdGU+Tm92LURlYzwv
ZGF0ZT48L3B1Yi1kYXRlcz48L2RhdGVzPjxpc2JuPjE3NTUtMjYzWDwvaXNibj48YWNjZXNzaW9u
LW51bT5XT1M6MDAwNDE3OTE3ODAwMDA2PC9hY2Nlc3Npb24tbnVtPjx1cmxzPjxyZWxhdGVkLXVy
bHM+PHVybD4mbHQ7R28gdG8gSVNJJmd0OzovL1dPUzowMDA0MTc5MTc4MDAwMDY8L3VybD48L3Jl
bGF0ZWQtdXJscz48L3VybHM+PGVsZWN0cm9uaWMtcmVzb3VyY2UtbnVtPjEwLjExMTEvY29ubC4x
MjMxMTwvZWxlY3Ryb25pYy1yZXNvdXJjZS1udW0+PC9yZWNvcmQ+PC9DaXRlPjwvRW5kTm90ZT5=
</w:fldData>
        </w:fldChar>
      </w:r>
      <w:r w:rsidR="00C14761" w:rsidRPr="00A9434B">
        <w:rPr>
          <w:rFonts w:eastAsia="Batang"/>
        </w:rPr>
        <w:instrText xml:space="preserve"> ADDIN EN.CITE.DATA </w:instrText>
      </w:r>
      <w:r w:rsidR="00C14761" w:rsidRPr="00A9434B">
        <w:rPr>
          <w:rFonts w:eastAsia="Batang"/>
        </w:rPr>
      </w:r>
      <w:r w:rsidR="00C14761" w:rsidRPr="00A9434B">
        <w:rPr>
          <w:rFonts w:eastAsia="Batang"/>
        </w:rPr>
        <w:fldChar w:fldCharType="end"/>
      </w:r>
      <w:r w:rsidR="00C14761" w:rsidRPr="00A9434B">
        <w:rPr>
          <w:rFonts w:eastAsia="Batang"/>
        </w:rPr>
      </w:r>
      <w:r w:rsidR="00C14761" w:rsidRPr="00A9434B">
        <w:rPr>
          <w:rFonts w:eastAsia="Batang"/>
        </w:rPr>
        <w:fldChar w:fldCharType="end"/>
      </w:r>
      <w:r w:rsidRPr="00A9434B">
        <w:rPr>
          <w:rFonts w:eastAsia="Batang"/>
        </w:rPr>
        <w:t xml:space="preserve">. </w:t>
      </w:r>
      <w:r w:rsidRPr="00A9434B">
        <w:t xml:space="preserve">Options for enabling integrated governance </w:t>
      </w:r>
      <w:r w:rsidR="008C4602" w:rsidRPr="00A9434B">
        <w:t>for biological invasions</w:t>
      </w:r>
      <w:r w:rsidRPr="00A9434B">
        <w:t xml:space="preserve"> </w:t>
      </w:r>
      <w:r w:rsidR="0A27CEE6" w:rsidRPr="00A9434B">
        <w:t xml:space="preserve">thus </w:t>
      </w:r>
      <w:r w:rsidRPr="00A9434B">
        <w:t xml:space="preserve">include identifying and supporting stakeholders who are able to play a bridging role across otherwise disconnected nodes of the network, the establishment of formal </w:t>
      </w:r>
      <w:r w:rsidR="3FC3456E" w:rsidRPr="00A9434B">
        <w:t>coordination</w:t>
      </w:r>
      <w:r w:rsidRPr="00A9434B">
        <w:t xml:space="preserve"> bodies, and the use of extension personnel </w:t>
      </w:r>
      <w:r w:rsidR="00C14761" w:rsidRPr="00A9434B">
        <w:fldChar w:fldCharType="begin">
          <w:fldData xml:space="preserve">PEVuZE5vdGU+PENpdGU+PEF1dGhvcj5Fa2FuYXlha2U8L0F1dGhvcj48WWVhcj4yMDIwPC9ZZWFy
PjxSZWNOdW0+NDg5OTU8L1JlY051bT48RGlzcGxheVRleHQ+KFZhYXMsIERyaWVzc2VuIGV0IGFs
LiAyMDE3LCBOb3VyYW5pLCBEZWNrZXIgZXQgYWwuIDIwMTksIEVrYW5heWFrZSwgWGllIGV0IGFs
LiAyMDIwKTwvRGlzcGxheVRleHQ+PHJlY29yZD48cmVjLW51bWJlcj40ODk5NTwvcmVjLW51bWJl
cj48Zm9yZWlnbi1rZXlzPjxrZXkgYXBwPSJFTiIgZGItaWQ9ImF3eDlyYWRkcjB4eDJoZXYwNXJ4
cjB6MDV3ZWVwd3B0MGZleCIgdGltZXN0YW1wPSIxNTgxNDk3MzIwIj40ODk5NTwva2V5PjwvZm9y
ZWlnbi1rZXlzPjxyZWYtdHlwZSBuYW1lPSJKb3VybmFsIEFydGljbGUiPjE3PC9yZWYtdHlwZT48
Y29udHJpYnV0b3JzPjxhdXRob3JzPjxhdXRob3I+RWthbmF5YWtlLCBFLiBNLiBCLiBQLjwvYXV0
aG9yPjxhdXRob3I+WGllLCBZaTwvYXV0aG9yPjxhdXRob3I+SWJyYWhpbSwgQWJ1YmFrYXIgU2Fk
aXE8L2F1dGhvcj48YXV0aG9yPkthcnVuYXJhdG5lLCBOLiBULiBQLjwvYXV0aG9yPjxhdXRob3I+
QWhtYWQsIFNoYWh6YWQ8L2F1dGhvcj48L2F1dGhvcnM+PC9jb250cmlidXRvcnM+PHRpdGxlcz48
dGl0bGU+RWZmZWN0aXZlIGdvdmVybmFuY2UgZm9yIG1hbmFnZW1lbnQgb2YgaW52YXNpdmUgYWxp
ZW4gcGxhbnRzOiBldmlkZW5jZSBmcm9tIHRoZSBwZXJzcGVjdGl2ZSBvZiBmb3Jlc3QgYW5kIHdp
bGRsaWZlIG9mZmljZXJzIGluIFNyaSBMYW5rYTwvdGl0bGU+PHNlY29uZGFyeS10aXRsZT5QZWVy
ajwvc2Vjb25kYXJ5LXRpdGxlPjwvdGl0bGVzPjxwZXJpb2RpY2FsPjxmdWxsLXRpdGxlPlBlZXJq
PC9mdWxsLXRpdGxlPjwvcGVyaW9kaWNhbD48dm9sdW1lPjg8L3ZvbHVtZT48ZGF0ZXM+PHllYXI+
MjAyMDwveWVhcj48cHViLWRhdGVzPjxkYXRlPkphbiA2PC9kYXRlPjwvcHViLWRhdGVzPjwvZGF0
ZXM+PGlzYm4+MjE2Ny04MzU5PC9pc2JuPjxhY2Nlc3Npb24tbnVtPldPUzowMDA1MDY1NzU3MDAw
MTU8L2FjY2Vzc2lvbi1udW0+PHVybHM+PHJlbGF0ZWQtdXJscz48dXJsPiZsdDtHbyB0byBJU0km
Z3Q7Oi8vV09TOjAwMDUwNjU3NTcwMDAxNTwvdXJsPjwvcmVsYXRlZC11cmxzPjwvdXJscz48Y3Vz
dG9tNz5lODM0MzwvY3VzdG9tNz48ZWxlY3Ryb25pYy1yZXNvdXJjZS1udW0+MTAuNzcxNy9wZWVy
ai44MzQzPC9lbGVjdHJvbmljLXJlc291cmNlLW51bT48L3JlY29yZD48L0NpdGU+PENpdGU+PEF1
dGhvcj5WYWFzPC9BdXRob3I+PFllYXI+MjAxNzwvWWVhcj48UmVjTnVtPjQ5MDc2PC9SZWNOdW0+
PHJlY29yZD48cmVjLW51bWJlcj40OTA3NjwvcmVjLW51bWJlcj48Zm9yZWlnbi1rZXlzPjxrZXkg
YXBwPSJFTiIgZGItaWQ9ImF3eDlyYWRkcjB4eDJoZXYwNXJ4cjB6MDV3ZWVwd3B0MGZleCIgdGlt
ZXN0YW1wPSIxNTgxNDk3MzIwIj40OTA3Njwva2V5PjwvZm9yZWlnbi1rZXlzPjxyZWYtdHlwZSBu
YW1lPSJKb3VybmFsIEFydGljbGUiPjE3PC9yZWYtdHlwZT48Y29udHJpYnV0b3JzPjxhdXRob3Jz
PjxhdXRob3I+VmFhcywgSmV0c2tlPC9hdXRob3I+PGF1dGhvcj5Ecmllc3NlbiwgUGV0ZXIgUC4g
Si48L2F1dGhvcj48YXV0aG9yPkdpZXplbiwgTWVuZGVsPC9hdXRob3I+PGF1dGhvcj52YW4gTGFl
cmhvdmVuLCBGcmFuazwvYXV0aG9yPjxhdXRob3I+V2Fzc2VuLCBNYXJ0aW4gSi48L2F1dGhvcj48
L2F1dGhvcnM+PC9jb250cmlidXRvcnM+PHRpdGxlcz48dGl0bGU+V2hvJmFwb3M7cyBpbiBjaGFy
Z2UgaGVyZSBhbnl3YXk/IFBvbHljZW50cmljIGdvdmVybmFuY2UgY29uZmlndXJhdGlvbnMgYW5k
IHRoZSBkZXZlbG9wbWVudCBvZiBwb2xpY3kgb24gaW52YXNpdmUgYWxpZW4gc3BlY2llcyBpbiB0
aGUgc2VtaXNvdmVyZWlnbiBDYXJpYmJlYW48L3RpdGxlPjxzZWNvbmRhcnktdGl0bGU+RWNvbG9n
eSBhbmQgU29jaWV0eTwvc2Vjb25kYXJ5LXRpdGxlPjwvdGl0bGVzPjxwZXJpb2RpY2FsPjxmdWxs
LXRpdGxlPkVjb2xvZ3kgYW5kIFNvY2lldHk8L2Z1bGwtdGl0bGU+PGFiYnItMT5FY29sLiBTb2Mu
PC9hYmJyLTE+PGFiYnItMj5FY29sIFNvYzwvYWJici0yPjwvcGVyaW9kaWNhbD48dm9sdW1lPjIy
PC92b2x1bWU+PG51bWJlcj40PC9udW1iZXI+PGRhdGVzPjx5ZWFyPjIwMTc8L3llYXI+PHB1Yi1k
YXRlcz48ZGF0ZT4yMDE3PC9kYXRlPjwvcHViLWRhdGVzPjwvZGF0ZXM+PGlzYm4+MTcwOC0zMDg3
PC9pc2JuPjxhY2Nlc3Npb24tbnVtPldPUzowMDA0MTkzNTEwMDAwMDM8L2FjY2Vzc2lvbi1udW0+
PHVybHM+PHJlbGF0ZWQtdXJscz48dXJsPiZsdDtHbyB0byBJU0kmZ3Q7Oi8vV09TOjAwMDQxOTM1
MTAwMDAwMzwvdXJsPjwvcmVsYXRlZC11cmxzPjwvdXJscz48Y3VzdG9tNz4xPC9jdXN0b203Pjxl
bGVjdHJvbmljLXJlc291cmNlLW51bT4xMC41NzUxL2VzLTA5NDg3LTIyMDQwMTwvZWxlY3Ryb25p
Yy1yZXNvdXJjZS1udW0+PC9yZWNvcmQ+PC9DaXRlPjxDaXRlPjxBdXRob3I+Tm91cmFuaTwvQXV0
aG9yPjxZZWFyPjIwMTk8L1llYXI+PFJlY051bT40OTAwNDwvUmVjTnVtPjxyZWNvcmQ+PHJlYy1u
dW1iZXI+NDkwMDQ8L3JlYy1udW1iZXI+PGZvcmVpZ24ta2V5cz48a2V5IGFwcD0iRU4iIGRiLWlk
PSJhd3g5cmFkZHIweHgyaGV2MDVyeHIwejA1d2VlcHdwdDBmZXgiIHRpbWVzdGFtcD0iMTU4MTQ5
NzMyMCI+NDkwMDQ8L2tleT48L2ZvcmVpZ24ta2V5cz48cmVmLXR5cGUgbmFtZT0iSm91cm5hbCBB
cnRpY2xlIj4xNzwvcmVmLXR5cGU+PGNvbnRyaWJ1dG9ycz48YXV0aG9ycz48YXV0aG9yPk5vdXJh
bmksIFNhbGx5IFcuPC9hdXRob3I+PGF1dGhvcj5EZWNrZXIsIERhbmllbCBKLjwvYXV0aG9yPjxh
dXRob3I+S3Jhc255LCBNYXJpYW5uZSBFLjwvYXV0aG9yPjwvYXV0aG9ycz48L2NvbnRyaWJ1dG9y
cz48dGl0bGVzPjx0aXRsZT5FeHRlbnNpb24gYXMgYSBNdWx0aWxldmVsIEJyaWRnaW5nIE9yZ2Fu
aXphdGlvbjogU3VwcG9ydGluZyBOZXR3b3JrZWQgRW52aXJvbm1lbnRhbCBHb3Zlcm5hbmNlPC90
aXRsZT48c2Vjb25kYXJ5LXRpdGxlPkpvdXJuYWwgb2YgRXh0ZW5zaW9uPC9zZWNvbmRhcnktdGl0
bGU+PC90aXRsZXM+PHBlcmlvZGljYWw+PGZ1bGwtdGl0bGU+Sm91cm5hbCBvZiBFeHRlbnNpb248
L2Z1bGwtdGl0bGU+PC9wZXJpb2RpY2FsPjx2b2x1bWU+NTc8L3ZvbHVtZT48bnVtYmVyPjU8L251
bWJlcj48ZGF0ZXM+PHllYXI+MjAxOTwveWVhcj48cHViLWRhdGVzPjxkYXRlPk9jdDwvZGF0ZT48
L3B1Yi1kYXRlcz48L2RhdGVzPjxpc2JuPjAwMjItMDE0MDwvaXNibj48YWNjZXNzaW9uLW51bT5X
T1M6MDAwNDkwNzY1ODAwMDAyPC9hY2Nlc3Npb24tbnVtPjx1cmxzPjxyZWxhdGVkLXVybHM+PHVy
bD4mbHQ7R28gdG8gSVNJJmd0OzovL1dPUzowMDA0OTA3NjU4MDAwMDI8L3VybD48L3JlbGF0ZWQt
dXJscz48L3VybHM+PGN1c3RvbTc+NWZlYTI8L2N1c3RvbTc+PC9yZWNvcmQ+PC9DaXRlPjwvRW5k
Tm90ZT5=
</w:fldData>
        </w:fldChar>
      </w:r>
      <w:r w:rsidR="00C14761" w:rsidRPr="00A9434B">
        <w:instrText xml:space="preserve"> ADDIN EN.CITE </w:instrText>
      </w:r>
      <w:r w:rsidR="00C14761" w:rsidRPr="00A9434B">
        <w:fldChar w:fldCharType="begin">
          <w:fldData xml:space="preserve">PEVuZE5vdGU+PENpdGU+PEF1dGhvcj5Fa2FuYXlha2U8L0F1dGhvcj48WWVhcj4yMDIwPC9ZZWFy
PjxSZWNOdW0+NDg5OTU8L1JlY051bT48RGlzcGxheVRleHQ+KFZhYXMsIERyaWVzc2VuIGV0IGFs
LiAyMDE3LCBOb3VyYW5pLCBEZWNrZXIgZXQgYWwuIDIwMTksIEVrYW5heWFrZSwgWGllIGV0IGFs
LiAyMDIwKTwvRGlzcGxheVRleHQ+PHJlY29yZD48cmVjLW51bWJlcj40ODk5NTwvcmVjLW51bWJl
cj48Zm9yZWlnbi1rZXlzPjxrZXkgYXBwPSJFTiIgZGItaWQ9ImF3eDlyYWRkcjB4eDJoZXYwNXJ4
cjB6MDV3ZWVwd3B0MGZleCIgdGltZXN0YW1wPSIxNTgxNDk3MzIwIj40ODk5NTwva2V5PjwvZm9y
ZWlnbi1rZXlzPjxyZWYtdHlwZSBuYW1lPSJKb3VybmFsIEFydGljbGUiPjE3PC9yZWYtdHlwZT48
Y29udHJpYnV0b3JzPjxhdXRob3JzPjxhdXRob3I+RWthbmF5YWtlLCBFLiBNLiBCLiBQLjwvYXV0
aG9yPjxhdXRob3I+WGllLCBZaTwvYXV0aG9yPjxhdXRob3I+SWJyYWhpbSwgQWJ1YmFrYXIgU2Fk
aXE8L2F1dGhvcj48YXV0aG9yPkthcnVuYXJhdG5lLCBOLiBULiBQLjwvYXV0aG9yPjxhdXRob3I+
QWhtYWQsIFNoYWh6YWQ8L2F1dGhvcj48L2F1dGhvcnM+PC9jb250cmlidXRvcnM+PHRpdGxlcz48
dGl0bGU+RWZmZWN0aXZlIGdvdmVybmFuY2UgZm9yIG1hbmFnZW1lbnQgb2YgaW52YXNpdmUgYWxp
ZW4gcGxhbnRzOiBldmlkZW5jZSBmcm9tIHRoZSBwZXJzcGVjdGl2ZSBvZiBmb3Jlc3QgYW5kIHdp
bGRsaWZlIG9mZmljZXJzIGluIFNyaSBMYW5rYTwvdGl0bGU+PHNlY29uZGFyeS10aXRsZT5QZWVy
ajwvc2Vjb25kYXJ5LXRpdGxlPjwvdGl0bGVzPjxwZXJpb2RpY2FsPjxmdWxsLXRpdGxlPlBlZXJq
PC9mdWxsLXRpdGxlPjwvcGVyaW9kaWNhbD48dm9sdW1lPjg8L3ZvbHVtZT48ZGF0ZXM+PHllYXI+
MjAyMDwveWVhcj48cHViLWRhdGVzPjxkYXRlPkphbiA2PC9kYXRlPjwvcHViLWRhdGVzPjwvZGF0
ZXM+PGlzYm4+MjE2Ny04MzU5PC9pc2JuPjxhY2Nlc3Npb24tbnVtPldPUzowMDA1MDY1NzU3MDAw
MTU8L2FjY2Vzc2lvbi1udW0+PHVybHM+PHJlbGF0ZWQtdXJscz48dXJsPiZsdDtHbyB0byBJU0km
Z3Q7Oi8vV09TOjAwMDUwNjU3NTcwMDAxNTwvdXJsPjwvcmVsYXRlZC11cmxzPjwvdXJscz48Y3Vz
dG9tNz5lODM0MzwvY3VzdG9tNz48ZWxlY3Ryb25pYy1yZXNvdXJjZS1udW0+MTAuNzcxNy9wZWVy
ai44MzQzPC9lbGVjdHJvbmljLXJlc291cmNlLW51bT48L3JlY29yZD48L0NpdGU+PENpdGU+PEF1
dGhvcj5WYWFzPC9BdXRob3I+PFllYXI+MjAxNzwvWWVhcj48UmVjTnVtPjQ5MDc2PC9SZWNOdW0+
PHJlY29yZD48cmVjLW51bWJlcj40OTA3NjwvcmVjLW51bWJlcj48Zm9yZWlnbi1rZXlzPjxrZXkg
YXBwPSJFTiIgZGItaWQ9ImF3eDlyYWRkcjB4eDJoZXYwNXJ4cjB6MDV3ZWVwd3B0MGZleCIgdGlt
ZXN0YW1wPSIxNTgxNDk3MzIwIj40OTA3Njwva2V5PjwvZm9yZWlnbi1rZXlzPjxyZWYtdHlwZSBu
YW1lPSJKb3VybmFsIEFydGljbGUiPjE3PC9yZWYtdHlwZT48Y29udHJpYnV0b3JzPjxhdXRob3Jz
PjxhdXRob3I+VmFhcywgSmV0c2tlPC9hdXRob3I+PGF1dGhvcj5Ecmllc3NlbiwgUGV0ZXIgUC4g
Si48L2F1dGhvcj48YXV0aG9yPkdpZXplbiwgTWVuZGVsPC9hdXRob3I+PGF1dGhvcj52YW4gTGFl
cmhvdmVuLCBGcmFuazwvYXV0aG9yPjxhdXRob3I+V2Fzc2VuLCBNYXJ0aW4gSi48L2F1dGhvcj48
L2F1dGhvcnM+PC9jb250cmlidXRvcnM+PHRpdGxlcz48dGl0bGU+V2hvJmFwb3M7cyBpbiBjaGFy
Z2UgaGVyZSBhbnl3YXk/IFBvbHljZW50cmljIGdvdmVybmFuY2UgY29uZmlndXJhdGlvbnMgYW5k
IHRoZSBkZXZlbG9wbWVudCBvZiBwb2xpY3kgb24gaW52YXNpdmUgYWxpZW4gc3BlY2llcyBpbiB0
aGUgc2VtaXNvdmVyZWlnbiBDYXJpYmJlYW48L3RpdGxlPjxzZWNvbmRhcnktdGl0bGU+RWNvbG9n
eSBhbmQgU29jaWV0eTwvc2Vjb25kYXJ5LXRpdGxlPjwvdGl0bGVzPjxwZXJpb2RpY2FsPjxmdWxs
LXRpdGxlPkVjb2xvZ3kgYW5kIFNvY2lldHk8L2Z1bGwtdGl0bGU+PGFiYnItMT5FY29sLiBTb2Mu
PC9hYmJyLTE+PGFiYnItMj5FY29sIFNvYzwvYWJici0yPjwvcGVyaW9kaWNhbD48dm9sdW1lPjIy
PC92b2x1bWU+PG51bWJlcj40PC9udW1iZXI+PGRhdGVzPjx5ZWFyPjIwMTc8L3llYXI+PHB1Yi1k
YXRlcz48ZGF0ZT4yMDE3PC9kYXRlPjwvcHViLWRhdGVzPjwvZGF0ZXM+PGlzYm4+MTcwOC0zMDg3
PC9pc2JuPjxhY2Nlc3Npb24tbnVtPldPUzowMDA0MTkzNTEwMDAwMDM8L2FjY2Vzc2lvbi1udW0+
PHVybHM+PHJlbGF0ZWQtdXJscz48dXJsPiZsdDtHbyB0byBJU0kmZ3Q7Oi8vV09TOjAwMDQxOTM1
MTAwMDAwMzwvdXJsPjwvcmVsYXRlZC11cmxzPjwvdXJscz48Y3VzdG9tNz4xPC9jdXN0b203Pjxl
bGVjdHJvbmljLXJlc291cmNlLW51bT4xMC41NzUxL2VzLTA5NDg3LTIyMDQwMTwvZWxlY3Ryb25p
Yy1yZXNvdXJjZS1udW0+PC9yZWNvcmQ+PC9DaXRlPjxDaXRlPjxBdXRob3I+Tm91cmFuaTwvQXV0
aG9yPjxZZWFyPjIwMTk8L1llYXI+PFJlY051bT40OTAwNDwvUmVjTnVtPjxyZWNvcmQ+PHJlYy1u
dW1iZXI+NDkwMDQ8L3JlYy1udW1iZXI+PGZvcmVpZ24ta2V5cz48a2V5IGFwcD0iRU4iIGRiLWlk
PSJhd3g5cmFkZHIweHgyaGV2MDVyeHIwejA1d2VlcHdwdDBmZXgiIHRpbWVzdGFtcD0iMTU4MTQ5
NzMyMCI+NDkwMDQ8L2tleT48L2ZvcmVpZ24ta2V5cz48cmVmLXR5cGUgbmFtZT0iSm91cm5hbCBB
cnRpY2xlIj4xNzwvcmVmLXR5cGU+PGNvbnRyaWJ1dG9ycz48YXV0aG9ycz48YXV0aG9yPk5vdXJh
bmksIFNhbGx5IFcuPC9hdXRob3I+PGF1dGhvcj5EZWNrZXIsIERhbmllbCBKLjwvYXV0aG9yPjxh
dXRob3I+S3Jhc255LCBNYXJpYW5uZSBFLjwvYXV0aG9yPjwvYXV0aG9ycz48L2NvbnRyaWJ1dG9y
cz48dGl0bGVzPjx0aXRsZT5FeHRlbnNpb24gYXMgYSBNdWx0aWxldmVsIEJyaWRnaW5nIE9yZ2Fu
aXphdGlvbjogU3VwcG9ydGluZyBOZXR3b3JrZWQgRW52aXJvbm1lbnRhbCBHb3Zlcm5hbmNlPC90
aXRsZT48c2Vjb25kYXJ5LXRpdGxlPkpvdXJuYWwgb2YgRXh0ZW5zaW9uPC9zZWNvbmRhcnktdGl0
bGU+PC90aXRsZXM+PHBlcmlvZGljYWw+PGZ1bGwtdGl0bGU+Sm91cm5hbCBvZiBFeHRlbnNpb248
L2Z1bGwtdGl0bGU+PC9wZXJpb2RpY2FsPjx2b2x1bWU+NTc8L3ZvbHVtZT48bnVtYmVyPjU8L251
bWJlcj48ZGF0ZXM+PHllYXI+MjAxOTwveWVhcj48cHViLWRhdGVzPjxkYXRlPk9jdDwvZGF0ZT48
L3B1Yi1kYXRlcz48L2RhdGVzPjxpc2JuPjAwMjItMDE0MDwvaXNibj48YWNjZXNzaW9uLW51bT5X
T1M6MDAwNDkwNzY1ODAwMDAyPC9hY2Nlc3Npb24tbnVtPjx1cmxzPjxyZWxhdGVkLXVybHM+PHVy
bD4mbHQ7R28gdG8gSVNJJmd0OzovL1dPUzowMDA0OTA3NjU4MDAwMDI8L3VybD48L3JlbGF0ZWQt
dXJscz48L3VybHM+PGN1c3RvbTc+NWZlYTI8L2N1c3RvbTc+PC9yZWNvcmQ+PC9DaXRlPjwvRW5k
Tm90ZT5=
</w:fldData>
        </w:fldChar>
      </w:r>
      <w:r w:rsidR="00C14761" w:rsidRPr="00A9434B">
        <w:instrText xml:space="preserve"> ADDIN EN.CITE.DATA </w:instrText>
      </w:r>
      <w:r w:rsidR="00C14761" w:rsidRPr="00A9434B">
        <w:fldChar w:fldCharType="end"/>
      </w:r>
      <w:r w:rsidR="00C14761" w:rsidRPr="00A9434B">
        <w:fldChar w:fldCharType="separate"/>
      </w:r>
      <w:r w:rsidR="005D0547" w:rsidRPr="00A9434B">
        <w:fldChar w:fldCharType="begin"/>
      </w:r>
      <w:r w:rsidR="0006613E">
        <w:instrText xml:space="preserve"> ADDIN ZOTERO_ITEM CSL_CITATION {"citationID":"a21l2h33ljf","properties":{"formattedCitation":"\\uldash{(Ekanayake et al., 2020; Nourani et al., 2019; Vaas et al., 2017)}","plainCitation":"(Ekanayake et al., 2020; Nourani et al., 2019; Vaas et al., 2017)","dontUpdate":true,"noteIndex":0},"citationItems":[{"id":11350,"uris":["http://zotero.org/groups/2352922/items/U6EMKXQ4"],"itemData":{"id":11350,"type":"article-journal","abstract":"Invasive alien plants (IAPs) are a significant cause of socio-ecological change in Sri Lanka. Many studies have focused on the ecological dimensions of this problem, but few have addressed sociological factors such as the knowledge and perceptions of individuals and groups tasked with addressing IAPs. This study investigates how IAP issues are understood and perceived by professional forest and wildlife officers in Sri Lanka. The data analyzed were gathered using a questionnaire that covered three themes: The respondents' ability to identify IAPs, the impacts of IAPs and the threats they pose, and knowledge regarding control and mitigation. The questionnaire was completed by 186 field officers, and the resulting descriptive statistics and a probit regression analysis were used to analyze the data. The results show that almost all of the participating forest and wildlife officers were aware of the problems associated with IAPs but more than 75% of them lacked an accurate understanding of scientific means for controlling them and control policies established by the government of Sri Lanka. Generally, wildlife officers had a better understanding than forest officers. In addition, the analysis shows that officers' knowledge and perceptions of IAPs were positively correlated with their level of education and position within the organization. The analysis points to several recommendations for Sri Lankan officials when designing and implementing comprehensive policies and professional programs, particularly for lower-level field officers. © 2020 Ekanayake et al.","container-title":"PeerJ","DOI":"10.7717/peerj.8343","ISSN":"2167-8359","issue":"1","page":"e8343","title":"Effective governance for management of invasive alien plants: Evidence from the perspective of forest and wildlife officers in Sri Lanka","URL":"https://www.scopus.com/inward/record.uri?eid=2-s2.0-85078042073&amp;doi=10.7717%2fpeerj.8343&amp;partnerID=40&amp;md5=91fc511e59a5dc9a47ffd78acc069af8","volume":"8","author":[{"family":"Ekanayake","given":"E.M.B.P."},{"family":"Xie","given":"Y."},{"family":"Ibrahim","given":"A.S."},{"family":"Karunaratne","given":"N.T.P."},{"family":"Ahmad","given":"S."}],"issued":{"date-parts":[["2020"]]}},"label":"page"},{"id":23792,"uris":["http://zotero.org/groups/2352922/items/7MKNKPM5"],"itemData":{"id":23792,"type":"article-journal","container-title":"Journal of Extension","ISSN":"0022-0140","issue":"5","title":"Extension as a Multilevel Bridging Organization: Supporting Networked Environmental Governance","URL":"https://archives.joe.org/joe/2019october/a2.php","volume":"57","author":[{"family":"Nourani","given":"Sally W."},{"family":"Decker","given":"Daniel J."},{"family":"Krasny","given":"Marianne E."}],"issued":{"date-parts":[["2019",10]]}},"label":"page"},{"id":11426,"uris":["http://zotero.org/groups/2352922/items/I2E6MVQB"],"itemData":{"id":11426,"type":"article-journal","abstract":"We address the development of policy by polycentric governance configurations, taking Caribbean overseas territories and their advancements on invasive alien species (IAS) policy as an example. The British, Dutch, and French islands in the Caribbean address this matter to different degrees, which we analyzed through differences in their type of polycentric governance configuration with their respective European counterpart. We employ a continuum ranging from predominantly polycentric to predominantly monocentric governance configurations to characterize the three case studies. Based on semistructured interviews with government actors, park managers, and NGO employees on Anguilla, Guadeloupe, and St. Eustatius, plus a literature study, we characterize St. Eustatius as highly polycentric and Guadeloupe as becoming increasingly polycentric. Anguilla cannot be considered either of the two, given the virtually absent involvement of the UK. Policy development on IAS showed most progress in Guadeloupe, whereas in Anguilla and St. Eustatius, IAS management is ad hoc. Within these cases, the hampering effect of dispute about the functioning of the configuration was clear. For Guadeloupe, increasing autonomy to decide on policy priorities within a coherent system where standards are set and ample resources made available appears conducive to policy development. That same balance inherent to polycentric systems between autonomy and coherence is hard to strike for St. Eustatius, and currently mainly perceived as a trade-off, hampering policy development. By discussing these three cases, this study illustrates how different polycentric configurations can affect policy development.","container-title":"Ecology and Society","DOI":"10.5751/ES-09487-220401","ISSN":"1708-3087","issue":"4","journalAbbreviation":"E&amp;S","language":"en","page":"1","source":"DOI.org (Crossref)","title":"Who's in charge here anyway? Polycentric governance configurations and the development of policy on invasive alien species in the semisovereign Caribbean","title-short":"Who's in charge here anyway?","URL":"https://www.ecologyandsociety.org/vol22/iss4/art1/","volume":"22","author":[{"family":"Vaas","given":"Jetske"},{"family":"Driessen","given":"Peter P. J."},{"family":"Giezen","given":"Mendel"},{"family":"Laerhoven","given":"Frank","non-dropping-particle":"van"},{"family":"Wassen","given":"Martin J."}],"accessed":{"date-parts":[["2019",11,6]]},"issued":{"date-parts":[["2017"]]}},"label":"page"}],"schema":"https://github.com/citation-style-language/schema/raw/master/csl-citation.json"} </w:instrText>
      </w:r>
      <w:r w:rsidR="005D0547" w:rsidRPr="00A9434B">
        <w:fldChar w:fldCharType="separate"/>
      </w:r>
      <w:r w:rsidR="00C67333" w:rsidRPr="00A9434B">
        <w:t>(Ekanayake et al., 2020; Nourani et al., 2019; Vaas et al., 2017</w:t>
      </w:r>
      <w:r w:rsidR="005D0547" w:rsidRPr="00A9434B">
        <w:fldChar w:fldCharType="end"/>
      </w:r>
      <w:r w:rsidR="00C14761" w:rsidRPr="00A9434B">
        <w:fldChar w:fldCharType="end"/>
      </w:r>
      <w:r w:rsidR="007B64F3" w:rsidRPr="00A9434B">
        <w:t>;</w:t>
      </w:r>
      <w:r w:rsidR="50BF3F57" w:rsidRPr="00A9434B">
        <w:t xml:space="preserve"> </w:t>
      </w:r>
      <w:r w:rsidR="65092944" w:rsidRPr="00673554">
        <w:rPr>
          <w:b/>
          <w:iCs/>
        </w:rPr>
        <w:t>s</w:t>
      </w:r>
      <w:r w:rsidR="50BF3F57" w:rsidRPr="00673554">
        <w:rPr>
          <w:b/>
          <w:iCs/>
        </w:rPr>
        <w:t>ection</w:t>
      </w:r>
      <w:r w:rsidR="007B64F3" w:rsidRPr="00673554">
        <w:rPr>
          <w:b/>
          <w:iCs/>
        </w:rPr>
        <w:t>s 6.2.4</w:t>
      </w:r>
      <w:r w:rsidR="007B64F3" w:rsidRPr="00673554">
        <w:rPr>
          <w:b/>
        </w:rPr>
        <w:t xml:space="preserve"> </w:t>
      </w:r>
      <w:r w:rsidR="007B64F3" w:rsidRPr="00CB08B6">
        <w:t>and</w:t>
      </w:r>
      <w:r w:rsidR="50BF3F57" w:rsidRPr="00673554">
        <w:rPr>
          <w:b/>
          <w:iCs/>
        </w:rPr>
        <w:t xml:space="preserve"> 6.4</w:t>
      </w:r>
      <w:r w:rsidR="50BF3F57" w:rsidRPr="00A9434B">
        <w:t>)</w:t>
      </w:r>
      <w:r w:rsidRPr="00A9434B">
        <w:t xml:space="preserve">. </w:t>
      </w:r>
      <w:r w:rsidR="00C25E77">
        <w:t>International networks and partnerships play a decisive role in sharing information, capacity</w:t>
      </w:r>
      <w:r w:rsidR="00C27DCE">
        <w:t>-</w:t>
      </w:r>
      <w:r w:rsidR="00C25E77">
        <w:t xml:space="preserve">building, promoting collaboration, and sharing novel tools and techniques to manage biological invasions </w:t>
      </w:r>
      <w:r w:rsidR="00F806B6" w:rsidRPr="00A9434B">
        <w:t>(</w:t>
      </w:r>
      <w:r w:rsidR="00CB08B6">
        <w:rPr>
          <w:b/>
          <w:iCs/>
        </w:rPr>
        <w:t>C</w:t>
      </w:r>
      <w:r w:rsidR="12B32993" w:rsidRPr="00673554">
        <w:rPr>
          <w:b/>
          <w:iCs/>
        </w:rPr>
        <w:t>hapter 5</w:t>
      </w:r>
      <w:r w:rsidR="00F14525" w:rsidRPr="00673554">
        <w:rPr>
          <w:iCs/>
        </w:rPr>
        <w:t>,</w:t>
      </w:r>
      <w:r w:rsidR="00F14525" w:rsidRPr="00673554">
        <w:rPr>
          <w:b/>
          <w:iCs/>
        </w:rPr>
        <w:t xml:space="preserve"> section 5.6.3.1</w:t>
      </w:r>
      <w:r w:rsidR="12B32993" w:rsidRPr="00A9434B">
        <w:t xml:space="preserve">). For example, sharing of knowledge between native and invaded ranges </w:t>
      </w:r>
      <w:r w:rsidR="00F806B6" w:rsidRPr="00A9434B">
        <w:t>(</w:t>
      </w:r>
      <w:r w:rsidR="00CB08B6">
        <w:rPr>
          <w:b/>
          <w:iCs/>
        </w:rPr>
        <w:t>G</w:t>
      </w:r>
      <w:r w:rsidR="00F0346E" w:rsidRPr="00673554">
        <w:rPr>
          <w:b/>
          <w:iCs/>
        </w:rPr>
        <w:t>lossary</w:t>
      </w:r>
      <w:r w:rsidR="00F0346E" w:rsidRPr="00A9434B">
        <w:t xml:space="preserve">) </w:t>
      </w:r>
      <w:r w:rsidR="12B32993" w:rsidRPr="00A9434B">
        <w:t xml:space="preserve">helps to predict entry and establishment risks and the potential impacts of alien species </w:t>
      </w:r>
      <w:r w:rsidR="005D0547" w:rsidRPr="00A9434B">
        <w:fldChar w:fldCharType="begin"/>
      </w:r>
      <w:r w:rsidR="0006613E">
        <w:instrText xml:space="preserve"> ADDIN ZOTERO_ITEM CSL_CITATION {"citationID":"aem3rj1l34","properties":{"formattedCitation":"(Nourani et al., 2018)","plainCitation":"(Nourani et al., 2018)","noteIndex":0},"citationItems":[{"id":10793,"uris":["http://zotero.org/groups/2352922/items/HHBPHS6N"],"itemData":{"id":10793,"type":"article-journal","abstract":"Invasive species can create economic and safety concerns. Responding to invasive species requires communication of research, localized management, and collaboration across jurisdictional boundaries. We examined the use of adaptive comanagement in three New York counties to mitigate the impacts of emerald ash borer, a wood-boring beetle that causes widespread death of ash trees. We assessed learning along three typologies (cognitive, normative, and relational), linking (through network analysis), and connections of learning and linking to management outcomes. Findings indicate that knowledge networks were built through task forces that brought together local and state government, university, and private stakeholders. In addition, this study suggests types of learning that are needed for stakeholders to respond to invasive species management.","container-title":"Ecology and Society","DOI":"10.5751/ES-10327-230329","ISSN":"1708-3087","issue":"3","journalAbbreviation":"E&amp;S","language":"en","page":"29","source":"DOI.org (Crossref)","title":"Learning and linking for invasive species management","URL":"https://www.ecologyandsociety.org/vol23/iss3/art29/","volume":"23","author":[{"family":"Nourani","given":"Sally W."},{"family":"Krasny","given":"Marianne E."},{"family":"Decker","given":"Daniel J."}],"accessed":{"date-parts":[["2019",11,28]]},"issued":{"date-parts":[["2018"]]}},"label":"page"}],"schema":"https://github.com/citation-style-language/schema/raw/master/csl-citation.json"} </w:instrText>
      </w:r>
      <w:r w:rsidR="005D0547" w:rsidRPr="00A9434B">
        <w:fldChar w:fldCharType="separate"/>
      </w:r>
      <w:r w:rsidR="00C71E80" w:rsidRPr="00A9434B">
        <w:t>(Nourani et al., 2018)</w:t>
      </w:r>
      <w:r w:rsidR="005D0547" w:rsidRPr="00A9434B">
        <w:fldChar w:fldCharType="end"/>
      </w:r>
      <w:r w:rsidR="12B32993" w:rsidRPr="00A9434B">
        <w:t xml:space="preserve">. International collaboration is critical in managing biological invasions since the alien species are mobile and do not respect political or legal boundaries </w:t>
      </w:r>
      <w:r w:rsidR="005D0547" w:rsidRPr="00A9434B">
        <w:fldChar w:fldCharType="begin"/>
      </w:r>
      <w:r w:rsidR="0006613E">
        <w:instrText xml:space="preserve"> ADDIN ZOTERO_ITEM CSL_CITATION {"citationID":"a2in1g6hisl","properties":{"formattedCitation":"(Graham et al., 2019)","plainCitation":"(Graham et al., 2019)","noteIndex":0},"citationItems":[{"id":53412,"uris":["http://zotero.org/groups/2352922/items/CBLM2JWC","http://zotero.org/groups/2352922/items/7NSVFK8W"],"itemData":{"id":53412,"type":"article-journal","container-title":"Conservation Biology","DOI":"10.1111/cobi.13266","ISSN":"0888-8892, 1523-1739","issue":"2","journalAbbreviation":"Conservation Biology","language":"en","page":"275-287","source":"DOI.org (Crossref)","title":"Opportunities for better use of collective action theory in research and governance for invasive species management","URL":"https://onlinelibrary.wiley.com/doi/10.1111/cobi.13266","volume":"33","author":[{"family":"Graham","given":"Sonia"},{"family":"Metcalf","given":"Alexander L."},{"family":"Gill","given":"Nicholas"},{"family":"Niemiec","given":"Rebecca"},{"family":"Moreno","given":"Carlo"},{"family":"Bach","given":"Thomas"},{"family":"Ikutegbe","given":"Victoria"},{"family":"Hallstrom","given":"Lars"},{"family":"Ma","given":"Zhao"},{"family":"Lubeck","given":"Alice"}],"accessed":{"date-parts":[["2022",9,14]]},"issued":{"date-parts":[["2019",4]]}},"label":"page"}],"schema":"https://github.com/citation-style-language/schema/raw/master/csl-citation.json"} </w:instrText>
      </w:r>
      <w:r w:rsidR="005D0547" w:rsidRPr="00A9434B">
        <w:fldChar w:fldCharType="separate"/>
      </w:r>
      <w:r w:rsidR="00C71E80" w:rsidRPr="00A9434B">
        <w:t>(Graham et al., 2019)</w:t>
      </w:r>
      <w:r w:rsidR="005D0547" w:rsidRPr="00A9434B">
        <w:fldChar w:fldCharType="end"/>
      </w:r>
      <w:r w:rsidR="12B32993" w:rsidRPr="00A9434B">
        <w:t>.</w:t>
      </w:r>
    </w:p>
    <w:p w14:paraId="41889B4F" w14:textId="0DE6F08B" w:rsidR="005A1948" w:rsidRPr="00A9434B" w:rsidRDefault="326765F3" w:rsidP="7971424E">
      <w:pPr>
        <w:rPr>
          <w:lang w:eastAsia="en-US"/>
        </w:rPr>
      </w:pPr>
      <w:r w:rsidRPr="00A9434B">
        <w:rPr>
          <w:lang w:eastAsia="en-US"/>
        </w:rPr>
        <w:t xml:space="preserve">Governance </w:t>
      </w:r>
      <w:r w:rsidR="008C4602" w:rsidRPr="00A9434B">
        <w:rPr>
          <w:lang w:eastAsia="en-US"/>
        </w:rPr>
        <w:t>for biological invasions</w:t>
      </w:r>
      <w:r w:rsidRPr="00A9434B">
        <w:rPr>
          <w:lang w:eastAsia="en-US"/>
        </w:rPr>
        <w:t xml:space="preserve"> is therefore in part a collective action problem that </w:t>
      </w:r>
      <w:r w:rsidR="56E7ABB6" w:rsidRPr="00A9434B">
        <w:rPr>
          <w:lang w:eastAsia="en-US"/>
        </w:rPr>
        <w:t>provides</w:t>
      </w:r>
      <w:r w:rsidRPr="00A9434B">
        <w:rPr>
          <w:lang w:eastAsia="en-US"/>
        </w:rPr>
        <w:t xml:space="preserve"> collaborative solutions </w:t>
      </w:r>
      <w:r w:rsidR="00C14761" w:rsidRPr="00A9434B">
        <w:rPr>
          <w:lang w:eastAsia="en-US"/>
        </w:rPr>
        <w:fldChar w:fldCharType="begin"/>
      </w:r>
      <w:r w:rsidR="0006613E">
        <w:rPr>
          <w:lang w:eastAsia="en-US"/>
        </w:rPr>
        <w:instrText xml:space="preserve"> ADDIN ZOTERO_ITEM CSL_CITATION {"citationID":"a1asua7gnmt","properties":{"unsorted":true,"formattedCitation":"(Hershdorfer et al., 2007; Epanchin-Niell et al., 2010; McLeod &amp; Saunders, 2011; Bagavathiannan et al., 2019)","plainCitation":"(Hershdorfer et al., 2007; Epanchin-Niell et al., 2010; McLeod &amp; Saunders, 2011; Bagavathiannan et al., 2019)","noteIndex":0},"citationItems":[{"id":23965,"uris":["http://zotero.org/groups/2352922/items/FF5QVLTE"],"itemData":{"id":23965,"type":"article-journal","container-title":"Rangeland Ecology and Management","DOI":"10.2111/1551-5028(2007)60[225:KAITPO]2.0.CO;2","ISSN":"1550-7424","issue":"3","language":"English (US)","note":"publisher: Society for Range Management","page":"225-234","source":"arizona.pure.elsevier.com","title":"Key attributes influence the performance of local weed management programs in the southwest United States","URL":"https://arizona.pure.elsevier.com/en/publications/key-attributes-influence-the-performance-of-local-weed-management","volume":"60","author":[{"family":"Hershdorfer","given":"Mary E."},{"family":"Fernandez-Gimenez","given":"Maria E."},{"family":"Howery","given":"Larry D."}],"accessed":{"date-parts":[["2020",8,26]]},"issued":{"date-parts":[["2007",5]]}},"label":"page"},{"id":27185,"uris":["http://zotero.org/groups/2352922/items/UFCYAVUU"],"itemData":{"id":27185,"type":"article-journal","abstract":"Control of biological invasions depends on the collective decisions of resource managers across invasion zones. Regions with high land-use diversity, which we refer to as “management mosaics”, may be subject to severe invasions, for two main reasons. First, as land becomes increasingly subdivided, each manager assumes responsibility for a smaller portion of the total damages imposed by invasive species; the incentive to control invasives is therefore diminished. Secondly, managers opting not to control the invasion increase control costs for neighboring land managers by allowing their lands to act as an invader propagule source. Coordination among managers can help mitigate these effects, but greater numbers – and a wider variety – of land managers occupying a region hinder collective action. Here, we discuss the challenges posed by management mosaics, using a case study of the yellow starthistle (Centaurea solstitialis) invasion in the Sierra Nevada foothills of California. We suggest that the incorporation of management mosaic dynamics into invasive species research and management is essential for successful control of invasions, and provide recommendations to address this need.","container-title":"Frontiers in Ecology and the Environment","DOI":"10.1890/090029","ISSN":"1540-9309","issue":"4","language":"en","license":"© The Ecological Society of America","page":"210-216","source":"Wiley Online Library","title":"Controlling invasive species in complex social landscapes","URL":"https://esajournals.onlinelibrary.wiley.com/doi/abs/10.1890/090029","volume":"8","author":[{"family":"Epanchin-Niell","given":"Rebecca S."},{"family":"Hufford","given":"Matthew B."},{"family":"Aslan","given":"Clare E."},{"family":"Sexton","given":"Jason P."},{"family":"Port","given":"Jeffrey D."},{"family":"Waring","given":"Timothy M."}],"accessed":{"date-parts":[["2019",10,24]]},"issued":{"date-parts":[["2010"]]}},"label":"page"},{"id":23962,"uris":["http://zotero.org/groups/2352922/items/DJVJIJY5"],"itemData":{"id":23962,"type":"article-journal","abstract":"Red fox (Vulpes vulpes) predation impacts on the populations of many preferred species throughout its range and so is the target of continuous control programs. Research has shown that effective long-term control of this pest requires a critical mass of land managers in an area to participate, but under current legislation fox management is not mandatory on private lands in NSW, and hence participation in management programs is voluntary. The declaration of an animal as a pest under the Rural Lands Protection Act 1998 places an obligation on land managers to implement fox-management programs. Three-quarters of land managers surveyed thought the fox should be a declared pest in NSW. We investigated the impact that the introduction of such legislation would have on land managers and the government enforcement agency in a small area of rural NSW. Reasons for and against the introduction of legislation are discussed, along with alternate solutions to improve regional fox management programs across Australia.","container-title":"Australasian Journal of Environmental Management","DOI":"10.1080/14486563.2011.621409","ISSN":"1448-6563","issue":"4","note":"publisher: Taylor &amp; Francis\n_eprint: https://doi.org/10.1080/14486563.2011.621409","page":"248-259","source":"Taylor and Francis+NEJM","title":"Can legislation improve the effectiveness of fox control in NSW?","URL":"https://doi.org/10.1080/14486563.2011.621409","volume":"18","author":[{"family":"McLeod","given":"L. J."},{"family":"Saunders","given":"G. R."}],"accessed":{"date-parts":[["2020",8,26]]},"issued":{"date-parts":[["2011",12,1]]}},"label":"page"},{"id":23970,"uris":["http://zotero.org/groups/2352922/items/XWQSJHX7"],"itemData":{"id":23970,"type":"article-journal","abstract":"Weeds pose severe threats to agricultural and natural landscapes worldwide. One major reason for the failure to effectively manage weeds at landscape scales is that current Best Management Practice guidelines, and research on how to improve such guidelines, focus too narrowly on property-level management decisions. Insufficiently considered are the aggregate effects of individual actions to determine landscape-scale outcomes, or whether there are collective practices that would improve weed management outcomes. Here, we frame landscape-scale weed management as a social dilemma, where trade-offs occur between individual and collective interests. We apply a transdisciplinary system approach-integrating the perspectives of ecologists, evolutionary biologists and agronomists into a social science theory of social dilemmas-to four landscape-scale weed management challenges: (i) achieving plant biosecurity, (ii) preventing weed seed contamination, (iii) maintaining herbicide susceptibility and (iv) sustainably using biological control. We describe how these four challenges exhibit characteristics of 'public good problems', wherein effective weed management requires the active contributions of multiple actors, while benefits are not restricted to these contributors. Adequate solutions to address these public good challenges often involve a subset of the eight design principles developed by Elinor Ostrom for 'common pool social dilemmas', together with design principles that reflect the public good nature of the problems. This paper is a call to action for scholars and practitioners to broaden our conceptualization and approaches to weed management problems. Such progress begins by evaluating the public good characteristics of specific weed management challenges and applying context-specific design principles to realize successful and sustainable weed management.","container-title":"Nature Plants","DOI":"10.1038/s41477-019-0395-y","ISSN":"2055-0278","issue":"4","journalAbbreviation":"Nat Plants","language":"eng","note":"PMID: 30962531","page":"343-351","source":"PubMed","title":"Considering weed management as a social dilemma bridges individual and collective interests","volume":"5","author":[{"family":"Bagavathiannan","given":"Muthukumar V."},{"family":"Graham","given":"Sonia"},{"family":"Ma","given":"Zhao"},{"family":"Barney","given":"Jacob N."},{"family":"Coutts","given":"Shaun R."},{"family":"Caicedo","given":"Ana L."},{"family":"De Clerck-Floate","given":"Rosemarie"},{"family":"West","given":"Natalie M."},{"family":"Blank","given":"Lior"},{"family":"Metcalf","given":"Alexander L."},{"family":"Lacoste","given":"Myrtille"},{"family":"Moreno","given":"Carlo R."},{"family":"Evans","given":"Jeffrey A."},{"family":"Burke","given":"Ian"},{"family":"Beckie","given":"Hugh"}],"issued":{"date-parts":[["2019"]]}},"label":"page"}],"schema":"https://github.com/citation-style-language/schema/raw/master/csl-citation.json"} </w:instrText>
      </w:r>
      <w:r w:rsidR="00C14761" w:rsidRPr="00A9434B">
        <w:rPr>
          <w:lang w:eastAsia="en-US"/>
        </w:rPr>
        <w:fldChar w:fldCharType="separate"/>
      </w:r>
      <w:r w:rsidR="00C71E80" w:rsidRPr="00A9434B">
        <w:t>(Hershdorfer et al., 2007; Epanchin-Niell et al., 2010; McLeod &amp; Saunders, 2011; Bagavathiannan et al., 2019)</w:t>
      </w:r>
      <w:r w:rsidR="00C14761" w:rsidRPr="00A9434B">
        <w:rPr>
          <w:lang w:eastAsia="en-US"/>
        </w:rPr>
        <w:fldChar w:fldCharType="end"/>
      </w:r>
      <w:r w:rsidRPr="00A9434B">
        <w:rPr>
          <w:lang w:eastAsia="en-US"/>
        </w:rPr>
        <w:t xml:space="preserve"> including</w:t>
      </w:r>
      <w:r w:rsidR="7223A084" w:rsidRPr="00A9434B">
        <w:rPr>
          <w:lang w:eastAsia="en-US"/>
        </w:rPr>
        <w:t>,</w:t>
      </w:r>
      <w:r w:rsidRPr="00A9434B">
        <w:rPr>
          <w:lang w:eastAsia="en-US"/>
        </w:rPr>
        <w:t xml:space="preserve"> for example</w:t>
      </w:r>
      <w:r w:rsidR="40CCC56D" w:rsidRPr="00A9434B">
        <w:rPr>
          <w:lang w:eastAsia="en-US"/>
        </w:rPr>
        <w:t>,</w:t>
      </w:r>
      <w:r w:rsidRPr="00A9434B">
        <w:rPr>
          <w:lang w:eastAsia="en-US"/>
        </w:rPr>
        <w:t xml:space="preserve"> public-private partnerships</w:t>
      </w:r>
      <w:r w:rsidR="009D4056" w:rsidRPr="00A9434B">
        <w:rPr>
          <w:lang w:eastAsia="en-US"/>
        </w:rPr>
        <w:t xml:space="preserve"> </w:t>
      </w:r>
      <w:r w:rsidR="00C14761" w:rsidRPr="00A9434B">
        <w:rPr>
          <w:lang w:eastAsia="en-US"/>
        </w:rPr>
        <w:fldChar w:fldCharType="begin"/>
      </w:r>
      <w:r w:rsidR="0006613E">
        <w:rPr>
          <w:lang w:eastAsia="en-US"/>
        </w:rPr>
        <w:instrText xml:space="preserve"> ADDIN ZOTERO_ITEM CSL_CITATION {"citationID":"a2g346981v6","properties":{"formattedCitation":"(Mato-Amboage et al., 2019)","plainCitation":"(Mato-Amboage et al., 2019)","noteIndex":0},"citationItems":[{"id":53377,"uris":["http://zotero.org/groups/2352922/items/JF9SL9E4"],"itemData":{"id":53377,"type":"article-journal","container-title":"Journal of agricultural economics","DOI":"10.1111/1477-9552.12315","issue":"3","note":"ISBN: 0021-857X\npublisher: Wiley Online Library","page":"771-788","title":"Public–private partnerships for biosecurity: an opportunity for risk sharing","volume":"70","author":[{"family":"Mato-Amboage","given":"Rosa"},{"family":"Pitchford","given":"Jonathan W."},{"family":"Touza","given":"Julia"}],"issued":{"date-parts":[["2019"]]}},"label":"page"}],"schema":"https://github.com/citation-style-language/schema/raw/master/csl-citation.json"} </w:instrText>
      </w:r>
      <w:r w:rsidR="00C14761" w:rsidRPr="00A9434B">
        <w:rPr>
          <w:lang w:eastAsia="en-US"/>
        </w:rPr>
        <w:fldChar w:fldCharType="separate"/>
      </w:r>
      <w:r w:rsidR="00E452E2" w:rsidRPr="00E452E2">
        <w:t>(Mato-Amboage et al., 2019)</w:t>
      </w:r>
      <w:r w:rsidR="00C14761" w:rsidRPr="00A9434B">
        <w:rPr>
          <w:lang w:eastAsia="en-US"/>
        </w:rPr>
        <w:fldChar w:fldCharType="end"/>
      </w:r>
      <w:r w:rsidRPr="00A9434B">
        <w:rPr>
          <w:lang w:eastAsia="en-US"/>
        </w:rPr>
        <w:t xml:space="preserve">. As outlined earlier, the mobility of </w:t>
      </w:r>
      <w:r w:rsidRPr="00A9434B">
        <w:t>invasive alien species</w:t>
      </w:r>
      <w:r w:rsidRPr="00A9434B">
        <w:rPr>
          <w:lang w:eastAsia="en-US"/>
        </w:rPr>
        <w:t xml:space="preserve"> means that </w:t>
      </w:r>
      <w:r w:rsidR="0F76683D" w:rsidRPr="00A9434B">
        <w:rPr>
          <w:lang w:eastAsia="en-US"/>
        </w:rPr>
        <w:t>prevent</w:t>
      </w:r>
      <w:r w:rsidR="5C318210" w:rsidRPr="00A9434B">
        <w:rPr>
          <w:lang w:eastAsia="en-US"/>
        </w:rPr>
        <w:t>ing</w:t>
      </w:r>
      <w:r w:rsidRPr="00A9434B">
        <w:rPr>
          <w:lang w:eastAsia="en-US"/>
        </w:rPr>
        <w:t xml:space="preserve"> </w:t>
      </w:r>
      <w:r w:rsidR="78049A25" w:rsidRPr="00A9434B">
        <w:rPr>
          <w:lang w:eastAsia="en-US"/>
        </w:rPr>
        <w:t xml:space="preserve">spread </w:t>
      </w:r>
      <w:r w:rsidRPr="00A9434B">
        <w:rPr>
          <w:lang w:eastAsia="en-US"/>
        </w:rPr>
        <w:t>and mana</w:t>
      </w:r>
      <w:r w:rsidR="0F76683D" w:rsidRPr="00A9434B">
        <w:rPr>
          <w:lang w:eastAsia="en-US"/>
        </w:rPr>
        <w:t>ging</w:t>
      </w:r>
      <w:r w:rsidRPr="00A9434B">
        <w:rPr>
          <w:lang w:eastAsia="en-US"/>
        </w:rPr>
        <w:t xml:space="preserve"> established populations </w:t>
      </w:r>
      <w:r w:rsidR="56E7ABB6" w:rsidRPr="00A9434B">
        <w:rPr>
          <w:lang w:eastAsia="en-US"/>
        </w:rPr>
        <w:t>can be achieved through</w:t>
      </w:r>
      <w:r w:rsidRPr="00A9434B">
        <w:rPr>
          <w:lang w:eastAsia="en-US"/>
        </w:rPr>
        <w:t xml:space="preserve"> cooperation and coordination across property and jurisdictional boundaries </w:t>
      </w:r>
      <w:r w:rsidR="00C14761" w:rsidRPr="00A9434B">
        <w:rPr>
          <w:lang w:eastAsia="en-US"/>
        </w:rPr>
        <w:fldChar w:fldCharType="begin"/>
      </w:r>
      <w:r w:rsidR="0006613E">
        <w:rPr>
          <w:lang w:eastAsia="en-US"/>
        </w:rPr>
        <w:instrText xml:space="preserve"> ADDIN ZOTERO_ITEM CSL_CITATION {"citationID":"a1iu0cg49r1","properties":{"unsorted":true,"formattedCitation":"\\uldash{(Graham, 2014; Yung et al., 2015; Howard et al., 2018)}","plainCitation":"(Graham, 2014; Yung et al., 2015; Howard et al., 2018)","dontUpdate":true,"noteIndex":0},"citationItems":[{"id":11322,"uris":["http://zotero.org/groups/2352922/items/794HXDZS"],"itemData":{"id":11322,"type":"article-journal","abstract":"Many of the world's most challenging environmental problems are trans-boundary in nature, requiring the cooperation of diverse actors. This study aims to assess the roles of trust and power in achieving environmental collective action among rural land managers. The empirical example used is serrated tussock (Nassella trichotoma), a highly invasive, noxious weed that covers more than two million hectares in south-eastern Australia. Semi-structured interviews were used to explore relations among the suite of actors responsible for controlling this weed in two case studiesdCooma, NSW and Bacchus Marsh, Victoria. Interactions between trust and power were found to be useful for explaining the development of positive and negative relations among these diverse actors. When trust and power worked in synergy, land managers and government staff were more likely to share information, provide support and defer to enforcement. When trust and power acted as substitutes avoidance, disengagement, resistance and retaliation ensued. The author argues that long-term collective weed control will only be achieved when the focus shifts from enforcement to building stronger rural social relations in which trust and power work in synergy.","container-title":"Journal of Rural Studies","DOI":"10.1016/j.jrurstud.2014.06.010","ISSN":"07430167","journalAbbreviation":"Journal of Rural Studies","language":"en","page":"87-98","source":"DOI.org (Crossref)","title":"A new perspective on the trust power nexus from rural Australia","URL":"https://linkinghub.elsevier.com/retrieve/pii/S0743016714000850","volume":"36","author":[{"family":"Graham","given":"Sonia"}],"accessed":{"date-parts":[["2019",11,6]]},"issued":{"date-parts":[["2014",10]]}},"label":"page"},{"id":23951,"uris":["http://zotero.org/groups/2352922/items/V3JX6E45"],"itemData":{"id":23951,"type":"article-journal","abstract":"Rural landscapes are increasingly diverse and heterogeneous, involving a mix of small and large parcels, amenity and agricultural properties, and resident and absentee owners. Managing invasive plants in landscapes with changing ownership requires understanding the views and practices of different landowners. We surveyed landowners in two rural valleys with 26% absentee ownership and a large number of small parcels in Missoula County, Montana. Landowners indicated a high level of awareness and concern about weeds; more than 80% agreed that weeds are a problem in their valley. Seventy-eight percent of landowners managed weeds, but only 63% were effective at weed management. Absentee owners were far less likely to manage weeds on their properties and less likely to utilize herbicides, as compared with resident landowners. Landowners reported that seeds coming from adjacent properties were the most significant barrier to effective weed control. Many landowners manage weeds to be a good neighbor and believe that cooperation between neighbors is critical to weed management.","container-title":"Invasive Plant Science and Management","DOI":"10.1614/IPSM-D-14-00059.1","ISSN":"1939-7291, 1939-747X","issue":"2","language":"en","note":"publisher: Cambridge University Press","page":"193-202","source":"Cambridge University Press","title":"Effective Weed Management, Collective Action, and Landownership Change in Western Montana","URL":"https://www.cambridge.org/core/journals/invasive-plant-science-and-management/article/effective-weed-management-collective-action-and-landownership-change-in-western-montana/66E5890A62D38C2F3EB667CB87A9B3B3","volume":"8","author":[{"family":"Yung","given":"Laurie"},{"family":"Chandler","given":"John"},{"family":"Haverhals","given":"Marijka"}],"accessed":{"date-parts":[["2020",8,26]]},"issued":{"date-parts":[["2015",6]]}},"label":"page"},{"id":24059,"uris":["http://zotero.org/groups/2352922/items/7BIXVDJH"],"itemData":{"id":24059,"type":"article-journal","abstract":"Wild dogs are a widespread, established pest in Australia and have economic, environmental, and social impacts. Best practice management recommends coordinated community-led action as a key strategy to reduce this vertebrate pest. This research increased understanding of how citizens organize to collectively manage wild dogs in three case studies from Australia, with attention to the interaction of cultural, structural, and interactional domains of group action. Information asymmetry and changing demographic proﬁles emerge as challenges to eﬀective group development. Visible community leaders and strong group identity are important, as is peer recognition of community eﬀorts to develop collective action norms. This article complements and extends existing quantitative data sets with qualitative analysis and contextual understanding, while also reﬂecting on the implications of collective action for wild dog management more broadly. This research is relevant for those concerned with community action and complex issues of vertebrate pest management.","container-title":"Human Dimensions of Wildlife","DOI":"10.1080/10871209.2017.1414337","ISSN":"1087-1209, 1533-158X","issue":"3","journalAbbreviation":"Human Dimensions of Wildlife","language":"en","page":"242-256","source":"DOI.org (Crossref)","title":"Wild dog management in Australia: An interactional approach to case studies of community-led action","title-short":"Wild dog management in Australia","URL":"https://www.tandfonline.com/doi/full/10.1080/10871209.2017.1414337","volume":"23","author":[{"family":"Howard","given":"Tanya M."},{"family":"Thompson","given":"Lyndal J."},{"family":"Frumento","given":"Paloma"},{"family":"Alter","given":"Theodore"}],"accessed":{"date-parts":[["2019",11,30]]},"issued":{"date-parts":[["2018",5,4]]}},"label":"page"}],"schema":"https://github.com/citation-style-language/schema/raw/master/csl-citation.json"} </w:instrText>
      </w:r>
      <w:r w:rsidR="00C14761" w:rsidRPr="00A9434B">
        <w:rPr>
          <w:lang w:eastAsia="en-US"/>
        </w:rPr>
        <w:fldChar w:fldCharType="separate"/>
      </w:r>
      <w:r w:rsidR="00C67333" w:rsidRPr="00A9434B">
        <w:t>(Graham, 2014; Yung et al., 2015; Howard et al., 2018</w:t>
      </w:r>
      <w:r w:rsidR="00C14761" w:rsidRPr="00A9434B">
        <w:rPr>
          <w:lang w:eastAsia="en-US"/>
        </w:rPr>
        <w:fldChar w:fldCharType="end"/>
      </w:r>
      <w:r w:rsidR="00C67333" w:rsidRPr="00A9434B">
        <w:rPr>
          <w:lang w:eastAsia="en-US"/>
        </w:rPr>
        <w:t>;</w:t>
      </w:r>
      <w:r w:rsidR="1F6B04CD" w:rsidRPr="00A9434B">
        <w:rPr>
          <w:lang w:eastAsia="en-US"/>
        </w:rPr>
        <w:t xml:space="preserve"> </w:t>
      </w:r>
      <w:r w:rsidR="65092944" w:rsidRPr="00673554">
        <w:rPr>
          <w:b/>
          <w:iCs/>
          <w:lang w:eastAsia="en-US"/>
        </w:rPr>
        <w:t>s</w:t>
      </w:r>
      <w:r w:rsidR="1F6B04CD" w:rsidRPr="00673554">
        <w:rPr>
          <w:b/>
          <w:iCs/>
          <w:lang w:eastAsia="en-US"/>
        </w:rPr>
        <w:t>ection 6.4</w:t>
      </w:r>
      <w:r w:rsidR="1F6B04CD" w:rsidRPr="00A9434B">
        <w:rPr>
          <w:lang w:eastAsia="en-US"/>
        </w:rPr>
        <w:t>)</w:t>
      </w:r>
      <w:r w:rsidRPr="00A9434B">
        <w:rPr>
          <w:lang w:eastAsia="en-US"/>
        </w:rPr>
        <w:t xml:space="preserve">. Achieving such cooperation is challenging because diverse actors have </w:t>
      </w:r>
      <w:r w:rsidR="00E760D8" w:rsidRPr="00A9434B">
        <w:rPr>
          <w:lang w:eastAsia="en-US"/>
        </w:rPr>
        <w:t xml:space="preserve">different perceptions and values </w:t>
      </w:r>
      <w:r w:rsidR="00F806B6" w:rsidRPr="00A9434B">
        <w:rPr>
          <w:lang w:eastAsia="en-US"/>
        </w:rPr>
        <w:t>(</w:t>
      </w:r>
      <w:r w:rsidR="00CB08B6">
        <w:rPr>
          <w:b/>
          <w:iCs/>
          <w:lang w:eastAsia="en-US"/>
        </w:rPr>
        <w:t>C</w:t>
      </w:r>
      <w:r w:rsidR="00E760D8" w:rsidRPr="00673554">
        <w:rPr>
          <w:b/>
          <w:iCs/>
          <w:lang w:eastAsia="en-US"/>
        </w:rPr>
        <w:t>hapter 1</w:t>
      </w:r>
      <w:r w:rsidR="00E760D8" w:rsidRPr="00673554">
        <w:rPr>
          <w:iCs/>
          <w:lang w:eastAsia="en-US"/>
        </w:rPr>
        <w:t>,</w:t>
      </w:r>
      <w:r w:rsidR="00E760D8" w:rsidRPr="00673554">
        <w:rPr>
          <w:b/>
          <w:iCs/>
          <w:lang w:eastAsia="en-US"/>
        </w:rPr>
        <w:t xml:space="preserve"> section 1.5.2</w:t>
      </w:r>
      <w:r w:rsidR="00C25E77" w:rsidRPr="00C25E77">
        <w:t xml:space="preserve"> </w:t>
      </w:r>
      <w:r w:rsidR="00C25E77">
        <w:t>and varying levels of interest, skills, resources, capacity, and time to commit to invasive alien species prevention and control</w:t>
      </w:r>
      <w:r w:rsidR="00C27DCE">
        <w:t xml:space="preserve"> </w:t>
      </w:r>
      <w:r w:rsidR="00C14761" w:rsidRPr="00A9434B">
        <w:rPr>
          <w:lang w:eastAsia="en-US"/>
        </w:rPr>
        <w:fldChar w:fldCharType="begin"/>
      </w:r>
      <w:r w:rsidR="0006613E">
        <w:rPr>
          <w:lang w:eastAsia="en-US"/>
        </w:rPr>
        <w:instrText xml:space="preserve"> ADDIN ZOTERO_ITEM CSL_CITATION {"citationID":"a6f0cm5nb9","properties":{"unsorted":true,"formattedCitation":"(Donaldson &amp; Mudd, 2010; Graham, 2013; Ma et al., 2018; Kropf et al., 2020)","plainCitation":"(Donaldson &amp; Mudd, 2010; Graham, 2013; Ma et al., 2018; Kropf et al., 2020)","noteIndex":0},"citationItems":[{"id":23968,"uris":["http://zotero.org/groups/2352922/items/XVEXBEQF"],"itemData":{"id":23968,"type":"paper-conference","container-title":"Plant Invasions: Policies, Politics, and Practices","event-place":"Bozeman, Montana.","event-title":"The 5th biennial weeds across borders conference","page":"88-94","publisher":"Center for Invasive  Plant Management","publisher-place":"Bozeman, Montana.","title":"Sustaining cooperative weed management areas in the long-term","URL":"https://files.cfc.umt.edu/cesu/FWS/2010/10Galli-Noble_Weeds_Across_Boarders%20_Proceedings.pdf","author":[{"family":"Donaldson","given":"S."},{"family":"Mudd","given":"T."}],"editor":[{"family":"Rindos","given":"Emily"}],"issued":{"date-parts":[["2010",6,1]]}},"label":"page"},{"id":27165,"uris":["http://zotero.org/groups/2352922/items/968R7586"],"itemData":{"id":27165,"type":"article-journal","abstract":"The spread of pest plants is a trans-boundary problem that causes losses to biodiversity and disrupts ecosystems. Much social research into, and policy development for, weeds has conceptualised their control as a problem facing individual landowners, rather than as a collective action problem. In the case of serrated tussock (Nassella trichotoma), a highly invasive, noxious weed that is widespread in southeastern Australia, landowners and government staff are acutely aware that this weed is a communal problem. Analysis of semi-structured interviews revealed that landowners and agency staff believe there are three pathways available for communities to achieve greater weed control collectively. These involve sharing information, providing support and applying pressure. These pathways provide two options for future policy development. Firstly, future policies could use the findings to make minor adjustments to the way information is distributed, funding is provided and enforcement is administered. Alternatively, future policies could be refocused to acknowledge good farm management, encourage better relationships among neighbours and build on the social capital that exists in Landcare groups.","container-title":"Australasian Journal of Environmental Management","DOI":"10.1080/14486563.2013.774681","ISSN":"1448-6563","issue":"2","note":"publisher: Taylor &amp; Francis\n_eprint: https://doi.org/10.1080/14486563.2013.774681","page":"116-129","source":"Taylor and Francis+NEJM","title":"Three cooperative pathways to solving a collective weed management problem","URL":"https://doi.org/10.1080/14486563.2013.774681","volume":"20","author":[{"family":"Graham","given":"Sonia"}],"accessed":{"date-parts":[["2020",8,26]]},"issued":{"date-parts":[["2013",6,1]]}},"label":"page"},{"id":23964,"uris":["http://zotero.org/groups/2352922/items/4PXRSXH6"],"itemData":{"id":23964,"type":"article-journal","abstract":"Invasive species are reaching epidemic proportions, greatly altering global biomes. The role of private landowners in controlling invasive plants in forest ecosystems has been well recognized, although limited research has investigated their awareness, actions, needs and concerns. Building upon a broader literature on family forest owner decision making and invasive weed management in non-forested landscapes, we conducted 23 semi-structured interviews with family forest owners and forestry professionals in Indiana, USA. We documented and discussed (1) their knowledge and awareness of invasive plant management, (2) current invasive plant management actions, (3) issues surrounding cooperative invasive plant management, (4) how they understand the responsibility of invasive plant control across the landscape, and (5) an information challenge facing invasive plant management. Our results suggest that future education and outreach efforts should broaden to include urban and suburban residents, as well as forestry professionals who are often assumed to be supportive of and knowledgeable about invasive plant management. Our results also suggest that forestry professionals can help motivate family forest owners toward invasive plant management by providing positive psychological reinforcement such as social approval. Further, our results highlight a gap between the recognized importance of cooperative invasive plant management and a lack of on-the-ground practices mainly due to a family forest owner culture of independence. Overcoming the cultural stigma associated with cooperative management requires forestry professionals’ willingness and ability to cultivate a social environment conducive to collective actions by playing the role of community organizers. Together, these insights can be used to inform the development of future invasive plant communication strategies and private forest landowner assistance programs.","container-title":"Land Use Policy","DOI":"10.1016/j.landusepol.2018.02.010","ISSN":"0264-8377","journalAbbreviation":"Land Use Policy","language":"en","page":"682-693","source":"ScienceDirect","title":"Insights into individual and cooperative invasive plant management on family forestlands","URL":"http://www.sciencedirect.com/science/article/pii/S0264837717310657","volume":"75","author":[{"family":"Ma","given":"Zhao"},{"family":"Clarke","given":"Mysha"},{"family":"Church","given":"Sarah P."}],"accessed":{"date-parts":[["2020",8,26]]},"issued":{"date-parts":[["2018",6,1]]}},"label":"page"},{"id":27173,"uris":["http://zotero.org/groups/2352922/items/7WY2GEQR"],"itemData":{"id":27173,"type":"article-journal","abstract":"Invasive species are considered a major threat for global agricultural production, biodiversity and ecosystem services. Their spread and establishment is mainly influenced by bio-physical factors, but also by people’s ac­ tivities such as tourism or farming. Understanding farmers’ behavior is necessary to develop effective control measures. We conducted qualitative semi-structured interviews in south-east Austria to explore factors that facilitate or impede farmers’ behavior to individually or collectively control the invasive Western Corn Root­ worm (WCR, Diabrotica virgifera virgifera). We analyze the interview contents using the Capability-OpportunityMotivation-Behavior model (COM-B model). Our results show that farmers’ motivation and related behavior is influenced by intra- and interpersonal factors such as their knowledge about WCR control measures (capability psychological), perceived societal acceptance of WCR control measures or perceived normative obligations to participate in collective measures (opportunity social). Farmers’ motivation (reflective and automatic) for imple­ menting individual or collective WCR control measures is mainly determined by their perceived self-efficacy, their perceived efficacy of WCR control measures and the perceived severity of WCR damages. Contextual fac­ tors such as environmental conditions, legal regulations, the landscape composition, the farm type or financial impacts of WCR control measures (opportunity physical) are essential prerequisites for farmers’ behavior. The results suggest that new modes of knowledge transfer are required to facilitate the proactive implementation of individual and collective WCR control measures prior to trigger events, such as severe WCR damages. The development of a trusting and communicative environment between farmers is key for collective WCR control. Exchange with residents about WCR and applied control measures may help to create a shared understanding and increase societal acceptance. Moreover, a long-term and proactive coordination which meets individual famers’ needs is required to implement collective WCR control measures. Farmers who have successfully implemented individual and collective WCR measures may encourage non-applicants and sceptics by “learning from peers”.","container-title":"Journal of Environmental Management","DOI":"10.1016/j.jenvman.2020.110431","ISSN":"03014797","journalAbbreviation":"Journal of Environmental Management","language":"en","page":"110431","source":"DOI.org (Crossref)","title":"Exploring farmers’ behavior toward individual and collective measures of Western Corn Rootworm control – A case study in south-east Austria","URL":"https://linkinghub.elsevier.com/retrieve/pii/S0301479720303650","volume":"264","author":[{"family":"Kropf","given":"Bernadette"},{"family":"Schmid","given":"Erwin"},{"family":"Schönhart","given":"Martin"},{"family":"Mitter","given":"Hermine"}],"accessed":{"date-parts":[["2020",5,13]]},"issued":{"date-parts":[["2020",6]]}},"label":"page"}],"schema":"https://github.com/citation-style-language/schema/raw/master/csl-citation.json"} </w:instrText>
      </w:r>
      <w:r w:rsidR="00C14761" w:rsidRPr="00A9434B">
        <w:rPr>
          <w:lang w:eastAsia="en-US"/>
        </w:rPr>
        <w:fldChar w:fldCharType="separate"/>
      </w:r>
      <w:r w:rsidR="00C71E80" w:rsidRPr="00A9434B">
        <w:t>(Donaldson &amp; Mudd, 2010; Graham, 2013; Ma et al., 2018; Kropf et al., 2020)</w:t>
      </w:r>
      <w:r w:rsidR="00C14761" w:rsidRPr="00A9434B">
        <w:rPr>
          <w:lang w:eastAsia="en-US"/>
        </w:rPr>
        <w:fldChar w:fldCharType="end"/>
      </w:r>
      <w:r w:rsidRPr="00A9434B">
        <w:rPr>
          <w:lang w:eastAsia="en-US"/>
        </w:rPr>
        <w:t xml:space="preserve">. </w:t>
      </w:r>
      <w:r w:rsidR="56E7ABB6" w:rsidRPr="00A9434B">
        <w:rPr>
          <w:lang w:eastAsia="en-US"/>
        </w:rPr>
        <w:t>Successful</w:t>
      </w:r>
      <w:r w:rsidRPr="00A9434B">
        <w:rPr>
          <w:lang w:eastAsia="en-US"/>
        </w:rPr>
        <w:t xml:space="preserve"> collective action </w:t>
      </w:r>
      <w:r w:rsidR="56E7ABB6" w:rsidRPr="00A9434B">
        <w:rPr>
          <w:lang w:eastAsia="en-US"/>
        </w:rPr>
        <w:t xml:space="preserve">would include </w:t>
      </w:r>
      <w:r w:rsidR="3972813B" w:rsidRPr="00A9434B">
        <w:rPr>
          <w:lang w:eastAsia="en-US"/>
        </w:rPr>
        <w:t>developing</w:t>
      </w:r>
      <w:r w:rsidR="56E7ABB6" w:rsidRPr="00A9434B">
        <w:rPr>
          <w:lang w:eastAsia="en-US"/>
        </w:rPr>
        <w:t xml:space="preserve"> </w:t>
      </w:r>
      <w:r w:rsidRPr="00A9434B">
        <w:rPr>
          <w:lang w:eastAsia="en-US"/>
        </w:rPr>
        <w:t>stakeholder</w:t>
      </w:r>
      <w:r w:rsidR="5ED0B039" w:rsidRPr="00A9434B">
        <w:rPr>
          <w:lang w:eastAsia="en-US"/>
        </w:rPr>
        <w:t xml:space="preserve"> and </w:t>
      </w:r>
      <w:r w:rsidR="4C1F436F" w:rsidRPr="00A9434B">
        <w:rPr>
          <w:lang w:eastAsia="en-US"/>
        </w:rPr>
        <w:t>Indigenous Peoples</w:t>
      </w:r>
      <w:r w:rsidR="6661D606" w:rsidRPr="00A9434B">
        <w:rPr>
          <w:lang w:eastAsia="en-US"/>
        </w:rPr>
        <w:t xml:space="preserve"> and local communit</w:t>
      </w:r>
      <w:r w:rsidR="00351A46">
        <w:rPr>
          <w:lang w:eastAsia="en-US"/>
        </w:rPr>
        <w:t>ies</w:t>
      </w:r>
      <w:r w:rsidRPr="00A9434B">
        <w:rPr>
          <w:lang w:eastAsia="en-US"/>
        </w:rPr>
        <w:t xml:space="preserve"> networks, and </w:t>
      </w:r>
      <w:r w:rsidR="13E6AB38" w:rsidRPr="00A9434B">
        <w:rPr>
          <w:lang w:eastAsia="en-US"/>
        </w:rPr>
        <w:t xml:space="preserve">building the </w:t>
      </w:r>
      <w:r w:rsidRPr="00A9434B">
        <w:rPr>
          <w:lang w:eastAsia="en-US"/>
        </w:rPr>
        <w:t xml:space="preserve">trust to </w:t>
      </w:r>
      <w:r w:rsidR="150B63F9" w:rsidRPr="00A9434B">
        <w:rPr>
          <w:lang w:eastAsia="en-US"/>
        </w:rPr>
        <w:t>forge</w:t>
      </w:r>
      <w:r w:rsidRPr="00A9434B">
        <w:rPr>
          <w:lang w:eastAsia="en-US"/>
        </w:rPr>
        <w:t xml:space="preserve"> a common understanding of the problem, agree on a common goal, identify measures of success, and encourage participation in individual and group activities </w:t>
      </w:r>
      <w:r w:rsidR="00C14761" w:rsidRPr="00A9434B">
        <w:rPr>
          <w:lang w:eastAsia="en-US"/>
        </w:rPr>
        <w:fldChar w:fldCharType="begin"/>
      </w:r>
      <w:r w:rsidR="0006613E">
        <w:rPr>
          <w:lang w:eastAsia="en-US"/>
        </w:rPr>
        <w:instrText xml:space="preserve"> ADDIN ZOTERO_ITEM CSL_CITATION {"citationID":"ap5dppmvco","properties":{"unsorted":true,"formattedCitation":"(Stallman &amp; James, 2015; Niemiec et al., 2016; Graham &amp; Rogers, 2017; T. M. Howard et al., 2018; Bagavathiannan et al., 2019)","plainCitation":"(Stallman &amp; James, 2015; Niemiec et al., 2016; Graham &amp; Rogers, 2017; T. M. Howard et al., 2018; Bagavathiannan et al., 2019)","noteIndex":0},"citationItems":[{"id":23956,"uris":["http://zotero.org/groups/2352922/items/BFVXBJWD"],"itemData":{"id":23956,"type":"article-journal","container-title":"Ecological economics","DOI":"10.1016/j.ecolecon.2015.07.006","note":"ISBN: 0921-8009\npublisher: Elsevier","page":"182-192","title":"Determinants affecting farmers' willingness to cooperate to control pests","volume":"117","author":[{"family":"Stallman","given":"Heidi R."},{"family":"James","given":"Harvey S."}],"issued":{"date-parts":[["2015"]]}},"label":"page"},{"id":23960,"uris":["http://zotero.org/groups/2352922/items/T8XJ98L3"],"itemData":{"id":23960,"type":"article-journal","abstract":"Niemiec, R. M., N. M. Ardoin, C. B. Wharton, and G. P. Asner. 2016. Motivating residents to combat invasive species on private lands: social norms and community reciprocity. Ecology and Society 21(2):30.http://dx.doi.org/10.5751/ES-08362-210230","container-title":"Ecology and Society","DOI":"10.5751/ES-08362-210230","ISSN":"1708-3087","issue":"2","language":"en","license":"© 2016 by the author(s)","note":"publisher: The Resilience Alliance","page":"30","source":"www.ecologyandsociety.org","title":"Motivating residents to combat invasive species on private lands: social norms and community reciprocity","title-short":"Motivating residents to combat invasive species on private lands","URL":"https://www.ecologyandsociety.org/vol21/iss2/art30/","volume":"21","author":[{"family":"Niemiec","given":"Rebecca M."},{"family":"Ardoin","given":"Nicole M."},{"family":"Wharton","given":"Candace B."},{"family":"Asner","given":"Gregory P."}],"accessed":{"date-parts":[["2020",8,26]]},"issued":{"date-parts":[["2016",5,24]]}},"label":"page"},{"id":24262,"uris":["http://zotero.org/groups/2352922/items/BLEYAZ6B"],"itemData":{"id":24262,"type":"article-journal","abstract":"For two decades researchers and policy makers have been arguing that community-based collective action is needed to effectively control weeds. Yet there has been little social research into the ways that collective weed control emerges at local scales. The aim of this paper is to investigate the mechanisms through which three local landholder groups in south-eastern Australia collectively manage weeds and the measures they use to evaluate success. Semi-structured interviews were conducted with members of three Landcare groups—Jerrawa Creek/Upper Lachlan, MacLaughlin River and Towamba Valley—as well as government staff external to the groups. The results reveal that for all three groups collective weed control is about supporting individual weed control efforts as well as proactively engaging landholders with the worst infestations. The groups were seen to be successful because they focused on the common challenge that weeds pose to all landholders, thereby removing the shame associated with having weeds, and because they organised community events that were as much about building and maintaining social relationships as improving weed control. Groups were positive about what they had achieved as collectives of landholders, but also saw an important role for government in providing funding, engaging with landholders who were unwilling to engage directly with the group, and controlling weeds on public lands.","container-title":"Environmental Management","DOI":"10.1007/s00267-017-0859-7","ISSN":"0364-152X, 1432-1009","issue":"3","journalAbbreviation":"Environmental Management","language":"en","page":"396-408","source":"DOI.org (Crossref)","title":"How Local Landholder Groups Collectively Manage Weeds in South-Eastern Australia","URL":"https://doi.org/10.1007/s00267-017-0859-7","volume":"60","author":[{"family":"Graham","given":"Sonia"},{"family":"Rogers","given":"Sarah"}],"accessed":{"date-parts":[["2019",11,6]]},"issued":{"date-parts":[["2017",9]]}},"label":"page"},{"id":24059,"uris":["http://zotero.org/groups/2352922/items/7BIXVDJH"],"itemData":{"id":24059,"type":"article-journal","abstract":"Wild dogs are a widespread, established pest in Australia and have economic, environmental, and social impacts. Best practice management recommends coordinated community-led action as a key strategy to reduce this vertebrate pest. This research increased understanding of how citizens organize to collectively manage wild dogs in three case studies from Australia, with attention to the interaction of cultural, structural, and interactional domains of group action. Information asymmetry and changing demographic proﬁles emerge as challenges to eﬀective group development. Visible community leaders and strong group identity are important, as is peer recognition of community eﬀorts to develop collective action norms. This article complements and extends existing quantitative data sets with qualitative analysis and contextual understanding, while also reﬂecting on the implications of collective action for wild dog management more broadly. This research is relevant for those concerned with community action and complex issues of vertebrate pest management.","container-title":"Human Dimensions of Wildlife","DOI":"10.1080/10871209.2017.1414337","ISSN":"1087-1209, 1533-158X","issue":"3","journalAbbreviation":"Human Dimensions of Wildlife","language":"en","page":"242-256","source":"DOI.org (Crossref)","title":"Wild dog management in Australia: An interactional approach to case studies of community-led action","title-short":"Wild dog management in Australia","URL":"https://www.tandfonline.com/doi/full/10.1080/10871209.2017.1414337","volume":"23","author":[{"family":"Howard","given":"Tanya M."},{"family":"Thompson","given":"Lyndal J."},{"family":"Frumento","given":"Paloma"},{"family":"Alter","given":"Theodore"}],"accessed":{"date-parts":[["2019",11,30]]},"issued":{"date-parts":[["2018",5,4]]}},"label":"page"},{"id":23970,"uris":["http://zotero.org/groups/2352922/items/XWQSJHX7"],"itemData":{"id":23970,"type":"article-journal","abstract":"Weeds pose severe threats to agricultural and natural landscapes worldwide. One major reason for the failure to effectively manage weeds at landscape scales is that current Best Management Practice guidelines, and research on how to improve such guidelines, focus too narrowly on property-level management decisions. Insufficiently considered are the aggregate effects of individual actions to determine landscape-scale outcomes, or whether there are collective practices that would improve weed management outcomes. Here, we frame landscape-scale weed management as a social dilemma, where trade-offs occur between individual and collective interests. We apply a transdisciplinary system approach-integrating the perspectives of ecologists, evolutionary biologists and agronomists into a social science theory of social dilemmas-to four landscape-scale weed management challenges: (i) achieving plant biosecurity, (ii) preventing weed seed contamination, (iii) maintaining herbicide susceptibility and (iv) sustainably using biological control. We describe how these four challenges exhibit characteristics of 'public good problems', wherein effective weed management requires the active contributions of multiple actors, while benefits are not restricted to these contributors. Adequate solutions to address these public good challenges often involve a subset of the eight design principles developed by Elinor Ostrom for 'common pool social dilemmas', together with design principles that reflect the public good nature of the problems. This paper is a call to action for scholars and practitioners to broaden our conceptualization and approaches to weed management problems. Such progress begins by evaluating the public good characteristics of specific weed management challenges and applying context-specific design principles to realize successful and sustainable weed management.","container-title":"Nature Plants","DOI":"10.1038/s41477-019-0395-y","ISSN":"2055-0278","issue":"4","journalAbbreviation":"Nat Plants","language":"eng","note":"PMID: 30962531","page":"343-351","source":"PubMed","title":"Considering weed management as a social dilemma bridges individual and collective interests","volume":"5","author":[{"family":"Bagavathiannan","given":"Muthukumar V."},{"family":"Graham","given":"Sonia"},{"family":"Ma","given":"Zhao"},{"family":"Barney","given":"Jacob N."},{"family":"Coutts","given":"Shaun R."},{"family":"Caicedo","given":"Ana L."},{"family":"De Clerck-Floate","given":"Rosemarie"},{"family":"West","given":"Natalie M."},{"family":"Blank","given":"Lior"},{"family":"Metcalf","given":"Alexander L."},{"family":"Lacoste","given":"Myrtille"},{"family":"Moreno","given":"Carlo R."},{"family":"Evans","given":"Jeffrey A."},{"family":"Burke","given":"Ian"},{"family":"Beckie","given":"Hugh"}],"issued":{"date-parts":[["2019"]]}},"label":"page"}],"schema":"https://github.com/citation-style-language/schema/raw/master/csl-citation.json"} </w:instrText>
      </w:r>
      <w:r w:rsidR="00C14761" w:rsidRPr="00A9434B">
        <w:rPr>
          <w:lang w:eastAsia="en-US"/>
        </w:rPr>
        <w:fldChar w:fldCharType="separate"/>
      </w:r>
      <w:r w:rsidR="00065870" w:rsidRPr="00065870">
        <w:t>(Stallman &amp; James, 2015; Niemiec et al., 2016; Graham &amp; Rogers, 2017; T. M. Howard et al., 2018; Bagavathiannan et al., 2019)</w:t>
      </w:r>
      <w:r w:rsidR="00C14761" w:rsidRPr="00A9434B">
        <w:rPr>
          <w:lang w:eastAsia="en-US"/>
        </w:rPr>
        <w:fldChar w:fldCharType="end"/>
      </w:r>
      <w:r w:rsidRPr="00A9434B">
        <w:rPr>
          <w:lang w:eastAsia="en-US"/>
        </w:rPr>
        <w:t xml:space="preserve">. </w:t>
      </w:r>
      <w:r w:rsidR="0CBE1506" w:rsidRPr="00A9434B">
        <w:rPr>
          <w:lang w:eastAsia="en-US"/>
        </w:rPr>
        <w:t>Micro</w:t>
      </w:r>
      <w:r w:rsidR="6BA29C33" w:rsidRPr="00A9434B">
        <w:rPr>
          <w:lang w:eastAsia="en-US"/>
        </w:rPr>
        <w:t>-</w:t>
      </w:r>
      <w:r w:rsidR="0CBE1506" w:rsidRPr="00A9434B">
        <w:rPr>
          <w:lang w:eastAsia="en-US"/>
        </w:rPr>
        <w:t xml:space="preserve">interventions </w:t>
      </w:r>
      <w:r w:rsidR="5317CDD9" w:rsidRPr="00A9434B">
        <w:rPr>
          <w:lang w:eastAsia="en-US"/>
        </w:rPr>
        <w:t>i</w:t>
      </w:r>
      <w:r w:rsidR="2DEC127D" w:rsidRPr="00A9434B">
        <w:rPr>
          <w:lang w:eastAsia="en-US"/>
        </w:rPr>
        <w:t xml:space="preserve">mplemented during community engagement activities can increase participation and change social perceptions, such as </w:t>
      </w:r>
      <w:r w:rsidR="5E190BB7" w:rsidRPr="00A9434B">
        <w:rPr>
          <w:lang w:eastAsia="en-US"/>
        </w:rPr>
        <w:t>facilitating in</w:t>
      </w:r>
      <w:r w:rsidR="16EA96D6" w:rsidRPr="00A9434B">
        <w:rPr>
          <w:lang w:eastAsia="en-US"/>
        </w:rPr>
        <w:t>c</w:t>
      </w:r>
      <w:r w:rsidR="5E190BB7" w:rsidRPr="00A9434B">
        <w:rPr>
          <w:lang w:eastAsia="en-US"/>
        </w:rPr>
        <w:t xml:space="preserve">reased communication amongst community members, </w:t>
      </w:r>
      <w:r w:rsidR="01969078" w:rsidRPr="00A9434B">
        <w:rPr>
          <w:lang w:eastAsia="en-US"/>
        </w:rPr>
        <w:t xml:space="preserve">setting collective </w:t>
      </w:r>
      <w:r w:rsidR="5FDD7597" w:rsidRPr="00A9434B">
        <w:rPr>
          <w:lang w:eastAsia="en-US"/>
        </w:rPr>
        <w:t>goal</w:t>
      </w:r>
      <w:r w:rsidR="3446BB8F" w:rsidRPr="00A9434B">
        <w:rPr>
          <w:lang w:eastAsia="en-US"/>
        </w:rPr>
        <w:t>s</w:t>
      </w:r>
      <w:r w:rsidR="5FDD7597" w:rsidRPr="00A9434B">
        <w:rPr>
          <w:lang w:eastAsia="en-US"/>
        </w:rPr>
        <w:t xml:space="preserve">, </w:t>
      </w:r>
      <w:r w:rsidR="6A09C700" w:rsidRPr="00A9434B">
        <w:rPr>
          <w:lang w:eastAsia="en-US"/>
        </w:rPr>
        <w:lastRenderedPageBreak/>
        <w:t xml:space="preserve">achieving </w:t>
      </w:r>
      <w:r w:rsidR="3FD71144" w:rsidRPr="00A9434B">
        <w:rPr>
          <w:lang w:eastAsia="en-US"/>
        </w:rPr>
        <w:t>public commitment</w:t>
      </w:r>
      <w:r w:rsidR="0F76683D" w:rsidRPr="00A9434B">
        <w:rPr>
          <w:lang w:eastAsia="en-US"/>
        </w:rPr>
        <w:t>,</w:t>
      </w:r>
      <w:r w:rsidR="3FD71144" w:rsidRPr="00A9434B">
        <w:rPr>
          <w:lang w:eastAsia="en-US"/>
        </w:rPr>
        <w:t xml:space="preserve"> and enhanced visibility of </w:t>
      </w:r>
      <w:r w:rsidR="61556A17" w:rsidRPr="00A9434B">
        <w:rPr>
          <w:lang w:eastAsia="en-US"/>
        </w:rPr>
        <w:t xml:space="preserve">contributions </w:t>
      </w:r>
      <w:r w:rsidR="00C14761" w:rsidRPr="00A9434B">
        <w:fldChar w:fldCharType="begin"/>
      </w:r>
      <w:r w:rsidR="002D2756">
        <w:instrText xml:space="preserve"> ADDIN ZOTERO_ITEM CSL_CITATION {"citationID":"a1q84lsl052","properties":{"formattedCitation":"(Niemiec et al., 2019)","plainCitation":"(Niemiec et al., 2019)","noteIndex":0},"citationItems":[{"id":60447,"uris":["http://zotero.org/groups/2352922/items/MHV8ZVWQ","http://zotero.org/groups/2352922/items/HQNHENSX"],"itemData":{"id":60447,"type":"article-journal","abstract":"Encouraging motivated landowners to not only engage in conservation action on their own property but also to recruit others may enhance effectiveness of conservation on private lands. Landowners may only engage in such recruitment if they believe their neighbors care about the conservation issue, will positively respond to their conservation efforts, and are likely to take action for the conservation cause. We designed a series of microinterventions that can be added to community meetings to change these beliefs to encourage landowner engagement in recruitment of others. The microinterventions included neighbor discussion, public commitment making, collective goal setting, and increased observability of contributions to the conservation cause. In a field experiment, we tested whether adding microinterventions to traditional knowledge-transfer outreach meetings changed those beliefs so as to encourage landowners in Hawaii to recruit their neighbors for private lands conservation. We delivered a traditional outreach meeting about managing the invasive little fire ant (Wasmannia auropunctata) to 5 communities and a traditional outreach approach with added microinterventions to 5 other communities. Analysis of pre- and post-surveys of residents showed that compared with the traditional conservation outreach approach, the microinterventions altered a subset of beliefs that landowners had about others. These microinterventions motivated reputationally minded landowners to recruit and coordinate with other residents to control the invasive fire ant across property boundaries. Our results suggest integration of these microinterventions into existing outreach approaches will encourage some landowners to facilitate collective conservation action across property boundaries.","container-title":"Conservation Biology","DOI":"10.1111/cobi.13294","ISSN":"0888-8892","issue":"4","note":"type: Journal Article","page":"930-941","title":"Motivating landowners to recruit neighbors for private land conservation","URL":"&lt;Go to ISI&gt;://WOS:000474668700022","volume":"33","author":[{"family":"Niemiec","given":"R. M."},{"family":"Willer","given":"R."},{"family":"Ardoin","given":"N. M."},{"family":"Brewer","given":"F. K."}],"issued":{"date-parts":[["2019"]]}},"label":"page"}],"schema":"https://github.com/citation-style-language/schema/raw/master/csl-citation.json"} </w:instrText>
      </w:r>
      <w:r w:rsidR="00C14761" w:rsidRPr="00A9434B">
        <w:fldChar w:fldCharType="separate"/>
      </w:r>
      <w:r w:rsidR="00E452E2" w:rsidRPr="00E452E2">
        <w:t>(Niemiec et al., 2019)</w:t>
      </w:r>
      <w:r w:rsidR="00C14761" w:rsidRPr="00A9434B">
        <w:fldChar w:fldCharType="end"/>
      </w:r>
      <w:r w:rsidR="672A838C" w:rsidRPr="00A9434B">
        <w:rPr>
          <w:lang w:eastAsia="en-US"/>
        </w:rPr>
        <w:t xml:space="preserve">. </w:t>
      </w:r>
      <w:r w:rsidR="68029E78" w:rsidRPr="00A9434B">
        <w:rPr>
          <w:lang w:eastAsia="en-US"/>
        </w:rPr>
        <w:t xml:space="preserve">There are many examples </w:t>
      </w:r>
      <w:r w:rsidR="438B26EF" w:rsidRPr="00A9434B">
        <w:rPr>
          <w:lang w:eastAsia="en-US"/>
        </w:rPr>
        <w:t xml:space="preserve">of how </w:t>
      </w:r>
      <w:r w:rsidR="6326F752" w:rsidRPr="00A9434B">
        <w:rPr>
          <w:lang w:eastAsia="en-US"/>
        </w:rPr>
        <w:t>local communit</w:t>
      </w:r>
      <w:r w:rsidR="10486D66" w:rsidRPr="00A9434B">
        <w:rPr>
          <w:lang w:eastAsia="en-US"/>
        </w:rPr>
        <w:t>ies</w:t>
      </w:r>
      <w:r w:rsidR="6326F752" w:rsidRPr="00A9434B">
        <w:rPr>
          <w:lang w:eastAsia="en-US"/>
        </w:rPr>
        <w:t xml:space="preserve"> </w:t>
      </w:r>
      <w:r w:rsidR="68029E78" w:rsidRPr="00A9434B">
        <w:rPr>
          <w:lang w:eastAsia="en-US"/>
        </w:rPr>
        <w:t xml:space="preserve">have successfully mobilized to collectively manage </w:t>
      </w:r>
      <w:r w:rsidR="68029E78" w:rsidRPr="00A9434B">
        <w:t xml:space="preserve">invasive alien species </w:t>
      </w:r>
      <w:r w:rsidR="00F806B6" w:rsidRPr="00A9434B">
        <w:t>(</w:t>
      </w:r>
      <w:r w:rsidR="5E0CB0CE" w:rsidRPr="00673554">
        <w:rPr>
          <w:b/>
          <w:iCs/>
        </w:rPr>
        <w:t>s</w:t>
      </w:r>
      <w:r w:rsidR="68029E78" w:rsidRPr="00673554">
        <w:rPr>
          <w:b/>
          <w:iCs/>
        </w:rPr>
        <w:t>ection 6.4</w:t>
      </w:r>
      <w:r w:rsidR="1CBFE213" w:rsidRPr="00673554">
        <w:rPr>
          <w:b/>
          <w:iCs/>
        </w:rPr>
        <w:t>.</w:t>
      </w:r>
      <w:r w:rsidR="002E09D4" w:rsidRPr="00673554">
        <w:rPr>
          <w:b/>
          <w:iCs/>
        </w:rPr>
        <w:t>3</w:t>
      </w:r>
      <w:r w:rsidR="68029E78" w:rsidRPr="00A9434B">
        <w:t>)</w:t>
      </w:r>
      <w:r w:rsidR="68029E78" w:rsidRPr="00A9434B">
        <w:rPr>
          <w:lang w:eastAsia="en-US"/>
        </w:rPr>
        <w:t xml:space="preserve">. </w:t>
      </w:r>
    </w:p>
    <w:p w14:paraId="2D222C79" w14:textId="2B9C74DD" w:rsidR="00017C04" w:rsidRDefault="00F50AF9" w:rsidP="00C12647">
      <w:pPr>
        <w:pStyle w:val="Heading3"/>
        <w:ind w:left="720"/>
      </w:pPr>
      <w:bookmarkStart w:id="196" w:name="_heading=h.2lwamvv"/>
      <w:bookmarkStart w:id="197" w:name="_Toc1770732023"/>
      <w:bookmarkStart w:id="198" w:name="_Toc133428303"/>
      <w:bookmarkEnd w:id="196"/>
      <w:r>
        <w:t xml:space="preserve">Considering human adaptation to </w:t>
      </w:r>
      <w:r w:rsidR="5805FCD4" w:rsidRPr="00192C26">
        <w:rPr>
          <w:bCs/>
        </w:rPr>
        <w:t>invasive alien species</w:t>
      </w:r>
      <w:r w:rsidR="5805FCD4" w:rsidRPr="006132E3">
        <w:rPr>
          <w:bCs/>
        </w:rPr>
        <w:t xml:space="preserve"> </w:t>
      </w:r>
      <w:r>
        <w:t>in governance systems</w:t>
      </w:r>
      <w:bookmarkEnd w:id="197"/>
      <w:bookmarkEnd w:id="198"/>
    </w:p>
    <w:p w14:paraId="1310EF8F" w14:textId="06C8D56D" w:rsidR="00017C04" w:rsidRDefault="00F50AF9" w:rsidP="56C59A3A">
      <w:r>
        <w:t xml:space="preserve">Adaptation to </w:t>
      </w:r>
      <w:r w:rsidR="10F583B2">
        <w:t xml:space="preserve">invasive alien species </w:t>
      </w:r>
      <w:r>
        <w:t>is emerging as a critical consideration for policy and management. Two concepts of adaptation are relevant: the first is “planned” adaptation, derived from</w:t>
      </w:r>
      <w:r w:rsidR="00C27DCE">
        <w:t xml:space="preserve"> a concept used by</w:t>
      </w:r>
      <w:r>
        <w:t xml:space="preserve"> the Intergovernmental Panel on Climate Change (IPCC), which is “the result of a deliberate policy decision, based on an awareness that conditions have changed or are about to change and that action is required to return to, maintain, or achieve a desired state” </w:t>
      </w:r>
      <w:r w:rsidR="00D15BB8" w:rsidRPr="00A9434B">
        <w:fldChar w:fldCharType="begin"/>
      </w:r>
      <w:r w:rsidR="0006613E">
        <w:instrText xml:space="preserve"> ADDIN ZOTERO_ITEM CSL_CITATION {"citationID":"a2gf8od22bi","properties":{"formattedCitation":"(IPCC, 2007)","plainCitation":"(IPCC, 2007)","noteIndex":0},"citationItems":[{"id":54639,"uris":["http://zotero.org/groups/2352922/items/JVW3U42E"],"itemData":{"id":54639,"type":"document","publisher":"Intergovernmental Panel on Climate Change","title":"Contribution of Working Group II to the Fourth Assessment Report of the Intergovernmental Panel on Climate Change","URL":"https://www.semanticscholar.org/paper/Contribution-of-Working-Group-II-to-the-Fourth-of-Palut-Canziani/ec27546040387c2067df8278f28ad8fd17981eb6","author":[{"literal":"IPCC"}],"accessed":{"date-parts":[["2023",3,2]]},"issued":{"date-parts":[["2007"]]}},"label":"page"}],"schema":"https://github.com/citation-style-language/schema/raw/master/csl-citation.json"} </w:instrText>
      </w:r>
      <w:r w:rsidR="00D15BB8" w:rsidRPr="00A9434B">
        <w:fldChar w:fldCharType="separate"/>
      </w:r>
      <w:r w:rsidR="00C71E80" w:rsidRPr="00A9434B">
        <w:t>(IPCC, 2007)</w:t>
      </w:r>
      <w:r w:rsidR="00D15BB8" w:rsidRPr="00A9434B">
        <w:fldChar w:fldCharType="end"/>
      </w:r>
      <w:r w:rsidR="00363D20" w:rsidRPr="00A9434B">
        <w:t>;</w:t>
      </w:r>
      <w:r>
        <w:t xml:space="preserve"> the second is “autochthonous” adaptation, defined as “deliberate adaptation actions undertaken by individuals or small social groups that are specific to and occur within a local system, where human populations are ultimately affected” </w:t>
      </w:r>
      <w:r w:rsidR="00D15BB8" w:rsidRPr="00A9434B">
        <w:fldChar w:fldCharType="begin"/>
      </w:r>
      <w:r w:rsidR="0006613E">
        <w:instrText xml:space="preserve"> ADDIN ZOTERO_ITEM CSL_CITATION {"citationID":"audr3l6fgo","properties":{"formattedCitation":"(P. L. Howard, 2019)","plainCitation":"(P. L. Howard, 2019)","noteIndex":0},"citationItems":[{"id":56402,"uris":["http://zotero.org/groups/2352922/items/FKZW3H8F","http://zotero.org/groups/2352922/items/LF2QQ5MI"],"itemData":{"id":56402,"type":"article-journal","abstract":"Abstract\n            Species invasions are a major driver of ecological change, are very difficult to control or reverse, and will increase with climate change and global trade. Invasion sciences consider how species in invaded environments adapt, but neither scientists nor policy makers consider human adaptation to invasive species and how this affects ecosystems and well-being. To address this, a framework conceptualising autochthonous human adaptation to invasions was developed based on the Human Adaptation to Biodiversity Change framework and a case study metasynthesis. Results show that adaptation occurs within different spheres of human activity and organisation at different social-ecological scales; responses have feedbacks within and across these spheres. Adaptation to invasives and other drivers is a set of highly contextual, complex, non-linear responses that make up pathways pursued over time. Most invasive species management and adaptation occurs ‘from below,’ and policies and planned control efforts should support autochthonous adaptation, rather than undermining it.","container-title":"Ambio","DOI":"10.1007/s13280-019-01297-5","ISSN":"0044-7447, 1654-7209","issue":"12","journalAbbreviation":"Ambio","language":"en","page":"1401-1430","source":"DOI.org (Crossref)","title":"Human adaptation to invasive species: A conceptual framework based on a case study metasynthesis","title-short":"Human adaptation to invasive species","URL":"http://link.springer.com/10.1007/s13280-019-01297-5","volume":"48","author":[{"family":"Howard","given":"Patricia L."}],"accessed":{"date-parts":[["2023",6,8]]},"issued":{"date-parts":[["2019",12]]}},"label":"page"}],"schema":"https://github.com/citation-style-language/schema/raw/master/csl-citation.json"} </w:instrText>
      </w:r>
      <w:r w:rsidR="00D15BB8" w:rsidRPr="00A9434B">
        <w:fldChar w:fldCharType="separate"/>
      </w:r>
      <w:r w:rsidR="00C71E80" w:rsidRPr="00A9434B">
        <w:t>(P. L. Howard, 2019)</w:t>
      </w:r>
      <w:r w:rsidR="00D15BB8" w:rsidRPr="00A9434B">
        <w:fldChar w:fldCharType="end"/>
      </w:r>
      <w:r w:rsidR="00423A04" w:rsidRPr="00A9434B">
        <w:t>.</w:t>
      </w:r>
      <w:r>
        <w:t xml:space="preserve"> This type of adaptation has four characteristics: (1) it is deliberate; (2) it refers to individuals and small groups of individuals; (3) it is specific to the locality - specific environmental, social and cultural conditions that prevail in specific places where people live and act</w:t>
      </w:r>
      <w:r w:rsidR="00896CEC">
        <w:t xml:space="preserve"> and</w:t>
      </w:r>
      <w:r>
        <w:t xml:space="preserve"> (4) it occurs within a local system, which is affected by multi-scalar drivers and feedbacks, thus it is affected by many external influences, including planned adaptation </w:t>
      </w:r>
      <w:r w:rsidR="00861535" w:rsidRPr="00A9434B">
        <w:fldChar w:fldCharType="begin"/>
      </w:r>
      <w:r w:rsidR="0006613E">
        <w:instrText xml:space="preserve"> ADDIN ZOTERO_ITEM CSL_CITATION {"citationID":"a2pl3gdqd3q","properties":{"formattedCitation":"(P. L. Howard &amp; Pecl, 2019)","plainCitation":"(P. L. Howard &amp; Pecl, 2019)","noteIndex":0},"citationItems":[{"id":16708,"uris":["http://zotero.org/groups/2352922/items/VINKLHC6"],"itemData":{"id":16708,"type":"article-journal","collection-title":"Human adaptation to biodiversity change in the anthropocene","container-title":"Ambio","DOI":"10.1007/s13280-019-01283-x","issue":"12","page":"1389-1400","title":"Introduction: Autochthonous human adaptation to biodiversity change in the Anthropocene","volume":"48","author":[{"family":"Howard","given":"Patricia L."},{"family":"Pecl","given":"G. T."}],"issued":{"date-parts":[["2019"]]}},"label":"page"}],"schema":"https://github.com/citation-style-language/schema/raw/master/csl-citation.json"} </w:instrText>
      </w:r>
      <w:r w:rsidR="00861535" w:rsidRPr="00A9434B">
        <w:fldChar w:fldCharType="separate"/>
      </w:r>
      <w:r w:rsidR="00C71E80" w:rsidRPr="00A9434B">
        <w:t>(P. L. Howard &amp; Pecl, 2019)</w:t>
      </w:r>
      <w:r w:rsidR="00861535" w:rsidRPr="00A9434B">
        <w:fldChar w:fldCharType="end"/>
      </w:r>
      <w:r w:rsidR="00423A04" w:rsidRPr="00A9434B">
        <w:t>.</w:t>
      </w:r>
      <w:r>
        <w:t xml:space="preserve"> </w:t>
      </w:r>
    </w:p>
    <w:p w14:paraId="0BC2ED03" w14:textId="77777777" w:rsidR="00017C04" w:rsidRDefault="00F50AF9">
      <w:pPr>
        <w:pStyle w:val="Heading5"/>
      </w:pPr>
      <w:r>
        <w:t>When human adaptation becomes a response</w:t>
      </w:r>
    </w:p>
    <w:p w14:paraId="22B37C7F" w14:textId="2274723B" w:rsidR="00363D20" w:rsidRPr="00A9434B" w:rsidRDefault="3144A369" w:rsidP="00082050">
      <w:pPr>
        <w:spacing w:before="0"/>
        <w:rPr>
          <w:color w:val="000000" w:themeColor="text1"/>
        </w:rPr>
      </w:pPr>
      <w:r w:rsidRPr="00A9434B">
        <w:rPr>
          <w:color w:val="000000" w:themeColor="text1"/>
        </w:rPr>
        <w:t>Adaptation is relevant in cases where</w:t>
      </w:r>
      <w:r w:rsidR="049AFCD5" w:rsidRPr="00A9434B">
        <w:rPr>
          <w:color w:val="000000" w:themeColor="text1"/>
        </w:rPr>
        <w:t xml:space="preserve"> invasive alien species</w:t>
      </w:r>
      <w:r w:rsidRPr="00A9434B">
        <w:rPr>
          <w:color w:val="000000" w:themeColor="text1"/>
        </w:rPr>
        <w:t xml:space="preserve"> </w:t>
      </w:r>
      <w:r w:rsidR="049AFCD5" w:rsidRPr="00A9434B">
        <w:rPr>
          <w:rStyle w:val="normaltextrun"/>
          <w:color w:val="000000"/>
        </w:rPr>
        <w:t xml:space="preserve">are established and, for environmental, management, or socio-economic reasons, there may </w:t>
      </w:r>
      <w:r w:rsidR="0F76683D" w:rsidRPr="00A9434B">
        <w:rPr>
          <w:rStyle w:val="normaltextrun"/>
          <w:color w:val="000000"/>
        </w:rPr>
        <w:t xml:space="preserve">currently </w:t>
      </w:r>
      <w:r w:rsidR="049AFCD5" w:rsidRPr="00A9434B">
        <w:rPr>
          <w:rStyle w:val="normaltextrun"/>
          <w:color w:val="000000"/>
        </w:rPr>
        <w:t xml:space="preserve">be no other option </w:t>
      </w:r>
      <w:r w:rsidR="00905D13" w:rsidRPr="00A9434B">
        <w:rPr>
          <w:rStyle w:val="normaltextrun"/>
          <w:color w:val="000000"/>
        </w:rPr>
        <w:fldChar w:fldCharType="begin"/>
      </w:r>
      <w:r w:rsidR="0006613E">
        <w:rPr>
          <w:rStyle w:val="normaltextrun"/>
          <w:color w:val="000000"/>
        </w:rPr>
        <w:instrText xml:space="preserve"> ADDIN ZOTERO_ITEM CSL_CITATION {"citationID":"a2mmqid2u93","properties":{"formattedCitation":"(Kleinschroth et al., 2021)","plainCitation":"(Kleinschroth et al., 2021)","noteIndex":0},"citationItems":[{"id":31261,"uris":["http://zotero.org/groups/2352922/items/98PSVLUP"],"itemData":{"id":31261,"type":"article-journal","container-title":"Ambio","DOI":"10.1007/s13280-020-01360-6","issue":"1","note":"ISBN: 1654-7209\npublisher: Springer","page":"125-137","title":"Living with floating vegetation invasions","URL":"https://link.springer.com/article/10.1007/s13280-020-01360-6#citeas","volume":"50","author":[{"family":"Kleinschroth","given":"Fritz"},{"family":"Winton","given":"R. Scott"},{"family":"Calamita","given":"Elisa"},{"family":"Niggemann","given":"Fabian"},{"family":"Botter","given":"Martina"},{"family":"Wehrli","given":"Bernhard"},{"family":"Ghazoul","given":"Jaboury"}],"issued":{"date-parts":[["2021"]]}},"label":"page"}],"schema":"https://github.com/citation-style-language/schema/raw/master/csl-citation.json"} </w:instrText>
      </w:r>
      <w:r w:rsidR="00905D13" w:rsidRPr="00A9434B">
        <w:rPr>
          <w:rStyle w:val="normaltextrun"/>
          <w:color w:val="000000"/>
        </w:rPr>
        <w:fldChar w:fldCharType="separate"/>
      </w:r>
      <w:r w:rsidR="00C71E80" w:rsidRPr="00A9434B">
        <w:t>(Kleinschroth et al., 2021)</w:t>
      </w:r>
      <w:r w:rsidR="00905D13" w:rsidRPr="00A9434B">
        <w:rPr>
          <w:rStyle w:val="normaltextrun"/>
          <w:color w:val="000000"/>
        </w:rPr>
        <w:fldChar w:fldCharType="end"/>
      </w:r>
      <w:r w:rsidRPr="00A9434B">
        <w:rPr>
          <w:color w:val="000000" w:themeColor="text1"/>
        </w:rPr>
        <w:t xml:space="preserve">. </w:t>
      </w:r>
      <w:r w:rsidR="049AFCD5" w:rsidRPr="00A9434B">
        <w:rPr>
          <w:rStyle w:val="normaltextrun"/>
          <w:color w:val="000000"/>
        </w:rPr>
        <w:t>It is also relevant when invasive species impact human well-being and people attempt to manage them or adapt to their impacts (</w:t>
      </w:r>
      <w:r w:rsidR="00594C4D" w:rsidRPr="00A9434B">
        <w:rPr>
          <w:rStyle w:val="normaltextrun"/>
          <w:color w:val="000000"/>
        </w:rPr>
        <w:fldChar w:fldCharType="begin"/>
      </w:r>
      <w:r w:rsidR="0006613E">
        <w:rPr>
          <w:rStyle w:val="normaltextrun"/>
          <w:color w:val="000000"/>
        </w:rPr>
        <w:instrText xml:space="preserve"> ADDIN ZOTERO_ITEM CSL_CITATION {"citationID":"aaas36m3g7","properties":{"formattedCitation":"\\uldash{(K\\uc0\\u246{}nig et al., 2020)}","plainCitation":"(König et al., 2020)","dontUpdate":true,"noteIndex":0},"citationItems":[{"id":53411,"uris":["http://zotero.org/groups/2352922/items/6QVXT4TD"],"itemData":{"id":53411,"type":"article-journal","container-title":"Conservation Biology","DOI":"10.1111/cobi.13513","issue":"4","note":"ISBN: 0888-8892\npublisher: Wiley Online Library","page":"786-794","title":"</w:instrText>
      </w:r>
      <w:r w:rsidR="0006613E">
        <w:rPr>
          <w:rStyle w:val="normaltextrun"/>
          <w:rFonts w:hint="eastAsia"/>
          <w:color w:val="000000"/>
        </w:rPr>
        <w:instrText>Human</w:instrText>
      </w:r>
      <w:r w:rsidR="0006613E">
        <w:rPr>
          <w:rStyle w:val="normaltextrun"/>
          <w:rFonts w:hint="eastAsia"/>
          <w:color w:val="000000"/>
        </w:rPr>
        <w:instrText>–</w:instrText>
      </w:r>
      <w:r w:rsidR="0006613E">
        <w:rPr>
          <w:rStyle w:val="normaltextrun"/>
          <w:rFonts w:hint="eastAsia"/>
          <w:color w:val="000000"/>
        </w:rPr>
        <w:instrText>wildlife coexistence in a changing world","volume":"34","author":[{"family":"König","given":"Hannes J."},{"family":"Kiffner","given":"Christian"},{"family":"Kramer</w:instrText>
      </w:r>
      <w:r w:rsidR="0006613E">
        <w:rPr>
          <w:rStyle w:val="normaltextrun"/>
          <w:rFonts w:hint="eastAsia"/>
          <w:color w:val="000000"/>
        </w:rPr>
        <w:instrText>‐</w:instrText>
      </w:r>
      <w:r w:rsidR="0006613E">
        <w:rPr>
          <w:rStyle w:val="normaltextrun"/>
          <w:rFonts w:hint="eastAsia"/>
          <w:color w:val="000000"/>
        </w:rPr>
        <w:instrText>Schadt","given":"Stephanie"},{"family":"Fürst","given":"Christine"},{"family":"Keulin</w:instrText>
      </w:r>
      <w:r w:rsidR="0006613E">
        <w:rPr>
          <w:rStyle w:val="normaltextrun"/>
          <w:color w:val="000000"/>
        </w:rPr>
        <w:instrText xml:space="preserve">g","given":"Oliver"},{"family":"Ford","given":"Adam T."}],"issued":{"date-parts":[["2020"]]}},"label":"page"}],"schema":"https://github.com/citation-style-language/schema/raw/master/csl-citation.json"} </w:instrText>
      </w:r>
      <w:r w:rsidR="00594C4D" w:rsidRPr="00A9434B">
        <w:rPr>
          <w:rStyle w:val="normaltextrun"/>
          <w:color w:val="000000"/>
        </w:rPr>
        <w:fldChar w:fldCharType="separate"/>
      </w:r>
      <w:r w:rsidR="008A3896" w:rsidRPr="00A9434B">
        <w:t>König et al., 2020)</w:t>
      </w:r>
      <w:r w:rsidR="00594C4D" w:rsidRPr="00A9434B">
        <w:rPr>
          <w:rStyle w:val="normaltextrun"/>
          <w:color w:val="000000"/>
        </w:rPr>
        <w:fldChar w:fldCharType="end"/>
      </w:r>
      <w:r w:rsidR="049AFCD5" w:rsidRPr="00A9434B">
        <w:rPr>
          <w:rStyle w:val="normaltextrun"/>
          <w:color w:val="000000"/>
        </w:rPr>
        <w:t>. Adaptation may be the only option in</w:t>
      </w:r>
      <w:r w:rsidRPr="00A9434B">
        <w:rPr>
          <w:color w:val="000000" w:themeColor="text1"/>
        </w:rPr>
        <w:t xml:space="preserve"> cases where, due to the type of invasive and invasion scale, resources are </w:t>
      </w:r>
      <w:r w:rsidR="0F76683D" w:rsidRPr="00A9434B">
        <w:rPr>
          <w:color w:val="000000" w:themeColor="text1"/>
        </w:rPr>
        <w:t>un</w:t>
      </w:r>
      <w:r w:rsidRPr="00A9434B">
        <w:rPr>
          <w:color w:val="000000" w:themeColor="text1"/>
        </w:rPr>
        <w:t xml:space="preserve">available to effectively mitigate or control </w:t>
      </w:r>
      <w:r w:rsidR="056597C5" w:rsidRPr="00A9434B">
        <w:rPr>
          <w:color w:val="000000" w:themeColor="text1"/>
        </w:rPr>
        <w:t>invasive alien species</w:t>
      </w:r>
      <w:r w:rsidRPr="00A9434B">
        <w:rPr>
          <w:color w:val="000000" w:themeColor="text1"/>
        </w:rPr>
        <w:t>, such as in forests, rangelands, savannahs</w:t>
      </w:r>
      <w:r w:rsidR="0F76683D" w:rsidRPr="00A9434B">
        <w:rPr>
          <w:color w:val="000000" w:themeColor="text1"/>
        </w:rPr>
        <w:t>,</w:t>
      </w:r>
      <w:r w:rsidRPr="00A9434B">
        <w:rPr>
          <w:color w:val="000000" w:themeColor="text1"/>
        </w:rPr>
        <w:t xml:space="preserve"> and large</w:t>
      </w:r>
      <w:r w:rsidR="0C8B99DC" w:rsidRPr="00A9434B">
        <w:rPr>
          <w:color w:val="000000" w:themeColor="text1"/>
        </w:rPr>
        <w:t xml:space="preserve"> water bodies, including oceans</w:t>
      </w:r>
      <w:r w:rsidR="072F5090" w:rsidRPr="00A9434B">
        <w:rPr>
          <w:color w:val="000000" w:themeColor="text1"/>
        </w:rPr>
        <w:t xml:space="preserve"> </w:t>
      </w:r>
      <w:r w:rsidR="00D15BB8" w:rsidRPr="00A9434B">
        <w:rPr>
          <w:color w:val="000000" w:themeColor="text1"/>
        </w:rPr>
        <w:fldChar w:fldCharType="begin"/>
      </w:r>
      <w:r w:rsidR="0006613E">
        <w:rPr>
          <w:color w:val="000000" w:themeColor="text1"/>
        </w:rPr>
        <w:instrText xml:space="preserve"> ADDIN ZOTERO_ITEM CSL_CITATION {"citationID":"a2d110i3r1u","properties":{"formattedCitation":"(Godfree et al., 2017)","plainCitation":"(Godfree et al., 2017)","noteIndex":0},"citationItems":[{"id":11164,"uris":["http://zotero.org/groups/2352922/items/KKRK83NE"],"itemData":{"id":11164,"type":"article-journal","abstract":"Methods We ﬁrst establish a simple socio-ecological model that classiﬁes different rural landscape elements within typical MRLs based on their joint conservation and agro-economic value. We then quantify the impacts of eight Australian NNGs (Andropogon gayanus, Cenchrus ciliaris, Eragrostis curvula, Hyparrhenia hirta, Nassella neesiana, Nassella trichotoma, Phalaris aquatica and Urochloa mutica) on different landscape elements and then classify and describe the socio-ecological transformations that result at the MRL scale.\nResults Our data indicate that two broad classes of NNGs exist. The ﬁrst reduces both conservation and agro-economic value (‘co-degrading’ species) of invaded landscapes, while the second improves agroeconomic value at the expense of conservation value (‘trade-off’ species). Crucially, however, both classes cause hardening of the landscape matrix, agricultural intensiﬁcation, reduced habitat connectivity, and the loss of multi-value land use types that are vital for landscape conservation.\nConclusions NNGs drive socio-ecological transformations that pose a growing threat to landscape-scale connectivity and conservation initiatives in Australia and globally. There is an urgent need for further research into the impacts of NNGs on habitat connectivity and biodiversity within multifunctional landscapes, and the socio-ecological goals that can be achieved when landscape transformation and degradation by these species is unavoidable.","container-title":"Landscape Ecology","DOI":"10.1007/s10980-017-0516-9","ISSN":"0921-2973, 1572-9761","journalAbbreviation":"Landscape Ecol","language":"en","page":"1219-1242","source":"DOI.org (Crossref)","title":"Why non-native grasses pose a critical emerging threat to biodiversity conservation, habitat connectivity and agricultural production in multifunctional rural landscapes","URL":"http://link.springer.com/10.1007/s10980-017-0516-9","volume":"32","author":[{"family":"Godfree","given":"Robert"},{"family":"Firn","given":"Jennifer"},{"family":"Johnson","given":"Stephanie"},{"family":"Knerr","given":"Nunzio"},{"family":"Stol","given":"Jacqui"},{"family":"Doerr","given":"Veronica"}],"accessed":{"date-parts":[["2019",11,28]]},"issued":{"date-parts":[["2017",5,8]]}},"label":"page"}],"schema":"https://github.com/citation-style-language/schema/raw/master/csl-citation.json"} </w:instrText>
      </w:r>
      <w:r w:rsidR="00D15BB8" w:rsidRPr="00A9434B">
        <w:rPr>
          <w:color w:val="000000" w:themeColor="text1"/>
        </w:rPr>
        <w:fldChar w:fldCharType="separate"/>
      </w:r>
      <w:r w:rsidR="00C71E80" w:rsidRPr="00A9434B">
        <w:t>(Godfree et al., 2017)</w:t>
      </w:r>
      <w:r w:rsidR="00D15BB8" w:rsidRPr="00A9434B">
        <w:rPr>
          <w:color w:val="000000" w:themeColor="text1"/>
        </w:rPr>
        <w:fldChar w:fldCharType="end"/>
      </w:r>
      <w:r w:rsidR="056597C5" w:rsidRPr="00A9434B">
        <w:rPr>
          <w:color w:val="000000" w:themeColor="text1"/>
        </w:rPr>
        <w:t>.</w:t>
      </w:r>
      <w:r w:rsidRPr="00A9434B">
        <w:rPr>
          <w:color w:val="000000" w:themeColor="text1"/>
        </w:rPr>
        <w:t xml:space="preserve"> </w:t>
      </w:r>
      <w:r w:rsidR="049AFCD5" w:rsidRPr="00A9434B">
        <w:rPr>
          <w:rStyle w:val="normaltextrun"/>
          <w:color w:val="000000"/>
        </w:rPr>
        <w:t xml:space="preserve">It may also be necessary </w:t>
      </w:r>
      <w:r w:rsidR="009806CC">
        <w:rPr>
          <w:rStyle w:val="normaltextrun"/>
          <w:color w:val="000000"/>
        </w:rPr>
        <w:t>in cases where</w:t>
      </w:r>
      <w:r w:rsidR="049AFCD5" w:rsidRPr="00A9434B">
        <w:rPr>
          <w:rStyle w:val="normaltextrun"/>
          <w:color w:val="000000"/>
        </w:rPr>
        <w:t xml:space="preserve"> there </w:t>
      </w:r>
      <w:r w:rsidRPr="00A9434B">
        <w:rPr>
          <w:color w:val="000000" w:themeColor="text1"/>
        </w:rPr>
        <w:t>are</w:t>
      </w:r>
      <w:r w:rsidR="0F76683D" w:rsidRPr="00A9434B">
        <w:rPr>
          <w:color w:val="000000" w:themeColor="text1"/>
        </w:rPr>
        <w:t xml:space="preserve"> currently</w:t>
      </w:r>
      <w:r w:rsidRPr="00A9434B">
        <w:rPr>
          <w:color w:val="000000" w:themeColor="text1"/>
        </w:rPr>
        <w:t xml:space="preserve"> no known effective control methods, or effective methods cannot</w:t>
      </w:r>
      <w:r w:rsidR="570D8E4F" w:rsidRPr="00A9434B">
        <w:rPr>
          <w:color w:val="000000" w:themeColor="text1"/>
        </w:rPr>
        <w:t xml:space="preserve"> currently</w:t>
      </w:r>
      <w:r w:rsidRPr="00A9434B">
        <w:rPr>
          <w:color w:val="000000" w:themeColor="text1"/>
        </w:rPr>
        <w:t xml:space="preserve"> be deployed due to non-target effects or strong political, </w:t>
      </w:r>
      <w:r w:rsidR="19A7F36C" w:rsidRPr="00A9434B">
        <w:rPr>
          <w:color w:val="000000" w:themeColor="text1"/>
        </w:rPr>
        <w:t>ethical,</w:t>
      </w:r>
      <w:r w:rsidRPr="00A9434B">
        <w:rPr>
          <w:color w:val="000000" w:themeColor="text1"/>
        </w:rPr>
        <w:t xml:space="preserve"> or social objections to available controls methods</w:t>
      </w:r>
      <w:r w:rsidR="395F1BB2" w:rsidRPr="00A9434B">
        <w:rPr>
          <w:color w:val="000000" w:themeColor="text1"/>
        </w:rPr>
        <w:t xml:space="preserve">. For example, </w:t>
      </w:r>
      <w:r w:rsidR="1C63BEE1" w:rsidRPr="00A9434B">
        <w:rPr>
          <w:color w:val="000000" w:themeColor="text1"/>
        </w:rPr>
        <w:t xml:space="preserve">recreational fishing lobbies </w:t>
      </w:r>
      <w:r w:rsidR="5B2E4935" w:rsidRPr="00A9434B">
        <w:rPr>
          <w:color w:val="000000" w:themeColor="text1"/>
        </w:rPr>
        <w:t xml:space="preserve">can stand in the way of </w:t>
      </w:r>
      <w:r w:rsidR="570D8E4F" w:rsidRPr="00A9434B">
        <w:rPr>
          <w:color w:val="000000" w:themeColor="text1"/>
        </w:rPr>
        <w:t>formulating</w:t>
      </w:r>
      <w:r w:rsidR="5B2E4935" w:rsidRPr="00A9434B">
        <w:rPr>
          <w:color w:val="000000" w:themeColor="text1"/>
        </w:rPr>
        <w:t xml:space="preserve"> </w:t>
      </w:r>
      <w:r w:rsidR="595FC7BE" w:rsidRPr="00A9434B">
        <w:rPr>
          <w:color w:val="000000" w:themeColor="text1"/>
        </w:rPr>
        <w:t>invasive alien species regulations</w:t>
      </w:r>
      <w:r w:rsidR="0A5FDF98" w:rsidRPr="00A9434B">
        <w:rPr>
          <w:color w:val="000000" w:themeColor="text1"/>
        </w:rPr>
        <w:t xml:space="preserve"> </w:t>
      </w:r>
      <w:r w:rsidR="00594C4D" w:rsidRPr="00A9434B">
        <w:rPr>
          <w:color w:val="000000" w:themeColor="text1"/>
        </w:rPr>
        <w:fldChar w:fldCharType="begin"/>
      </w:r>
      <w:r w:rsidR="0006613E">
        <w:rPr>
          <w:color w:val="000000" w:themeColor="text1"/>
        </w:rPr>
        <w:instrText xml:space="preserve"> ADDIN ZOTERO_ITEM CSL_CITATION {"citationID":"a1mn54ambic","properties":{"formattedCitation":"\\uldash{(Zengeya et al., 2017)}","plainCitation":"(Zengeya et al., 2017)","dontUpdate":true,"noteIndex":0},"citationItems":[{"id":26608,"uris":["http://zotero.org/groups/2352922/items/M4AISKGA","http://zotero.org/groups/2352922/items/TP69H5BB"],"itemData":{"id":26608,"type":"article-journal","abstract":"Background: This paper reviewed the benefits and negative impacts of alien species that are currently listed in the Alien and Invasive Species Regulations of the National Environmental Management: Biodiversity Act (Act no 10 of 2004) and certain alien species that are not yet listed in the regulations for which conflicts of interest complicate management.\nObjectives: Specifically, it identified conflict-generating species, evaluated the causes and driving forces of these conflicts and assessed how the conflicts have affected management.\nMethod: A simple scoring system was used to classify the alien species according to their relative degree of benefits and negative impacts. Conflict-generating species were then identified and further evaluated using an integrated cognitive hierarchy theory and risk perception framework to identify the value systems (intrinsic and economic) and risk perceptions associated with each conflict.\nResults: A total of 552 alien species were assessed. Most of the species were classified as inconsequential (55%) or destructive (29%). Beneficial (10%) and conflict-generating (6%) species made a minor contribution. The majority (46%) of the conflict cases were associated with more than one value system or both values and risk perception. The other conflicts cases were based on intrinsic (40%) and utilitarian (14%) value systems.\nConclusions: Conflicts based on value and risk perceptions are inherently difficult to resolve because authorities need to balance the needs of different stakeholders while meeting the mandate of conserving the environment, ecosystem services and human well-being. This paper uses the identified conflict-generating species to highlight the challenges and trade-offs of managing invasive species in South Africa.","container-title":"Bothalia","DOI":"10.4102/abc.v47i2.2160","ISSN":"2311-9284, 0006-8241","issue":"2","journalAbbreviation":"Bothalia","language":"en","page":"a2160","source":"DOI.org (Crossref)","title":"Managing conflict-generating invasive species in South Africa: Challenges and trade-offs","title-short":"Managing conflict-generating invasive species in South Africa","URL":"https://journals.abcjournal.aosis.co.za/index.php/abc/article/view/2160","volume":"47","author":[{"family":"Zengeya","given":"Tsungai A."},{"family":"Ivey","given":"Philip"},{"family":"Woodford","given":"Darragh J."},{"family":"Weyl","given":"Olaf"},{"family":"Novoa","given":"Ana"},{"family":"Shackleton","given":"Ross"},{"family":"Richardson","given":"David"},{"family":"Van Wilgen","given":"Brian"}],"accessed":{"date-parts":[["2019",11,5]]},"issued":{"date-parts":[["2017",3,31]]}},"label":"page"}],"schema":"https://github.com/citation-style-language/schema/raw/master/csl-citation.json"} </w:instrText>
      </w:r>
      <w:r w:rsidR="00594C4D" w:rsidRPr="00A9434B">
        <w:rPr>
          <w:color w:val="000000" w:themeColor="text1"/>
        </w:rPr>
        <w:fldChar w:fldCharType="separate"/>
      </w:r>
      <w:r w:rsidR="008A3896" w:rsidRPr="00A9434B">
        <w:t>(Zengeya et al., 2017</w:t>
      </w:r>
      <w:r w:rsidR="00594C4D" w:rsidRPr="00A9434B">
        <w:rPr>
          <w:color w:val="000000" w:themeColor="text1"/>
        </w:rPr>
        <w:fldChar w:fldCharType="end"/>
      </w:r>
      <w:r w:rsidR="072F5090" w:rsidRPr="00A9434B">
        <w:rPr>
          <w:color w:val="000000" w:themeColor="text1"/>
        </w:rPr>
        <w:t>;</w:t>
      </w:r>
      <w:r w:rsidR="1A434F7E" w:rsidRPr="00A9434B">
        <w:rPr>
          <w:color w:val="000000" w:themeColor="text1"/>
        </w:rPr>
        <w:t xml:space="preserve"> </w:t>
      </w:r>
      <w:r w:rsidR="00CC293C" w:rsidRPr="00673554">
        <w:rPr>
          <w:b/>
          <w:iCs/>
          <w:color w:val="000000" w:themeColor="text1"/>
        </w:rPr>
        <w:fldChar w:fldCharType="begin"/>
      </w:r>
      <w:r w:rsidR="00CC293C" w:rsidRPr="00673554">
        <w:rPr>
          <w:b/>
          <w:iCs/>
          <w:color w:val="000000" w:themeColor="text1"/>
        </w:rPr>
        <w:instrText xml:space="preserve"> REF _Ref104898788 \h  \* MERGEFORMAT </w:instrText>
      </w:r>
      <w:r w:rsidR="00CC293C" w:rsidRPr="00673554">
        <w:rPr>
          <w:b/>
          <w:iCs/>
          <w:color w:val="000000" w:themeColor="text1"/>
        </w:rPr>
      </w:r>
      <w:r w:rsidR="00CC293C" w:rsidRPr="00673554">
        <w:rPr>
          <w:b/>
          <w:iCs/>
          <w:color w:val="000000" w:themeColor="text1"/>
        </w:rPr>
        <w:fldChar w:fldCharType="separate"/>
      </w:r>
      <w:r w:rsidR="0011368C" w:rsidRPr="00673554">
        <w:rPr>
          <w:b/>
          <w:iCs/>
        </w:rPr>
        <w:t>Box 6.16</w:t>
      </w:r>
      <w:r w:rsidR="00CC293C" w:rsidRPr="00673554">
        <w:rPr>
          <w:b/>
          <w:iCs/>
          <w:color w:val="000000" w:themeColor="text1"/>
        </w:rPr>
        <w:fldChar w:fldCharType="end"/>
      </w:r>
      <w:r w:rsidR="1B1EA2BA" w:rsidRPr="00A9434B">
        <w:rPr>
          <w:color w:val="000000" w:themeColor="text1"/>
        </w:rPr>
        <w:t>).</w:t>
      </w:r>
      <w:r w:rsidR="009D4056" w:rsidRPr="00A9434B">
        <w:rPr>
          <w:color w:val="000000" w:themeColor="text1"/>
        </w:rPr>
        <w:t xml:space="preserve"> </w:t>
      </w:r>
      <w:r w:rsidR="049AFCD5" w:rsidRPr="00A9434B">
        <w:rPr>
          <w:color w:val="000000" w:themeColor="text1"/>
        </w:rPr>
        <w:t>Adaptation may be the only option when</w:t>
      </w:r>
      <w:r w:rsidR="487612C9" w:rsidRPr="00A9434B">
        <w:rPr>
          <w:color w:val="000000" w:themeColor="text1"/>
        </w:rPr>
        <w:t xml:space="preserve"> invasive</w:t>
      </w:r>
      <w:r w:rsidR="049AFCD5" w:rsidRPr="00A9434B">
        <w:rPr>
          <w:color w:val="000000" w:themeColor="text1"/>
        </w:rPr>
        <w:t xml:space="preserve"> alien species</w:t>
      </w:r>
      <w:r w:rsidR="487612C9" w:rsidRPr="00A9434B">
        <w:rPr>
          <w:color w:val="000000" w:themeColor="text1"/>
        </w:rPr>
        <w:t xml:space="preserve"> generate substantial social, economic or ecological benefit and ha</w:t>
      </w:r>
      <w:r w:rsidR="570D8E4F" w:rsidRPr="00A9434B">
        <w:rPr>
          <w:color w:val="000000" w:themeColor="text1"/>
        </w:rPr>
        <w:t>ve</w:t>
      </w:r>
      <w:r w:rsidR="487612C9" w:rsidRPr="00A9434B">
        <w:rPr>
          <w:color w:val="000000" w:themeColor="text1"/>
        </w:rPr>
        <w:t xml:space="preserve"> been incorporated into </w:t>
      </w:r>
      <w:r w:rsidR="00AB4B43" w:rsidRPr="00A9434B">
        <w:rPr>
          <w:color w:val="000000" w:themeColor="text1"/>
        </w:rPr>
        <w:t>socioecological</w:t>
      </w:r>
      <w:r w:rsidR="487612C9" w:rsidRPr="00A9434B">
        <w:rPr>
          <w:color w:val="000000" w:themeColor="text1"/>
        </w:rPr>
        <w:t xml:space="preserve"> systems to such a degree that control or eradication would generate serious negative </w:t>
      </w:r>
      <w:r w:rsidR="00AB4B43" w:rsidRPr="00A9434B">
        <w:rPr>
          <w:color w:val="000000" w:themeColor="text1"/>
        </w:rPr>
        <w:t>socioecological</w:t>
      </w:r>
      <w:r w:rsidR="487612C9" w:rsidRPr="00A9434B">
        <w:rPr>
          <w:color w:val="000000" w:themeColor="text1"/>
        </w:rPr>
        <w:t xml:space="preserve"> impacts </w:t>
      </w:r>
      <w:r w:rsidR="00363D20" w:rsidRPr="00A9434B">
        <w:rPr>
          <w:rStyle w:val="normaltextrun"/>
          <w:color w:val="000000" w:themeColor="text1"/>
        </w:rPr>
        <w:fldChar w:fldCharType="begin"/>
      </w:r>
      <w:r w:rsidR="0006613E">
        <w:rPr>
          <w:rStyle w:val="normaltextrun"/>
          <w:color w:val="000000" w:themeColor="text1"/>
        </w:rPr>
        <w:instrText xml:space="preserve"> ADDIN ZOTERO_ITEM CSL_CITATION {"citationID":"a158tff8nhi","properties":{"formattedCitation":"(Bhattacharyya &amp; Larson, 2014; P. L. Howard, 2019; Roder, 2001)","plainCitation":"(Bhattacharyya &amp; Larson, 2014; P. L. Howard, 2019; Roder, 2001)","noteIndex":0},"citationItems":[{"id":9812,"uris":["http://zotero.org/groups/2352922/items/96JMLEEB"],"itemData":{"id":9812,"type":"article-journal","abstract":"Culture, livelihoods and political-economic status all influence people’s perception of introduced and invasive species, shaping perspectives on what sort of management of them, if any, is warranted. Indigenous voices and values are under-represented in scholarly discourse about introduced and invasive species. This paper examines the relationship between the Xeni Gwet’in First Nation (one of six Tsilhqot’in communities) and wild or free-roaming horses in British Columbia, Canada. We outline how Xeni Gwet’in people value horses and experience management actions, contextualising the controversy over wild horses amidst power imbalances in the expression of environmental values. We suggest that Indigenous voices are vital to include when evaluating impacts of controversial species and developing management strategies.","container-title":"Environmental Values","DOI":"10.3197/096327114X13947900181031","ISSN":"09632719, 17527015","issue":"6","journalAbbreviation":"environ values","language":"en","page":"663-684","source":"DOI.org (Crossref)","title":"The Need for Indigenous Voices in Discourse about Introduced Species: Insights from a Controversy over Wild Horses","title-short":"The Need for Indigenous Voices in Discourse about Introduced Species","URL":"http://openurl.ingenta.com/content/xref?genre=article&amp;issn=0963-2719&amp;volume=23&amp;issue=6&amp;spage=663","volume":"23","author":[{"family":"Bhattacharyya","given":"Jonaki"},{"family":"Larson","given":"Brendon M.H."}],"accessed":{"date-parts":[["2019",11,7]]},"issued":{"date-parts":[["2014",12,1]]}},"label":"page"},{"id":56402,"uris":["http://zotero.org/groups/2352922/items/FKZW3H8F","http://zotero.org/groups/2352922/items/LF2QQ5MI"],"itemData":{"id":56402,"type":"article-journal","abstract":"Abstract\n            Species invasions are a major driver of ecological change, are very difficult to control or reverse, and will increase with climate change and global trade. Invasion sciences consider how species in invaded environments adapt, but neither scientists nor policy makers consider human adaptation to invasive species and how this affects ecosystems and well-being. To address this, a framework conceptualising autochthonous human adaptation to invasions was developed based on the Human Adaptation to Biodiversity Change framework and a case study metasynthesis. Results show that adaptation occurs within different spheres of human activity and organisation at different social-ecological scales; responses have feedbacks within and across these spheres. Adaptation to invasives and other drivers is a set of highly contextual, complex, non-linear responses that make up pathways pursued over time. Most invasive species management and adaptation occurs ‘from below,’ and policies and planned control efforts should support autochthonous adaptation, rather than undermining it.","container-title":"Ambio","DOI":"10.1007/s13280-019-01297-5","ISSN":"0044-7447, 1654-7209","issue":"12","journalAbbreviation":"Ambio","language":"en","page":"1401-1430","source":"DOI.org (Crossref)","title":"Human adaptation to invasive species: A conceptual framework based on a case study metasynthesis","title-short":"Human adaptation to invasive species","URL":"http://link.springer.com/10.1007/s13280-019-01297-5","volume":"48","author":[{"family":"Howard","given":"Patricia L."}],"accessed":{"date-parts":[["2023",6,8]]},"issued":{"date-parts":[["2019",12]]}},"label":"page"},{"id":15807,"uris":["http://zotero.org/groups/2352922/items/32WPE87R"],"itemData":{"id":15807,"type":"book","call-number":"SB191.R5 R653 2001","event-place":"Los Baños","ISBN":"978-971-22-0153-0","language":"en","number-of-pages":"201","publisher":"International Rice Research Institute","publisher-place":"Los Baños","source":"Library of Congress ISBN","title":"Slash-and-burn rice systems in the hills of Northern Lao PDR: description, challenges, and opportunities","title-short":"Slash-and-burn rice systems in the hills of Northern Lao PDR","author":[{"family":"Roder","given":"Walter"}],"issued":{"date-parts":[["2001"]]}},"label":"page"}],"schema":"https://github.com/citation-style-language/schema/raw/master/csl-citation.json"} </w:instrText>
      </w:r>
      <w:r w:rsidR="00363D20" w:rsidRPr="00A9434B">
        <w:rPr>
          <w:rStyle w:val="normaltextrun"/>
          <w:color w:val="000000" w:themeColor="text1"/>
        </w:rPr>
        <w:fldChar w:fldCharType="separate"/>
      </w:r>
      <w:r w:rsidR="00C71E80" w:rsidRPr="00A9434B">
        <w:t>(Bhattacharyya &amp; Larson, 2014; P. L. Howard, 2019; Roder, 2001)</w:t>
      </w:r>
      <w:r w:rsidR="00363D20" w:rsidRPr="00A9434B">
        <w:rPr>
          <w:rStyle w:val="normaltextrun"/>
          <w:color w:val="000000" w:themeColor="text1"/>
        </w:rPr>
        <w:fldChar w:fldCharType="end"/>
      </w:r>
      <w:r w:rsidR="049AFCD5" w:rsidRPr="00A9434B">
        <w:rPr>
          <w:rStyle w:val="normaltextrun"/>
          <w:color w:val="000000" w:themeColor="text1"/>
        </w:rPr>
        <w:t>.</w:t>
      </w:r>
      <w:r w:rsidR="3CE7E591" w:rsidRPr="00A9434B">
        <w:rPr>
          <w:color w:val="000000" w:themeColor="text1"/>
        </w:rPr>
        <w:t xml:space="preserve"> </w:t>
      </w:r>
      <w:r w:rsidR="049AFCD5" w:rsidRPr="00A9434B">
        <w:t xml:space="preserve">When invasive alien species have negative impacts </w:t>
      </w:r>
      <w:r w:rsidR="3B61E8B3" w:rsidRPr="00A9434B">
        <w:t xml:space="preserve">on good quality of life </w:t>
      </w:r>
      <w:r w:rsidR="00F806B6" w:rsidRPr="00A9434B">
        <w:t>(</w:t>
      </w:r>
      <w:r w:rsidR="00CB08B6">
        <w:rPr>
          <w:b/>
          <w:iCs/>
        </w:rPr>
        <w:t>C</w:t>
      </w:r>
      <w:r w:rsidR="3B61E8B3" w:rsidRPr="00673554">
        <w:rPr>
          <w:b/>
          <w:iCs/>
        </w:rPr>
        <w:t>hapter 4</w:t>
      </w:r>
      <w:r w:rsidR="3B61E8B3" w:rsidRPr="00673554">
        <w:rPr>
          <w:iCs/>
        </w:rPr>
        <w:t xml:space="preserve">, </w:t>
      </w:r>
      <w:r w:rsidR="3B61E8B3" w:rsidRPr="00673554">
        <w:rPr>
          <w:b/>
          <w:iCs/>
        </w:rPr>
        <w:t>section 4.5</w:t>
      </w:r>
      <w:r w:rsidR="3B61E8B3" w:rsidRPr="00A9434B">
        <w:t>)</w:t>
      </w:r>
      <w:r w:rsidR="049AFCD5" w:rsidRPr="00A9434B">
        <w:t xml:space="preserve">, people attempt to change these impacts and, if possible, turn harm to benefit. </w:t>
      </w:r>
      <w:r w:rsidR="00C25E77">
        <w:t xml:space="preserve">A review of 70 case studies on adaptation to invasive alien species across the globe found that this is done in many ways – such as managing invasive alien species, using invasive alien species, changing their cropping and livelihood systems to accommodate harmful changes, or using the resources that invasive alien species can in some cases provide </w:t>
      </w:r>
      <w:r w:rsidR="00363D20" w:rsidRPr="00A9434B">
        <w:fldChar w:fldCharType="begin"/>
      </w:r>
      <w:r w:rsidR="0006613E">
        <w:instrText xml:space="preserve"> ADDIN ZOTERO_ITEM CSL_CITATION {"citationID":"a2fkoarjqp5","properties":{"formattedCitation":"(P. L. Howard, 2019)","plainCitation":"(P. L. Howard, 2019)","noteIndex":0},"citationItems":[{"id":56402,"uris":["http://zotero.org/groups/2352922/items/FKZW3H8F","http://zotero.org/groups/2352922/items/LF2QQ5MI"],"itemData":{"id":56402,"type":"article-journal","abstract":"Abstract\n            Species invasions are a major driver of ecological change, are very difficult to control or reverse, and will increase with climate change and global trade. Invasion sciences consider how species in invaded environments adapt, but neither scientists nor policy makers consider human adaptation to invasive species and how this affects ecosystems and well-being. To address this, a framework conceptualising autochthonous human adaptation to invasions was developed based on the Human Adaptation to Biodiversity Change framework and a case study metasynthesis. Results show that adaptation occurs within different spheres of human activity and organisation at different social-ecological scales; responses have feedbacks within and across these spheres. Adaptation to invasives and other drivers is a set of highly contextual, complex, non-linear responses that make up pathways pursued over time. Most invasive species management and adaptation occurs ‘from below,’ and policies and planned control efforts should support autochthonous adaptation, rather than undermining it.","container-title":"Ambio","DOI":"10.1007/s13280-019-01297-5","ISSN":"0044-7447, 1654-7209","issue":"12","journalAbbreviation":"Ambio","language":"en","page":"1401-1430","source":"DOI.org (Crossref)","title":"Human adaptation to invasive species: A conceptual framework based on a case study metasynthesis","title-short":"Human adaptation to invasive species","URL":"http://link.springer.com/10.1007/s13280-019-01297-5","volume":"48","author":[{"family":"Howard","given":"Patricia L."}],"accessed":{"date-parts":[["2023",6,8]]},"issued":{"date-parts":[["2019",12]]}},"label":"page"}],"schema":"https://github.com/citation-style-language/schema/raw/master/csl-citation.json"} </w:instrText>
      </w:r>
      <w:r w:rsidR="00363D20" w:rsidRPr="00A9434B">
        <w:fldChar w:fldCharType="separate"/>
      </w:r>
      <w:r w:rsidR="00C71E80" w:rsidRPr="00A9434B">
        <w:t>(P. L. Howard, 2019)</w:t>
      </w:r>
      <w:r w:rsidR="00363D20" w:rsidRPr="00A9434B">
        <w:fldChar w:fldCharType="end"/>
      </w:r>
      <w:r w:rsidR="049AFCD5" w:rsidRPr="00A9434B">
        <w:t>. When the impacts are too severe, people may be forced</w:t>
      </w:r>
      <w:r w:rsidR="00AB434A" w:rsidRPr="00A9434B">
        <w:t xml:space="preserve"> </w:t>
      </w:r>
      <w:r w:rsidR="049AFCD5" w:rsidRPr="00A9434B">
        <w:t>to abandon their homelands altogether or to migrate to find resources such as forage grass in new regions</w:t>
      </w:r>
      <w:r w:rsidR="3B61E8B3" w:rsidRPr="00A9434B">
        <w:t xml:space="preserve"> </w:t>
      </w:r>
      <w:r w:rsidR="00F806B6" w:rsidRPr="00A9434B">
        <w:t>(</w:t>
      </w:r>
      <w:r w:rsidR="00CB08B6">
        <w:rPr>
          <w:b/>
          <w:iCs/>
        </w:rPr>
        <w:t>C</w:t>
      </w:r>
      <w:r w:rsidR="3B61E8B3" w:rsidRPr="00673554">
        <w:rPr>
          <w:b/>
          <w:iCs/>
        </w:rPr>
        <w:t>hapter 4</w:t>
      </w:r>
      <w:r w:rsidR="3B61E8B3" w:rsidRPr="00673554">
        <w:rPr>
          <w:iCs/>
        </w:rPr>
        <w:t>,</w:t>
      </w:r>
      <w:r w:rsidR="3B61E8B3" w:rsidRPr="00673554">
        <w:rPr>
          <w:b/>
          <w:iCs/>
        </w:rPr>
        <w:t xml:space="preserve"> section</w:t>
      </w:r>
      <w:r w:rsidR="003A7C3E" w:rsidRPr="00673554">
        <w:rPr>
          <w:b/>
          <w:iCs/>
        </w:rPr>
        <w:t>s</w:t>
      </w:r>
      <w:r w:rsidR="3B61E8B3" w:rsidRPr="00673554">
        <w:rPr>
          <w:b/>
          <w:iCs/>
        </w:rPr>
        <w:t xml:space="preserve"> </w:t>
      </w:r>
      <w:r w:rsidR="003A7C3E" w:rsidRPr="00673554">
        <w:rPr>
          <w:b/>
          <w:iCs/>
        </w:rPr>
        <w:t>4.5.1</w:t>
      </w:r>
      <w:r w:rsidR="003A7C3E" w:rsidRPr="00CB08B6">
        <w:t xml:space="preserve"> and</w:t>
      </w:r>
      <w:r w:rsidR="003A7C3E" w:rsidRPr="00673554">
        <w:rPr>
          <w:iCs/>
        </w:rPr>
        <w:t xml:space="preserve"> </w:t>
      </w:r>
      <w:r w:rsidR="3B61E8B3" w:rsidRPr="00673554">
        <w:rPr>
          <w:b/>
          <w:iCs/>
        </w:rPr>
        <w:t>4.6.3</w:t>
      </w:r>
      <w:r w:rsidR="003A7C3E" w:rsidRPr="00673554">
        <w:rPr>
          <w:b/>
          <w:iCs/>
        </w:rPr>
        <w:t>.2</w:t>
      </w:r>
      <w:r w:rsidR="3B61E8B3" w:rsidRPr="00A9434B">
        <w:t>)</w:t>
      </w:r>
      <w:r w:rsidR="049AFCD5" w:rsidRPr="00A9434B">
        <w:t xml:space="preserve">. Adapting to invasive species, then, often means </w:t>
      </w:r>
      <w:r w:rsidR="049AFCD5" w:rsidRPr="00A9434B">
        <w:rPr>
          <w:color w:val="000000" w:themeColor="text1"/>
        </w:rPr>
        <w:t>mobili</w:t>
      </w:r>
      <w:r w:rsidR="008A2992" w:rsidRPr="00A9434B">
        <w:rPr>
          <w:color w:val="000000" w:themeColor="text1"/>
        </w:rPr>
        <w:t>z</w:t>
      </w:r>
      <w:r w:rsidR="049AFCD5" w:rsidRPr="00A9434B">
        <w:rPr>
          <w:color w:val="000000" w:themeColor="text1"/>
        </w:rPr>
        <w:t>ing and reorgani</w:t>
      </w:r>
      <w:r w:rsidR="008A2992" w:rsidRPr="00A9434B">
        <w:rPr>
          <w:color w:val="000000" w:themeColor="text1"/>
        </w:rPr>
        <w:t>z</w:t>
      </w:r>
      <w:r w:rsidR="049AFCD5" w:rsidRPr="00A9434B">
        <w:rPr>
          <w:color w:val="000000" w:themeColor="text1"/>
        </w:rPr>
        <w:t xml:space="preserve">ing </w:t>
      </w:r>
      <w:r w:rsidR="51C25D5A" w:rsidRPr="00A9434B">
        <w:rPr>
          <w:color w:val="000000" w:themeColor="text1"/>
        </w:rPr>
        <w:t>relationships and assets within communities</w:t>
      </w:r>
      <w:r w:rsidR="049AFCD5" w:rsidRPr="00A9434B">
        <w:rPr>
          <w:color w:val="000000" w:themeColor="text1"/>
        </w:rPr>
        <w:t xml:space="preserve">, which has knock-on effects not only for </w:t>
      </w:r>
      <w:r w:rsidR="43559853" w:rsidRPr="00A9434B">
        <w:rPr>
          <w:color w:val="000000" w:themeColor="text1"/>
        </w:rPr>
        <w:t>individual</w:t>
      </w:r>
      <w:r w:rsidR="049AFCD5" w:rsidRPr="00A9434B">
        <w:rPr>
          <w:color w:val="000000" w:themeColor="text1"/>
        </w:rPr>
        <w:t xml:space="preserve"> members but as well for entire communities and </w:t>
      </w:r>
      <w:r w:rsidR="00AB4B43" w:rsidRPr="00A9434B">
        <w:rPr>
          <w:color w:val="000000" w:themeColor="text1"/>
        </w:rPr>
        <w:t>socioecological</w:t>
      </w:r>
      <w:r w:rsidR="049AFCD5" w:rsidRPr="00A9434B">
        <w:rPr>
          <w:color w:val="000000" w:themeColor="text1"/>
        </w:rPr>
        <w:t xml:space="preserve"> systems </w:t>
      </w:r>
      <w:r w:rsidR="008A3896" w:rsidRPr="00A9434B">
        <w:fldChar w:fldCharType="begin"/>
      </w:r>
      <w:r w:rsidR="0006613E">
        <w:instrText xml:space="preserve"> ADDIN ZOTERO_ITEM CSL_CITATION {"citationID":"Vbx8hMJ2","properties":{"formattedCitation":"(P. L. Howard, 2019)","plainCitation":"(P. L. Howard, 2019)","noteIndex":0},"citationItems":[{"id":56402,"uris":["http://zotero.org/groups/2352922/items/FKZW3H8F","http://zotero.org/groups/2352922/items/LF2QQ5MI"],"itemData":{"id":56402,"type":"article-journal","abstract":"Abstract\n            Species invasions are a major driver of ecological change, are very difficult to control or reverse, and will increase with climate change and global trade. Invasion sciences consider how species in invaded environments adapt, but neither scientists nor policy makers consider human adaptation to invasive species and how this affects ecosystems and well-being. To address this, a framework conceptualising autochthonous human adaptation to invasions was developed based on the Human Adaptation to Biodiversity Change framework and a case study metasynthesis. Results show that adaptation occurs within different spheres of human activity and organisation at different social-ecological scales; responses have feedbacks within and across these spheres. Adaptation to invasives and other drivers is a set of highly contextual, complex, non-linear responses that make up pathways pursued over time. Most invasive species management and adaptation occurs ‘from below,’ and policies and planned control efforts should support autochthonous adaptation, rather than undermining it.","container-title":"Ambio","DOI":"10.1007/s13280-019-01297-5","ISSN":"0044-7447, 1654-7209","issue":"12","journalAbbreviation":"Ambio","language":"en","page":"1401-1430","source":"DOI.org (Crossref)","title":"Human adaptation to invasive species: A conceptual framework based on a case study metasynthesis","title-short":"Human adaptation to invasive species","URL":"http://link.springer.com/10.1007/s13280-019-01297-5","volume":"48","author":[{"family":"Howard","given":"Patricia L."}],"accessed":{"date-parts":[["2023",6,8]]},"issued":{"date-parts":[["2019",12]]}},"label":"page"}],"schema":"https://github.com/citation-style-language/schema/raw/master/csl-citation.json"} </w:instrText>
      </w:r>
      <w:r w:rsidR="008A3896" w:rsidRPr="00A9434B">
        <w:fldChar w:fldCharType="separate"/>
      </w:r>
      <w:r w:rsidR="00C71E80" w:rsidRPr="00A9434B">
        <w:t>(P. L. Howard, 2019)</w:t>
      </w:r>
      <w:r w:rsidR="008A3896" w:rsidRPr="00A9434B">
        <w:fldChar w:fldCharType="end"/>
      </w:r>
      <w:r w:rsidR="049AFCD5" w:rsidRPr="00A9434B">
        <w:t>. </w:t>
      </w:r>
    </w:p>
    <w:p w14:paraId="5ABBD40D" w14:textId="77777777" w:rsidR="00082050" w:rsidRPr="00A9434B" w:rsidRDefault="056597C5" w:rsidP="00082050">
      <w:pPr>
        <w:pStyle w:val="Heading5"/>
      </w:pPr>
      <w:r w:rsidRPr="00A9434B">
        <w:t xml:space="preserve">Governance implications of </w:t>
      </w:r>
      <w:r w:rsidR="3144A369" w:rsidRPr="00A9434B">
        <w:t xml:space="preserve">human adaptation to </w:t>
      </w:r>
      <w:r w:rsidRPr="00A9434B">
        <w:t>invasive alien species</w:t>
      </w:r>
    </w:p>
    <w:p w14:paraId="72C2CE3C" w14:textId="15A52319" w:rsidR="005A1948" w:rsidRPr="00A9434B" w:rsidRDefault="3144A369" w:rsidP="00082050">
      <w:pPr>
        <w:spacing w:before="0"/>
      </w:pPr>
      <w:r w:rsidRPr="00A9434B">
        <w:t>The practical and policy implications of</w:t>
      </w:r>
      <w:r w:rsidR="049AFCD5" w:rsidRPr="00A9434B">
        <w:t xml:space="preserve"> such</w:t>
      </w:r>
      <w:r w:rsidRPr="00A9434B">
        <w:t xml:space="preserve"> </w:t>
      </w:r>
      <w:r w:rsidR="5E7BBC55" w:rsidRPr="00A9434B">
        <w:t>local</w:t>
      </w:r>
      <w:r w:rsidR="049AFCD5" w:rsidRPr="00A9434B">
        <w:t xml:space="preserve">-level adaptation </w:t>
      </w:r>
      <w:r w:rsidR="00C25E77">
        <w:t xml:space="preserve">to invasive alien species </w:t>
      </w:r>
      <w:r w:rsidRPr="00A9434B">
        <w:t xml:space="preserve">are significant. No matter how wide the reach of planned interventions, </w:t>
      </w:r>
      <w:r w:rsidR="2C0EC32E" w:rsidRPr="00A9434B">
        <w:t xml:space="preserve">such </w:t>
      </w:r>
      <w:r w:rsidRPr="00A9434B">
        <w:t xml:space="preserve">adaptation may still be necessary. Governments often have limited resources and rely on </w:t>
      </w:r>
      <w:r w:rsidR="28D8AE98" w:rsidRPr="00A9434B">
        <w:t xml:space="preserve">local </w:t>
      </w:r>
      <w:r w:rsidRPr="00A9434B">
        <w:t>actors</w:t>
      </w:r>
      <w:r w:rsidR="00D92EDF" w:rsidRPr="00A9434B">
        <w:t xml:space="preserve"> and their cooperation</w:t>
      </w:r>
      <w:r w:rsidRPr="00A9434B">
        <w:t xml:space="preserve"> to implement invasive management actions </w:t>
      </w:r>
      <w:r w:rsidR="00D15BB8" w:rsidRPr="00A9434B">
        <w:fldChar w:fldCharType="begin"/>
      </w:r>
      <w:r w:rsidR="0006613E">
        <w:instrText xml:space="preserve"> ADDIN ZOTERO_ITEM CSL_CITATION {"citationID":"a1n5k5e1p9h","properties":{"formattedCitation":"(P. L. Howard &amp; Pecl, 2019; Pecl et al., 2019)","plainCitation":"(P. L. Howard &amp; Pecl, 2019; Pecl et al., 2019)","noteIndex":0},"citationItems":[{"id":16708,"uris":["http://zotero.org/groups/2352922/items/VINKLHC6"],"itemData":{"id":16708,"type":"article-journal","collection-title":"Human adaptation to biodiversity change in the anthropocene","container-title":"Ambio","DOI":"10.1007/s13280-019-01283-x","issue":"12","page":"1389-1400","title":"Introduction: Autochthonous human adaptation to biodiversity change in the Anthropocene","volume":"48","author":[{"family":"Howard","given":"Patricia L."},{"family":"Pecl","given":"G. T."}],"issued":{"date-parts":[["2019"]]}},"label":"page"},{"id":16953,"uris":["http://zotero.org/groups/2352922/items/D7K27LFP"],"itemData":{"id":16953,"type":"article-journal","abstract":"While governments and natural resource managers grapple with how to respond to climatic changes, many marine-dependent individuals, organisations and user-groups in fast-changing regions of the world are already adjusting their behaviour to accommodate these. However, we have little information on the nature of these autonomous adaptations that are being initiated by resource user-groups. The east coast of Tasmania, Australia, is one of the world’s fastest warming marine regions with extensive climate-driven changes in biodiversity already observed. We present and compare examples of autonomous adaptations from marine users of the region to provide insights into factors that may have constrained or facilitated the available range of autonomous adaptation options and discuss potential interactions with governmental planned adaptations. We aim to support effective adaptation by identifying the suite of changes that marine users are making largely without government or management intervention, i.e. autonomous adaptations, to better understand these and their potential interactions with formal adaptation strategies.","collection-title":"Special Issue","container-title":"Ambio","DOI":"10.1007/s13280-019-01186-x","ISSN":"0044-7447, 1654-7209","issue":"12","journalAbbreviation":"Ambio","language":"en","page":"1498-1515","source":"DOI.org (Crossref)","title":"Autonomous adaptation to climate-driven change in marine biodiversity in a global marine hotspot","URL":"http://link.springer.com/10.1007/s13280-019-01186-x","volume":"48","author":[{"family":"Pecl","given":"Gretta T."},{"family":"Ogier","given":"Emily"},{"family":"Jennings","given":"Sarah"},{"family":"Putten","given":"Ingrid","non-dropping-particle":"van"},{"family":"Crawford","given":"Christine"},{"family":"Fogarty","given":"Hannah"},{"family":"Frusher","given":"Stewart"},{"family":"Hobday","given":"Alistair J."},{"family":"Keane","given":"John"},{"family":"Lee","given":"Emma"},{"family":"MacLeod","given":"Catriona"},{"family":"Mundy","given":"Craig"},{"family":"Stuart-Smith","given":"Jemina"},{"family":"Tracey","given":"Sean"}],"accessed":{"date-parts":[["2019",11,30]]},"issued":{"date-parts":[["2019",12]]}},"label":"page"}],"schema":"https://github.com/citation-style-language/schema/raw/master/csl-citation.json"} </w:instrText>
      </w:r>
      <w:r w:rsidR="00D15BB8" w:rsidRPr="00A9434B">
        <w:fldChar w:fldCharType="separate"/>
      </w:r>
      <w:r w:rsidR="00C71E80" w:rsidRPr="00A9434B">
        <w:t>(P. L. Howard &amp; Pecl, 2019; Pecl et al., 2019)</w:t>
      </w:r>
      <w:r w:rsidR="00D15BB8" w:rsidRPr="00A9434B">
        <w:fldChar w:fldCharType="end"/>
      </w:r>
      <w:r w:rsidR="4F28AEDF" w:rsidRPr="00A9434B">
        <w:t>.</w:t>
      </w:r>
      <w:r w:rsidRPr="00A9434B">
        <w:t xml:space="preserve"> </w:t>
      </w:r>
      <w:r w:rsidR="00C25E77">
        <w:lastRenderedPageBreak/>
        <w:t xml:space="preserve">Adaptations to invasive alien species occur </w:t>
      </w:r>
      <w:r w:rsidRPr="00A9434B">
        <w:t>in different spheres of individual, household</w:t>
      </w:r>
      <w:r w:rsidR="394DE89E" w:rsidRPr="00A9434B">
        <w:t>,</w:t>
      </w:r>
      <w:r w:rsidRPr="00A9434B">
        <w:t xml:space="preserve"> or collective activity related to production systems and the enactment of daily life </w:t>
      </w:r>
      <w:r w:rsidR="00CD40BE" w:rsidRPr="00A9434B">
        <w:fldChar w:fldCharType="begin"/>
      </w:r>
      <w:r w:rsidR="0006613E">
        <w:instrText xml:space="preserve"> ADDIN ZOTERO_ITEM CSL_CITATION {"citationID":"PJv1v5Mk","properties":{"formattedCitation":"(P. L. Howard, 2019)","plainCitation":"(P. L. Howard, 2019)","noteIndex":0},"citationItems":[{"id":56402,"uris":["http://zotero.org/groups/2352922/items/FKZW3H8F","http://zotero.org/groups/2352922/items/LF2QQ5MI"],"itemData":{"id":56402,"type":"article-journal","abstract":"Abstract\n            Species invasions are a major driver of ecological change, are very difficult to control or reverse, and will increase with climate change and global trade. Invasion sciences consider how species in invaded environments adapt, but neither scientists nor policy makers consider human adaptation to invasive species and how this affects ecosystems and well-being. To address this, a framework conceptualising autochthonous human adaptation to invasions was developed based on the Human Adaptation to Biodiversity Change framework and a case study metasynthesis. Results show that adaptation occurs within different spheres of human activity and organisation at different social-ecological scales; responses have feedbacks within and across these spheres. Adaptation to invasives and other drivers is a set of highly contextual, complex, non-linear responses that make up pathways pursued over time. Most invasive species management and adaptation occurs ‘from below,’ and policies and planned control efforts should support autochthonous adaptation, rather than undermining it.","container-title":"Ambio","DOI":"10.1007/s13280-019-01297-5","ISSN":"0044-7447, 1654-7209","issue":"12","journalAbbreviation":"Ambio","language":"en","page":"1401-1430","source":"DOI.org (Crossref)","title":"Human adaptation to invasive species: A conceptual framework based on a case study metasynthesis","title-short":"Human adaptation to invasive species","URL":"http://link.springer.com/10.1007/s13280-019-01297-5","volume":"48","author":[{"family":"Howard","given":"Patricia L."}],"accessed":{"date-parts":[["2023",6,8]]},"issued":{"date-parts":[["2019",12]]}},"label":"page"}],"schema":"https://github.com/citation-style-language/schema/raw/master/csl-citation.json"} </w:instrText>
      </w:r>
      <w:r w:rsidR="00CD40BE" w:rsidRPr="00A9434B">
        <w:fldChar w:fldCharType="separate"/>
      </w:r>
      <w:r w:rsidR="00C71E80" w:rsidRPr="00A9434B">
        <w:t>(P. L. Howard, 2019)</w:t>
      </w:r>
      <w:r w:rsidR="00CD40BE" w:rsidRPr="00A9434B">
        <w:fldChar w:fldCharType="end"/>
      </w:r>
      <w:r w:rsidR="056597C5" w:rsidRPr="00A9434B">
        <w:t xml:space="preserve">. </w:t>
      </w:r>
      <w:r w:rsidRPr="00A9434B">
        <w:t xml:space="preserve">Local-scale adaptation is an important means to mitigate </w:t>
      </w:r>
      <w:r w:rsidR="0819D984" w:rsidRPr="00A9434B">
        <w:t xml:space="preserve">the impacts of </w:t>
      </w:r>
      <w:r w:rsidRPr="00A9434B">
        <w:t xml:space="preserve">invasive </w:t>
      </w:r>
      <w:r w:rsidR="00F5B429" w:rsidRPr="00A9434B">
        <w:t>alien species</w:t>
      </w:r>
      <w:r w:rsidRPr="00A9434B">
        <w:t xml:space="preserve">, restore </w:t>
      </w:r>
      <w:r w:rsidR="00AB4B43" w:rsidRPr="00A9434B">
        <w:t>socioecological</w:t>
      </w:r>
      <w:r w:rsidRPr="00A9434B">
        <w:t xml:space="preserve"> resilience </w:t>
      </w:r>
      <w:r w:rsidR="00F806B6" w:rsidRPr="00A9434B">
        <w:t>(</w:t>
      </w:r>
      <w:r w:rsidR="008615FF">
        <w:rPr>
          <w:b/>
          <w:iCs/>
        </w:rPr>
        <w:t>G</w:t>
      </w:r>
      <w:r w:rsidR="00A148F8" w:rsidRPr="00673554">
        <w:rPr>
          <w:b/>
          <w:iCs/>
        </w:rPr>
        <w:t>lossary</w:t>
      </w:r>
      <w:r w:rsidR="00A148F8" w:rsidRPr="00A9434B">
        <w:t xml:space="preserve">) </w:t>
      </w:r>
      <w:r w:rsidRPr="00A9434B">
        <w:t xml:space="preserve">and, where necessary and possible, transform </w:t>
      </w:r>
      <w:r w:rsidR="00AB4B43" w:rsidRPr="00A9434B">
        <w:t>socioecological</w:t>
      </w:r>
      <w:r w:rsidRPr="00A9434B">
        <w:t xml:space="preserve"> systems to more desirable and sustainable states.</w:t>
      </w:r>
      <w:r w:rsidR="009D4056" w:rsidRPr="00A9434B">
        <w:t xml:space="preserve"> </w:t>
      </w:r>
      <w:r w:rsidR="04153E10" w:rsidRPr="00A9434B">
        <w:t>In cases where adaptation includes use of the invasive alien species as a resource, a</w:t>
      </w:r>
      <w:r w:rsidR="5FAC0166" w:rsidRPr="00A9434B">
        <w:t xml:space="preserve"> balance needs to be </w:t>
      </w:r>
      <w:r w:rsidR="04153E10" w:rsidRPr="00A9434B">
        <w:t xml:space="preserve">achieved between local benefits arising from such use and the potential of such use exacerbating negative outcomes from further invasive alien species spread </w:t>
      </w:r>
      <w:r w:rsidR="00CD40BE" w:rsidRPr="00A9434B">
        <w:fldChar w:fldCharType="begin"/>
      </w:r>
      <w:r w:rsidR="0006613E">
        <w:instrText xml:space="preserve"> ADDIN ZOTERO_ITEM CSL_CITATION {"citationID":"a22fko5p2ni","properties":{"formattedCitation":"(P. L. Howard &amp; Pecl, 2019)","plainCitation":"(P. L. Howard &amp; Pecl, 2019)","noteIndex":0},"citationItems":[{"id":16708,"uris":["http://zotero.org/groups/2352922/items/VINKLHC6"],"itemData":{"id":16708,"type":"article-journal","collection-title":"Human adaptation to biodiversity change in the anthropocene","container-title":"Ambio","DOI":"10.1007/s13280-019-01283-x","issue":"12","page":"1389-1400","title":"Introduction: Autochthonous human adaptation to biodiversity change in the Anthropocene","volume":"48","author":[{"family":"Howard","given":"Patricia L."},{"family":"Pecl","given":"G. T."}],"issued":{"date-parts":[["2019"]]}}}],"schema":"https://github.com/citation-style-language/schema/raw/master/csl-citation.json"} </w:instrText>
      </w:r>
      <w:r w:rsidR="00CD40BE" w:rsidRPr="00A9434B">
        <w:fldChar w:fldCharType="separate"/>
      </w:r>
      <w:r w:rsidR="00C71E80" w:rsidRPr="00A9434B">
        <w:t>(P. L. Howard &amp; Pecl, 2019)</w:t>
      </w:r>
      <w:r w:rsidR="00CD40BE" w:rsidRPr="00A9434B">
        <w:fldChar w:fldCharType="end"/>
      </w:r>
      <w:r w:rsidR="00CD40BE" w:rsidRPr="00A9434B">
        <w:t>.</w:t>
      </w:r>
    </w:p>
    <w:p w14:paraId="16C26D29" w14:textId="7B403CE3" w:rsidR="00017C04" w:rsidRDefault="00F50AF9" w:rsidP="56C59A3A">
      <w:r>
        <w:t xml:space="preserve">Understanding and considering human adaptation to </w:t>
      </w:r>
      <w:r w:rsidR="5AADF957">
        <w:t xml:space="preserve">invasive alien species </w:t>
      </w:r>
      <w:r>
        <w:t>can lead to the formulation of policies and practices (related to sectors such as land management and pesticide use) that seek to influence local adaptation in ways that increase adaptive capacity, resilience and sustainability. It is therefore an important, although to date little considered, phenomenon and can be considered as a viable response option in inclusive, integrated governance for biological invasions (</w:t>
      </w:r>
      <w:r w:rsidRPr="56C59A3A">
        <w:rPr>
          <w:b/>
          <w:bCs/>
        </w:rPr>
        <w:t>section 6.2.3.5</w:t>
      </w:r>
      <w:r>
        <w:t xml:space="preserve">). </w:t>
      </w:r>
    </w:p>
    <w:p w14:paraId="3BE26A2D" w14:textId="77777777" w:rsidR="00017C04" w:rsidRDefault="00F50AF9" w:rsidP="008521D1">
      <w:pPr>
        <w:pStyle w:val="Heading2"/>
      </w:pPr>
      <w:bookmarkStart w:id="199" w:name="_Toc592024387"/>
      <w:bookmarkStart w:id="200" w:name="_Toc133428304"/>
      <w:bookmarkStart w:id="201" w:name="_Toc133428785"/>
      <w:bookmarkStart w:id="202" w:name="_Toc147417580"/>
      <w:r>
        <w:t xml:space="preserve">Integrated governance </w:t>
      </w:r>
      <w:bookmarkEnd w:id="199"/>
      <w:r>
        <w:t>for biological invasions</w:t>
      </w:r>
      <w:bookmarkStart w:id="203" w:name="_Hlk117416945"/>
      <w:bookmarkEnd w:id="200"/>
      <w:bookmarkEnd w:id="201"/>
      <w:bookmarkEnd w:id="202"/>
      <w:r>
        <w:t xml:space="preserve"> </w:t>
      </w:r>
    </w:p>
    <w:p w14:paraId="78102799" w14:textId="1FE7D2A6" w:rsidR="00017C04" w:rsidRDefault="2F958343">
      <w:r>
        <w:t>Drawing on the approaches above and recognizing the relevance of multiple scales, sectors</w:t>
      </w:r>
      <w:r w:rsidR="00896CEC">
        <w:t xml:space="preserve"> and</w:t>
      </w:r>
      <w:r>
        <w:t xml:space="preserve"> levels of governance, “Integrated Environmental Governance” provides an option for improving the effectiveness of </w:t>
      </w:r>
      <w:r w:rsidRPr="00C12647">
        <w:rPr>
          <w:color w:val="000000" w:themeColor="text1"/>
          <w:highlight w:val="white"/>
        </w:rPr>
        <w:t>invasive alien species</w:t>
      </w:r>
      <w:r>
        <w:t xml:space="preserve"> prevention and control because it focusses attention on the relationships between the necessary components of </w:t>
      </w:r>
      <w:r w:rsidR="00C25E77">
        <w:t xml:space="preserve">governance systems for </w:t>
      </w:r>
      <w:r w:rsidR="00C25E77" w:rsidRPr="0B8DB0CC">
        <w:rPr>
          <w:color w:val="000000" w:themeColor="text1"/>
          <w:highlight w:val="white"/>
        </w:rPr>
        <w:t>biological invasions</w:t>
      </w:r>
      <w:r w:rsidR="00C25E77" w:rsidRPr="00A9434B">
        <w:rPr>
          <w:rStyle w:val="normaltextrun"/>
          <w:rFonts w:eastAsiaTheme="majorEastAsia"/>
          <w:color w:val="000000"/>
          <w:shd w:val="clear" w:color="auto" w:fill="FFFFFF"/>
        </w:rPr>
        <w:t xml:space="preserve"> </w:t>
      </w:r>
      <w:r w:rsidR="00F806B6" w:rsidRPr="00A9434B">
        <w:rPr>
          <w:rStyle w:val="normaltextrun"/>
          <w:rFonts w:eastAsiaTheme="majorEastAsia"/>
          <w:color w:val="000000"/>
          <w:shd w:val="clear" w:color="auto" w:fill="FFFFFF"/>
        </w:rPr>
        <w:t>(</w:t>
      </w:r>
      <w:r w:rsidR="00B9562C" w:rsidRPr="00673554">
        <w:rPr>
          <w:rStyle w:val="normaltextrun"/>
          <w:rFonts w:eastAsiaTheme="majorEastAsia"/>
          <w:b/>
          <w:iCs/>
          <w:color w:val="000000"/>
          <w:shd w:val="clear" w:color="auto" w:fill="FFFFFF"/>
        </w:rPr>
        <w:fldChar w:fldCharType="begin"/>
      </w:r>
      <w:r w:rsidR="00B9562C" w:rsidRPr="00673554">
        <w:rPr>
          <w:rStyle w:val="normaltextrun"/>
          <w:rFonts w:eastAsiaTheme="majorEastAsia"/>
          <w:b/>
          <w:iCs/>
          <w:color w:val="000000"/>
          <w:shd w:val="clear" w:color="auto" w:fill="FFFFFF"/>
        </w:rPr>
        <w:instrText xml:space="preserve"> REF _Ref104898465 \h  \* MERGEFORMAT </w:instrText>
      </w:r>
      <w:r w:rsidR="00B9562C" w:rsidRPr="00673554">
        <w:rPr>
          <w:rStyle w:val="normaltextrun"/>
          <w:rFonts w:eastAsiaTheme="majorEastAsia"/>
          <w:b/>
          <w:iCs/>
          <w:color w:val="000000"/>
          <w:shd w:val="clear" w:color="auto" w:fill="FFFFFF"/>
        </w:rPr>
      </w:r>
      <w:r w:rsidR="00B9562C" w:rsidRPr="00673554">
        <w:rPr>
          <w:rStyle w:val="normaltextrun"/>
          <w:rFonts w:eastAsiaTheme="majorEastAsia"/>
          <w:b/>
          <w:iCs/>
          <w:color w:val="000000"/>
          <w:shd w:val="clear" w:color="auto" w:fill="FFFFFF"/>
        </w:rPr>
        <w:fldChar w:fldCharType="separate"/>
      </w:r>
      <w:r w:rsidR="0011368C" w:rsidRPr="00673554">
        <w:rPr>
          <w:b/>
          <w:iCs/>
        </w:rPr>
        <w:t>Box 6.5</w:t>
      </w:r>
      <w:r w:rsidR="00B9562C" w:rsidRPr="00673554">
        <w:rPr>
          <w:rStyle w:val="normaltextrun"/>
          <w:rFonts w:eastAsiaTheme="majorEastAsia"/>
          <w:b/>
          <w:iCs/>
          <w:color w:val="000000"/>
          <w:shd w:val="clear" w:color="auto" w:fill="FFFFFF"/>
        </w:rPr>
        <w:fldChar w:fldCharType="end"/>
      </w:r>
      <w:r w:rsidR="082DDDD2" w:rsidRPr="00A9434B">
        <w:rPr>
          <w:rStyle w:val="normaltextrun"/>
          <w:rFonts w:eastAsiaTheme="majorEastAsia"/>
          <w:color w:val="000000"/>
          <w:shd w:val="clear" w:color="auto" w:fill="FFFFFF"/>
        </w:rPr>
        <w:t>)</w:t>
      </w:r>
      <w:r w:rsidR="082DDDD2" w:rsidRPr="00A9434B">
        <w:rPr>
          <w:rFonts w:eastAsia="Batang"/>
        </w:rPr>
        <w:t xml:space="preserve">. </w:t>
      </w:r>
      <w:r w:rsidR="00C25E77">
        <w:t xml:space="preserve">In this way, context-specific application of integrated </w:t>
      </w:r>
      <w:r w:rsidR="082DDDD2" w:rsidRPr="00A9434B">
        <w:rPr>
          <w:rFonts w:eastAsia="Batang"/>
        </w:rPr>
        <w:t>governance potentially simultaneously helps to address the challenges of fragmentation, complexity</w:t>
      </w:r>
      <w:r w:rsidR="00896CEC">
        <w:rPr>
          <w:rFonts w:eastAsia="Batang"/>
        </w:rPr>
        <w:t xml:space="preserve"> and</w:t>
      </w:r>
      <w:r w:rsidR="082DDDD2" w:rsidRPr="00A9434B">
        <w:rPr>
          <w:rFonts w:eastAsia="Batang"/>
        </w:rPr>
        <w:t xml:space="preserve"> information flow that are currently pervasive in </w:t>
      </w:r>
      <w:r w:rsidR="0C8B99DC" w:rsidRPr="00A9434B">
        <w:rPr>
          <w:rStyle w:val="normaltextrun"/>
          <w:rFonts w:eastAsiaTheme="majorEastAsia"/>
          <w:color w:val="000000"/>
          <w:shd w:val="clear" w:color="auto" w:fill="FFFFFF"/>
        </w:rPr>
        <w:t xml:space="preserve">governance </w:t>
      </w:r>
      <w:r w:rsidR="000A7DC2" w:rsidRPr="00A9434B">
        <w:rPr>
          <w:rStyle w:val="normaltextrun"/>
          <w:rFonts w:eastAsiaTheme="majorEastAsia"/>
          <w:color w:val="000000"/>
          <w:shd w:val="clear" w:color="auto" w:fill="FFFFFF"/>
        </w:rPr>
        <w:t>for biological invasions</w:t>
      </w:r>
      <w:r w:rsidR="0C8B99DC" w:rsidRPr="00A9434B">
        <w:rPr>
          <w:rFonts w:eastAsia="Batang"/>
        </w:rPr>
        <w:t xml:space="preserve"> </w:t>
      </w:r>
      <w:r w:rsidR="00F806B6" w:rsidRPr="00A9434B">
        <w:rPr>
          <w:rFonts w:eastAsia="Batang"/>
        </w:rPr>
        <w:t>(</w:t>
      </w:r>
      <w:r w:rsidR="0188405D" w:rsidRPr="00673554">
        <w:rPr>
          <w:rFonts w:eastAsia="Batang"/>
          <w:b/>
          <w:iCs/>
        </w:rPr>
        <w:t>s</w:t>
      </w:r>
      <w:r w:rsidR="082DDDD2" w:rsidRPr="00673554">
        <w:rPr>
          <w:rFonts w:eastAsia="Batang"/>
          <w:b/>
          <w:iCs/>
        </w:rPr>
        <w:t>ection 6.2.</w:t>
      </w:r>
      <w:r w:rsidR="007F6BB2" w:rsidRPr="00673554">
        <w:rPr>
          <w:rFonts w:eastAsia="Batang"/>
          <w:b/>
          <w:iCs/>
        </w:rPr>
        <w:t>2</w:t>
      </w:r>
      <w:r w:rsidR="082DDDD2" w:rsidRPr="00A9434B">
        <w:rPr>
          <w:rFonts w:eastAsia="Batang"/>
        </w:rPr>
        <w:t xml:space="preserve">). Coherent and better integrated policy regimes </w:t>
      </w:r>
      <w:r w:rsidR="00F806B6" w:rsidRPr="00A9434B">
        <w:rPr>
          <w:rFonts w:eastAsia="Batang"/>
        </w:rPr>
        <w:t>(</w:t>
      </w:r>
      <w:r w:rsidR="008615FF">
        <w:rPr>
          <w:rFonts w:eastAsia="Batang"/>
          <w:b/>
          <w:iCs/>
        </w:rPr>
        <w:t>G</w:t>
      </w:r>
      <w:r w:rsidR="00953858" w:rsidRPr="00673554">
        <w:rPr>
          <w:rFonts w:eastAsia="Batang"/>
          <w:b/>
          <w:iCs/>
        </w:rPr>
        <w:t>lossary</w:t>
      </w:r>
      <w:r w:rsidR="00953858" w:rsidRPr="00A9434B">
        <w:rPr>
          <w:rFonts w:eastAsia="Batang"/>
        </w:rPr>
        <w:t xml:space="preserve">) </w:t>
      </w:r>
      <w:r w:rsidR="082DDDD2" w:rsidRPr="00A9434B">
        <w:rPr>
          <w:rFonts w:eastAsia="Batang"/>
        </w:rPr>
        <w:t xml:space="preserve">have been called for that aim to enable more effective and efficient policy outcomes, reduce policy conflicts, implementation delays, confusion and lack of clarity for stakeholders, wastage of resources and unanticipated outcomes in the complex contexts that characterize the governance and management of </w:t>
      </w:r>
      <w:r w:rsidR="00C874EF">
        <w:rPr>
          <w:rStyle w:val="normaltextrun"/>
          <w:rFonts w:eastAsiaTheme="majorEastAsia"/>
          <w:color w:val="000000"/>
          <w:shd w:val="clear" w:color="auto" w:fill="FFFFFF"/>
        </w:rPr>
        <w:t>biological invasions</w:t>
      </w:r>
      <w:r w:rsidR="082DDDD2" w:rsidRPr="00A9434B">
        <w:rPr>
          <w:rFonts w:eastAsia="Batang"/>
        </w:rPr>
        <w:t xml:space="preserve"> </w:t>
      </w:r>
      <w:r w:rsidR="006E74C3" w:rsidRPr="00A9434B">
        <w:rPr>
          <w:rFonts w:eastAsia="Batang"/>
        </w:rPr>
        <w:fldChar w:fldCharType="begin">
          <w:fldData xml:space="preserve">PEVuZE5vdGU+PENpdGU+PEF1dGhvcj5SaWxleTwvQXV0aG9yPjxZZWFyPjIwMTI8L1llYXI+PFJl
Y051bT40OTE1NjwvUmVjTnVtPjxEaXNwbGF5VGV4dD4oUmlsZXkgMjAxMiwgVmFhcywgRHJpZXNz
ZW4gZXQgYWwuIDIwMTcpPC9EaXNwbGF5VGV4dD48cmVjb3JkPjxyZWMtbnVtYmVyPjQ5MTU2PC9y
ZWMtbnVtYmVyPjxmb3JlaWduLWtleXM+PGtleSBhcHA9IkVOIiBkYi1pZD0iYXd4OXJhZGRyMHh4
MmhldjA1cnhyMHowNXdlZXB3cHQwZmV4IiB0aW1lc3RhbXA9IjE1ODE0OTczMjAiPjQ5MTU2PC9r
ZXk+PC9mb3JlaWduLWtleXM+PHJlZi10eXBlIG5hbWU9IkpvdXJuYWwgQXJ0aWNsZSI+MTc8L3Jl
Zi10eXBlPjxjb250cmlidXRvcnM+PGF1dGhvcnM+PGF1dGhvcj5SaWxleSwgU29waGllPC9hdXRo
b3I+PC9hdXRob3JzPjwvY29udHJpYnV0b3JzPjx0aXRsZXM+PHRpdGxlPkxhdyBpcyBvcmRlciwg
YW5kIGdvb2QgbGF3IGlzIGdvb2Qgb3JkZXI6IFRoZSByb2xlIG9mIGdvdmVybmFuY2UgaW4gdGhl
IHJlZ3VsYXRpb24gb2YgaW52YXNpdmUgYWxpZW4gc3BlY2llczwvdGl0bGU+PHNlY29uZGFyeS10
aXRsZT5FbnZpcm9ubWVudGFsIGFuZCBQbGFubmluZyBMYXcgSm91cm5hbDwvc2Vjb25kYXJ5LXRp
dGxlPjwvdGl0bGVzPjxwZXJpb2RpY2FsPjxmdWxsLXRpdGxlPkVudmlyb25tZW50YWwgYW5kIHBs
YW5uaW5nIGxhdyBqb3VybmFsPC9mdWxsLXRpdGxlPjxhYmJyLTE+RW52aXJvbi4gUGxhbi4gTGF3
IEouPC9hYmJyLTE+PGFiYnItMj5FbnZpcm9uIFBsYW4gTGF3IEo8L2FiYnItMj48L3BlcmlvZGlj
YWw+PHZvbHVtZT4yOTwvdm9sdW1lPjxudW1iZXI+MTwvbnVtYmVyPjxkYXRlcz48eWVhcj4yMDEy
PC95ZWFyPjxwdWItZGF0ZXM+PGRhdGU+MjAxMjwvZGF0ZT48L3B1Yi1kYXRlcz48L2RhdGVzPjxp
c2JuPjA4MTMtMzAwWDwvaXNibj48YWNjZXNzaW9uLW51bT5XT1M6MDAwMjEzNzI1MjAwMDAyPC9h
Y2Nlc3Npb24tbnVtPjx1cmxzPjxyZWxhdGVkLXVybHM+PHVybD4mbHQ7R28gdG8gSVNJJmd0Ozov
L1dPUzowMDAyMTM3MjUyMDAwMDI8L3VybD48L3JlbGF0ZWQtdXJscz48L3VybHM+PGN1c3RvbTc+
VW5zcCAxNjwvY3VzdG9tNz48L3JlY29yZD48L0NpdGU+PENpdGU+PEF1dGhvcj5WYWFzPC9BdXRo
b3I+PFllYXI+MjAxNzwvWWVhcj48UmVjTnVtPjQ5MDc2PC9SZWNOdW0+PHJlY29yZD48cmVjLW51
bWJlcj40OTA3NjwvcmVjLW51bWJlcj48Zm9yZWlnbi1rZXlzPjxrZXkgYXBwPSJFTiIgZGItaWQ9
ImF3eDlyYWRkcjB4eDJoZXYwNXJ4cjB6MDV3ZWVwd3B0MGZleCIgdGltZXN0YW1wPSIxNTgxNDk3
MzIwIj40OTA3Njwva2V5PjwvZm9yZWlnbi1rZXlzPjxyZWYtdHlwZSBuYW1lPSJKb3VybmFsIEFy
dGljbGUiPjE3PC9yZWYtdHlwZT48Y29udHJpYnV0b3JzPjxhdXRob3JzPjxhdXRob3I+VmFhcywg
SmV0c2tlPC9hdXRob3I+PGF1dGhvcj5Ecmllc3NlbiwgUGV0ZXIgUC4gSi48L2F1dGhvcj48YXV0
aG9yPkdpZXplbiwgTWVuZGVsPC9hdXRob3I+PGF1dGhvcj52YW4gTGFlcmhvdmVuLCBGcmFuazwv
YXV0aG9yPjxhdXRob3I+V2Fzc2VuLCBNYXJ0aW4gSi48L2F1dGhvcj48L2F1dGhvcnM+PC9jb250
cmlidXRvcnM+PHRpdGxlcz48dGl0bGU+V2hvJmFwb3M7cyBpbiBjaGFyZ2UgaGVyZSBhbnl3YXk/
IFBvbHljZW50cmljIGdvdmVybmFuY2UgY29uZmlndXJhdGlvbnMgYW5kIHRoZSBkZXZlbG9wbWVu
dCBvZiBwb2xpY3kgb24gaW52YXNpdmUgYWxpZW4gc3BlY2llcyBpbiB0aGUgc2VtaXNvdmVyZWln
biBDYXJpYmJlYW48L3RpdGxlPjxzZWNvbmRhcnktdGl0bGU+RWNvbG9neSBhbmQgU29jaWV0eTwv
c2Vjb25kYXJ5LXRpdGxlPjwvdGl0bGVzPjxwZXJpb2RpY2FsPjxmdWxsLXRpdGxlPkVjb2xvZ3kg
YW5kIFNvY2lldHk8L2Z1bGwtdGl0bGU+PGFiYnItMT5FY29sLiBTb2MuPC9hYmJyLTE+PGFiYnIt
Mj5FY29sIFNvYzwvYWJici0yPjwvcGVyaW9kaWNhbD48dm9sdW1lPjIyPC92b2x1bWU+PG51bWJl
cj40PC9udW1iZXI+PGRhdGVzPjx5ZWFyPjIwMTc8L3llYXI+PHB1Yi1kYXRlcz48ZGF0ZT4yMDE3
PC9kYXRlPjwvcHViLWRhdGVzPjwvZGF0ZXM+PGlzYm4+MTcwOC0zMDg3PC9pc2JuPjxhY2Nlc3Np
b24tbnVtPldPUzowMDA0MTkzNTEwMDAwMDM8L2FjY2Vzc2lvbi1udW0+PHVybHM+PHJlbGF0ZWQt
dXJscz48dXJsPiZsdDtHbyB0byBJU0kmZ3Q7Oi8vV09TOjAwMDQxOTM1MTAwMDAwMzwvdXJsPjwv
cmVsYXRlZC11cmxzPjwvdXJscz48Y3VzdG9tNz4xPC9jdXN0b203PjxlbGVjdHJvbmljLXJlc291
cmNlLW51bT4xMC41NzUxL2VzLTA5NDg3LTIyMDQwMTwvZWxlY3Ryb25pYy1yZXNvdXJjZS1udW0+
PC9yZWNvcmQ+PC9DaXRlPjwvRW5kTm90ZT4A
</w:fldData>
        </w:fldChar>
      </w:r>
      <w:r w:rsidR="006E74C3" w:rsidRPr="00A9434B">
        <w:rPr>
          <w:rFonts w:eastAsia="Batang"/>
        </w:rPr>
        <w:instrText xml:space="preserve"> ADDIN EN.CITE </w:instrText>
      </w:r>
      <w:r w:rsidR="006E74C3" w:rsidRPr="00A9434B">
        <w:rPr>
          <w:rFonts w:eastAsia="Batang"/>
        </w:rPr>
        <w:fldChar w:fldCharType="begin">
          <w:fldData xml:space="preserve">PEVuZE5vdGU+PENpdGU+PEF1dGhvcj5SaWxleTwvQXV0aG9yPjxZZWFyPjIwMTI8L1llYXI+PFJl
Y051bT40OTE1NjwvUmVjTnVtPjxEaXNwbGF5VGV4dD4oUmlsZXkgMjAxMiwgVmFhcywgRHJpZXNz
ZW4gZXQgYWwuIDIwMTcpPC9EaXNwbGF5VGV4dD48cmVjb3JkPjxyZWMtbnVtYmVyPjQ5MTU2PC9y
ZWMtbnVtYmVyPjxmb3JlaWduLWtleXM+PGtleSBhcHA9IkVOIiBkYi1pZD0iYXd4OXJhZGRyMHh4
MmhldjA1cnhyMHowNXdlZXB3cHQwZmV4IiB0aW1lc3RhbXA9IjE1ODE0OTczMjAiPjQ5MTU2PC9r
ZXk+PC9mb3JlaWduLWtleXM+PHJlZi10eXBlIG5hbWU9IkpvdXJuYWwgQXJ0aWNsZSI+MTc8L3Jl
Zi10eXBlPjxjb250cmlidXRvcnM+PGF1dGhvcnM+PGF1dGhvcj5SaWxleSwgU29waGllPC9hdXRo
b3I+PC9hdXRob3JzPjwvY29udHJpYnV0b3JzPjx0aXRsZXM+PHRpdGxlPkxhdyBpcyBvcmRlciwg
YW5kIGdvb2QgbGF3IGlzIGdvb2Qgb3JkZXI6IFRoZSByb2xlIG9mIGdvdmVybmFuY2UgaW4gdGhl
IHJlZ3VsYXRpb24gb2YgaW52YXNpdmUgYWxpZW4gc3BlY2llczwvdGl0bGU+PHNlY29uZGFyeS10
aXRsZT5FbnZpcm9ubWVudGFsIGFuZCBQbGFubmluZyBMYXcgSm91cm5hbDwvc2Vjb25kYXJ5LXRp
dGxlPjwvdGl0bGVzPjxwZXJpb2RpY2FsPjxmdWxsLXRpdGxlPkVudmlyb25tZW50YWwgYW5kIHBs
YW5uaW5nIGxhdyBqb3VybmFsPC9mdWxsLXRpdGxlPjxhYmJyLTE+RW52aXJvbi4gUGxhbi4gTGF3
IEouPC9hYmJyLTE+PGFiYnItMj5FbnZpcm9uIFBsYW4gTGF3IEo8L2FiYnItMj48L3BlcmlvZGlj
YWw+PHZvbHVtZT4yOTwvdm9sdW1lPjxudW1iZXI+MTwvbnVtYmVyPjxkYXRlcz48eWVhcj4yMDEy
PC95ZWFyPjxwdWItZGF0ZXM+PGRhdGU+MjAxMjwvZGF0ZT48L3B1Yi1kYXRlcz48L2RhdGVzPjxp
c2JuPjA4MTMtMzAwWDwvaXNibj48YWNjZXNzaW9uLW51bT5XT1M6MDAwMjEzNzI1MjAwMDAyPC9h
Y2Nlc3Npb24tbnVtPjx1cmxzPjxyZWxhdGVkLXVybHM+PHVybD4mbHQ7R28gdG8gSVNJJmd0Ozov
L1dPUzowMDAyMTM3MjUyMDAwMDI8L3VybD48L3JlbGF0ZWQtdXJscz48L3VybHM+PGN1c3RvbTc+
VW5zcCAxNjwvY3VzdG9tNz48L3JlY29yZD48L0NpdGU+PENpdGU+PEF1dGhvcj5WYWFzPC9BdXRo
b3I+PFllYXI+MjAxNzwvWWVhcj48UmVjTnVtPjQ5MDc2PC9SZWNOdW0+PHJlY29yZD48cmVjLW51
bWJlcj40OTA3NjwvcmVjLW51bWJlcj48Zm9yZWlnbi1rZXlzPjxrZXkgYXBwPSJFTiIgZGItaWQ9
ImF3eDlyYWRkcjB4eDJoZXYwNXJ4cjB6MDV3ZWVwd3B0MGZleCIgdGltZXN0YW1wPSIxNTgxNDk3
MzIwIj40OTA3Njwva2V5PjwvZm9yZWlnbi1rZXlzPjxyZWYtdHlwZSBuYW1lPSJKb3VybmFsIEFy
dGljbGUiPjE3PC9yZWYtdHlwZT48Y29udHJpYnV0b3JzPjxhdXRob3JzPjxhdXRob3I+VmFhcywg
SmV0c2tlPC9hdXRob3I+PGF1dGhvcj5Ecmllc3NlbiwgUGV0ZXIgUC4gSi48L2F1dGhvcj48YXV0
aG9yPkdpZXplbiwgTWVuZGVsPC9hdXRob3I+PGF1dGhvcj52YW4gTGFlcmhvdmVuLCBGcmFuazwv
YXV0aG9yPjxhdXRob3I+V2Fzc2VuLCBNYXJ0aW4gSi48L2F1dGhvcj48L2F1dGhvcnM+PC9jb250
cmlidXRvcnM+PHRpdGxlcz48dGl0bGU+V2hvJmFwb3M7cyBpbiBjaGFyZ2UgaGVyZSBhbnl3YXk/
IFBvbHljZW50cmljIGdvdmVybmFuY2UgY29uZmlndXJhdGlvbnMgYW5kIHRoZSBkZXZlbG9wbWVu
dCBvZiBwb2xpY3kgb24gaW52YXNpdmUgYWxpZW4gc3BlY2llcyBpbiB0aGUgc2VtaXNvdmVyZWln
biBDYXJpYmJlYW48L3RpdGxlPjxzZWNvbmRhcnktdGl0bGU+RWNvbG9neSBhbmQgU29jaWV0eTwv
c2Vjb25kYXJ5LXRpdGxlPjwvdGl0bGVzPjxwZXJpb2RpY2FsPjxmdWxsLXRpdGxlPkVjb2xvZ3kg
YW5kIFNvY2lldHk8L2Z1bGwtdGl0bGU+PGFiYnItMT5FY29sLiBTb2MuPC9hYmJyLTE+PGFiYnIt
Mj5FY29sIFNvYzwvYWJici0yPjwvcGVyaW9kaWNhbD48dm9sdW1lPjIyPC92b2x1bWU+PG51bWJl
cj40PC9udW1iZXI+PGRhdGVzPjx5ZWFyPjIwMTc8L3llYXI+PHB1Yi1kYXRlcz48ZGF0ZT4yMDE3
PC9kYXRlPjwvcHViLWRhdGVzPjwvZGF0ZXM+PGlzYm4+MTcwOC0zMDg3PC9pc2JuPjxhY2Nlc3Np
b24tbnVtPldPUzowMDA0MTkzNTEwMDAwMDM8L2FjY2Vzc2lvbi1udW0+PHVybHM+PHJlbGF0ZWQt
dXJscz48dXJsPiZsdDtHbyB0byBJU0kmZ3Q7Oi8vV09TOjAwMDQxOTM1MTAwMDAwMzwvdXJsPjwv
cmVsYXRlZC11cmxzPjwvdXJscz48Y3VzdG9tNz4xPC9jdXN0b203PjxlbGVjdHJvbmljLXJlc291
cmNlLW51bT4xMC41NzUxL2VzLTA5NDg3LTIyMDQwMTwvZWxlY3Ryb25pYy1yZXNvdXJjZS1udW0+
PC9yZWNvcmQ+PC9DaXRlPjwvRW5kTm90ZT4A
</w:fldData>
        </w:fldChar>
      </w:r>
      <w:r w:rsidR="006E74C3" w:rsidRPr="00A9434B">
        <w:rPr>
          <w:rFonts w:eastAsia="Batang"/>
        </w:rPr>
        <w:instrText xml:space="preserve"> ADDIN EN.CITE.DATA </w:instrText>
      </w:r>
      <w:r w:rsidR="006E74C3" w:rsidRPr="00A9434B">
        <w:rPr>
          <w:rFonts w:eastAsia="Batang"/>
        </w:rPr>
      </w:r>
      <w:r w:rsidR="006E74C3" w:rsidRPr="00A9434B">
        <w:rPr>
          <w:rFonts w:eastAsia="Batang"/>
        </w:rPr>
        <w:fldChar w:fldCharType="end"/>
      </w:r>
      <w:r w:rsidR="006E74C3" w:rsidRPr="00A9434B">
        <w:rPr>
          <w:rFonts w:eastAsia="Batang"/>
        </w:rPr>
      </w:r>
      <w:r w:rsidR="006E74C3" w:rsidRPr="00A9434B">
        <w:rPr>
          <w:rFonts w:eastAsia="Batang"/>
        </w:rPr>
        <w:fldChar w:fldCharType="separate"/>
      </w:r>
      <w:r w:rsidR="00594C4D" w:rsidRPr="00A9434B">
        <w:rPr>
          <w:rFonts w:eastAsia="Batang"/>
        </w:rPr>
        <w:fldChar w:fldCharType="begin"/>
      </w:r>
      <w:r w:rsidR="0006613E">
        <w:rPr>
          <w:rFonts w:eastAsia="Batang"/>
        </w:rPr>
        <w:instrText xml:space="preserve"> ADDIN ZOTERO_ITEM CSL_CITATION {"citationID":"a2ko3s81oci","properties":{"formattedCitation":"(Riley, 2012; Vaas et al., 2017)","plainCitation":"(Riley, 2012; Vaas et al., 2017)","noteIndex":0},"citationItems":[{"id":24138,"uris":["http://zotero.org/groups/2352922/items/3MLHJ4IF"],"itemData":{"id":24138,"type":"article-journal","abstract":"In Australia, invasive alien species (IAS) are the second largest threat to biodiversity after loss of habitat. International obligations provide that Australia should prevent the introduction of, or control or eradicate those alien species that threaten ecosystems, habitats or species. Yet, designing and implementing effective IAS regimes remains elusive. It is a multidimensional exercise that engages a variety of actors across all levels of government. The purpose of this paper is to examine complications stemming from governance of IAS regimes in federal systems where law-making power is shared.","container-title":"Environmental and planning law journal","DOI":"10.3316/agispt.20121130","ISSN":"0813-300X","issue":"1","journalAbbreviation":"Environ. Plan. Law J.","language":"en","page":"16–44","title":"Law is order, and good law is good order: The role of governance in the regulation of invasive alien species","URL":"https://search.informit.org/doi/10.3316/agispt.20121130","volume":"29","author":[{"family":"Riley","given":"Sophie"}],"issued":{"date-parts":[["2012"]]}}},{"id":11426,"uris":["http://zotero.org/groups/2352922/items/I2E6MVQB"],"itemData":{"id":11426,"type":"article-journal","abstract":"We address the development of policy by polycentric governance configurations, taking Caribbean overseas territories and their advancements on invasive alien species (IAS) policy as an example. The British, Dutch, and French islands in the Caribbean address this matter to different degrees, which we analyzed through differences in their type of polycentric governance configuration with their respective European counterpart. We employ a continuum ranging from predominantly polycentric to predominantly monocentric governance configurations to characterize the three case studies. Based on semistructured interviews with government actors, park managers, and NGO employees on Anguilla, Guadeloupe, and St. Eustatius, plus a literature study, we characterize St. Eustatius as highly polycentric and Guadeloupe as becoming increasingly polycentric. Anguilla cannot be considered either of the two, given the virtually absent involvement of the UK. Policy development on IAS showed most progress in Guadeloupe, whereas in Anguilla and St. Eustatius, IAS management is ad hoc. Within these cases, the hampering effect of dispute about the functioning of the configuration was clear. For Guadeloupe, increasing autonomy to decide on policy priorities within a coherent system where standards are set and ample resources made available appears conducive to policy development. That same balance inherent to polycentric systems between autonomy and coherence is hard to strike for St. Eustatius, and currently mainly perceived as a trade-off, hampering policy development. By discussing these three cases, this study illustrates how different polycentric configurations can affect policy development.","container-title":"Ecology and Society","DOI":"10.5751/ES-09487-220401","ISSN":"1708-3087","issue":"4","journalAbbreviation":"E&amp;S","language":"en","page":"1","source":"DOI.org (Crossref)","title":"Who's in charge here anyway? Polycentric governance configurations and the development of policy on invasive alien species in the semisovereign Caribbean","title-short":"Who's in charge here anyway?","URL":"https://www.ecologyandsociety.org/vol22/iss4/art1/","volume":"22","author":[{"family":"Vaas","given":"Jetske"},{"family":"Driessen","given":"Peter P. J."},{"family":"Giezen","given":"Mendel"},{"family":"Laerhoven","given":"Frank","non-dropping-particle":"van"},{"family":"Wassen","given":"Martin J."}],"accessed":{"date-parts":[["2019",11,6]]},"issued":{"date-parts":[["2017"]]}}}],"schema":"https://github.com/citation-style-language/schema/raw/master/csl-citation.json"} </w:instrText>
      </w:r>
      <w:r w:rsidR="00594C4D" w:rsidRPr="00A9434B">
        <w:rPr>
          <w:rFonts w:eastAsia="Batang"/>
        </w:rPr>
        <w:fldChar w:fldCharType="separate"/>
      </w:r>
      <w:r w:rsidR="00C71E80" w:rsidRPr="00A9434B">
        <w:t>(Riley, 2012; Vaas et al., 2017)</w:t>
      </w:r>
      <w:r w:rsidR="00594C4D" w:rsidRPr="00A9434B">
        <w:rPr>
          <w:rFonts w:eastAsia="Batang"/>
        </w:rPr>
        <w:fldChar w:fldCharType="end"/>
      </w:r>
      <w:r w:rsidR="006E74C3" w:rsidRPr="00A9434B">
        <w:rPr>
          <w:rFonts w:eastAsia="Batang"/>
        </w:rPr>
        <w:fldChar w:fldCharType="end"/>
      </w:r>
      <w:r w:rsidR="082DDDD2" w:rsidRPr="00A9434B">
        <w:rPr>
          <w:rFonts w:eastAsia="Batang"/>
        </w:rPr>
        <w:t xml:space="preserve">. The definition of integrated </w:t>
      </w:r>
      <w:r w:rsidR="082DDDD2" w:rsidRPr="00A9434B">
        <w:rPr>
          <w:rStyle w:val="normaltextrun"/>
          <w:rFonts w:eastAsiaTheme="majorEastAsia"/>
          <w:color w:val="000000"/>
          <w:shd w:val="clear" w:color="auto" w:fill="FFFFFF"/>
        </w:rPr>
        <w:t>governance</w:t>
      </w:r>
      <w:r w:rsidR="000A7DC2" w:rsidRPr="00A9434B">
        <w:rPr>
          <w:rStyle w:val="normaltextrun"/>
          <w:rFonts w:eastAsiaTheme="majorEastAsia"/>
          <w:color w:val="000000"/>
          <w:shd w:val="clear" w:color="auto" w:fill="FFFFFF"/>
        </w:rPr>
        <w:t xml:space="preserve"> for biological invasions</w:t>
      </w:r>
      <w:r w:rsidR="082DDDD2" w:rsidRPr="00A9434B">
        <w:rPr>
          <w:rFonts w:eastAsia="Batang"/>
        </w:rPr>
        <w:t xml:space="preserve"> below </w:t>
      </w:r>
      <w:r w:rsidR="00F806B6" w:rsidRPr="00A9434B">
        <w:rPr>
          <w:rFonts w:eastAsia="Batang"/>
        </w:rPr>
        <w:t>(</w:t>
      </w:r>
      <w:r w:rsidR="36DDF192" w:rsidRPr="00673554">
        <w:rPr>
          <w:rFonts w:eastAsia="Batang"/>
          <w:b/>
          <w:iCs/>
        </w:rPr>
        <w:t>Box 6.5</w:t>
      </w:r>
      <w:r w:rsidR="36DDF192" w:rsidRPr="00A9434B">
        <w:rPr>
          <w:rFonts w:eastAsia="Batang"/>
        </w:rPr>
        <w:t xml:space="preserve">) </w:t>
      </w:r>
      <w:r w:rsidR="082DDDD2" w:rsidRPr="00A9434B">
        <w:rPr>
          <w:rFonts w:eastAsia="Batang"/>
        </w:rPr>
        <w:t xml:space="preserve">is in line with and built upon the concept of </w:t>
      </w:r>
      <w:r w:rsidR="00C874EF">
        <w:rPr>
          <w:rFonts w:eastAsia="Batang"/>
        </w:rPr>
        <w:t>i</w:t>
      </w:r>
      <w:r w:rsidR="082DDDD2" w:rsidRPr="00A9434B">
        <w:rPr>
          <w:rFonts w:eastAsia="Batang"/>
        </w:rPr>
        <w:t xml:space="preserve">ntegrated </w:t>
      </w:r>
      <w:r w:rsidR="00C874EF">
        <w:rPr>
          <w:rFonts w:eastAsia="Batang"/>
        </w:rPr>
        <w:t>e</w:t>
      </w:r>
      <w:r w:rsidR="082DDDD2" w:rsidRPr="00A9434B">
        <w:rPr>
          <w:rFonts w:eastAsia="Batang"/>
        </w:rPr>
        <w:t xml:space="preserve">nvironmental </w:t>
      </w:r>
      <w:r w:rsidR="00C874EF">
        <w:rPr>
          <w:rFonts w:eastAsia="Batang"/>
        </w:rPr>
        <w:t>g</w:t>
      </w:r>
      <w:r w:rsidR="082DDDD2" w:rsidRPr="00A9434B">
        <w:rPr>
          <w:rFonts w:eastAsia="Batang"/>
        </w:rPr>
        <w:t xml:space="preserve">overnance </w:t>
      </w:r>
      <w:r w:rsidR="00EB70A7" w:rsidRPr="00A9434B">
        <w:rPr>
          <w:rFonts w:eastAsia="Batang"/>
        </w:rPr>
        <w:fldChar w:fldCharType="begin"/>
      </w:r>
      <w:r w:rsidR="0006613E">
        <w:rPr>
          <w:rFonts w:eastAsia="Batang"/>
        </w:rPr>
        <w:instrText xml:space="preserve"> ADDIN ZOTERO_ITEM CSL_CITATION {"citationID":"a25d8k75mq9","properties":{"formattedCitation":"(Visseren-Hamakers, 2015; Visseren-Hamakers et al., 2021)","plainCitation":"(Visseren-Hamakers, 2015; Visseren-Hamakers et al., 2021)","noteIndex":0},"citationItems":[{"id":30284,"uris":["http://zotero.org/groups/2352922/items/3MWGCWSD"],"itemData":{"id":30284,"type":"article-journal","abstract":"The issue of regime complexity in global environmental governance is widely recognized. The academic debate on regime fragmentation has itself however been rather fragmented, with discussions circling around different concepts, including inter-organizational relations, polycentric governance, integrated management, landscape governance, environmental policy integration, coordination, mainstreaming, coherence, policy mixes, governance architectures and systems, regime complexes, institutional interaction, metagovernance and the nexus approach. Moreover, the topic of relationships between different policies is also discussed among practitioners, where the call for synergies is increasingly heard. This article brings together these discussions under the common heading of integrative environmental governance (IEG). The article provides a literature review, and argues for an IEG perspective in which the relationships between governance instruments take center stage.","container-title":"Current Opinion in Environmental Sustainability","DOI":"https://doi.org/10.1016/j.cosust.2015.05.008","ISSN":"1877-3435","page":"136-143","title":"Integrative environmental governance: enhancing governance in the era of synergies","volume":"14","author":[{"family":"Visseren-Hamakers","given":"Ingrid J."}],"issued":{"date-parts":[["2015"]]}},"label":"page"},{"id":52470,"uris":["http://zotero.org/groups/2352922/items/PDFTGQFP"],"itemData":{"id":52470,"type":"article-journal","abstract":"While there is much debate on transformative change among academics and policymakers, the discussion on how to govern such change is still in its infancy. This article argues that transformative governance is needed to enable the transformative change necessary for achieving global sustainability goals. Based on a literature review, the article unpacks this concept of transformative governance. It is: integrative, to ensure local solutions also have sustainable impacts elsewhere (across scales, places, issues and sectors); inclusive, to empower those whose interests are currently not being met and represent values embodying transformative change for sustainability; adaptive, enabling learning, experimentation, and reflexivity, to cope with the complexity of transformative change; and pluralist, recognizing different knowledge systems. We argue that only when these four governance approaches are: implemented in conjunction; operationalized in a specific manner; and focused on addressing the indirect drivers underlying sustainability issues, governance becomes transformative.","container-title":"Current Opinion in Environmental Sustainability","DOI":"10.1016/j.cosust.2021.06.002","ISSN":"1877-3435","journalAbbreviation":"Current Opinion in Environmental Sustainability","language":"en","page":"20-28","source":"ScienceDirect","title":"Transformative governance of biodiversity: insights for sustainable development","title-short":"Transformative governance of biodiversity","URL":"https://www.sciencedirect.com/science/article/pii/S1877343521000749","volume":"53","author":[{"family":"Visseren-Hamakers","given":"Ingrid J."},{"family":"Razzaque","given":"Jona"},{"family":"McElwee","given":"Pamela"},{"family":"Turnhout","given":"Esther"},{"family":"Kelemen","given":"Eszter"},{"family":"Rusch","given":"Graciela M"},{"family":"Fernández-Llamazares","given":"Álvaro"},{"family":"Chan","given":"Ivis"},{"family":"Lim","given":"Michelle"},{"family":"Islar","given":"Mine"},{"family":"Gautam","given":"Ambika P"},{"family":"Williams","given":"Meryl"},{"family":"Mungatana","given":"Eric"},{"family":"Karim","given":"Md Saiful"},{"family":"Muradian","given":"Roldan"},{"family":"Gerber","given":"Leah R."},{"family":"Lui","given":"Gabriel"},{"family":"Liu","given":"Jinlong"},{"family":"Spangenberg","given":"Joachim H."},{"family":"Zaleski","given":"Dara"}],"accessed":{"date-parts":[["2022",6,16]]},"issued":{"date-parts":[["2021",12,1]]}},"label":"page"}],"schema":"https://github.com/citation-style-language/schema/raw/master/csl-citation.json"} </w:instrText>
      </w:r>
      <w:r w:rsidR="00EB70A7" w:rsidRPr="00A9434B">
        <w:rPr>
          <w:rFonts w:eastAsia="Batang"/>
        </w:rPr>
        <w:fldChar w:fldCharType="separate"/>
      </w:r>
      <w:r w:rsidR="00C71E80" w:rsidRPr="00A9434B">
        <w:t>(Visseren-Hamakers, 2015; Visseren-Hamakers et al., 2021)</w:t>
      </w:r>
      <w:r w:rsidR="00EB70A7" w:rsidRPr="00A9434B">
        <w:rPr>
          <w:rFonts w:eastAsia="Batang"/>
        </w:rPr>
        <w:fldChar w:fldCharType="end"/>
      </w:r>
      <w:r>
        <w:t xml:space="preserve"> </w:t>
      </w:r>
    </w:p>
    <w:p w14:paraId="1ECBFDF6" w14:textId="715ED928" w:rsidR="00017C04" w:rsidRPr="00C25E77" w:rsidRDefault="00F50AF9" w:rsidP="00C25E77">
      <w:pPr>
        <w:pStyle w:val="Caption"/>
        <w:pBdr>
          <w:top w:val="single" w:sz="4" w:space="1" w:color="auto"/>
          <w:left w:val="single" w:sz="4" w:space="4" w:color="auto"/>
          <w:bottom w:val="single" w:sz="4" w:space="1" w:color="auto"/>
          <w:right w:val="single" w:sz="4" w:space="4" w:color="auto"/>
        </w:pBdr>
        <w:shd w:val="clear" w:color="auto" w:fill="E7E6E6" w:themeFill="background2"/>
      </w:pPr>
      <w:bookmarkStart w:id="204" w:name="_heading=h.3l18frh" w:colFirst="0" w:colLast="0"/>
      <w:bookmarkStart w:id="205" w:name="_Ref104898465"/>
      <w:bookmarkStart w:id="206" w:name="_Toc147418614"/>
      <w:bookmarkEnd w:id="204"/>
      <w:r w:rsidRPr="00C25E77">
        <w:rPr>
          <w:color w:val="000000"/>
        </w:rPr>
        <w:t xml:space="preserve">Box </w:t>
      </w:r>
      <w:r w:rsidRPr="00C25E77">
        <w:t>6</w:t>
      </w:r>
      <w:r w:rsidR="082DDDD2" w:rsidRPr="00A9434B">
        <w:t>.</w:t>
      </w:r>
      <w:r w:rsidR="007C7AC3">
        <w:fldChar w:fldCharType="begin"/>
      </w:r>
      <w:r w:rsidR="007C7AC3">
        <w:instrText xml:space="preserve"> SEQ Box_6. \* ARABIC </w:instrText>
      </w:r>
      <w:r w:rsidR="007C7AC3">
        <w:fldChar w:fldCharType="separate"/>
      </w:r>
      <w:r w:rsidR="0011368C">
        <w:rPr>
          <w:noProof/>
        </w:rPr>
        <w:t>5</w:t>
      </w:r>
      <w:r w:rsidR="007C7AC3">
        <w:rPr>
          <w:noProof/>
        </w:rPr>
        <w:fldChar w:fldCharType="end"/>
      </w:r>
      <w:bookmarkEnd w:id="205"/>
      <w:r w:rsidR="00FF59A9" w:rsidRPr="00A9434B">
        <w:t>.</w:t>
      </w:r>
      <w:r w:rsidRPr="00C25E77">
        <w:t xml:space="preserve"> Integrated governance for biological invasions</w:t>
      </w:r>
      <w:bookmarkEnd w:id="206"/>
    </w:p>
    <w:p w14:paraId="12DA9711" w14:textId="1B88E041" w:rsidR="00017C04" w:rsidRDefault="2F958343" w:rsidP="00C25E77">
      <w:pPr>
        <w:pBdr>
          <w:top w:val="single" w:sz="4" w:space="1" w:color="auto"/>
          <w:left w:val="single" w:sz="4" w:space="4" w:color="auto"/>
          <w:bottom w:val="single" w:sz="4" w:space="1" w:color="auto"/>
          <w:right w:val="single" w:sz="4" w:space="4" w:color="auto"/>
        </w:pBdr>
        <w:shd w:val="clear" w:color="auto" w:fill="E7E6E6" w:themeFill="background2"/>
      </w:pPr>
      <w:r>
        <w:t xml:space="preserve">Integrated governance for </w:t>
      </w:r>
      <w:r w:rsidR="150CBAC5">
        <w:t xml:space="preserve">biological invasions </w:t>
      </w:r>
      <w:r>
        <w:t>consists of establishing the relationships between the roles of actors, institutions and instruments, and involving as appropriate all those elements of the socioecological system that characterize biological invasion and its management, for the purpose of identifying the strategic interventions needed to improve invasive alien species prevention and control outcomes.</w:t>
      </w:r>
    </w:p>
    <w:p w14:paraId="3DAB006C" w14:textId="6D0FEF0F" w:rsidR="006E74C3" w:rsidRPr="00A9434B" w:rsidRDefault="006E74C3">
      <w:r w:rsidRPr="00A9434B">
        <w:t xml:space="preserve">Integrated governance, including </w:t>
      </w:r>
      <w:r w:rsidR="00C25E77">
        <w:t xml:space="preserve">for biological invasions, </w:t>
      </w:r>
      <w:r w:rsidRPr="00A9434B">
        <w:t xml:space="preserve">includes not only integration </w:t>
      </w:r>
      <w:r w:rsidR="00EB70A7" w:rsidRPr="00A9434B">
        <w:t xml:space="preserve">across sectors (so-called </w:t>
      </w:r>
      <w:r w:rsidR="006F6E1F" w:rsidRPr="00A9434B">
        <w:t>“</w:t>
      </w:r>
      <w:r w:rsidR="00EB70A7" w:rsidRPr="00A9434B">
        <w:t>nexus</w:t>
      </w:r>
      <w:r w:rsidR="006F6E1F" w:rsidRPr="00A9434B">
        <w:t>”</w:t>
      </w:r>
      <w:r w:rsidRPr="00A9434B">
        <w:t xml:space="preserve"> in sustainable transitions literature</w:t>
      </w:r>
      <w:r w:rsidR="00C25E77">
        <w:t xml:space="preserve">; </w:t>
      </w:r>
      <w:r w:rsidR="00594C4D" w:rsidRPr="00A9434B">
        <w:fldChar w:fldCharType="begin"/>
      </w:r>
      <w:r w:rsidR="0006613E">
        <w:instrText xml:space="preserve"> ADDIN ZOTERO_ITEM CSL_CITATION {"citationID":"a2lar1a925s","properties":{"formattedCitation":"(S. D\\uc0\\u237{}az et al., 2019)","plainCitation":"(S. Díaz et al., 2019)","dontUpdate":true,"noteIndex":0},"citationItems":[{"id":30446,"uris":["http://zotero.org/groups/2352922/items/HG466TIR"],"itemData":{"id":30446,"type":"article-journal","abstract":"The time is now\nFor decades, scientists have been raising calls for societal changes that will reduce our impacts on nature. Though much conservation has occurred, our natural environment continues to decline under the weight of our consumption. Humanity depends directly on the output of nature; thus, this decline will affect us, just as it does the other species with which we share this world. Díaz et al. review the findings of the largest assessment of the state of nature conducted as of yet. They report that the state of nature, and the state of the equitable distribution of nature's support, is in serious decline. Only immediate transformation of global business-as-usual economies and operations will sustain nature as we know it, and us, into the future.\nScience, this issue p. eaax3100\nStructured Abstract\nBACKGROUNDHuman actions have long been known to drive declines in nature, and there is growing awareness of how globalization means that these drivers increasingly act at a distance (telecoupling). However, evidence from different disciplines has largely accumulated in parallel, and the global effects of telecouplings have never been addressed comprehensively. Now, the first integrated global-scale intergovernmental assessment of the status, trends, and future of the links between people and nature provides an unprecedented picture of the extent of our mutual dependence, the breadth and depth of the ongoing and impending crisis, and the interconnectedness among sectors and regions.\nADVANCESHuman impacts on life on Earth have increased sharply since the 1970s. The world is increasingly managed to maximize the flow of material contributions from nature to keep up with rising demands for food, energy, timber, and more, with global trade increasing the geographic separation between supply and demand. This unparalleled appropriation of nature is causing the fabric of life on which humanity depends to fray and unravel: Most indicators of the state of nature, whether monitored by natural and social scientists or by Indigenous Peoples and local communities, are declining. These include the number and population size of wild species, the number of local varieties of domesticated species, the distinctness of ecological communities, and the extent and integrity of many terrestrial and aquatic ecosystems. As a consequence, nature’s capacity to provide crucial benefits has also declined, including environmental processes underpinning human health and nonmaterial contributions to human quality of life. The costs are distributed unequally, as are the benefits of an expanding global economy.These trends in nature and its contributions to people are projected to worsen in the coming decades—unevenly so among different regions—unless rapid and integrated action is taken to reduce the direct drivers responsible for most change over the past 50 years: land and sea use change, direct harvesting of many plants and animals, climate change (whose impacts are set to accelerate), pollution, and the spread of invasive alien species. Exploratory scenarios suggest that a world with increased regional barriers—resonating with recent geopolitical trends—will yield more negative global trends in nature, as well as the greatest disparity in trends across regions, greater than a world with liberal financial markets, and much greater than one that prioritizes and integrates actions toward sustainable development. Evidence from target-seeking scenarios and pathways indicates that a world that achieves many of the global biodiversity targets and sustainability goals related to food, energy, climate, and water is not—yet—beyond reach, but that no single action can get us there.\nOUTLOOKOur comprehensive assessment of status, trends, and possible futures for nature and people suggests that action at the level of direct drivers of nature decline, although necessary, is not sufficient to prevent further deterioration of the fabric of life on Earth. Reversal of recent declines—and a sustainable global future—are only possible with urgent transformative change that tackles the root causes: the interconnected economic, sociocultural, demographic, political, institutional, and technological indirect drivers behind the direct drivers. As well as a pan-sectoral approach to conserving and restoring the nature that underpins many goals, this transformation will need innovative governance approaches that are adaptive; inclusive; informed by existing and new evidence; and integrative across systems, jurisdictions, and tools. Although the challenge is formidable, every delay will make the task even harder. Crucially, our analysis pinpoints five priority interventions (“levers”) and eight leverage points for intervention in the indirect drivers of global social and economic systems where they can make the biggest difference. &lt;img class=\"fragment-image\" aria-describedby=\"F1-caption\" src=\"https://science.sciencemag.org/content/sci/366/6471/eaax3100/F1.medium.gif\"/&gt; Download high-res image Open in new tab Download Powerpoint Traditional diversity-rich human landscapes, and the livelihoods and identities that depend on them, face global threats.Mosaics of crops, forest, and pasture have been maintained for millennia around the world. Now, they are under increasing threat from climate change and large-scale land use change to accommodate global demands for commodities. So are the livelihoods and cultural identity of the peoples that live in them, such as this woman collecting fodder for her flock in the Checacupe district, Perú.Photo credit www.estebantapella.com\nThe human impact on life on Earth has increased sharply since the 1970s, driven by the demands of a growing population with rising average per capita income. Nature is currently supplying more materials than ever before, but this has come at the high cost of unprecedented global declines in the extent and integrity of ecosystems, distinctness of local ecological communities, abundance and number of wild species, and the number of local domesticated varieties. Such changes reduce vital benefits that people receive from nature and threaten the quality of life of future generations. Both the benefits of an expanding economy and the costs of reducing nature’s benefits are unequally distributed. The fabric of life on which we all depend—nature and its contributions to people—is unravelling rapidly. Despite the severity of the threats and lack of enough progress in tackling them to date, opportunities exist to change future trajectories through transformative action. Such action must begin immediately, however, and address the root economic, social, and technological causes of nature’s deterioration.","container-title":"Science","DOI":"10.1126/science.aax3100","ISSN":"0036-8075, 1095-9203","issue":"6471","language":"en","license":"Copyright © 2019 The Authors, some rights reserved; exclusive licensee American Association for the Advancement of Science. No claim to original U.S. Government Works. http://www.sciencemag.org/about/science-licenses-journal-article-reuseThis is an article distributed under the terms of the Science Journals Default License.","note":"publisher: American Association for the Advancement of Science\nsection: Review\nPMID: 31831642","page":"eaax3100","source":"science.sciencemag.org","title":"Pervasive human-driven decline of life on Earth points to the need for transformative change","URL":"https://science.sciencemag.org/content/366/6471/eaax3100","volume":"366","author":[{"family":"Díaz","given":"Sandra"},{"family":"Settele","given":"Josef"},{"family":"Brondízio","given":"Eduardo S."},{"family":"Ngo","given":"Hien T."},{"family":"Agard","given":"John"},{"family":"Arneth","given":"Almut"},{"family":"Balvanera","given":"Patricia"},{"family":"Brauman","given":"Kate A."},{"family":"Butchart","given":"Stuart H. M."},{"family":"Chan","given":"Kai M. A."},{"family":"Garibaldi","given":"Lucas A."},{"family":"Ichii","given":"Kazuhito"},{"family":"Liu","given":"Jianguo"},{"family":"Subramanian","given":"Suneetha M."},{"family":"Midgley","given":"Guy F."},{"family":"Miloslavich","given":"Patricia"},{"family":"Molnár","given":"Zsolt"},{"family":"Obura","given":"David"},{"family":"Pfaff","given":"Alexander"},{"family":"Polasky","given":"Stephen"},{"family":"Purvis","given":"Andy"},{"family":"Razzaque","given":"Jona"},{"family":"Reyers","given":"Belinda"},{"family":"Chowdhury","given":"Rinku Roy"},{"family":"Shin","given":"Yunne-Jai"},{"family":"Visseren-Hamakers","given":"Ingrid"},{"family":"Willis","given":"Katherine J."},{"family":"Zayas","given":"Cynthia N."}],"accessed":{"date-parts":[["2021",8,16]]},"issued":{"date-parts":[["2019",12,13]]}},"label":"page"}],"schema":"https://github.com/citation-style-language/schema/raw/master/csl-citation.json"} </w:instrText>
      </w:r>
      <w:r w:rsidR="00594C4D" w:rsidRPr="00A9434B">
        <w:fldChar w:fldCharType="separate"/>
      </w:r>
      <w:r w:rsidR="00C71E80" w:rsidRPr="00A9434B">
        <w:t>S. Díaz et al., 2019</w:t>
      </w:r>
      <w:r w:rsidR="00594C4D" w:rsidRPr="00A9434B">
        <w:fldChar w:fldCharType="end"/>
      </w:r>
      <w:r w:rsidR="00D42AF3" w:rsidRPr="00A9434B">
        <w:t xml:space="preserve">; </w:t>
      </w:r>
      <w:r w:rsidR="008615FF">
        <w:rPr>
          <w:b/>
          <w:iCs/>
        </w:rPr>
        <w:t>G</w:t>
      </w:r>
      <w:r w:rsidR="00397935" w:rsidRPr="00673554">
        <w:rPr>
          <w:b/>
          <w:iCs/>
        </w:rPr>
        <w:t>lossary</w:t>
      </w:r>
      <w:r w:rsidR="00397935" w:rsidRPr="008615FF">
        <w:t>;</w:t>
      </w:r>
      <w:r w:rsidR="00397935" w:rsidRPr="00673554">
        <w:rPr>
          <w:b/>
        </w:rPr>
        <w:t xml:space="preserve"> </w:t>
      </w:r>
      <w:r w:rsidR="008615FF">
        <w:rPr>
          <w:b/>
          <w:iCs/>
        </w:rPr>
        <w:t>C</w:t>
      </w:r>
      <w:r w:rsidR="00D42AF3" w:rsidRPr="00673554">
        <w:rPr>
          <w:b/>
          <w:iCs/>
        </w:rPr>
        <w:t>hapter 1</w:t>
      </w:r>
      <w:r w:rsidR="00D42AF3" w:rsidRPr="00673554">
        <w:rPr>
          <w:iCs/>
        </w:rPr>
        <w:t>,</w:t>
      </w:r>
      <w:r w:rsidR="00D42AF3" w:rsidRPr="00673554">
        <w:rPr>
          <w:b/>
          <w:iCs/>
        </w:rPr>
        <w:t xml:space="preserve"> Box 1.1</w:t>
      </w:r>
      <w:r w:rsidR="00AF61B5" w:rsidRPr="00673554">
        <w:rPr>
          <w:b/>
          <w:iCs/>
        </w:rPr>
        <w:t>4</w:t>
      </w:r>
      <w:r w:rsidR="00D42AF3" w:rsidRPr="00A9434B">
        <w:t>)</w:t>
      </w:r>
      <w:r w:rsidRPr="00A9434B">
        <w:t xml:space="preserve">, but also </w:t>
      </w:r>
      <w:r w:rsidR="15102353" w:rsidRPr="00A9434B">
        <w:t xml:space="preserve">a range of strategic actions and governance system properties </w:t>
      </w:r>
      <w:r w:rsidR="476C0DDE" w:rsidRPr="00A9434B">
        <w:t>characteri</w:t>
      </w:r>
      <w:r w:rsidR="009E1480" w:rsidRPr="00A9434B">
        <w:t>z</w:t>
      </w:r>
      <w:r w:rsidR="476C0DDE" w:rsidRPr="00A9434B">
        <w:t>e good governance for biological invasions</w:t>
      </w:r>
      <w:r w:rsidRPr="00A9434B">
        <w:t xml:space="preserve"> </w:t>
      </w:r>
      <w:r w:rsidR="00EB70A7" w:rsidRPr="00A9434B">
        <w:fldChar w:fldCharType="begin"/>
      </w:r>
      <w:r w:rsidR="0006613E">
        <w:instrText xml:space="preserve"> ADDIN ZOTERO_ITEM CSL_CITATION {"citationID":"a18qu723eg6","properties":{"formattedCitation":"(Weitz et al., 2017)","plainCitation":"(Weitz et al., 2017)","noteIndex":0},"citationItems":[{"id":30287,"uris":["http://zotero.org/groups/2352922/items/CL6TRYIG"],"itemData":{"id":30287,"type":"article-journal","abstract":"The water-energy-food nexus has become a popular concept in environmental change research and policy debates. Proponents suggest that a nexus approach promotes policy coherence through identifying optimal policy mixes and governance arrangements across the water, energy and food sectors. Although the nexus literature identifies some barriers to achieving coherence it does not clearly explain why the barriers are present, what influences them, and how they can be acted upon. These gaps disconnect the nexus literature from the governance processes it ultimately seeks to influence. This paper examines how the integrative environmental governance literature can help to close these gaps. It extracts insights from seven streams of research literature and discusses their relevance for the nexus literature. We argue that connecting the nexus to decision-making processes requires: i) rethinking the boundaries of nexus analysis vis-à-vis other sectors and levels; ii) elaboration of shared principles that can guide decision-making towards policy coherence − or an appropriate form of fragmentation − in different contexts; iii) viewing policy coherence as a continuous process of changing values and perception rather than as an outcome.","container-title":"Global Environmental Change","DOI":"10.1016/j.gloenvcha.2017.06.006","ISSN":"0959-3780","journalAbbreviation":"Global Environmental Change","language":"en","page":"165-173","source":"ScienceDirect","title":"Closing the governance gaps in the water-energy-food nexus: Insights from integrative governance","title-short":"Closing the governance gaps in the water-energy-food nexus","URL":"https://www.sciencedirect.com/science/article/pii/S0959378017300031","volume":"45","author":[{"family":"Weitz","given":"Nina"},{"family":"Strambo","given":"Claudia"},{"family":"Kemp-Benedict","given":"Eric"},{"family":"Nilsson","given":"Måns"}],"accessed":{"date-parts":[["2021",8,25]]},"issued":{"date-parts":[["2017",7,1]]}},"label":"page"}],"schema":"https://github.com/citation-style-language/schema/raw/master/csl-citation.json"} </w:instrText>
      </w:r>
      <w:r w:rsidR="00EB70A7" w:rsidRPr="00A9434B">
        <w:fldChar w:fldCharType="separate"/>
      </w:r>
      <w:r w:rsidR="00C71E80" w:rsidRPr="00A9434B">
        <w:t>(Weitz et al., 2017)</w:t>
      </w:r>
      <w:r w:rsidR="00EB70A7" w:rsidRPr="00A9434B">
        <w:fldChar w:fldCharType="end"/>
      </w:r>
      <w:r w:rsidRPr="00A9434B">
        <w:t>. In other words, policy integration is only one part of the integration needed</w:t>
      </w:r>
      <w:r w:rsidR="000548FF">
        <w:t>, and a</w:t>
      </w:r>
      <w:r w:rsidRPr="00A9434B">
        <w:t xml:space="preserve">ttention </w:t>
      </w:r>
      <w:r w:rsidR="000548FF">
        <w:t xml:space="preserve">may </w:t>
      </w:r>
      <w:r w:rsidR="00C66B98" w:rsidRPr="00A9434B">
        <w:t xml:space="preserve">also </w:t>
      </w:r>
      <w:r w:rsidRPr="00A9434B">
        <w:t xml:space="preserve">be given to the </w:t>
      </w:r>
      <w:r w:rsidR="00A97009" w:rsidRPr="00A9434B">
        <w:t xml:space="preserve">properties of the </w:t>
      </w:r>
      <w:r w:rsidRPr="00A9434B">
        <w:t xml:space="preserve">broader system that delivers invasive alien species policy </w:t>
      </w:r>
      <w:r w:rsidRPr="00A9434B">
        <w:fldChar w:fldCharType="begin"/>
      </w:r>
      <w:r w:rsidR="0006613E">
        <w:instrText xml:space="preserve"> ADDIN ZOTERO_ITEM CSL_CITATION {"citationID":"a20ptduh3r6","properties":{"formattedCitation":"(Leventon et al., 2021)","plainCitation":"(Leventon et al., 2021)","noteIndex":0},"citationItems":[{"id":10824,"uris":["http://zotero.org/groups/2352922/items/FIJXM97V"],"itemData":{"id":10824,"type":"article-journal","abstract":"Abstract\n            The concept of leverage points offers great potential to consider how we can intervene in systems to create transformations for sustainability. In this special issue, we draw together a diverse collection of research that engages with this central idea. The papers cover three broad topics: (1) the use of a ‘leverage points lens’ for systems framings and understandings; (2) how individual interventions can be understood and critiqued from a leverage points perspective; and (3) the implications of a leverage points approach for research practice and action. Across these topics, we present the papers, and embed them within current critical debate in sustainability science. In doing so, we produce nine guiding questions to shape the research and practice of leverage points for sustainability transformation. These nine questions introduce conceptual clarity to untangle some of the deeper questions around which system we are engaging with, whose system counts, and whose sustainability we are seeking to create. They further shape how we deliver a leverage points research practice. We intend, therefore, that our guiding questions open up exploration across systems and worldviews, and help us to dance with systems.","container-title":"Sustainability Science","DOI":"10.1007/s11625-021-00961-8","ISSN":"1862-4065, 1862-4057","issue":"3","journalAbbreviation":"Sustain Sci","language":"en","page":"721-726","source":"DOI.org (Crossref)","title":"Leverage points for sustainability transformations: nine guiding questions for sustainability science and practice","title-short":"Leverage points for sustainability transformations","URL":"https://link.springer.com/10.1007/s11625-021-00961-8","volume":"16","author":[{"family":"Leventon","given":"Julia"},{"family":"Abson","given":"Dave J."},{"family":"Lang","given":"Daniel J."}],"accessed":{"date-parts":[["2021",6,16]]},"issued":{"date-parts":[["2021",5]]}},"label":"page"}],"schema":"https://github.com/citation-style-language/schema/raw/master/csl-citation.json"} </w:instrText>
      </w:r>
      <w:r w:rsidRPr="00A9434B">
        <w:fldChar w:fldCharType="separate"/>
      </w:r>
      <w:r w:rsidR="00C71E80" w:rsidRPr="00A9434B">
        <w:t>(Leventon et al., 2021)</w:t>
      </w:r>
      <w:r w:rsidRPr="00A9434B">
        <w:fldChar w:fldCharType="end"/>
      </w:r>
      <w:r w:rsidRPr="00A9434B">
        <w:t xml:space="preserve">. </w:t>
      </w:r>
    </w:p>
    <w:p w14:paraId="643BF8E3" w14:textId="1752FD4D" w:rsidR="006E74C3" w:rsidRPr="00A9434B" w:rsidRDefault="7D7128D2" w:rsidP="009D3AD2">
      <w:pPr>
        <w:rPr>
          <w:b/>
          <w:bCs/>
        </w:rPr>
      </w:pPr>
      <w:r w:rsidRPr="00A9434B">
        <w:t>A key</w:t>
      </w:r>
      <w:r w:rsidR="006E74C3" w:rsidRPr="00A9434B">
        <w:t xml:space="preserve"> part of the recognition of the need for integrated governance </w:t>
      </w:r>
      <w:r w:rsidR="00D6699F" w:rsidRPr="00A9434B">
        <w:t>for biological invasions</w:t>
      </w:r>
      <w:r w:rsidR="006E74C3" w:rsidRPr="00A9434B">
        <w:t xml:space="preserve"> concerns the need for integration across the sectors that in some way intersect with the problem of </w:t>
      </w:r>
      <w:r w:rsidR="00C25E77">
        <w:t xml:space="preserve">invasive alien species </w:t>
      </w:r>
      <w:r w:rsidR="006E74C3" w:rsidRPr="00A9434B">
        <w:t>- as either causal, affected or managing actors (</w:t>
      </w:r>
      <w:r w:rsidR="004155A5" w:rsidRPr="00673554">
        <w:rPr>
          <w:b/>
          <w:iCs/>
        </w:rPr>
        <w:fldChar w:fldCharType="begin"/>
      </w:r>
      <w:r w:rsidR="004155A5" w:rsidRPr="00673554">
        <w:rPr>
          <w:b/>
          <w:iCs/>
        </w:rPr>
        <w:instrText xml:space="preserve"> REF _Ref104895003 \h  \* MERGEFORMAT </w:instrText>
      </w:r>
      <w:r w:rsidR="004155A5" w:rsidRPr="00673554">
        <w:rPr>
          <w:b/>
          <w:iCs/>
        </w:rPr>
      </w:r>
      <w:r w:rsidR="004155A5" w:rsidRPr="00673554">
        <w:rPr>
          <w:b/>
          <w:iCs/>
        </w:rPr>
        <w:fldChar w:fldCharType="separate"/>
      </w:r>
      <w:r w:rsidR="0011368C" w:rsidRPr="00673554">
        <w:rPr>
          <w:b/>
          <w:iCs/>
        </w:rPr>
        <w:t>Figure 6.7</w:t>
      </w:r>
      <w:r w:rsidR="004155A5" w:rsidRPr="00673554">
        <w:rPr>
          <w:b/>
          <w:iCs/>
        </w:rPr>
        <w:fldChar w:fldCharType="end"/>
      </w:r>
      <w:r w:rsidR="006E74C3" w:rsidRPr="00A9434B">
        <w:t xml:space="preserve">), as discussed </w:t>
      </w:r>
      <w:r w:rsidR="006E74C3" w:rsidRPr="00A9434B">
        <w:lastRenderedPageBreak/>
        <w:t>above. These sectors include environmental</w:t>
      </w:r>
      <w:r w:rsidR="009804B2">
        <w:t xml:space="preserve">, </w:t>
      </w:r>
      <w:r w:rsidR="006E74C3" w:rsidRPr="00A9434B">
        <w:t xml:space="preserve">human, animal and plant health </w:t>
      </w:r>
      <w:r w:rsidR="006E74C3" w:rsidRPr="00A9434B">
        <w:rPr>
          <w:rStyle w:val="normaltextrun"/>
          <w:rFonts w:eastAsiaTheme="majorEastAsia"/>
          <w:color w:val="000000"/>
          <w:shd w:val="clear" w:color="auto" w:fill="FFFFFF"/>
        </w:rPr>
        <w:fldChar w:fldCharType="begin"/>
      </w:r>
      <w:r w:rsidR="0006613E">
        <w:rPr>
          <w:rStyle w:val="normaltextrun"/>
          <w:rFonts w:eastAsiaTheme="majorEastAsia"/>
          <w:color w:val="000000"/>
          <w:shd w:val="clear" w:color="auto" w:fill="FFFFFF"/>
        </w:rPr>
        <w:instrText xml:space="preserve"> ADDIN ZOTERO_ITEM CSL_CITATION {"citationID":"a11c0qga34c","properties":{"formattedCitation":"(Hulme, 2020)","plainCitation":"(Hulme, 2020)","noteIndex":0},"citationItems":[{"id":56418,"uris":["http://zotero.org/groups/2352922/items/22XLFGB4","http://zotero.org/groups/2352922/items/CFXAKMXQ"],"itemData":{"id":56418,"type":"article-journal","abstract":"In the wake of the SARS-CoV-2 pandemic, the world has woken up to the importance of biosecurity and the need to manage international borders. Yet strong sectorial identities exist within biosecurity that are associated with specific international standards, individual economic interests, specific research communities, and unique stakeholder involvement. Despite considerable research addressing human, animal, plant, and environmental health, the science connections between these sectors remain quite limited. One Biosecurity aims to address these limitations at global, national, and local scales. It is an interdisciplinary approach to biosecurity policy and research that builds on the interconnections between human, animal, plant, and environmental health to effectively prevent and mitigate the impacts of invasive alien species. It provides an integrated perspective to address the many biosecurity risks that transcend the traditional boundaries of health, agriculture, and the environment. Individual invasive alien plant and animal species often have multiple impacts across sectors: as hosts of zoonotic parasites, vectors of pathogens, pests of agriculture or forestry, as well as threats to biodiversity and ecosystem function. It is time these risks were addressed in a systematic way. One Biosecurity is essential to address several major sociological and environmental challenges to biosecurity: climate change, increasing urbanisation, agricultural intensification, human global mobility, loss of technical capability as well as public resistance to pesticides and vaccines. One Biosecurity will require the bringing together of taxonomists, population biologists, modellers, economists, chemists, engineers, and social scientists to engage in a new agenda that is shaped by politics, legislation, and public perceptions.","container-title":"Emerging Topics in Life Sciences","DOI":"10.1042/ETLS20200067","ISSN":"2397-8554, 2397-8562","issue":"5","language":"en","page":"539-549","source":"DOI.org (Crossref)","title":"One Biosecurity: a unified concept to integrate human, animal, plant, and environmental health","title-short":"One Biosecurity","URL":"https://portlandpress.com/emergtoplifesci/article/4/5/539/226789/One-Biosecurity-a-unified-concept-to-integrate","volume":"4","editor":[{"family":"MacLeod","given":"Alan"},{"family":"Spence","given":"Nicola"}],"author":[{"family":"Hulme","given":"Philip E."}],"accessed":{"date-parts":[["2023",6,8]]},"issued":{"date-parts":[["2020",12,15]]}},"label":"page"}],"schema":"https://github.com/citation-style-language/schema/raw/master/csl-citation.json"} </w:instrText>
      </w:r>
      <w:r w:rsidR="006E74C3" w:rsidRPr="00A9434B">
        <w:rPr>
          <w:rStyle w:val="normaltextrun"/>
          <w:rFonts w:eastAsiaTheme="majorEastAsia"/>
          <w:color w:val="000000"/>
          <w:shd w:val="clear" w:color="auto" w:fill="FFFFFF"/>
        </w:rPr>
        <w:fldChar w:fldCharType="separate"/>
      </w:r>
      <w:r w:rsidR="00C71E80" w:rsidRPr="00A9434B">
        <w:t>(Hulme, 2020)</w:t>
      </w:r>
      <w:r w:rsidR="006E74C3" w:rsidRPr="00A9434B">
        <w:rPr>
          <w:rStyle w:val="normaltextrun"/>
          <w:rFonts w:eastAsiaTheme="majorEastAsia"/>
          <w:color w:val="000000"/>
          <w:shd w:val="clear" w:color="auto" w:fill="FFFFFF"/>
        </w:rPr>
        <w:fldChar w:fldCharType="end"/>
      </w:r>
      <w:r w:rsidR="006E74C3" w:rsidRPr="00A9434B">
        <w:t xml:space="preserve">. This approach is referred to more broadly in governance literature as the </w:t>
      </w:r>
      <w:r w:rsidR="006F6E1F" w:rsidRPr="00A9434B">
        <w:t>“</w:t>
      </w:r>
      <w:r w:rsidR="006E74C3" w:rsidRPr="00A9434B">
        <w:t>nexus approach</w:t>
      </w:r>
      <w:r w:rsidR="006F6E1F" w:rsidRPr="00A9434B">
        <w:t>”</w:t>
      </w:r>
      <w:r w:rsidR="006E74C3" w:rsidRPr="00A9434B">
        <w:t xml:space="preserve"> </w:t>
      </w:r>
      <w:r w:rsidR="006E74C3" w:rsidRPr="00A9434B">
        <w:fldChar w:fldCharType="begin"/>
      </w:r>
      <w:r w:rsidR="0006613E">
        <w:instrText xml:space="preserve"> ADDIN ZOTERO_ITEM CSL_CITATION {"citationID":"a1gfr12b2q0","properties":{"formattedCitation":"(S. D\\uc0\\u237{}az et al., 2019; Weitz et al., 2017)","plainCitation":"(S. Díaz et al., 2019; Weitz et al., 2017)","noteIndex":0},"citationItems":[{"id":30446,"uris":["http://zotero.org/groups/2352922/items/HG466TIR"],"itemData":{"id":30446,"type":"article-journal","abstract":"The time is now\nFor decades, scientists have been raising calls for societal changes that will reduce our impacts on nature. Though much conservation has occurred, our natural environment continues to decline under the weight of our consumption. Humanity depends directly on the output of nature; thus, this decline will affect us, just as it does the other species with which we share this world. Díaz et al. review the findings of the largest assessment of the state of nature conducted as of yet. They report that the state of nature, and the state of the equitable distribution of nature's support, is in serious decline. Only immediate transformation of global business-as-usual economies and operations will sustain nature as we know it, and us, into the future.\nScience, this issue p. eaax3100\nStructured Abstract\nBACKGROUNDHuman actions have long been known to drive declines in nature, and there is growing awareness of how globalization means that these drivers increasingly act at a distance (telecoupling). However, evidence from different disciplines has largely accumulated in parallel, and the global effects of telecouplings have never been addressed comprehensively. Now, the first integrated global-scale intergovernmental assessment of the status, trends, and future of the links between people and nature provides an unprecedented picture of the extent of our mutual dependence, the breadth and depth of the ongoing and impending crisis, and the interconnectedness among sectors and regions.\nADVANCESHuman impacts on life on Earth have increased sharply since the 1970s. The world is increasingly managed to maximize the flow of material contributions from nature to keep up with rising demands for food, energy, timber, and more, with global trade increasing the geographic separation between supply and demand. This unparalleled appropriation of nature is causing the fabric of life on which humanity depends to fray and unravel: Most indicators of the state of nature, whether monitored by natural and social scientists or by Indigenous Peoples and local communities, are declining. These include the number and population size of wild species, the number of local varieties of domesticated species, the distinctness of ecological communities, and the extent and integrity of many terrestrial and aquatic ecosystems. As a consequence, nature’s capacity to provide crucial benefits has also declined, including environmental processes underpinning human health and nonmaterial contributions to human quality of life. The costs are distributed unequally, as are the benefits of an expanding global economy.These trends in nature and its contributions to people are projected to worsen in the coming decades—unevenly so among different regions—unless rapid and integrated action is taken to reduce the direct drivers responsible for most change over the past 50 years: land and sea use change, direct harvesting of many plants and animals, climate change (whose impacts are set to accelerate), pollution, and the spread of invasive alien species. Exploratory scenarios suggest that a world with increased regional barriers—resonating with recent geopolitical trends—will yield more negative global trends in nature, as well as the greatest disparity in trends across regions, greater than a world with liberal financial markets, and much greater than one that prioritizes and integrates actions toward sustainable development. Evidence from target-seeking scenarios and pathways indicates that a world that achieves many of the global biodiversity targets and sustainability goals related to food, energy, climate, and water is not—yet—beyond reach, but that no single action can get us there.\nOUTLOOKOur comprehensive assessment of status, trends, and possible futures for nature and people suggests that action at the level of direct drivers of nature decline, although necessary, is not sufficient to prevent further deterioration of the fabric of life on Earth. Reversal of recent declines—and a sustainable global future—are only possible with urgent transformative change that tackles the root causes: the interconnected economic, sociocultural, demographic, political, institutional, and technological indirect drivers behind the direct drivers. As well as a pan-sectoral approach to conserving and restoring the nature that underpins many goals, this transformation will need innovative governance approaches that are adaptive; inclusive; informed by existing and new evidence; and integrative across systems, jurisdictions, and tools. Although the challenge is formidable, every delay will make the task even harder. Crucially, our analysis pinpoints five priority interventions (“levers”) and eight leverage points for intervention in the indirect drivers of global social and economic systems where they can make the biggest difference. &lt;img class=\"fragment-image\" aria-describedby=\"F1-caption\" src=\"https://science.sciencemag.org/content/sci/366/6471/eaax3100/F1.medium.gif\"/&gt; Download high-res image Open in new tab Download Powerpoint Traditional diversity-rich human landscapes, and the livelihoods and identities that depend on them, face global threats.Mosaics of crops, forest, and pasture have been maintained for millennia around the world. Now, they are under increasing threat from climate change and large-scale land use change to accommodate global demands for commodities. So are the livelihoods and cultural identity of the peoples that live in them, such as this woman collecting fodder for her flock in the Checacupe district, Perú.Photo credit www.estebantapella.com\nThe human impact on life on Earth has increased sharply since the 1970s, driven by the demands of a growing population with rising average per capita income. Nature is currently supplying more materials than ever before, but this has come at the high cost of unprecedented global declines in the extent and integrity of ecosystems, distinctness of local ecological communities, abundance and number of wild species, and the number of local domesticated varieties. Such changes reduce vital benefits that people receive from nature and threaten the quality of life of future generations. Both the benefits of an expanding economy and the costs of reducing nature’s benefits are unequally distributed. The fabric of life on which we all depend—nature and its contributions to people—is unravelling rapidly. Despite the severity of the threats and lack of enough progress in tackling them to date, opportunities exist to change future trajectories through transformative action. Such action must begin immediately, however, and address the root economic, social, and technological causes of nature’s deterioration.","container-title":"Science","DOI":"10.1126/science.aax3100","ISSN":"0036-8075, 1095-9203","issue":"6471","language":"en","license":"Copyright © 2019 The Authors, some rights reserved; exclusive licensee American Association for the Advancement of Science. No claim to original U.S. Government Works. http://www.sciencemag.org/about/science-licenses-journal-article-reuseThis is an article distributed under the terms of the Science Journals Default License.","note":"publisher: American Association for the Advancement of Science\nsection: Review\nPMID: 31831642","page":"eaax3100","source":"science.sciencemag.org","title":"Pervasive human-driven decline of life on Earth points to the need for transformative change","URL":"https://science.sciencemag.org/content/366/6471/eaax3100","volume":"366","author":[{"family":"Díaz","given":"Sandra"},{"family":"Settele","given":"Josef"},{"family":"Brondízio","given":"Eduardo S."},{"family":"Ngo","given":"Hien T."},{"family":"Agard","given":"John"},{"family":"Arneth","given":"Almut"},{"family":"Balvanera","given":"Patricia"},{"family":"Brauman","given":"Kate A."},{"family":"Butchart","given":"Stuart H. M."},{"family":"Chan","given":"Kai M. A."},{"family":"Garibaldi","given":"Lucas A."},{"family":"Ichii","given":"Kazuhito"},{"family":"Liu","given":"Jianguo"},{"family":"Subramanian","given":"Suneetha M."},{"family":"Midgley","given":"Guy F."},{"family":"Miloslavich","given":"Patricia"},{"family":"Molnár","given":"Zsolt"},{"family":"Obura","given":"David"},{"family":"Pfaff","given":"Alexander"},{"family":"Polasky","given":"Stephen"},{"family":"Purvis","given":"Andy"},{"family":"Razzaque","given":"Jona"},{"family":"Reyers","given":"Belinda"},{"family":"Chowdhury","given":"Rinku Roy"},{"family":"Shin","given":"Yunne-Jai"},{"family":"Visseren-Hamakers","given":"Ingrid"},{"family":"Willis","given":"Katherine J."},{"family":"Zayas","given":"Cynthia N."}],"accessed":{"date-parts":[["2021",8,16]]},"issued":{"date-parts":[["2019",12,13]]}},"label":"page"},{"id":30287,"uris":["http://zotero.org/groups/2352922/items/CL6TRYIG"],"itemData":{"id":30287,"type":"article-journal","abstract":"The water-energy-food nexus has become a popular concept in environmental change research and policy debates. Proponents suggest that a nexus approach promotes policy coherence through identifying optimal policy mixes and governance arrangements across the water, energy and food sectors. Although the nexus literature identifies some barriers to achieving coherence it does not clearly explain why the barriers are present, what influences them, and how they can be acted upon. These gaps disconnect the nexus literature from the governance processes it ultimately seeks to influence. This paper examines how the integrative environmental governance literature can help to close these gaps. It extracts insights from seven streams of research literature and discusses their relevance for the nexus literature. We argue that connecting the nexus to decision-making processes requires: i) rethinking the boundaries of nexus analysis vis-à-vis other sectors and levels; ii) elaboration of shared principles that can guide decision-making towards policy coherence − or an appropriate form of fragmentation − in different contexts; iii) viewing policy coherence as a continuous process of changing values and perception rather than as an outcome.","container-title":"Global Environmental Change","DOI":"10.1016/j.gloenvcha.2017.06.006","ISSN":"0959-3780","journalAbbreviation":"Global Environmental Change","language":"en","page":"165-173","source":"ScienceDirect","title":"Closing the governance gaps in the water-energy-food nexus: Insights from integrative governance","title-short":"Closing the governance gaps in the water-energy-food nexus","URL":"https://www.sciencedirect.com/science/article/pii/S0959378017300031","volume":"45","author":[{"family":"Weitz","given":"Nina"},{"family":"Strambo","given":"Claudia"},{"family":"Kemp-Benedict","given":"Eric"},{"family":"Nilsson","given":"Måns"}],"accessed":{"date-parts":[["2021",8,25]]},"issued":{"date-parts":[["2017",7,1]]}},"label":"page"}],"schema":"https://github.com/citation-style-language/schema/raw/master/csl-citation.json"} </w:instrText>
      </w:r>
      <w:r w:rsidR="006E74C3" w:rsidRPr="00A9434B">
        <w:fldChar w:fldCharType="separate"/>
      </w:r>
      <w:r w:rsidR="00C71E80" w:rsidRPr="00A9434B">
        <w:t>(S. Díaz et al., 2019; Weitz et al., 2017)</w:t>
      </w:r>
      <w:r w:rsidR="006E74C3" w:rsidRPr="00A9434B">
        <w:fldChar w:fldCharType="end"/>
      </w:r>
      <w:r w:rsidR="006E74C3" w:rsidRPr="00A9434B">
        <w:t>, and it “f</w:t>
      </w:r>
      <w:r w:rsidR="006E74C3" w:rsidRPr="00A9434B">
        <w:rPr>
          <w:rFonts w:eastAsia="Batang"/>
        </w:rPr>
        <w:t>ocuses on the relationships between different policies and sectors</w:t>
      </w:r>
      <w:r w:rsidR="00607B50" w:rsidRPr="00A9434B">
        <w:rPr>
          <w:rFonts w:eastAsia="Batang"/>
        </w:rPr>
        <w:t xml:space="preserve"> </w:t>
      </w:r>
      <w:r w:rsidR="00DE414C" w:rsidRPr="00A9434B">
        <w:rPr>
          <w:rFonts w:eastAsia="Batang"/>
        </w:rPr>
        <w:t>(</w:t>
      </w:r>
      <w:r w:rsidR="006B607A" w:rsidRPr="00A9434B">
        <w:rPr>
          <w:rFonts w:eastAsia="Batang"/>
        </w:rPr>
        <w:t xml:space="preserve">e.g., </w:t>
      </w:r>
      <w:r w:rsidR="006E74C3" w:rsidRPr="00A9434B">
        <w:rPr>
          <w:rFonts w:eastAsia="Batang"/>
        </w:rPr>
        <w:t>agriculture, transport, environment) with the aim of coordinating across sectors without preferring one over the other in order to promote coherence</w:t>
      </w:r>
      <w:r w:rsidR="006E74C3" w:rsidRPr="00A9434B">
        <w:rPr>
          <w:rFonts w:eastAsia="Batang"/>
          <w:i/>
          <w:iCs/>
        </w:rPr>
        <w:t>”</w:t>
      </w:r>
      <w:r w:rsidR="006E74C3" w:rsidRPr="00A9434B">
        <w:rPr>
          <w:rFonts w:eastAsia="Batang"/>
        </w:rPr>
        <w:t xml:space="preserve"> </w:t>
      </w:r>
      <w:r w:rsidR="006E74C3" w:rsidRPr="00A9434B">
        <w:rPr>
          <w:rFonts w:eastAsia="Batang"/>
        </w:rPr>
        <w:fldChar w:fldCharType="begin"/>
      </w:r>
      <w:r w:rsidR="0006613E">
        <w:rPr>
          <w:rFonts w:eastAsia="Batang"/>
        </w:rPr>
        <w:instrText xml:space="preserve"> ADDIN ZOTERO_ITEM CSL_CITATION {"citationID":"a2prgrvthfd","properties":{"formattedCitation":"(Visseren-Hamakers, 2015)","plainCitation":"(Visseren-Hamakers, 2015)","noteIndex":0},"citationItems":[{"id":30284,"uris":["http://zotero.org/groups/2352922/items/3MWGCWSD"],"itemData":{"id":30284,"type":"article-journal","abstract":"The issue of regime complexity in global environmental governance is widely recognized. The academic debate on regime fragmentation has itself however been rather fragmented, with discussions circling around different concepts, including inter-organizational relations, polycentric governance, integrated management, landscape governance, environmental policy integration, coordination, mainstreaming, coherence, policy mixes, governance architectures and systems, regime complexes, institutional interaction, metagovernance and the nexus approach. Moreover, the topic of relationships between different policies is also discussed among practitioners, where the call for synergies is increasingly heard. This article brings together these discussions under the common heading of integrative environmental governance (IEG). The article provides a literature review, and argues for an IEG perspective in which the relationships between governance instruments take center stage.","container-title":"Current Opinion in Environmental Sustainability","DOI":"https://doi.org/10.1016/j.cosust.2015.05.008","ISSN":"1877-3435","page":"136-143","title":"Integrative environmental governance: enhancing governance in the era of synergies","volume":"14","author":[{"family":"Visseren-Hamakers","given":"Ingrid J."}],"issued":{"date-parts":[["2015"]]}},"label":"page"}],"schema":"https://github.com/citation-style-language/schema/raw/master/csl-citation.json"} </w:instrText>
      </w:r>
      <w:r w:rsidR="006E74C3" w:rsidRPr="00A9434B">
        <w:rPr>
          <w:rFonts w:eastAsia="Batang"/>
        </w:rPr>
        <w:fldChar w:fldCharType="separate"/>
      </w:r>
      <w:r w:rsidR="00C71E80" w:rsidRPr="00A9434B">
        <w:t>(Visseren-Hamakers, 2015)</w:t>
      </w:r>
      <w:r w:rsidR="006E74C3" w:rsidRPr="00A9434B">
        <w:rPr>
          <w:rFonts w:eastAsia="Batang"/>
        </w:rPr>
        <w:fldChar w:fldCharType="end"/>
      </w:r>
      <w:r w:rsidR="006E74C3" w:rsidRPr="00A9434B">
        <w:rPr>
          <w:rFonts w:eastAsia="Batang"/>
        </w:rPr>
        <w:t xml:space="preserve">. </w:t>
      </w:r>
      <w:r w:rsidR="006E74C3" w:rsidRPr="00A9434B">
        <w:t xml:space="preserve">The intention of such integration is to improve policy coherence by “identifying synergies and trade-offs, optimizing policy options, and adapting governance arrangements” </w:t>
      </w:r>
      <w:r w:rsidR="006E74C3" w:rsidRPr="00A9434B">
        <w:fldChar w:fldCharType="begin"/>
      </w:r>
      <w:r w:rsidR="0006613E">
        <w:instrText xml:space="preserve"> ADDIN ZOTERO_ITEM CSL_CITATION {"citationID":"a24slkgb70e","properties":{"formattedCitation":"(Weitz et al., 2017)","plainCitation":"(Weitz et al., 2017)","noteIndex":0},"citationItems":[{"id":30287,"uris":["http://zotero.org/groups/2352922/items/CL6TRYIG"],"itemData":{"id":30287,"type":"article-journal","abstract":"The water-energy-food nexus has become a popular concept in environmental change research and policy debates. Proponents suggest that a nexus approach promotes policy coherence through identifying optimal policy mixes and governance arrangements across the water, energy and food sectors. Although the nexus literature identifies some barriers to achieving coherence it does not clearly explain why the barriers are present, what influences them, and how they can be acted upon. These gaps disconnect the nexus literature from the governance processes it ultimately seeks to influence. This paper examines how the integrative environmental governance literature can help to close these gaps. It extracts insights from seven streams of research literature and discusses their relevance for the nexus literature. We argue that connecting the nexus to decision-making processes requires: i) rethinking the boundaries of nexus analysis vis-à-vis other sectors and levels; ii) elaboration of shared principles that can guide decision-making towards policy coherence − or an appropriate form of fragmentation − in different contexts; iii) viewing policy coherence as a continuous process of changing values and perception rather than as an outcome.","container-title":"Global Environmental Change","DOI":"10.1016/j.gloenvcha.2017.06.006","ISSN":"0959-3780","journalAbbreviation":"Global Environmental Change","language":"en","page":"165-173","source":"ScienceDirect","title":"Closing the governance gaps in the water-energy-food nexus: Insights from integrative governance","title-short":"Closing the governance gaps in the water-energy-food nexus","URL":"https://www.sciencedirect.com/science/article/pii/S0959378017300031","volume":"45","author":[{"family":"Weitz","given":"Nina"},{"family":"Strambo","given":"Claudia"},{"family":"Kemp-Benedict","given":"Eric"},{"family":"Nilsson","given":"Måns"}],"accessed":{"date-parts":[["2021",8,25]]},"issued":{"date-parts":[["2017",7,1]]}},"label":"page"}],"schema":"https://github.com/citation-style-language/schema/raw/master/csl-citation.json"} </w:instrText>
      </w:r>
      <w:r w:rsidR="006E74C3" w:rsidRPr="00A9434B">
        <w:fldChar w:fldCharType="separate"/>
      </w:r>
      <w:r w:rsidR="00C71E80" w:rsidRPr="00A9434B">
        <w:t>(Weitz et al., 2017)</w:t>
      </w:r>
      <w:r w:rsidR="006E74C3" w:rsidRPr="00A9434B">
        <w:fldChar w:fldCharType="end"/>
      </w:r>
      <w:r w:rsidR="006E74C3" w:rsidRPr="00A9434B">
        <w:t xml:space="preserve">. This approach aims therefore to reduce undesirable outcomes for invasive alien species management that result from conflicting policy and interests across sectors. </w:t>
      </w:r>
      <w:r w:rsidR="2E802050" w:rsidRPr="00A9434B">
        <w:t xml:space="preserve">An example is the </w:t>
      </w:r>
      <w:r w:rsidR="004A29D3" w:rsidRPr="00A9434B">
        <w:t>“</w:t>
      </w:r>
      <w:r w:rsidR="006E74C3" w:rsidRPr="00A9434B">
        <w:t>One Biosecurity</w:t>
      </w:r>
      <w:r w:rsidR="004A29D3" w:rsidRPr="00A9434B">
        <w:t>”</w:t>
      </w:r>
      <w:r w:rsidR="006E74C3" w:rsidRPr="00A9434B">
        <w:t xml:space="preserve"> </w:t>
      </w:r>
      <w:r w:rsidR="34E6B6B4" w:rsidRPr="00A9434B">
        <w:t>approach:</w:t>
      </w:r>
      <w:r w:rsidR="009D4056" w:rsidRPr="00A9434B">
        <w:t xml:space="preserve"> </w:t>
      </w:r>
      <w:r w:rsidR="00057805" w:rsidRPr="00A9434B">
        <w:t>“</w:t>
      </w:r>
      <w:r w:rsidR="006E74C3" w:rsidRPr="00A9434B">
        <w:t>an interdisciplinary approach to biosecurity policy and research that builds on the interconnections between human, animal, plant and environmental health to effectively prevent and mitigate the impacts of invasive alien species</w:t>
      </w:r>
      <w:r w:rsidR="00057805" w:rsidRPr="006E0767">
        <w:t>”</w:t>
      </w:r>
      <w:r w:rsidR="006E74C3" w:rsidRPr="00A9434B">
        <w:t xml:space="preserve"> </w:t>
      </w:r>
      <w:r w:rsidR="00CD40BE" w:rsidRPr="00A9434B">
        <w:rPr>
          <w:rStyle w:val="normaltextrun"/>
          <w:rFonts w:eastAsiaTheme="majorEastAsia"/>
          <w:color w:val="000000"/>
          <w:shd w:val="clear" w:color="auto" w:fill="FFFFFF"/>
        </w:rPr>
        <w:fldChar w:fldCharType="begin"/>
      </w:r>
      <w:r w:rsidR="0006613E">
        <w:rPr>
          <w:rStyle w:val="normaltextrun"/>
          <w:rFonts w:eastAsiaTheme="majorEastAsia"/>
          <w:color w:val="000000"/>
          <w:shd w:val="clear" w:color="auto" w:fill="FFFFFF"/>
        </w:rPr>
        <w:instrText xml:space="preserve"> ADDIN ZOTERO_ITEM CSL_CITATION {"citationID":"LYZJq2XE","properties":{"formattedCitation":"\\uldash{(Hulme, 2020)}","plainCitation":"(Hulme, 2020)","dontUpdate":true,"noteIndex":0},"citationItems":[{"id":56418,"uris":["http://zotero.org/groups/2352922/items/22XLFGB4","http://zotero.org/groups/2352922/items/CFXAKMXQ"],"itemData":{"id":56418,"type":"article-journal","abstract":"In the wake of the SARS-CoV-2 pandemic, the world has woken up to the importance of biosecurity and the need to manage international borders. Yet strong sectorial identities exist within biosecurity that are associated with specific international standards, individual economic interests, specific research communities, and unique stakeholder involvement. Despite considerable research addressing human, animal, plant, and environmental health, the science connections between these sectors remain quite limited. One Biosecurity aims to address these limitations at global, national, and local scales. It is an interdisciplinary approach to biosecurity policy and research that builds on the interconnections between human, animal, plant, and environmental health to effectively prevent and mitigate the impacts of invasive alien species. It provides an integrated perspective to address the many biosecurity risks that transcend the traditional boundaries of health, agriculture, and the environment. Individual invasive alien plant and animal species often have multiple impacts across sectors: as hosts of zoonotic parasites, vectors of pathogens, pests of agriculture or forestry, as well as threats to biodiversity and ecosystem function. It is time these risks were addressed in a systematic way. One Biosecurity is essential to address several major sociological and environmental challenges to biosecurity: climate change, increasing urbanisation, agricultural intensification, human global mobility, loss of technical capability as well as public resistance to pesticides and vaccines. One Biosecurity will require the bringing together of taxonomists, population biologists, modellers, economists, chemists, engineers, and social scientists to engage in a new agenda that is shaped by politics, legislation, and public perceptions.","container-title":"Emerging Topics in Life Sciences","DOI":"10.1042/ETLS20200067","ISSN":"2397-8554, 2397-8562","issue":"5","language":"en","page":"539-549","source":"DOI.org (Crossref)","title":"One Biosecurity: a unified concept to integrate human, animal, plant, and environmental health","title-short":"One Biosecurity","URL":"https://portlandpress.com/emergtoplifesci/article/4/5/539/226789/One-Biosecurity-a-unified-concept-to-integrate","volume":"4","editor":[{"family":"MacLeod","given":"Alan"},{"family":"Spence","given":"Nicola"}],"author":[{"family":"Hulme","given":"Philip E."}],"accessed":{"date-parts":[["2023",6,8]]},"issued":{"date-parts":[["2020",12,15]]}},"label":"page"}],"schema":"https://github.com/citation-style-language/schema/raw/master/csl-citation.json"} </w:instrText>
      </w:r>
      <w:r w:rsidR="00CD40BE" w:rsidRPr="00A9434B">
        <w:rPr>
          <w:rStyle w:val="normaltextrun"/>
          <w:rFonts w:eastAsiaTheme="majorEastAsia"/>
          <w:color w:val="000000"/>
          <w:shd w:val="clear" w:color="auto" w:fill="FFFFFF"/>
        </w:rPr>
        <w:fldChar w:fldCharType="separate"/>
      </w:r>
      <w:r w:rsidR="00CD40BE" w:rsidRPr="00A9434B">
        <w:t>(Hulme, 2020</w:t>
      </w:r>
      <w:r w:rsidR="00CD40BE" w:rsidRPr="00A9434B">
        <w:rPr>
          <w:rStyle w:val="normaltextrun"/>
          <w:rFonts w:eastAsiaTheme="majorEastAsia"/>
          <w:color w:val="000000"/>
          <w:shd w:val="clear" w:color="auto" w:fill="FFFFFF"/>
        </w:rPr>
        <w:fldChar w:fldCharType="end"/>
      </w:r>
      <w:r w:rsidR="004A29D3" w:rsidRPr="00A9434B">
        <w:t xml:space="preserve">; </w:t>
      </w:r>
      <w:r w:rsidR="008615FF">
        <w:rPr>
          <w:b/>
          <w:iCs/>
        </w:rPr>
        <w:t>G</w:t>
      </w:r>
      <w:r w:rsidR="004A29D3" w:rsidRPr="00673554">
        <w:rPr>
          <w:b/>
          <w:iCs/>
        </w:rPr>
        <w:t>lossary</w:t>
      </w:r>
      <w:r w:rsidR="004A29D3" w:rsidRPr="00A9434B">
        <w:t>)</w:t>
      </w:r>
      <w:r w:rsidR="006E74C3" w:rsidRPr="00A9434B">
        <w:t xml:space="preserve">. </w:t>
      </w:r>
    </w:p>
    <w:p w14:paraId="6BC80B82" w14:textId="0F58BDB1" w:rsidR="00FF510F" w:rsidRPr="00A9434B" w:rsidRDefault="41B54CD6" w:rsidP="7CC92C7C">
      <w:pPr>
        <w:rPr>
          <w:b/>
          <w:bCs/>
        </w:rPr>
      </w:pPr>
      <w:r w:rsidRPr="00A9434B">
        <w:t xml:space="preserve">While considering what needs to be integrated (e.g., research, sectors, policy) and how (e.g., stakeholder and </w:t>
      </w:r>
      <w:r w:rsidR="4C1F436F" w:rsidRPr="00A9434B">
        <w:t>Indigenous Peoples</w:t>
      </w:r>
      <w:r w:rsidR="6661D606" w:rsidRPr="00A9434B">
        <w:t xml:space="preserve"> and local communities</w:t>
      </w:r>
      <w:r w:rsidR="2836C8B9" w:rsidRPr="00A9434B">
        <w:t>’</w:t>
      </w:r>
      <w:r w:rsidRPr="00A9434B">
        <w:t xml:space="preserve"> inclusion, analysis, collective action) holds significant promise to achieve better outcomes for invasive alien species prevention and control, there are also limits to this approach that are important to recognize. </w:t>
      </w:r>
      <w:r w:rsidR="557D95FF" w:rsidRPr="00A9434B">
        <w:rPr>
          <w:rFonts w:eastAsia="Batang"/>
        </w:rPr>
        <w:t>T</w:t>
      </w:r>
      <w:r w:rsidRPr="00A9434B">
        <w:rPr>
          <w:rFonts w:eastAsia="Batang"/>
        </w:rPr>
        <w:t xml:space="preserve">he status of </w:t>
      </w:r>
      <w:r w:rsidR="1A036C11" w:rsidRPr="00A9434B">
        <w:rPr>
          <w:rFonts w:eastAsia="Batang"/>
        </w:rPr>
        <w:t xml:space="preserve">biological </w:t>
      </w:r>
      <w:r w:rsidRPr="00A9434B">
        <w:rPr>
          <w:rFonts w:eastAsia="Batang"/>
        </w:rPr>
        <w:t>invasion</w:t>
      </w:r>
      <w:r w:rsidR="4EEB2446" w:rsidRPr="00A9434B">
        <w:rPr>
          <w:rFonts w:eastAsia="Batang"/>
        </w:rPr>
        <w:t>s</w:t>
      </w:r>
      <w:r w:rsidRPr="00A9434B">
        <w:rPr>
          <w:rFonts w:eastAsia="Batang"/>
        </w:rPr>
        <w:t xml:space="preserve"> and the most effective management approach</w:t>
      </w:r>
      <w:r w:rsidR="7760FE7A" w:rsidRPr="00A9434B">
        <w:rPr>
          <w:rFonts w:eastAsia="Batang"/>
        </w:rPr>
        <w:t>es</w:t>
      </w:r>
      <w:r w:rsidRPr="00A9434B">
        <w:rPr>
          <w:rFonts w:eastAsia="Batang"/>
        </w:rPr>
        <w:t xml:space="preserve"> </w:t>
      </w:r>
      <w:r w:rsidR="25F38164" w:rsidRPr="00A9434B">
        <w:rPr>
          <w:rFonts w:eastAsia="Batang"/>
        </w:rPr>
        <w:t>are</w:t>
      </w:r>
      <w:r w:rsidR="35F38C4C" w:rsidRPr="00A9434B">
        <w:rPr>
          <w:rFonts w:eastAsia="Batang"/>
        </w:rPr>
        <w:t xml:space="preserve"> </w:t>
      </w:r>
      <w:r w:rsidRPr="00A9434B">
        <w:rPr>
          <w:rFonts w:eastAsia="Batang"/>
        </w:rPr>
        <w:t>to a large degree context</w:t>
      </w:r>
      <w:r w:rsidR="3E377284" w:rsidRPr="00A9434B">
        <w:rPr>
          <w:rFonts w:eastAsia="Batang"/>
        </w:rPr>
        <w:t>-</w:t>
      </w:r>
      <w:r w:rsidRPr="00A9434B">
        <w:rPr>
          <w:rFonts w:eastAsia="Batang"/>
        </w:rPr>
        <w:t xml:space="preserve">dependent, </w:t>
      </w:r>
      <w:r w:rsidR="3C27BD7E" w:rsidRPr="00A9434B">
        <w:rPr>
          <w:rFonts w:eastAsia="Batang"/>
        </w:rPr>
        <w:t xml:space="preserve">therefore, </w:t>
      </w:r>
      <w:r w:rsidRPr="00A9434B">
        <w:rPr>
          <w:rFonts w:eastAsia="Batang"/>
        </w:rPr>
        <w:t xml:space="preserve">comprehensive and strongly centralized policy integration may be neither possible nor desirable </w:t>
      </w:r>
      <w:r w:rsidR="00E56DFC" w:rsidRPr="00A9434B">
        <w:rPr>
          <w:rFonts w:eastAsia="Batang"/>
        </w:rPr>
        <w:fldChar w:fldCharType="begin">
          <w:fldData xml:space="preserve">PEVuZE5vdGU+PENpdGU+PEF1dGhvcj5Ib2ZmPC9BdXRob3I+PFllYXI+MjAxOTwvWWVhcj48UmVj
TnVtPjQ5MDA2PC9SZWNOdW0+PERpc3BsYXlUZXh0PihIZXJyaWNrIDIwMTksIEhvZmYsIElyb25z
IGV0IGFsLiAyMDE5KTwvRGlzcGxheVRleHQ+PHJlY29yZD48cmVjLW51bWJlcj40OTAwNjwvcmVj
LW51bWJlcj48Zm9yZWlnbi1rZXlzPjxrZXkgYXBwPSJFTiIgZGItaWQ9ImF3eDlyYWRkcjB4eDJo
ZXYwNXJ4cjB6MDV3ZWVwd3B0MGZleCIgdGltZXN0YW1wPSIxNTgxNDk3MzIwIj40OTAwNjwva2V5
PjwvZm9yZWlnbi1rZXlzPjxyZWYtdHlwZSBuYW1lPSJKb3VybmFsIEFydGljbGUiPjE3PC9yZWYt
dHlwZT48Y29udHJpYnV0b3JzPjxhdXRob3JzPjxhdXRob3I+SG9mZiwgTWljaGFlbCBILjwvYXV0
aG9yPjxhdXRob3I+SXJvbnMsIEtldmluIFMuPC9hdXRob3I+PGF1dGhvcj5Gb3Jlc3RlciwgSmVm
ZmVyeSBFLjwvYXV0aG9yPjwvYXV0aG9ycz48L2NvbnRyaWJ1dG9ycz48dGl0bGVzPjx0aXRsZT5Q
b2xpY3kgQ2hhbGxlbmdlcyBSZWxhdGluZyB0byBJbnRlZ3JhdGVkIFBlc3QgTWFuYWdlbWVudCBv
ZiBGcmVzaHdhdGVyIEFxdWF0aWMgSW52YXNpdmUgQW5pbWFsczwvdGl0bGU+PHNlY29uZGFyeS10
aXRsZT5Ob3J0aCBBbWVyaWNhbiBKb3VybmFsIG9mIEZpc2hlcmllcyBNYW5hZ2VtZW50PC9zZWNv
bmRhcnktdGl0bGU+PC90aXRsZXM+PHBlcmlvZGljYWw+PGZ1bGwtdGl0bGU+Tm9ydGggQW1lcmlj
YW4gSm91cm5hbCBvZiBGaXNoZXJpZXMgTWFuYWdlbWVudDwvZnVsbC10aXRsZT48YWJici0xPk4u
IEFtLiBKLiBGaXNoLiBNYW5hZ2UuPC9hYmJyLTE+PGFiYnItMj5OIEFtIEogRmlzaCBNYW5hZ2U8
L2FiYnItMj48L3BlcmlvZGljYWw+PGRhdGVzPjx5ZWFyPjIwMTk8L3llYXI+PC9kYXRlcz48aXNi
bj4wMjc1LTU5NDc8L2lzYm4+PGFjY2Vzc2lvbi1udW0+V09TOjAwMDQ4NjkwMzIwMDAwMTwvYWNj
ZXNzaW9uLW51bT48dXJscz48cmVsYXRlZC11cmxzPjx1cmw+Jmx0O0dvIHRvIElTSSZndDs6Ly9X
T1M6MDAwNDg2OTAzMjAwMDAxPC91cmw+PC9yZWxhdGVkLXVybHM+PC91cmxzPjxlbGVjdHJvbmlj
LXJlc291cmNlLW51bT4xMC4xMDAyL25hZm0uMTAzMjk8L2VsZWN0cm9uaWMtcmVzb3VyY2UtbnVt
PjwvcmVjb3JkPjwvQ2l0ZT48Q2l0ZT48QXV0aG9yPkhlcnJpY2s8L0F1dGhvcj48WWVhcj4yMDE5
PC9ZZWFyPjxSZWNOdW0+NDkwMTI8L1JlY051bT48cmVjb3JkPjxyZWMtbnVtYmVyPjQ5MDEyPC9y
ZWMtbnVtYmVyPjxmb3JlaWduLWtleXM+PGtleSBhcHA9IkVOIiBkYi1pZD0iYXd4OXJhZGRyMHh4
MmhldjA1cnhyMHowNXdlZXB3cHQwZmV4IiB0aW1lc3RhbXA9IjE1ODE0OTczMjAiPjQ5MDEyPC9r
ZXk+PC9mb3JlaWduLWtleXM+PHJlZi10eXBlIG5hbWU9IkpvdXJuYWwgQXJ0aWNsZSI+MTc8L3Jl
Zi10eXBlPjxjb250cmlidXRvcnM+PGF1dGhvcnM+PGF1dGhvcj5IZXJyaWNrLCBDaGFybGVzIE4u
PC9hdXRob3I+PC9hdXRob3JzPjwvY29udHJpYnV0b3JzPjx0aXRsZXM+PHRpdGxlPkEgcmV2aWV3
IG9mIHRoZSBVUyBpbnZhc2l2ZSBzcGVjaWVzIHBvbGljeSBtaXg6IFF1ZXN0aW9uaW5nIHRoZSBw
cm9zcGVjdCBvZiBhbiBpbnRlZ3JhdGVkIHJlZ2ltZTwvdGl0bGU+PHNlY29uZGFyeS10aXRsZT5F
bnZpcm9ubWVudGFsIFBvbGljeSBhbmQgR292ZXJuYW5jZTwvc2Vjb25kYXJ5LXRpdGxlPjwvdGl0
bGVzPjxwZXJpb2RpY2FsPjxmdWxsLXRpdGxlPkVudmlyb25tZW50YWwgUG9saWN5IGFuZCBHb3Zl
cm5hbmNlPC9mdWxsLXRpdGxlPjwvcGVyaW9kaWNhbD48cGFnZXM+MjYyLTI3ODwvcGFnZXM+PHZv
bHVtZT4yOTwvdm9sdW1lPjxudW1iZXI+NDwvbnVtYmVyPjxkYXRlcz48eWVhcj4yMDE5PC95ZWFy
PjxwdWItZGF0ZXM+PGRhdGU+SnVsPC9kYXRlPjwvcHViLWRhdGVzPjwvZGF0ZXM+PGlzYm4+MTc1
Ni05MzJYPC9pc2JuPjxhY2Nlc3Npb24tbnVtPldPUzowMDA0Nzg3MzUwMDAwMDI8L2FjY2Vzc2lv
bi1udW0+PHVybHM+PHJlbGF0ZWQtdXJscz48dXJsPiZsdDtHbyB0byBJU0kmZ3Q7Oi8vV09TOjAw
MDQ3ODczNTAwMDAwMjwvdXJsPjwvcmVsYXRlZC11cmxzPjwvdXJscz48ZWxlY3Ryb25pYy1yZXNv
dXJjZS1udW0+MTAuMTAwMi9lZXQuMTg1MjwvZWxlY3Ryb25pYy1yZXNvdXJjZS1udW0+PC9yZWNv
cmQ+PC9DaXRlPjwvRW5kTm90ZT5=
</w:fldData>
        </w:fldChar>
      </w:r>
      <w:r w:rsidR="00E56DFC" w:rsidRPr="00A9434B">
        <w:rPr>
          <w:rFonts w:eastAsia="Batang"/>
        </w:rPr>
        <w:instrText xml:space="preserve"> ADDIN EN.CITE </w:instrText>
      </w:r>
      <w:r w:rsidR="00E56DFC" w:rsidRPr="00A9434B">
        <w:rPr>
          <w:rFonts w:eastAsia="Batang"/>
        </w:rPr>
        <w:fldChar w:fldCharType="begin">
          <w:fldData xml:space="preserve">PEVuZE5vdGU+PENpdGU+PEF1dGhvcj5Ib2ZmPC9BdXRob3I+PFllYXI+MjAxOTwvWWVhcj48UmVj
TnVtPjQ5MDA2PC9SZWNOdW0+PERpc3BsYXlUZXh0PihIZXJyaWNrIDIwMTksIEhvZmYsIElyb25z
IGV0IGFsLiAyMDE5KTwvRGlzcGxheVRleHQ+PHJlY29yZD48cmVjLW51bWJlcj40OTAwNjwvcmVj
LW51bWJlcj48Zm9yZWlnbi1rZXlzPjxrZXkgYXBwPSJFTiIgZGItaWQ9ImF3eDlyYWRkcjB4eDJo
ZXYwNXJ4cjB6MDV3ZWVwd3B0MGZleCIgdGltZXN0YW1wPSIxNTgxNDk3MzIwIj40OTAwNjwva2V5
PjwvZm9yZWlnbi1rZXlzPjxyZWYtdHlwZSBuYW1lPSJKb3VybmFsIEFydGljbGUiPjE3PC9yZWYt
dHlwZT48Y29udHJpYnV0b3JzPjxhdXRob3JzPjxhdXRob3I+SG9mZiwgTWljaGFlbCBILjwvYXV0
aG9yPjxhdXRob3I+SXJvbnMsIEtldmluIFMuPC9hdXRob3I+PGF1dGhvcj5Gb3Jlc3RlciwgSmVm
ZmVyeSBFLjwvYXV0aG9yPjwvYXV0aG9ycz48L2NvbnRyaWJ1dG9ycz48dGl0bGVzPjx0aXRsZT5Q
b2xpY3kgQ2hhbGxlbmdlcyBSZWxhdGluZyB0byBJbnRlZ3JhdGVkIFBlc3QgTWFuYWdlbWVudCBv
ZiBGcmVzaHdhdGVyIEFxdWF0aWMgSW52YXNpdmUgQW5pbWFsczwvdGl0bGU+PHNlY29uZGFyeS10
aXRsZT5Ob3J0aCBBbWVyaWNhbiBKb3VybmFsIG9mIEZpc2hlcmllcyBNYW5hZ2VtZW50PC9zZWNv
bmRhcnktdGl0bGU+PC90aXRsZXM+PHBlcmlvZGljYWw+PGZ1bGwtdGl0bGU+Tm9ydGggQW1lcmlj
YW4gSm91cm5hbCBvZiBGaXNoZXJpZXMgTWFuYWdlbWVudDwvZnVsbC10aXRsZT48YWJici0xPk4u
IEFtLiBKLiBGaXNoLiBNYW5hZ2UuPC9hYmJyLTE+PGFiYnItMj5OIEFtIEogRmlzaCBNYW5hZ2U8
L2FiYnItMj48L3BlcmlvZGljYWw+PGRhdGVzPjx5ZWFyPjIwMTk8L3llYXI+PC9kYXRlcz48aXNi
bj4wMjc1LTU5NDc8L2lzYm4+PGFjY2Vzc2lvbi1udW0+V09TOjAwMDQ4NjkwMzIwMDAwMTwvYWNj
ZXNzaW9uLW51bT48dXJscz48cmVsYXRlZC11cmxzPjx1cmw+Jmx0O0dvIHRvIElTSSZndDs6Ly9X
T1M6MDAwNDg2OTAzMjAwMDAxPC91cmw+PC9yZWxhdGVkLXVybHM+PC91cmxzPjxlbGVjdHJvbmlj
LXJlc291cmNlLW51bT4xMC4xMDAyL25hZm0uMTAzMjk8L2VsZWN0cm9uaWMtcmVzb3VyY2UtbnVt
PjwvcmVjb3JkPjwvQ2l0ZT48Q2l0ZT48QXV0aG9yPkhlcnJpY2s8L0F1dGhvcj48WWVhcj4yMDE5
PC9ZZWFyPjxSZWNOdW0+NDkwMTI8L1JlY051bT48cmVjb3JkPjxyZWMtbnVtYmVyPjQ5MDEyPC9y
ZWMtbnVtYmVyPjxmb3JlaWduLWtleXM+PGtleSBhcHA9IkVOIiBkYi1pZD0iYXd4OXJhZGRyMHh4
MmhldjA1cnhyMHowNXdlZXB3cHQwZmV4IiB0aW1lc3RhbXA9IjE1ODE0OTczMjAiPjQ5MDEyPC9r
ZXk+PC9mb3JlaWduLWtleXM+PHJlZi10eXBlIG5hbWU9IkpvdXJuYWwgQXJ0aWNsZSI+MTc8L3Jl
Zi10eXBlPjxjb250cmlidXRvcnM+PGF1dGhvcnM+PGF1dGhvcj5IZXJyaWNrLCBDaGFybGVzIE4u
PC9hdXRob3I+PC9hdXRob3JzPjwvY29udHJpYnV0b3JzPjx0aXRsZXM+PHRpdGxlPkEgcmV2aWV3
IG9mIHRoZSBVUyBpbnZhc2l2ZSBzcGVjaWVzIHBvbGljeSBtaXg6IFF1ZXN0aW9uaW5nIHRoZSBw
cm9zcGVjdCBvZiBhbiBpbnRlZ3JhdGVkIHJlZ2ltZTwvdGl0bGU+PHNlY29uZGFyeS10aXRsZT5F
bnZpcm9ubWVudGFsIFBvbGljeSBhbmQgR292ZXJuYW5jZTwvc2Vjb25kYXJ5LXRpdGxlPjwvdGl0
bGVzPjxwZXJpb2RpY2FsPjxmdWxsLXRpdGxlPkVudmlyb25tZW50YWwgUG9saWN5IGFuZCBHb3Zl
cm5hbmNlPC9mdWxsLXRpdGxlPjwvcGVyaW9kaWNhbD48cGFnZXM+MjYyLTI3ODwvcGFnZXM+PHZv
bHVtZT4yOTwvdm9sdW1lPjxudW1iZXI+NDwvbnVtYmVyPjxkYXRlcz48eWVhcj4yMDE5PC95ZWFy
PjxwdWItZGF0ZXM+PGRhdGU+SnVsPC9kYXRlPjwvcHViLWRhdGVzPjwvZGF0ZXM+PGlzYm4+MTc1
Ni05MzJYPC9pc2JuPjxhY2Nlc3Npb24tbnVtPldPUzowMDA0Nzg3MzUwMDAwMDI8L2FjY2Vzc2lv
bi1udW0+PHVybHM+PHJlbGF0ZWQtdXJscz48dXJsPiZsdDtHbyB0byBJU0kmZ3Q7Oi8vV09TOjAw
MDQ3ODczNTAwMDAwMjwvdXJsPjwvcmVsYXRlZC11cmxzPjwvdXJscz48ZWxlY3Ryb25pYy1yZXNv
dXJjZS1udW0+MTAuMTAwMi9lZXQuMTg1MjwvZWxlY3Ryb25pYy1yZXNvdXJjZS1udW0+PC9yZWNv
cmQ+PC9DaXRlPjwvRW5kTm90ZT5=
</w:fldData>
        </w:fldChar>
      </w:r>
      <w:r w:rsidR="00E56DFC" w:rsidRPr="00A9434B">
        <w:rPr>
          <w:rFonts w:eastAsia="Batang"/>
        </w:rPr>
        <w:instrText xml:space="preserve"> ADDIN EN.CITE.DATA </w:instrText>
      </w:r>
      <w:r w:rsidR="00E56DFC" w:rsidRPr="00A9434B">
        <w:rPr>
          <w:rFonts w:eastAsia="Batang"/>
        </w:rPr>
      </w:r>
      <w:r w:rsidR="00E56DFC" w:rsidRPr="00A9434B">
        <w:rPr>
          <w:rFonts w:eastAsia="Batang"/>
        </w:rPr>
        <w:fldChar w:fldCharType="end"/>
      </w:r>
      <w:r w:rsidR="00E56DFC" w:rsidRPr="00A9434B">
        <w:rPr>
          <w:rFonts w:eastAsia="Batang"/>
        </w:rPr>
      </w:r>
      <w:r w:rsidR="00E56DFC" w:rsidRPr="00A9434B">
        <w:rPr>
          <w:rFonts w:eastAsia="Batang"/>
        </w:rPr>
        <w:fldChar w:fldCharType="separate"/>
      </w:r>
      <w:r w:rsidR="00D42AF3" w:rsidRPr="00A9434B">
        <w:rPr>
          <w:rFonts w:eastAsia="Batang"/>
        </w:rPr>
        <w:fldChar w:fldCharType="begin"/>
      </w:r>
      <w:r w:rsidR="0006613E">
        <w:rPr>
          <w:rFonts w:eastAsia="Batang"/>
        </w:rPr>
        <w:instrText xml:space="preserve"> ADDIN ZOTERO_ITEM CSL_CITATION {"citationID":"auuij8n9o7","properties":{"formattedCitation":"(Herrick, 2019; Hoff et al., 2019)","plainCitation":"(Herrick, 2019; Hoff et al., 2019)","noteIndex":0},"citationItems":[{"id":23536,"uris":["http://zotero.org/groups/2352922/items/CJ7IDGDF"],"itemData":{"id":23536,"type":"article-journal","abstract":"By some accounts, invasive species pose the second greatest threat to global biodiversity after habitat destruction. In addition to their ecological impacts, invasive species cause a wide range of economic and social damages. In recent years, scholars and policy officials have called for recalibration of U.S. invasive species policy, with some advocating a tightly integrated policy regime addressing a broad spectrum of activity, including predictive assessment of invasion pathways, prevention of introduction and spread, control of established populations, eradication of selected populations, and establishment of high</w:instrText>
      </w:r>
      <w:r w:rsidR="0006613E">
        <w:rPr>
          <w:rFonts w:ascii="ＭＳ 明朝" w:eastAsia="ＭＳ 明朝" w:hAnsi="ＭＳ 明朝" w:cs="ＭＳ 明朝" w:hint="eastAsia"/>
        </w:rPr>
        <w:instrText>‐</w:instrText>
      </w:r>
      <w:r w:rsidR="0006613E">
        <w:rPr>
          <w:rFonts w:eastAsia="Batang"/>
        </w:rPr>
        <w:instrText xml:space="preserve">level coordination bodies. In this paper, I draw upon the policy integration literature and apply a regime construct to review the proposition that the existing mix of U.S. invasive species policies can and should be more tightly integrated. By way of conclusion, I suggest that the current policy mix is not exhausted and recommend a program evaluation process framed to characterize and assess factors and conditions that might influence the comparative effectiveness of strategic alternatives to integration, such as coping and taming.","container-title":"Environmental Policy and Governance","DOI":"10.1002/eet.1852","ISSN":"1756-932X","issue":"4","page":"262-278","source":"Wiley Online Library","title":"A review of the U.S. invasive species policy mix: Questioning the prospect of an integrated regime","URL":"https://onlinelibrary.wiley.com/doi/abs/10.1002/eet.1852","volume":"29","author":[{"family":"Herrick","given":"Charles N."}],"issued":{"date-parts":[["2019",7]]}},"label":"page"},{"id":24066,"uris":["http://zotero.org/groups/2352922/items/43R8DHN4"],"itemData":{"id":24066,"type":"article-journal","container-title":"North American Journal of Fisheries Management","DOI":"10.1002/nafm.10329","ISSN":"0275-5947","issue":"2","journalAbbreviation":"N. Am. J. Fish. Manage.","page":"276-288","title":"Policy Challenges Relating to Integrated Pest Management of Freshwater Aquatic Invasive Animals","volume":"41","author":[{"family":"Hoff","given":"Michael H."},{"family":"Irons","given":"Kevin S."},{"family":"Forester","given":"Jeffery E."}],"issued":{"date-parts":[["2019"]]}},"label":"page"}],"schema":"https://github.com/citation-style-language/schema/raw/master/csl-citation.json"} </w:instrText>
      </w:r>
      <w:r w:rsidR="00D42AF3" w:rsidRPr="00A9434B">
        <w:rPr>
          <w:rFonts w:eastAsia="Batang"/>
        </w:rPr>
        <w:fldChar w:fldCharType="separate"/>
      </w:r>
      <w:r w:rsidR="00C71E80" w:rsidRPr="00A9434B">
        <w:t>(Herrick, 2019; Hoff et al., 2019)</w:t>
      </w:r>
      <w:r w:rsidR="00D42AF3" w:rsidRPr="00A9434B">
        <w:rPr>
          <w:rFonts w:eastAsia="Batang"/>
        </w:rPr>
        <w:fldChar w:fldCharType="end"/>
      </w:r>
      <w:r w:rsidR="00E56DFC" w:rsidRPr="00A9434B">
        <w:rPr>
          <w:rFonts w:eastAsia="Batang"/>
        </w:rPr>
        <w:fldChar w:fldCharType="end"/>
      </w:r>
      <w:r w:rsidRPr="00A9434B">
        <w:rPr>
          <w:rFonts w:eastAsia="Batang"/>
        </w:rPr>
        <w:t xml:space="preserve">. New approaches or decision-making structures are not developed from a clean slate and can be strategically designed to strengthen or fill gaps in existing governance systems </w:t>
      </w:r>
      <w:r w:rsidR="00E56DFC" w:rsidRPr="00A9434B">
        <w:rPr>
          <w:rFonts w:eastAsia="Batang"/>
        </w:rPr>
        <w:fldChar w:fldCharType="begin"/>
      </w:r>
      <w:r w:rsidR="0006613E">
        <w:rPr>
          <w:rFonts w:eastAsia="Batang"/>
        </w:rPr>
        <w:instrText xml:space="preserve"> ADDIN ZOTERO_ITEM CSL_CITATION {"citationID":"aqbg42nebl","properties":{"formattedCitation":"(Visseren-Hamakers, 2015)","plainCitation":"(Visseren-Hamakers, 2015)","noteIndex":0},"citationItems":[{"id":30284,"uris":["http://zotero.org/groups/2352922/items/3MWGCWSD"],"itemData":{"id":30284,"type":"article-journal","abstract":"The issue of regime complexity in global environmental governance is widely recognized. The academic debate on regime fragmentation has itself however been rather fragmented, with discussions circling around different concepts, including inter-organizational relations, polycentric governance, integrated management, landscape governance, environmental policy integration, coordination, mainstreaming, coherence, policy mixes, governance architectures and systems, regime complexes, institutional interaction, metagovernance and the nexus approach. Moreover, the topic of relationships between different policies is also discussed among practitioners, where the call for synergies is increasingly heard. This article brings together these discussions under the common heading of integrative environmental governance (IEG). The article provides a literature review, and argues for an IEG perspective in which the relationships between governance instruments take center stage.","container-title":"Current Opinion in Environmental Sustainability","DOI":"https://doi.org/10.1016/j.cosust.2015.05.008","ISSN":"1877-3435","page":"136-143","title":"Integrative environmental governance: enhancing governance in the era of synergies","volume":"14","author":[{"family":"Visseren-Hamakers","given":"Ingrid J."}],"issued":{"date-parts":[["2015"]]}},"label":"page"}],"schema":"https://github.com/citation-style-language/schema/raw/master/csl-citation.json"} </w:instrText>
      </w:r>
      <w:r w:rsidR="00E56DFC" w:rsidRPr="00A9434B">
        <w:rPr>
          <w:rFonts w:eastAsia="Batang"/>
        </w:rPr>
        <w:fldChar w:fldCharType="separate"/>
      </w:r>
      <w:r w:rsidR="00C71E80" w:rsidRPr="00A9434B">
        <w:t>(Visseren-Hamakers, 2015)</w:t>
      </w:r>
      <w:r w:rsidR="00E56DFC" w:rsidRPr="00A9434B">
        <w:rPr>
          <w:rFonts w:eastAsia="Batang"/>
        </w:rPr>
        <w:fldChar w:fldCharType="end"/>
      </w:r>
      <w:r w:rsidRPr="00A9434B">
        <w:rPr>
          <w:rFonts w:eastAsia="Batang"/>
        </w:rPr>
        <w:t xml:space="preserve">. </w:t>
      </w:r>
    </w:p>
    <w:p w14:paraId="746E5B68" w14:textId="7F5AC693" w:rsidR="005419CD" w:rsidRPr="00A9434B" w:rsidRDefault="41B54CD6" w:rsidP="005419CD">
      <w:r w:rsidRPr="00A9434B">
        <w:rPr>
          <w:rFonts w:eastAsia="Batang"/>
        </w:rPr>
        <w:t xml:space="preserve">Nonetheless, there is substantial evidence to suggest that a greater degree of policy integration would be beneficial in many instances </w:t>
      </w:r>
      <w:r w:rsidR="00E56DFC" w:rsidRPr="00A9434B">
        <w:rPr>
          <w:rFonts w:eastAsia="Batang"/>
        </w:rPr>
        <w:fldChar w:fldCharType="begin">
          <w:fldData xml:space="preserve">PEVuZE5vdGU+PENpdGU+PEF1dGhvcj5TbW9sYXJ6PC9BdXRob3I+PFllYXI+MjAxNjwvWWVhcj48
UmVjTnVtPjQ5MDk2PC9SZWNOdW0+PERpc3BsYXlUZXh0PihTbW9sYXJ6LCBCaXNrdXAgZXQgYWwu
IDIwMTYsIExhbnNpbmssIFNjaHV0IGV0IGFsLiAyMDE4KTwvRGlzcGxheVRleHQ+PHJlY29yZD48
cmVjLW51bWJlcj40OTA5NjwvcmVjLW51bWJlcj48Zm9yZWlnbi1rZXlzPjxrZXkgYXBwPSJFTiIg
ZGItaWQ9ImF3eDlyYWRkcjB4eDJoZXYwNXJ4cjB6MDV3ZWVwd3B0MGZleCIgdGltZXN0YW1wPSIx
NTgxNDk3MzIwIj40OTA5Njwva2V5PjwvZm9yZWlnbi1rZXlzPjxyZWYtdHlwZSBuYW1lPSJCb29r
IFNlY3Rpb24iPjU8L3JlZi10eXBlPjxjb250cmlidXRvcnM+PGF1dGhvcnM+PGF1dGhvcj5TbW9s
YXJ6LCBLYXRhcnp5bmE8L2F1dGhvcj48YXV0aG9yPkJpc2t1cCwgUGF1bGluYTwvYXV0aG9yPjxh
dXRob3I+WmdydW5kbywgQWxla3NhbmRyYTwvYXV0aG9yPjwvYXV0aG9ycz48c2Vjb25kYXJ5LWF1
dGhvcnM+PGF1dGhvcj5HaWxlaywgTS48L2F1dGhvcj48YXV0aG9yPkthcmxzc29uLCBNLjwvYXV0
aG9yPjxhdXRob3I+TGlua2UsIFMuPC9hdXRob3I+PGF1dGhvcj5TbW9sYXJ6LCBLLjwvYXV0aG9y
Pjwvc2Vjb25kYXJ5LWF1dGhvcnM+PC9jb250cmlidXRvcnM+PHRpdGxlcz48dGl0bGU+QmlvbG9n
aWNhbCBJbnZhc2lvbnM6IEEgQ2FzZSBTdHVkeSBvZiBCYWx0aWMgU2VhIEVudmlyb25tZW50YWwg
R292ZXJuYW5jZTwvdGl0bGU+PHNlY29uZGFyeS10aXRsZT5FbnZpcm9ubWVudGFsIEdvdmVybmFu
Y2Ugb2YgdGhlIEJhbHRpYyBTZWE8L3NlY29uZGFyeS10aXRsZT48dGVydGlhcnktdGl0bGU+TUFS
RSBQdWJsaWNhdGlvbiBTZXJpZXM8L3RlcnRpYXJ5LXRpdGxlPjwvdGl0bGVzPjxwZXJpb2RpY2Fs
PjxmdWxsLXRpdGxlPkVudmlyb25tZW50YWwgZ292ZXJuYW5jZSBvZiB0aGUgQmFsdGljIFNlYTwv
ZnVsbC10aXRsZT48L3BlcmlvZGljYWw+PHBhZ2VzPjczLTk1PC9wYWdlcz48dm9sdW1lPjEwPC92
b2x1bWU+PGRhdGVzPjx5ZWFyPjIwMTY8L3llYXI+PC9kYXRlcz48aXNibj45NzgtMy0zMTktMjcw
MDYtNzsgOTc4LTMtMzE5LTI3MDA1LTA8L2lzYm4+PGFjY2Vzc2lvbi1udW0+V09TOjAwMDM4NjY5
NTMwMDAwNTwvYWNjZXNzaW9uLW51bT48dXJscz48cmVsYXRlZC11cmxzPjx1cmw+Jmx0O0dvIHRv
IElTSSZndDs6Ly9XT1M6MDAwMzg2Njk1MzAwMDA1PC91cmw+PC9yZWxhdGVkLXVybHM+PC91cmxz
PjxlbGVjdHJvbmljLXJlc291cmNlLW51bT4xMC4xMDA3Lzk3OC0zLTMxOS0yNzAwNi03XzQ8L2Vs
ZWN0cm9uaWMtcmVzb3VyY2UtbnVtPjwvcmVjb3JkPjwvQ2l0ZT48Q2l0ZT48QXV0aG9yPkxhbnNp
bms8L0F1dGhvcj48WWVhcj4yMDE4PC9ZZWFyPjxSZWNOdW0+NDkwNTQ8L1JlY051bT48cmVjb3Jk
PjxyZWMtbnVtYmVyPjQ5MDU0PC9yZWMtbnVtYmVyPjxmb3JlaWduLWtleXM+PGtleSBhcHA9IkVO
IiBkYi1pZD0iYXd4OXJhZGRyMHh4MmhldjA1cnhyMHowNXdlZXB3cHQwZmV4IiB0aW1lc3RhbXA9
IjE1ODE0OTczMjAiPjQ5MDU0PC9rZXk+PC9mb3JlaWduLWtleXM+PHJlZi10eXBlIG5hbWU9Ikpv
dXJuYWwgQXJ0aWNsZSI+MTc8L3JlZi10eXBlPjxjb250cmlidXRvcnM+PGF1dGhvcnM+PGF1dGhv
cj5MYW5zaW5rLCBBbGZvbnMgT3VkZTwvYXV0aG9yPjxhdXRob3I+U2NodXQsIE1hcmM8L2F1dGhv
cj48YXV0aG9yPkthbWFuZGEsIEpvc2V5PC9hdXRob3I+PGF1dGhvcj5LbGVya3gsIExhdXJlbnM8
L2F1dGhvcj48L2F1dGhvcnM+PC9jb250cmlidXRvcnM+PHRpdGxlcz48dGl0bGU+QSBtdWx0aS1s
ZXZlbCBhbmQgbXVsdGktYWN0b3IgYXBwcm9hY2ggdG8gcmlzayBnb3Zlcm5hbmNlOiBhIGNvbmNl
cHR1YWwgZnJhbWV3b3JrIHRvIHN1cHBvcnQgcG9saWN5IGRldmVsb3BtZW50IGZvciBBbWJyb3Np
YSB3ZWVkIGNvbnRyb2w8L3RpdGxlPjxzZWNvbmRhcnktdGl0bGU+Sm91cm5hbCBvZiBSaXNrIFJl
c2VhcmNoPC9zZWNvbmRhcnktdGl0bGU+PC90aXRsZXM+PHBlcmlvZGljYWw+PGZ1bGwtdGl0bGU+
Sm91cm5hbCBvZiBSaXNrIFJlc2VhcmNoPC9mdWxsLXRpdGxlPjxhYmJyLTE+Si4gUmlzayBSZXMu
PC9hYmJyLTE+PGFiYnItMj5KIFJpc2sgUmVzPC9hYmJyLTI+PC9wZXJpb2RpY2FsPjxwYWdlcz43
ODAtNzk5PC9wYWdlcz48dm9sdW1lPjIxPC92b2x1bWU+PG51bWJlcj42PC9udW1iZXI+PGRhdGVz
Pjx5ZWFyPjIwMTg8L3llYXI+PHB1Yi1kYXRlcz48ZGF0ZT4yMDE4PC9kYXRlPjwvcHViLWRhdGVz
PjwvZGF0ZXM+PGlzYm4+MTM2Ni05ODc3PC9pc2JuPjxhY2Nlc3Npb24tbnVtPldPUzowMDA0MzM5
ODczMDAwMDc8L2FjY2Vzc2lvbi1udW0+PHVybHM+PHJlbGF0ZWQtdXJscz48dXJsPiZsdDtHbyB0
byBJU0kmZ3Q7Oi8vV09TOjAwMDQzMzk4NzMwMDAwNzwvdXJsPjwvcmVsYXRlZC11cmxzPjwvdXJs
cz48ZWxlY3Ryb25pYy1yZXNvdXJjZS1udW0+MTAuMTA4MC8xMzY2OTg3Ny4yMDE2LjEyNDczNzY8
L2VsZWN0cm9uaWMtcmVzb3VyY2UtbnVtPjwvcmVjb3JkPjwvQ2l0ZT48L0VuZE5vdGU+AG==
</w:fldData>
        </w:fldChar>
      </w:r>
      <w:r w:rsidR="00E56DFC" w:rsidRPr="00A9434B">
        <w:rPr>
          <w:rFonts w:eastAsia="Batang"/>
        </w:rPr>
        <w:instrText xml:space="preserve"> ADDIN EN.CITE </w:instrText>
      </w:r>
      <w:r w:rsidR="00E56DFC" w:rsidRPr="00A9434B">
        <w:rPr>
          <w:rFonts w:eastAsia="Batang"/>
        </w:rPr>
        <w:fldChar w:fldCharType="begin">
          <w:fldData xml:space="preserve">PEVuZE5vdGU+PENpdGU+PEF1dGhvcj5TbW9sYXJ6PC9BdXRob3I+PFllYXI+MjAxNjwvWWVhcj48
UmVjTnVtPjQ5MDk2PC9SZWNOdW0+PERpc3BsYXlUZXh0PihTbW9sYXJ6LCBCaXNrdXAgZXQgYWwu
IDIwMTYsIExhbnNpbmssIFNjaHV0IGV0IGFsLiAyMDE4KTwvRGlzcGxheVRleHQ+PHJlY29yZD48
cmVjLW51bWJlcj40OTA5NjwvcmVjLW51bWJlcj48Zm9yZWlnbi1rZXlzPjxrZXkgYXBwPSJFTiIg
ZGItaWQ9ImF3eDlyYWRkcjB4eDJoZXYwNXJ4cjB6MDV3ZWVwd3B0MGZleCIgdGltZXN0YW1wPSIx
NTgxNDk3MzIwIj40OTA5Njwva2V5PjwvZm9yZWlnbi1rZXlzPjxyZWYtdHlwZSBuYW1lPSJCb29r
IFNlY3Rpb24iPjU8L3JlZi10eXBlPjxjb250cmlidXRvcnM+PGF1dGhvcnM+PGF1dGhvcj5TbW9s
YXJ6LCBLYXRhcnp5bmE8L2F1dGhvcj48YXV0aG9yPkJpc2t1cCwgUGF1bGluYTwvYXV0aG9yPjxh
dXRob3I+WmdydW5kbywgQWxla3NhbmRyYTwvYXV0aG9yPjwvYXV0aG9ycz48c2Vjb25kYXJ5LWF1
dGhvcnM+PGF1dGhvcj5HaWxlaywgTS48L2F1dGhvcj48YXV0aG9yPkthcmxzc29uLCBNLjwvYXV0
aG9yPjxhdXRob3I+TGlua2UsIFMuPC9hdXRob3I+PGF1dGhvcj5TbW9sYXJ6LCBLLjwvYXV0aG9y
Pjwvc2Vjb25kYXJ5LWF1dGhvcnM+PC9jb250cmlidXRvcnM+PHRpdGxlcz48dGl0bGU+QmlvbG9n
aWNhbCBJbnZhc2lvbnM6IEEgQ2FzZSBTdHVkeSBvZiBCYWx0aWMgU2VhIEVudmlyb25tZW50YWwg
R292ZXJuYW5jZTwvdGl0bGU+PHNlY29uZGFyeS10aXRsZT5FbnZpcm9ubWVudGFsIEdvdmVybmFu
Y2Ugb2YgdGhlIEJhbHRpYyBTZWE8L3NlY29uZGFyeS10aXRsZT48dGVydGlhcnktdGl0bGU+TUFS
RSBQdWJsaWNhdGlvbiBTZXJpZXM8L3RlcnRpYXJ5LXRpdGxlPjwvdGl0bGVzPjxwZXJpb2RpY2Fs
PjxmdWxsLXRpdGxlPkVudmlyb25tZW50YWwgZ292ZXJuYW5jZSBvZiB0aGUgQmFsdGljIFNlYTwv
ZnVsbC10aXRsZT48L3BlcmlvZGljYWw+PHBhZ2VzPjczLTk1PC9wYWdlcz48dm9sdW1lPjEwPC92
b2x1bWU+PGRhdGVzPjx5ZWFyPjIwMTY8L3llYXI+PC9kYXRlcz48aXNibj45NzgtMy0zMTktMjcw
MDYtNzsgOTc4LTMtMzE5LTI3MDA1LTA8L2lzYm4+PGFjY2Vzc2lvbi1udW0+V09TOjAwMDM4NjY5
NTMwMDAwNTwvYWNjZXNzaW9uLW51bT48dXJscz48cmVsYXRlZC11cmxzPjx1cmw+Jmx0O0dvIHRv
IElTSSZndDs6Ly9XT1M6MDAwMzg2Njk1MzAwMDA1PC91cmw+PC9yZWxhdGVkLXVybHM+PC91cmxz
PjxlbGVjdHJvbmljLXJlc291cmNlLW51bT4xMC4xMDA3Lzk3OC0zLTMxOS0yNzAwNi03XzQ8L2Vs
ZWN0cm9uaWMtcmVzb3VyY2UtbnVtPjwvcmVjb3JkPjwvQ2l0ZT48Q2l0ZT48QXV0aG9yPkxhbnNp
bms8L0F1dGhvcj48WWVhcj4yMDE4PC9ZZWFyPjxSZWNOdW0+NDkwNTQ8L1JlY051bT48cmVjb3Jk
PjxyZWMtbnVtYmVyPjQ5MDU0PC9yZWMtbnVtYmVyPjxmb3JlaWduLWtleXM+PGtleSBhcHA9IkVO
IiBkYi1pZD0iYXd4OXJhZGRyMHh4MmhldjA1cnhyMHowNXdlZXB3cHQwZmV4IiB0aW1lc3RhbXA9
IjE1ODE0OTczMjAiPjQ5MDU0PC9rZXk+PC9mb3JlaWduLWtleXM+PHJlZi10eXBlIG5hbWU9Ikpv
dXJuYWwgQXJ0aWNsZSI+MTc8L3JlZi10eXBlPjxjb250cmlidXRvcnM+PGF1dGhvcnM+PGF1dGhv
cj5MYW5zaW5rLCBBbGZvbnMgT3VkZTwvYXV0aG9yPjxhdXRob3I+U2NodXQsIE1hcmM8L2F1dGhv
cj48YXV0aG9yPkthbWFuZGEsIEpvc2V5PC9hdXRob3I+PGF1dGhvcj5LbGVya3gsIExhdXJlbnM8
L2F1dGhvcj48L2F1dGhvcnM+PC9jb250cmlidXRvcnM+PHRpdGxlcz48dGl0bGU+QSBtdWx0aS1s
ZXZlbCBhbmQgbXVsdGktYWN0b3IgYXBwcm9hY2ggdG8gcmlzayBnb3Zlcm5hbmNlOiBhIGNvbmNl
cHR1YWwgZnJhbWV3b3JrIHRvIHN1cHBvcnQgcG9saWN5IGRldmVsb3BtZW50IGZvciBBbWJyb3Np
YSB3ZWVkIGNvbnRyb2w8L3RpdGxlPjxzZWNvbmRhcnktdGl0bGU+Sm91cm5hbCBvZiBSaXNrIFJl
c2VhcmNoPC9zZWNvbmRhcnktdGl0bGU+PC90aXRsZXM+PHBlcmlvZGljYWw+PGZ1bGwtdGl0bGU+
Sm91cm5hbCBvZiBSaXNrIFJlc2VhcmNoPC9mdWxsLXRpdGxlPjxhYmJyLTE+Si4gUmlzayBSZXMu
PC9hYmJyLTE+PGFiYnItMj5KIFJpc2sgUmVzPC9hYmJyLTI+PC9wZXJpb2RpY2FsPjxwYWdlcz43
ODAtNzk5PC9wYWdlcz48dm9sdW1lPjIxPC92b2x1bWU+PG51bWJlcj42PC9udW1iZXI+PGRhdGVz
Pjx5ZWFyPjIwMTg8L3llYXI+PHB1Yi1kYXRlcz48ZGF0ZT4yMDE4PC9kYXRlPjwvcHViLWRhdGVz
PjwvZGF0ZXM+PGlzYm4+MTM2Ni05ODc3PC9pc2JuPjxhY2Nlc3Npb24tbnVtPldPUzowMDA0MzM5
ODczMDAwMDc8L2FjY2Vzc2lvbi1udW0+PHVybHM+PHJlbGF0ZWQtdXJscz48dXJsPiZsdDtHbyB0
byBJU0kmZ3Q7Oi8vV09TOjAwMDQzMzk4NzMwMDAwNzwvdXJsPjwvcmVsYXRlZC11cmxzPjwvdXJs
cz48ZWxlY3Ryb25pYy1yZXNvdXJjZS1udW0+MTAuMTA4MC8xMzY2OTg3Ny4yMDE2LjEyNDczNzY8
L2VsZWN0cm9uaWMtcmVzb3VyY2UtbnVtPjwvcmVjb3JkPjwvQ2l0ZT48L0VuZE5vdGU+AG==
</w:fldData>
        </w:fldChar>
      </w:r>
      <w:r w:rsidR="00E56DFC" w:rsidRPr="00A9434B">
        <w:rPr>
          <w:rFonts w:eastAsia="Batang"/>
        </w:rPr>
        <w:instrText xml:space="preserve"> ADDIN EN.CITE.DATA </w:instrText>
      </w:r>
      <w:r w:rsidR="00E56DFC" w:rsidRPr="00A9434B">
        <w:rPr>
          <w:rFonts w:eastAsia="Batang"/>
        </w:rPr>
      </w:r>
      <w:r w:rsidR="00E56DFC" w:rsidRPr="00A9434B">
        <w:rPr>
          <w:rFonts w:eastAsia="Batang"/>
        </w:rPr>
        <w:fldChar w:fldCharType="end"/>
      </w:r>
      <w:r w:rsidR="00E56DFC" w:rsidRPr="00A9434B">
        <w:rPr>
          <w:rFonts w:eastAsia="Batang"/>
        </w:rPr>
      </w:r>
      <w:r w:rsidR="00E56DFC" w:rsidRPr="00A9434B">
        <w:rPr>
          <w:rFonts w:eastAsia="Batang"/>
        </w:rPr>
        <w:fldChar w:fldCharType="separate"/>
      </w:r>
      <w:r w:rsidR="00D42AF3" w:rsidRPr="00A9434B">
        <w:rPr>
          <w:rFonts w:eastAsia="Batang"/>
        </w:rPr>
        <w:fldChar w:fldCharType="begin"/>
      </w:r>
      <w:r w:rsidR="0006613E">
        <w:rPr>
          <w:rFonts w:eastAsia="Batang"/>
        </w:rPr>
        <w:instrText xml:space="preserve"> ADDIN ZOTERO_ITEM CSL_CITATION {"citationID":"a2bm1740u4e","properties":{"formattedCitation":"(Lansink et al., 2018; Smolarz et al., 2016)","plainCitation":"(Lansink et al., 2018; Smolarz et al., 2016)","noteIndex":0},"citationItems":[{"id":53409,"uris":["http://zotero.org/groups/2352922/items/XS3NCSK5"],"itemData":{"id":53409,"type":"article-journal","abstract":"Invasive species such as Ambrosia (an annual weed) pose a biosecurity risk whose management depends on the knowledge, attitudes and practices of many stakeholders. It can therefore be considered a complex policy and risk governance problem. Complex policy problems are characterised by high uncertainty, multiple dimensions, interactions across different spatial and policy levels, and the involvement of a multitude of actors and organisations. This paper provides a conceptual framework for analysing the multi-level and multi-actor dimensions of Ambrosia management. Potential and existing public, private and public–private management strategies are identified to address the interests and needs of different actor groups across different levels. We conclude that policies that promote a mix of public and private Ambrosia management strategies may respond better to the needs and interests of different actor groups across different levels than a one-size-fits-all approach. However, multiple policy strategies need to be aligned in order to lead to synergies and spreading coherent messages to the public. Collaboration may enhance the likelihood of biosecurity management and risk governance of Ambrosia being adequately implemented and enforced.","container-title":"Journal of Risk Research","DOI":"10.1080/13669877.2016.1247376","ISSN":"1366-9877","issue":"6","journalAbbreviation":"Journal of Risk Research","language":"en","page":"780-799","title":"A multi-level and multi-actor approach to risk governance: a conceptual framework to support policy development for Ambrosia weed control","URL":"https://doi.org/10.1080/13669877.2016.1247376","volume":"21","author":[{"family":"Lansink","given":"Alfons Oude"},{"family":"Schut","given":"Marc"},{"family":"Kamanda","given":"Josey"},{"family":"Klerkx","given":"Laurens"}],"issued":{"date-parts":[["2018"]]}},"label":"page"},{"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label":"page"}],"schema":"https://github.com/citation-style-language/schema/raw/master/csl-citation.json"} </w:instrText>
      </w:r>
      <w:r w:rsidR="00D42AF3" w:rsidRPr="00A9434B">
        <w:rPr>
          <w:rFonts w:eastAsia="Batang"/>
        </w:rPr>
        <w:fldChar w:fldCharType="separate"/>
      </w:r>
      <w:r w:rsidR="00C71E80" w:rsidRPr="00A9434B">
        <w:t>(Lansink et al., 2018; Smolarz et al., 2016)</w:t>
      </w:r>
      <w:r w:rsidR="00D42AF3" w:rsidRPr="00A9434B">
        <w:rPr>
          <w:rFonts w:eastAsia="Batang"/>
        </w:rPr>
        <w:fldChar w:fldCharType="end"/>
      </w:r>
      <w:r w:rsidR="00E56DFC" w:rsidRPr="00A9434B">
        <w:rPr>
          <w:rFonts w:eastAsia="Batang"/>
        </w:rPr>
        <w:fldChar w:fldCharType="end"/>
      </w:r>
      <w:r w:rsidRPr="00A9434B">
        <w:rPr>
          <w:rFonts w:eastAsia="Batang"/>
        </w:rPr>
        <w:t xml:space="preserve">, and the benefits to building on existing policy settings have been highlighted </w:t>
      </w:r>
      <w:r w:rsidR="00E56DFC" w:rsidRPr="00A9434B">
        <w:rPr>
          <w:rFonts w:eastAsia="Batang"/>
        </w:rPr>
        <w:fldChar w:fldCharType="begin"/>
      </w:r>
      <w:r w:rsidR="00E56DFC" w:rsidRPr="00A9434B">
        <w:rPr>
          <w:rFonts w:eastAsia="Batang"/>
        </w:rPr>
        <w:instrText xml:space="preserve"> ADDIN EN.CITE &lt;EndNote&gt;&lt;Cite&gt;&lt;Author&gt;Trump&lt;/Author&gt;&lt;Year&gt;2018&lt;/Year&gt;&lt;RecNum&gt;49032&lt;/RecNum&gt;&lt;DisplayText&gt;(Trump, Foran et al. 2018)&lt;/DisplayText&gt;&lt;record&gt;&lt;rec-number&gt;49032&lt;/rec-number&gt;&lt;foreign-keys&gt;&lt;key app="EN" db-id="awx9raddr0xx2hev05rxr0z05weepwpt0fex" timestamp="1581497320"&gt;49032&lt;/key&gt;&lt;/foreign-keys&gt;&lt;ref-type name="Journal Article"&gt;17&lt;/ref-type&gt;&lt;contributors&gt;&lt;authors&gt;&lt;author&gt;Trump, Benjamin D.&lt;/author&gt;&lt;author&gt;Foran, Christy&lt;/author&gt;&lt;author&gt;Rycroft, Taylor&lt;/author&gt;&lt;author&gt;Wood, Matthew D.&lt;/author&gt;&lt;author&gt;Bandolin, Nirzwan&lt;/author&gt;&lt;author&gt;Cains, Mariana&lt;/author&gt;&lt;author&gt;Cary, Timothy&lt;/author&gt;&lt;author&gt;Crocker, Fiona&lt;/author&gt;&lt;author&gt;Friedenberg, Nicholas A.&lt;/author&gt;&lt;author&gt;Gurian, Patrick&lt;/author&gt;&lt;author&gt;Hamilton, Kerry&lt;/author&gt;&lt;author&gt;Hoover, Jan Jeffrey&lt;/author&gt;&lt;author&gt;Meyer, Corey&lt;/author&gt;&lt;author&gt;Pokrzywinski, Kaytee&lt;/author&gt;&lt;author&gt;Ritterson, Ryan&lt;/author&gt;&lt;author&gt;Schulte, Paul&lt;/author&gt;&lt;author&gt;Warner, Christopher&lt;/author&gt;&lt;author&gt;Perkins, Edward&lt;/author&gt;&lt;author&gt;Linkov, Igor&lt;/author&gt;&lt;/authors&gt;&lt;/contributors&gt;&lt;titles&gt;&lt;title&gt;Development of community of practice to support quantitative risk assessment for synthetic biology products: contaminant bioremediation and invasive carp control as cases&lt;/title&gt;&lt;secondary-title&gt;Environment Systems &amp;amp; Decisions&lt;/secondary-title&gt;&lt;/titles&gt;&lt;periodical&gt;&lt;full-title&gt;Environment Systems &amp;amp; Decisions&lt;/full-title&gt;&lt;/periodical&gt;&lt;pages&gt;517-527&lt;/pages&gt;&lt;volume&gt;38&lt;/volume&gt;&lt;number&gt;4&lt;/number&gt;&lt;dates&gt;&lt;year&gt;2018&lt;/year&gt;&lt;pub-dates&gt;&lt;date&gt;Dec&lt;/date&gt;&lt;/pub-dates&gt;&lt;/dates&gt;&lt;isbn&gt;2194-5403&lt;/isbn&gt;&lt;accession-num&gt;BIOSIS:PREV201900057493&lt;/accession-num&gt;&lt;urls&gt;&lt;related-urls&gt;&lt;url&gt;&amp;lt;Go to ISI&amp;gt;://BIOSIS:PREV201900057493&lt;/url&gt;&lt;/related-urls&gt;&lt;/urls&gt;&lt;electronic-resource-num&gt;10.1007/s10669-018-9710-9&lt;/electronic-resource-num&gt;&lt;/record&gt;&lt;/Cite&gt;&lt;/EndNote&gt;</w:instrText>
      </w:r>
      <w:r w:rsidR="00E56DFC" w:rsidRPr="00A9434B">
        <w:rPr>
          <w:rFonts w:eastAsia="Batang"/>
        </w:rPr>
        <w:fldChar w:fldCharType="separate"/>
      </w:r>
      <w:r w:rsidR="00D42AF3" w:rsidRPr="00A9434B">
        <w:rPr>
          <w:rFonts w:eastAsia="Batang"/>
        </w:rPr>
        <w:fldChar w:fldCharType="begin"/>
      </w:r>
      <w:r w:rsidR="0006613E">
        <w:rPr>
          <w:rFonts w:eastAsia="Batang"/>
        </w:rPr>
        <w:instrText xml:space="preserve"> ADDIN ZOTERO_ITEM CSL_CITATION {"citationID":"a276v3qvfsk","properties":{"formattedCitation":"(Trump et al., 2018)","plainCitation":"(Trump et al., 2018)","noteIndex":0},"citationItems":[{"id":11381,"uris":["http://zotero.org/groups/2352922/items/GL83G32Z"],"itemData":{"id":11381,"type":"article-journal","abstract":"Synthetic biology has the potential for a broad array of applications. However, realization of this potential is challenged by the paucity of relevant data for conventional risk assessment protocols, a limitation due to to the relative nascence of the field, as well as the poorly characterized and prioritized hazard, exposure, and dose–response considerations associated with the development and use of synthetic biology-derived organisms. Where quantitative risk assessment approaches are necessarily to fulfill regulatory requirements for review of products containing genetically modified organisms, this paper reviews one potential avenue for early-stage quantitative risk assessment for biosafety considerations of synthetic biology organism deployment into the environment. Building from discussion from a March 2018 US Army Engineer Research and Development Center workshop on developing such quantitative risk assessment for synthetic biology, this paper reviews the findings and discussion of workshop participants. This paper concludes that, while synthetic biology risk assessment and governance will continue to refine and develop in the coming years, a quantitative framework that builds from existing practice is one potentially beneficial option for risk assessors that must contend with the technology’s limited hazard characterization or exposure assessment considerations in the near term. © 2018, This is a U.S. Government work and not under copyright protection in the US; foreign copyright protection may apply.","container-title":"Environment Systems &amp; Decisions","DOI":"10.1007/s10669-018-9710-9","ISSN":"2194-5403","issue":"4","page":"517-527","title":"Development of community of practice to support quantitative risk assessment for synthetic biology products: contaminant bioremediation and invasive carp control as cases","URL":"https://www.scopus.com/inward/record.uri?eid=2-s2.0-85056081397&amp;doi=10.1007%2fs10669-018-9710-9&amp;partnerID=40&amp;md5=e9cfd1a868bdb44401ccddb2fe4cea4e","volume":"38","author":[{"family":"Trump","given":"Benjamin D."},{"family":"Foran","given":"Christy"},{"family":"Rycroft","given":"Taylor"},{"family":"Wood","given":"Matthew D."},{"family":"Bandolin","given":"Nirzwan"},{"family":"Cains","given":"Mariana"},{"family":"Cary","given":"Timothy"},{"family":"Crocker","given":"Fiona"},{"family":"Friedenberg","given":"Nicholas A."},{"family":"Gurian","given":"Patrick"},{"family":"Hamilton","given":"Kerry"},{"family":"Hoover","given":"Jan Jeffrey"},{"family":"Meyer","given":"Corey"},{"family":"Pokrzywinski","given":"Kaytee"},{"family":"Ritterson","given":"Ryan"},{"family":"Schulte","given":"Paul"},{"family":"Warner","given":"Christopher"},{"family":"Perkins","given":"Edward"},{"family":"Linkov","given":"Igor"}],"issued":{"date-parts":[["2018",12]]}}}],"schema":"https://github.com/citation-style-language/schema/raw/master/csl-citation.json"} </w:instrText>
      </w:r>
      <w:r w:rsidR="00D42AF3" w:rsidRPr="00A9434B">
        <w:rPr>
          <w:rFonts w:eastAsia="Batang"/>
        </w:rPr>
        <w:fldChar w:fldCharType="separate"/>
      </w:r>
      <w:r w:rsidR="00C71E80" w:rsidRPr="00A9434B">
        <w:t>(Trump et al., 2018)</w:t>
      </w:r>
      <w:r w:rsidR="00D42AF3" w:rsidRPr="00A9434B">
        <w:rPr>
          <w:rFonts w:eastAsia="Batang"/>
        </w:rPr>
        <w:fldChar w:fldCharType="end"/>
      </w:r>
      <w:r w:rsidR="00E56DFC" w:rsidRPr="00A9434B">
        <w:rPr>
          <w:rFonts w:eastAsia="Batang"/>
        </w:rPr>
        <w:fldChar w:fldCharType="end"/>
      </w:r>
      <w:r w:rsidRPr="00A9434B">
        <w:rPr>
          <w:rFonts w:eastAsia="Batang"/>
        </w:rPr>
        <w:t xml:space="preserve">. To this end options for more effective </w:t>
      </w:r>
      <w:r w:rsidRPr="00A9434B">
        <w:t>invasive alien species</w:t>
      </w:r>
      <w:r w:rsidRPr="00A9434B">
        <w:rPr>
          <w:rFonts w:eastAsia="Batang"/>
        </w:rPr>
        <w:t xml:space="preserve"> policy, including integration where it is needed, include a number of desirable features, such as policy coherence and political legitimacy </w:t>
      </w:r>
      <w:r w:rsidR="00E56DFC" w:rsidRPr="00A9434B">
        <w:rPr>
          <w:rFonts w:eastAsia="Batang"/>
        </w:rPr>
        <w:fldChar w:fldCharType="begin"/>
      </w:r>
      <w:r w:rsidR="00E56DFC" w:rsidRPr="00A9434B">
        <w:rPr>
          <w:rFonts w:eastAsia="Batang"/>
        </w:rPr>
        <w:instrText xml:space="preserve"> ADDIN EN.CITE &lt;EndNote&gt;&lt;Cite&gt;&lt;Author&gt;Daviter&lt;/Author&gt;&lt;Year&gt;2017&lt;/Year&gt;&lt;RecNum&gt;49206&lt;/RecNum&gt;&lt;DisplayText&gt;(Daviter 2017)&lt;/DisplayText&gt;&lt;record&gt;&lt;rec-number&gt;49206&lt;/rec-number&gt;&lt;foreign-keys&gt;&lt;key app="EN" db-id="awx9raddr0xx2hev05rxr0z05weepwpt0fex" timestamp="1583638483"&gt;49206&lt;/key&gt;&lt;/foreign-keys&gt;&lt;ref-type name="Journal Article"&gt;17&lt;/ref-type&gt;&lt;contributors&gt;&lt;authors&gt;&lt;author&gt;Daviter, F.&lt;/author&gt;&lt;/authors&gt;&lt;/contributors&gt;&lt;titles&gt;&lt;title&gt;Coping, taming or solving: alternative approaches to the governance of wicked problems&lt;/title&gt;&lt;secondary-title&gt;Policy Studies&lt;/secondary-title&gt;&lt;/titles&gt;&lt;periodical&gt;&lt;full-title&gt;Policy Studies&lt;/full-title&gt;&lt;/periodical&gt;&lt;pages&gt;571-588&lt;/pages&gt;&lt;volume&gt;38&lt;/volume&gt;&lt;number&gt;6&lt;/number&gt;&lt;dates&gt;&lt;year&gt;2017&lt;/year&gt;&lt;/dates&gt;&lt;isbn&gt;0144-2872&lt;/isbn&gt;&lt;accession-num&gt;WOS:000415736600003&lt;/accession-num&gt;&lt;urls&gt;&lt;related-urls&gt;&lt;url&gt;&amp;lt;Go to ISI&amp;gt;://WOS:000415736600003&lt;/url&gt;&lt;/related-urls&gt;&lt;/urls&gt;&lt;electronic-resource-num&gt;10.1080/01442872.2017.1384543&lt;/electronic-resource-num&gt;&lt;/record&gt;&lt;/Cite&gt;&lt;/EndNote&gt;</w:instrText>
      </w:r>
      <w:r w:rsidR="00E56DFC" w:rsidRPr="00A9434B">
        <w:rPr>
          <w:rFonts w:eastAsia="Batang"/>
        </w:rPr>
        <w:fldChar w:fldCharType="separate"/>
      </w:r>
      <w:r w:rsidR="00D42AF3" w:rsidRPr="00A9434B">
        <w:rPr>
          <w:rFonts w:eastAsia="Batang"/>
        </w:rPr>
        <w:fldChar w:fldCharType="begin"/>
      </w:r>
      <w:r w:rsidR="0006613E">
        <w:rPr>
          <w:rFonts w:eastAsia="Batang"/>
        </w:rPr>
        <w:instrText xml:space="preserve"> ADDIN ZOTERO_ITEM CSL_CITATION {"citationID":"a132f3bgkmj","properties":{"formattedCitation":"(Daviter, 2017; Herrick, 2019)","plainCitation":"(Daviter, 2017; Herrick, 2019)","noteIndex":0},"citationItems":[{"id":53568,"uris":["http://zotero.org/groups/2352922/items/5SYHFE2I"],"itemData":{"id":53568,"type":"article-journal","container-title":"Policy Studies","DOI":"10.1080/01442872.2017.1384543","ISSN":"0144-2872","issue":"6","page":"571-588","title":"Coping, taming or solving: alternative approaches to the governance of wicked problems","volume":"38","author":[{"family":"Daviter","given":"F."}],"issued":{"date-parts":[["2017"]]}},"label":"page"},{"id":23536,"uris":["http://zotero.org/groups/2352922/items/CJ7IDGDF"],"itemData":{"id":23536,"type":"article-journal","abstract":"By some accounts, invasive species pose the second greatest threat to global biodiversity after habitat destruction. In addition to their ecological impacts, invasive species cause a wide range of economic and social damages. In recent years, scholars and policy officials have called for recalibration of U.S. invasive species policy, with some advocating a tightly integrated policy regime addressing a broad spectrum of activity, including predictive assessment of invasion pathways, prevention of introduction and spread, control of established populations, eradication of selected populations, and establishment of high</w:instrText>
      </w:r>
      <w:r w:rsidR="0006613E">
        <w:rPr>
          <w:rFonts w:ascii="ＭＳ 明朝" w:eastAsia="ＭＳ 明朝" w:hAnsi="ＭＳ 明朝" w:cs="ＭＳ 明朝" w:hint="eastAsia"/>
        </w:rPr>
        <w:instrText>‐</w:instrText>
      </w:r>
      <w:r w:rsidR="0006613E">
        <w:rPr>
          <w:rFonts w:eastAsia="Batang"/>
        </w:rPr>
        <w:instrText xml:space="preserve">level coordination bodies. In this paper, I draw upon the policy integration literature and apply a regime construct to review the proposition that the existing mix of U.S. invasive species policies can and should be more tightly integrated. By way of conclusion, I suggest that the current policy mix is not exhausted and recommend a program evaluation process framed to characterize and assess factors and conditions that might influence the comparative effectiveness of strategic alternatives to integration, such as coping and taming.","container-title":"Environmental Policy and Governance","DOI":"10.1002/eet.1852","ISSN":"1756-932X","issue":"4","page":"262-278","source":"Wiley Online Library","title":"A review of the U.S. invasive species policy mix: Questioning the prospect of an integrated regime","URL":"https://onlinelibrary.wiley.com/doi/abs/10.1002/eet.1852","volume":"29","author":[{"family":"Herrick","given":"Charles N."}],"issued":{"date-parts":[["2019",7]]}}}],"schema":"https://github.com/citation-style-language/schema/raw/master/csl-citation.json"} </w:instrText>
      </w:r>
      <w:r w:rsidR="00D42AF3" w:rsidRPr="00A9434B">
        <w:rPr>
          <w:rFonts w:eastAsia="Batang"/>
        </w:rPr>
        <w:fldChar w:fldCharType="separate"/>
      </w:r>
      <w:r w:rsidR="00C71E80" w:rsidRPr="00A9434B">
        <w:t>(Daviter, 2017; Herrick, 2019)</w:t>
      </w:r>
      <w:r w:rsidR="00D42AF3" w:rsidRPr="00A9434B">
        <w:rPr>
          <w:rFonts w:eastAsia="Batang"/>
        </w:rPr>
        <w:fldChar w:fldCharType="end"/>
      </w:r>
      <w:r w:rsidR="00E56DFC" w:rsidRPr="00A9434B">
        <w:rPr>
          <w:rFonts w:eastAsia="Batang"/>
        </w:rPr>
        <w:fldChar w:fldCharType="end"/>
      </w:r>
      <w:r w:rsidRPr="00A9434B">
        <w:rPr>
          <w:rFonts w:eastAsia="Batang"/>
        </w:rPr>
        <w:t xml:space="preserve">. </w:t>
      </w:r>
      <w:r w:rsidR="31CCB110" w:rsidRPr="00A9434B">
        <w:rPr>
          <w:rFonts w:eastAsia="Batang"/>
        </w:rPr>
        <w:t>Several</w:t>
      </w:r>
      <w:r w:rsidRPr="00A9434B">
        <w:rPr>
          <w:rFonts w:eastAsia="Batang"/>
        </w:rPr>
        <w:t xml:space="preserve"> tactics </w:t>
      </w:r>
      <w:r w:rsidR="70B11EE4" w:rsidRPr="00A9434B">
        <w:rPr>
          <w:rFonts w:eastAsia="Batang"/>
        </w:rPr>
        <w:t xml:space="preserve">that </w:t>
      </w:r>
      <w:r w:rsidRPr="00A9434B">
        <w:rPr>
          <w:rFonts w:eastAsia="Batang"/>
        </w:rPr>
        <w:t>enable this reform can be incorporated into invasive alien species strategies at national and other levels and sectors (</w:t>
      </w:r>
      <w:r w:rsidR="00363D20" w:rsidRPr="00673554">
        <w:rPr>
          <w:rFonts w:eastAsia="Batang"/>
          <w:b/>
          <w:iCs/>
        </w:rPr>
        <w:fldChar w:fldCharType="begin"/>
      </w:r>
      <w:r w:rsidR="00363D20" w:rsidRPr="00673554">
        <w:rPr>
          <w:rFonts w:eastAsia="Batang"/>
          <w:b/>
          <w:iCs/>
        </w:rPr>
        <w:instrText xml:space="preserve"> REF _Ref104892505 \h  \* MERGEFORMAT </w:instrText>
      </w:r>
      <w:r w:rsidR="00363D20" w:rsidRPr="00673554">
        <w:rPr>
          <w:rFonts w:eastAsia="Batang"/>
          <w:b/>
          <w:iCs/>
        </w:rPr>
      </w:r>
      <w:r w:rsidR="00363D20" w:rsidRPr="00673554">
        <w:rPr>
          <w:rFonts w:eastAsia="Batang"/>
          <w:b/>
          <w:iCs/>
        </w:rPr>
        <w:fldChar w:fldCharType="separate"/>
      </w:r>
      <w:r w:rsidR="0011368C" w:rsidRPr="00673554">
        <w:rPr>
          <w:b/>
          <w:iCs/>
        </w:rPr>
        <w:t>Table 6.7</w:t>
      </w:r>
      <w:r w:rsidR="00363D20" w:rsidRPr="00673554">
        <w:rPr>
          <w:rFonts w:eastAsia="Batang"/>
          <w:b/>
          <w:iCs/>
        </w:rPr>
        <w:fldChar w:fldCharType="end"/>
      </w:r>
      <w:r w:rsidRPr="00A9434B">
        <w:rPr>
          <w:rFonts w:eastAsia="Batang"/>
        </w:rPr>
        <w:t>).</w:t>
      </w:r>
      <w:r w:rsidR="005419CD" w:rsidRPr="00A9434B">
        <w:rPr>
          <w:b/>
          <w:bCs/>
        </w:rPr>
        <w:t xml:space="preserve"> </w:t>
      </w:r>
      <w:r w:rsidR="15861C5B" w:rsidRPr="00A9434B">
        <w:t>Other key considerations include e</w:t>
      </w:r>
      <w:r w:rsidR="005419CD" w:rsidRPr="00A9434B">
        <w:t>xternal influence</w:t>
      </w:r>
      <w:r w:rsidR="0FA3B819" w:rsidRPr="00A9434B">
        <w:t xml:space="preserve"> and</w:t>
      </w:r>
      <w:r w:rsidR="005419CD" w:rsidRPr="00A9434B">
        <w:t xml:space="preserve"> dealing with the factors that influence integration beyond cross-sector relationships and policy </w:t>
      </w:r>
      <w:r w:rsidR="00F806B6" w:rsidRPr="00A9434B">
        <w:t>(</w:t>
      </w:r>
      <w:r w:rsidR="005419CD" w:rsidRPr="00673554">
        <w:rPr>
          <w:b/>
          <w:iCs/>
        </w:rPr>
        <w:t>section 6.2</w:t>
      </w:r>
      <w:r w:rsidR="005419CD" w:rsidRPr="00A9434B">
        <w:t xml:space="preserve">). </w:t>
      </w:r>
      <w:r w:rsidR="5F509A89" w:rsidRPr="00A9434B">
        <w:t>Finally, n</w:t>
      </w:r>
      <w:r w:rsidR="005419CD" w:rsidRPr="00A9434B">
        <w:t xml:space="preserve">egotiation and </w:t>
      </w:r>
      <w:r w:rsidR="2734797F" w:rsidRPr="00A9434B">
        <w:t>building</w:t>
      </w:r>
      <w:r w:rsidR="005419CD" w:rsidRPr="00A9434B">
        <w:t xml:space="preserve"> trust</w:t>
      </w:r>
      <w:r w:rsidR="20CDE31B" w:rsidRPr="00A9434B">
        <w:t xml:space="preserve"> </w:t>
      </w:r>
      <w:r w:rsidR="00F11394" w:rsidRPr="00A9434B">
        <w:t>ca</w:t>
      </w:r>
      <w:r w:rsidR="00606728" w:rsidRPr="00A9434B">
        <w:t xml:space="preserve">n improve </w:t>
      </w:r>
      <w:r w:rsidR="008E535D" w:rsidRPr="00A9434B">
        <w:t xml:space="preserve">the </w:t>
      </w:r>
      <w:r w:rsidR="00606728" w:rsidRPr="00A9434B">
        <w:t>governance of biological invasions</w:t>
      </w:r>
      <w:r w:rsidR="00214038" w:rsidRPr="00A9434B">
        <w:t xml:space="preserve">; </w:t>
      </w:r>
      <w:r w:rsidR="005419CD" w:rsidRPr="00A9434B">
        <w:t xml:space="preserve">addressing trade-offs and improving policy integration is a political process </w:t>
      </w:r>
      <w:r w:rsidR="00214038" w:rsidRPr="00A9434B">
        <w:t>built on</w:t>
      </w:r>
      <w:r w:rsidR="005419CD" w:rsidRPr="00A9434B">
        <w:t xml:space="preserve"> negotiation across stakeholders with different interests, values, and perspectives, </w:t>
      </w:r>
      <w:r w:rsidR="00214038" w:rsidRPr="00A9434B">
        <w:t>which</w:t>
      </w:r>
      <w:r w:rsidR="005419CD" w:rsidRPr="00A9434B">
        <w:t xml:space="preserve"> requires trust, ownership of the process, and learning </w:t>
      </w:r>
      <w:r w:rsidR="00F806B6" w:rsidRPr="00A9434B">
        <w:t>(</w:t>
      </w:r>
      <w:r w:rsidR="005419CD" w:rsidRPr="00673554">
        <w:rPr>
          <w:b/>
          <w:iCs/>
        </w:rPr>
        <w:t>section 6.4</w:t>
      </w:r>
      <w:r w:rsidR="005419CD" w:rsidRPr="00A9434B">
        <w:t xml:space="preserve">). </w:t>
      </w:r>
    </w:p>
    <w:p w14:paraId="37B34F90" w14:textId="204BE1B3" w:rsidR="00017C04" w:rsidRPr="00B301D7" w:rsidRDefault="004B392D" w:rsidP="00C12647">
      <w:pPr>
        <w:keepNext/>
        <w:pBdr>
          <w:top w:val="nil"/>
          <w:left w:val="nil"/>
          <w:bottom w:val="nil"/>
          <w:right w:val="nil"/>
          <w:between w:val="nil"/>
        </w:pBdr>
        <w:rPr>
          <w:color w:val="000000"/>
        </w:rPr>
      </w:pPr>
      <w:bookmarkStart w:id="207" w:name="_Ref104892505"/>
      <w:bookmarkStart w:id="208" w:name="_Toc147418540"/>
      <w:r w:rsidRPr="00C12647">
        <w:rPr>
          <w:b/>
          <w:bCs/>
        </w:rPr>
        <w:t>Table 6.</w:t>
      </w:r>
      <w:r w:rsidRPr="00C12647">
        <w:rPr>
          <w:b/>
          <w:bCs/>
        </w:rPr>
        <w:fldChar w:fldCharType="begin"/>
      </w:r>
      <w:r w:rsidRPr="00C12647">
        <w:rPr>
          <w:b/>
          <w:bCs/>
        </w:rPr>
        <w:instrText xml:space="preserve"> SEQ Table_6. \* ARABIC </w:instrText>
      </w:r>
      <w:r w:rsidRPr="00C12647">
        <w:rPr>
          <w:b/>
          <w:bCs/>
        </w:rPr>
        <w:fldChar w:fldCharType="separate"/>
      </w:r>
      <w:r w:rsidR="0011368C" w:rsidRPr="00C12647">
        <w:rPr>
          <w:b/>
          <w:bCs/>
          <w:noProof/>
        </w:rPr>
        <w:t>7</w:t>
      </w:r>
      <w:r w:rsidRPr="00C12647">
        <w:rPr>
          <w:b/>
          <w:bCs/>
          <w:noProof/>
        </w:rPr>
        <w:fldChar w:fldCharType="end"/>
      </w:r>
      <w:bookmarkEnd w:id="207"/>
      <w:r w:rsidR="00E726CE" w:rsidRPr="00C12647">
        <w:rPr>
          <w:b/>
          <w:bCs/>
        </w:rPr>
        <w:t>.</w:t>
      </w:r>
      <w:bookmarkStart w:id="209" w:name="_heading=h.206ipza" w:colFirst="0" w:colLast="0"/>
      <w:bookmarkEnd w:id="209"/>
      <w:r w:rsidR="00F50AF9" w:rsidRPr="00C12647">
        <w:rPr>
          <w:b/>
          <w:color w:val="000000"/>
        </w:rPr>
        <w:t xml:space="preserve"> </w:t>
      </w:r>
      <w:r w:rsidR="00F50AF9" w:rsidRPr="00C12647">
        <w:rPr>
          <w:color w:val="000000"/>
        </w:rPr>
        <w:t>Tactics to enable policy reform for invasive alien species policy</w:t>
      </w:r>
      <w:bookmarkEnd w:id="208"/>
    </w:p>
    <w:tbl>
      <w:tblPr>
        <w:tblW w:w="9209"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542"/>
        <w:gridCol w:w="3564"/>
        <w:gridCol w:w="2977"/>
        <w:gridCol w:w="2126"/>
      </w:tblGrid>
      <w:tr w:rsidR="00017C04" w14:paraId="4167FF1A" w14:textId="77777777" w:rsidTr="00B301D7">
        <w:tc>
          <w:tcPr>
            <w:tcW w:w="542" w:type="dxa"/>
          </w:tcPr>
          <w:p w14:paraId="75000A85" w14:textId="77777777" w:rsidR="00017C04" w:rsidRDefault="00017C04"/>
        </w:tc>
        <w:tc>
          <w:tcPr>
            <w:tcW w:w="3564" w:type="dxa"/>
          </w:tcPr>
          <w:p w14:paraId="1DA08DE6" w14:textId="77777777" w:rsidR="00017C04" w:rsidRPr="00192C26" w:rsidRDefault="00F50AF9" w:rsidP="00F27F4C">
            <w:pPr>
              <w:spacing w:before="0" w:after="0"/>
              <w:contextualSpacing/>
            </w:pPr>
            <w:r>
              <w:t>Tactic</w:t>
            </w:r>
          </w:p>
        </w:tc>
        <w:tc>
          <w:tcPr>
            <w:tcW w:w="2977" w:type="dxa"/>
          </w:tcPr>
          <w:p w14:paraId="33707484" w14:textId="77777777" w:rsidR="00017C04" w:rsidRDefault="00F50AF9" w:rsidP="00F27F4C">
            <w:pPr>
              <w:spacing w:before="0" w:after="0"/>
              <w:contextualSpacing/>
            </w:pPr>
            <w:r>
              <w:t>Expected benefit</w:t>
            </w:r>
          </w:p>
        </w:tc>
        <w:tc>
          <w:tcPr>
            <w:tcW w:w="2126" w:type="dxa"/>
          </w:tcPr>
          <w:p w14:paraId="7C32BC20" w14:textId="77777777" w:rsidR="00017C04" w:rsidRPr="00192C26" w:rsidRDefault="00F50AF9" w:rsidP="00F27F4C">
            <w:pPr>
              <w:spacing w:before="0" w:after="0"/>
              <w:contextualSpacing/>
            </w:pPr>
            <w:r>
              <w:t>Key references</w:t>
            </w:r>
          </w:p>
        </w:tc>
      </w:tr>
      <w:tr w:rsidR="00017C04" w14:paraId="15204C84" w14:textId="77777777" w:rsidTr="00B301D7">
        <w:tc>
          <w:tcPr>
            <w:tcW w:w="542" w:type="dxa"/>
          </w:tcPr>
          <w:p w14:paraId="4DB25C70" w14:textId="77777777" w:rsidR="00017C04" w:rsidRDefault="00F50AF9">
            <w:r>
              <w:t>1</w:t>
            </w:r>
          </w:p>
        </w:tc>
        <w:tc>
          <w:tcPr>
            <w:tcW w:w="3564" w:type="dxa"/>
          </w:tcPr>
          <w:p w14:paraId="4E912647" w14:textId="77777777" w:rsidR="00017C04" w:rsidRDefault="00F50AF9" w:rsidP="00F27F4C">
            <w:pPr>
              <w:spacing w:before="0" w:after="0"/>
              <w:contextualSpacing/>
            </w:pPr>
            <w:r>
              <w:t>Multidisciplinary to transdisciplinary research on invasive alien species policy regimes</w:t>
            </w:r>
          </w:p>
        </w:tc>
        <w:tc>
          <w:tcPr>
            <w:tcW w:w="2977" w:type="dxa"/>
          </w:tcPr>
          <w:p w14:paraId="317659B8" w14:textId="77777777" w:rsidR="00017C04" w:rsidRDefault="00F50AF9" w:rsidP="00F27F4C">
            <w:pPr>
              <w:spacing w:before="0" w:after="0"/>
              <w:contextualSpacing/>
            </w:pPr>
            <w:r>
              <w:t>Building robust and long-term resilience and the adaptive capacity of the governance systems for invasive alien species</w:t>
            </w:r>
          </w:p>
        </w:tc>
        <w:tc>
          <w:tcPr>
            <w:tcW w:w="2126" w:type="dxa"/>
          </w:tcPr>
          <w:p w14:paraId="245CBF36" w14:textId="0F184751" w:rsidR="00017C04" w:rsidRDefault="00D42AF3" w:rsidP="00F27F4C">
            <w:pPr>
              <w:spacing w:before="0" w:after="0"/>
              <w:contextualSpacing/>
            </w:pPr>
            <w:r w:rsidRPr="00A9434B">
              <w:rPr>
                <w:rFonts w:eastAsia="Batang"/>
              </w:rPr>
              <w:fldChar w:fldCharType="begin"/>
            </w:r>
            <w:r w:rsidRPr="00A9434B">
              <w:rPr>
                <w:rFonts w:eastAsia="Batang"/>
              </w:rPr>
              <w:instrText xml:space="preserve"> ADDIN EN.CITE &lt;EndNote&gt;&lt;Cite&gt;&lt;Author&gt;Daviter&lt;/Author&gt;&lt;Year&gt;2017&lt;/Year&gt;&lt;RecNum&gt;49206&lt;/RecNum&gt;&lt;DisplayText&gt;(Daviter 2017)&lt;/DisplayText&gt;&lt;record&gt;&lt;rec-number&gt;49206&lt;/rec-number&gt;&lt;foreign-keys&gt;&lt;key app="EN" db-id="awx9raddr0xx2hev05rxr0z05weepwpt0fex" timestamp="1583638483"&gt;49206&lt;/key&gt;&lt;/foreign-keys&gt;&lt;ref-type name="Journal Article"&gt;17&lt;/ref-type&gt;&lt;contributors&gt;&lt;authors&gt;&lt;author&gt;Daviter, F.&lt;/author&gt;&lt;/authors&gt;&lt;/contributors&gt;&lt;titles&gt;&lt;title&gt;Coping, taming or solving: alternative approaches to the governance of wicked problems&lt;/title&gt;&lt;secondary-title&gt;Policy Studies&lt;/secondary-title&gt;&lt;/titles&gt;&lt;periodical&gt;&lt;full-title&gt;Policy Studies&lt;/full-title&gt;&lt;/periodical&gt;&lt;pages&gt;571-588&lt;/pages&gt;&lt;volume&gt;38&lt;/volume&gt;&lt;number&gt;6&lt;/number&gt;&lt;dates&gt;&lt;year&gt;2017&lt;/year&gt;&lt;/dates&gt;&lt;isbn&gt;0144-2872&lt;/isbn&gt;&lt;accession-num&gt;WOS:000415736600003&lt;/accession-num&gt;&lt;urls&gt;&lt;related-urls&gt;&lt;url&gt;&amp;lt;Go to ISI&amp;gt;://WOS:000415736600003&lt;/url&gt;&lt;/related-urls&gt;&lt;/urls&gt;&lt;electronic-resource-num&gt;10.1080/01442872.2017.1384543&lt;/electronic-resource-num&gt;&lt;/record&gt;&lt;/Cite&gt;&lt;/EndNote&gt;</w:instrText>
            </w:r>
            <w:r w:rsidRPr="00A9434B">
              <w:rPr>
                <w:rFonts w:eastAsia="Batang"/>
              </w:rPr>
              <w:fldChar w:fldCharType="separate"/>
            </w:r>
            <w:r w:rsidRPr="00A9434B">
              <w:rPr>
                <w:rFonts w:eastAsia="Batang"/>
              </w:rPr>
              <w:fldChar w:fldCharType="begin"/>
            </w:r>
            <w:r w:rsidR="0006613E">
              <w:rPr>
                <w:rFonts w:eastAsia="Batang"/>
              </w:rPr>
              <w:instrText xml:space="preserve"> ADDIN ZOTERO_ITEM CSL_CITATION {"citationID":"ads02tqfb9","properties":{"formattedCitation":"(Daviter, 2017; Herrick, 2019)","plainCitation":"(Daviter, 2017; Herrick, 2019)","noteIndex":0},"citationItems":[{"id":53568,"uris":["http://zotero.org/groups/2352922/items/5SYHFE2I"],"itemData":{"id":53568,"type":"article-journal","container-title":"Policy Studies","DOI":"10.1080/01442872.2017.1384543","ISSN":"0144-2872","issue":"6","page":"571-588","title":"Coping, taming or solving: alternative approaches to the governance of wicked problems","volume":"38","author":[{"family":"Daviter","given":"F."}],"issued":{"date-parts":[["2017"]]}}},{"id":23536,"uris":["http://zotero.org/groups/2352922/items/CJ7IDGDF"],"itemData":{"id":23536,"type":"article-journal","abstract":"By some accounts, invasive species pose the second greatest threat to global biodiversity after habitat destruction. In addition to their ecological impacts, invasive species cause a wide range of economic and social damages. In recent years, scholars and policy officials have called for recalibration of U.S. invasive species policy, with some advocating a tightly integrated policy regime addressing a broad spectrum of activity, including predictive assessment of invasion pathways, prevention of introduction and spread, control of established populations, eradication of selected populations, and establishment of high</w:instrText>
            </w:r>
            <w:r w:rsidR="0006613E">
              <w:rPr>
                <w:rFonts w:ascii="ＭＳ 明朝" w:eastAsia="ＭＳ 明朝" w:hAnsi="ＭＳ 明朝" w:cs="ＭＳ 明朝" w:hint="eastAsia"/>
              </w:rPr>
              <w:instrText>‐</w:instrText>
            </w:r>
            <w:r w:rsidR="0006613E">
              <w:rPr>
                <w:rFonts w:eastAsia="Batang"/>
              </w:rPr>
              <w:instrText xml:space="preserve">level coordination bodies. In this paper, I draw upon the policy integration literature and apply a regime construct to review the proposition that the existing mix of U.S. invasive species policies can and should be more tightly integrated. By way of conclusion, I suggest that the current policy mix is not exhausted and recommend a program evaluation process framed to characterize and assess factors and conditions that might influence the comparative effectiveness of strategic alternatives to integration, such as coping and taming.","container-title":"Environmental Policy and Governance","DOI":"10.1002/eet.1852","ISSN":"1756-932X","issue":"4","page":"262-278","source":"Wiley Online Library","title":"A review of the U.S. invasive species policy mix: Questioning the prospect of an integrated regime","URL":"https://onlinelibrary.wiley.com/doi/abs/10.1002/eet.1852","volume":"29","author":[{"family":"Herrick","given":"Charles N."}],"issued":{"date-parts":[["2019",7]]}}}],"schema":"https://github.com/citation-style-language/schema/raw/master/csl-citation.json"} </w:instrText>
            </w:r>
            <w:r w:rsidRPr="00A9434B">
              <w:rPr>
                <w:rFonts w:eastAsia="Batang"/>
              </w:rPr>
              <w:fldChar w:fldCharType="separate"/>
            </w:r>
            <w:r w:rsidR="00C71E80" w:rsidRPr="00A9434B">
              <w:t>(Daviter, 2017; Herrick, 2019)</w:t>
            </w:r>
            <w:r w:rsidRPr="00A9434B">
              <w:rPr>
                <w:rFonts w:eastAsia="Batang"/>
              </w:rPr>
              <w:fldChar w:fldCharType="end"/>
            </w:r>
            <w:r w:rsidRPr="00A9434B">
              <w:rPr>
                <w:rFonts w:eastAsia="Batang"/>
              </w:rPr>
              <w:fldChar w:fldCharType="end"/>
            </w:r>
          </w:p>
        </w:tc>
      </w:tr>
      <w:tr w:rsidR="00017C04" w14:paraId="4C841CFB" w14:textId="77777777" w:rsidTr="00B301D7">
        <w:tc>
          <w:tcPr>
            <w:tcW w:w="542" w:type="dxa"/>
          </w:tcPr>
          <w:p w14:paraId="13242BE3" w14:textId="77777777" w:rsidR="00017C04" w:rsidRDefault="00F50AF9">
            <w:r>
              <w:t>2</w:t>
            </w:r>
          </w:p>
        </w:tc>
        <w:tc>
          <w:tcPr>
            <w:tcW w:w="3564" w:type="dxa"/>
          </w:tcPr>
          <w:p w14:paraId="6DB46553" w14:textId="65CC2758" w:rsidR="00017C04" w:rsidRDefault="00F50AF9" w:rsidP="00F27F4C">
            <w:pPr>
              <w:spacing w:before="0" w:after="0"/>
              <w:contextualSpacing/>
            </w:pPr>
            <w:r>
              <w:t>Policy narratives to deal with the full continuous spectrum of service delivery or regulation, from prevention, eradication, control</w:t>
            </w:r>
            <w:r w:rsidR="00896CEC">
              <w:t xml:space="preserve"> and</w:t>
            </w:r>
            <w:r>
              <w:t xml:space="preserve"> restoration rather than treating each in isolation </w:t>
            </w:r>
          </w:p>
        </w:tc>
        <w:tc>
          <w:tcPr>
            <w:tcW w:w="2977" w:type="dxa"/>
          </w:tcPr>
          <w:p w14:paraId="3CA01465" w14:textId="77777777" w:rsidR="00017C04" w:rsidRDefault="00F50AF9" w:rsidP="00F27F4C">
            <w:pPr>
              <w:spacing w:before="0" w:after="0"/>
              <w:contextualSpacing/>
            </w:pPr>
            <w:r>
              <w:t>Better integrated and effective policy regimes</w:t>
            </w:r>
          </w:p>
        </w:tc>
        <w:tc>
          <w:tcPr>
            <w:tcW w:w="2126" w:type="dxa"/>
          </w:tcPr>
          <w:p w14:paraId="643B2840" w14:textId="15CA1FBF" w:rsidR="00017C04" w:rsidRDefault="00CD40BE" w:rsidP="00F27F4C">
            <w:pPr>
              <w:spacing w:before="0" w:after="0"/>
              <w:contextualSpacing/>
            </w:pPr>
            <w:r w:rsidRPr="00A9434B">
              <w:rPr>
                <w:rFonts w:eastAsia="Batang"/>
              </w:rPr>
              <w:fldChar w:fldCharType="begin"/>
            </w:r>
            <w:r w:rsidRPr="00A9434B">
              <w:rPr>
                <w:rFonts w:eastAsia="Batang"/>
              </w:rPr>
              <w:instrText xml:space="preserve"> ADDIN EN.CITE &lt;EndNote&gt;&lt;Cite&gt;&lt;Author&gt;Daviter&lt;/Author&gt;&lt;Year&gt;2017&lt;/Year&gt;&lt;RecNum&gt;49206&lt;/RecNum&gt;&lt;DisplayText&gt;(Daviter 2017)&lt;/DisplayText&gt;&lt;record&gt;&lt;rec-number&gt;49206&lt;/rec-number&gt;&lt;foreign-keys&gt;&lt;key app="EN" db-id="awx9raddr0xx2hev05rxr0z05weepwpt0fex" timestamp="1583638483"&gt;49206&lt;/key&gt;&lt;/foreign-keys&gt;&lt;ref-type name="Journal Article"&gt;17&lt;/ref-type&gt;&lt;contributors&gt;&lt;authors&gt;&lt;author&gt;Daviter, F.&lt;/author&gt;&lt;/authors&gt;&lt;/contributors&gt;&lt;titles&gt;&lt;title&gt;Coping, taming or solving: alternative approaches to the governance of wicked problems&lt;/title&gt;&lt;secondary-title&gt;Policy Studies&lt;/secondary-title&gt;&lt;/titles&gt;&lt;periodical&gt;&lt;full-title&gt;Policy Studies&lt;/full-title&gt;&lt;/periodical&gt;&lt;pages&gt;571-588&lt;/pages&gt;&lt;volume&gt;38&lt;/volume&gt;&lt;number&gt;6&lt;/number&gt;&lt;dates&gt;&lt;year&gt;2017&lt;/year&gt;&lt;/dates&gt;&lt;isbn&gt;0144-2872&lt;/isbn&gt;&lt;accession-num&gt;WOS:000415736600003&lt;/accession-num&gt;&lt;urls&gt;&lt;related-urls&gt;&lt;url&gt;&amp;lt;Go to ISI&amp;gt;://WOS:000415736600003&lt;/url&gt;&lt;/related-urls&gt;&lt;/urls&gt;&lt;electronic-resource-num&gt;10.1080/01442872.2017.1384543&lt;/electronic-resource-num&gt;&lt;/record&gt;&lt;/Cite&gt;&lt;/EndNote&gt;</w:instrText>
            </w:r>
            <w:r w:rsidRPr="00A9434B">
              <w:rPr>
                <w:rFonts w:eastAsia="Batang"/>
              </w:rPr>
              <w:fldChar w:fldCharType="separate"/>
            </w:r>
            <w:r w:rsidRPr="00A9434B">
              <w:rPr>
                <w:rFonts w:eastAsia="Batang"/>
              </w:rPr>
              <w:fldChar w:fldCharType="begin"/>
            </w:r>
            <w:r w:rsidR="0006613E">
              <w:rPr>
                <w:rFonts w:eastAsia="Batang"/>
              </w:rPr>
              <w:instrText xml:space="preserve"> ADDIN ZOTERO_ITEM CSL_CITATION {"citationID":"rX1RNYQi","properties":{"formattedCitation":"(Daviter, 2017; Herrick, 2019)","plainCitation":"(Daviter, 2017; Herrick, 2019)","noteIndex":0},"citationItems":[{"id":53568,"uris":["http://zotero.org/groups/2352922/items/5SYHFE2I"],"itemData":{"id":53568,"type":"article-journal","container-title":"Policy Studies","DOI":"10.1080/01442872.2017.1384543","ISSN":"0144-2872","issue":"6","page":"571-588","title":"Coping, taming or solving: alternative approaches to the governance of wicked problems","volume":"38","author":[{"family":"Daviter","given":"F."}],"issued":{"date-parts":[["2017"]]}}},{"id":23536,"uris":["http://zotero.org/groups/2352922/items/CJ7IDGDF"],"itemData":{"id":23536,"type":"article-journal","abstract":"By some accounts, invasive species pose the second greatest threat to global biodiversity after habitat destruction. In addition to their ecological impacts, invasive species cause a wide range of economic and social damages. In recent years, scholars and policy officials have called for recalibration of U.S. invasive species policy, with some advocating a tightly integrated policy regime addressing a broad spectrum of activity, including predictive assessment of invasion pathways, prevention of introduction and spread, control of established populations, eradication of selected populations, and establishment of high</w:instrText>
            </w:r>
            <w:r w:rsidR="0006613E">
              <w:rPr>
                <w:rFonts w:ascii="ＭＳ 明朝" w:eastAsia="ＭＳ 明朝" w:hAnsi="ＭＳ 明朝" w:cs="ＭＳ 明朝" w:hint="eastAsia"/>
              </w:rPr>
              <w:instrText>‐</w:instrText>
            </w:r>
            <w:r w:rsidR="0006613E">
              <w:rPr>
                <w:rFonts w:eastAsia="Batang"/>
              </w:rPr>
              <w:instrText xml:space="preserve">level coordination bodies. In this paper, I draw upon the policy integration literature and apply a regime construct to review the proposition that the existing mix of U.S. invasive species policies can and should be more tightly integrated. By way of conclusion, I suggest that the current policy mix is not exhausted and recommend a program evaluation process framed to characterize and assess factors and conditions that might influence the comparative effectiveness of strategic alternatives to integration, such as coping and taming.","container-title":"Environmental Policy and Governance","DOI":"10.1002/eet.1852","ISSN":"1756-932X","issue":"4","page":"262-278","source":"Wiley Online Library","title":"A review of the U.S. invasive species policy mix: Questioning the prospect of an integrated regime","URL":"https://onlinelibrary.wiley.com/doi/abs/10.1002/eet.1852","volume":"29","author":[{"family":"Herrick","given":"Charles N."}],"issued":{"date-parts":[["2019",7]]}}}],"schema":"https://github.com/citation-style-language/schema/raw/master/csl-citation.json"} </w:instrText>
            </w:r>
            <w:r w:rsidRPr="00A9434B">
              <w:rPr>
                <w:rFonts w:eastAsia="Batang"/>
              </w:rPr>
              <w:fldChar w:fldCharType="separate"/>
            </w:r>
            <w:r w:rsidR="00C71E80" w:rsidRPr="00A9434B">
              <w:t>(Daviter, 2017; Herrick, 2019)</w:t>
            </w:r>
            <w:r w:rsidRPr="00A9434B">
              <w:rPr>
                <w:rFonts w:eastAsia="Batang"/>
              </w:rPr>
              <w:fldChar w:fldCharType="end"/>
            </w:r>
            <w:r w:rsidRPr="00A9434B">
              <w:rPr>
                <w:rFonts w:eastAsia="Batang"/>
              </w:rPr>
              <w:fldChar w:fldCharType="end"/>
            </w:r>
          </w:p>
        </w:tc>
      </w:tr>
      <w:tr w:rsidR="00017C04" w14:paraId="3A72836E" w14:textId="77777777" w:rsidTr="00B301D7">
        <w:tc>
          <w:tcPr>
            <w:tcW w:w="542" w:type="dxa"/>
          </w:tcPr>
          <w:p w14:paraId="03589B16" w14:textId="77777777" w:rsidR="00017C04" w:rsidRDefault="00F50AF9">
            <w:r>
              <w:lastRenderedPageBreak/>
              <w:t>3</w:t>
            </w:r>
          </w:p>
        </w:tc>
        <w:tc>
          <w:tcPr>
            <w:tcW w:w="3564" w:type="dxa"/>
          </w:tcPr>
          <w:p w14:paraId="79423C8F" w14:textId="189999EE" w:rsidR="00017C04" w:rsidRDefault="00F50AF9" w:rsidP="00F27F4C">
            <w:pPr>
              <w:spacing w:before="0" w:after="0"/>
              <w:contextualSpacing/>
            </w:pPr>
            <w:r>
              <w:t>Drawing on the full suite of adaptive and control-focused instruments as relevant</w:t>
            </w:r>
            <w:r w:rsidR="00E560BA">
              <w:rPr>
                <w:rFonts w:eastAsia="Batang"/>
              </w:rPr>
              <w:t xml:space="preserve"> (</w:t>
            </w:r>
            <w:r w:rsidR="00E560BA" w:rsidRPr="00E560BA">
              <w:rPr>
                <w:rFonts w:eastAsia="Batang"/>
                <w:b/>
                <w:bCs/>
              </w:rPr>
              <w:t>Figure 6.8</w:t>
            </w:r>
            <w:r w:rsidR="00E560BA">
              <w:rPr>
                <w:rFonts w:eastAsia="Batang"/>
              </w:rPr>
              <w:t>)</w:t>
            </w:r>
            <w:r w:rsidR="00166C0F" w:rsidRPr="00A9434B">
              <w:rPr>
                <w:rFonts w:eastAsia="Batang"/>
              </w:rPr>
              <w:t>,</w:t>
            </w:r>
            <w:r>
              <w:t xml:space="preserve"> including a combination of voluntary measures with regulatory and legislative frameworks</w:t>
            </w:r>
          </w:p>
        </w:tc>
        <w:tc>
          <w:tcPr>
            <w:tcW w:w="2977" w:type="dxa"/>
          </w:tcPr>
          <w:p w14:paraId="7D1A222C" w14:textId="640E59E5" w:rsidR="00017C04" w:rsidRDefault="00F50AF9" w:rsidP="00F27F4C">
            <w:pPr>
              <w:spacing w:before="0" w:after="0"/>
              <w:contextualSpacing/>
            </w:pPr>
            <w:r>
              <w:t>More comprehensive, effective</w:t>
            </w:r>
            <w:r w:rsidR="00896CEC">
              <w:t xml:space="preserve"> and</w:t>
            </w:r>
            <w:r>
              <w:t xml:space="preserve"> efficient governance for biological invasions</w:t>
            </w:r>
          </w:p>
        </w:tc>
        <w:tc>
          <w:tcPr>
            <w:tcW w:w="2126" w:type="dxa"/>
          </w:tcPr>
          <w:p w14:paraId="6E9DE54C" w14:textId="0C2A49B2" w:rsidR="00017C04" w:rsidRPr="00B301D7" w:rsidRDefault="00166C0F" w:rsidP="00F27F4C">
            <w:pPr>
              <w:spacing w:before="0" w:after="0"/>
              <w:contextualSpacing/>
              <w:rPr>
                <w:lang w:val="da-DK"/>
              </w:rPr>
            </w:pPr>
            <w:r w:rsidRPr="00A9434B">
              <w:fldChar w:fldCharType="begin">
                <w:fldData xml:space="preserve">PEVuZE5vdGU+PENpdGU+PEF1dGhvcj5QcmltbWVyPC9BdXRob3I+PFllYXI+MjAxNTwvWWVhcj48
UmVjTnVtPjQ5MjU0PC9SZWNOdW0+PERpc3BsYXlUZXh0PihTaGluZSwgV2lsbGlhbXMgZXQgYWwu
IDIwMDAsIFRlcm1lZXIsIERld3VsZiBldCBhbC4gMjAxMCwgUHJpbW1lciwgSm9raW5lbiBldCBh
bC4gMjAxNSwgSGVycmljayAyMDE5KTwvRGlzcGxheVRleHQ+PHJlY29yZD48cmVjLW51bWJlcj40
OTI1NDwvcmVjLW51bWJlcj48Zm9yZWlnbi1rZXlzPjxrZXkgYXBwPSJFTiIgZGItaWQ9ImF3eDly
YWRkcjB4eDJoZXYwNXJ4cjB6MDV3ZWVwd3B0MGZleCIgdGltZXN0YW1wPSIxNTkyMTA5MzE4Ij40
OTI1NDwva2V5PjwvZm9yZWlnbi1rZXlzPjxyZWYtdHlwZSBuYW1lPSJKb3VybmFsIEFydGljbGUi
PjE3PC9yZWYtdHlwZT48Y29udHJpYnV0b3JzPjxhdXRob3JzPjxhdXRob3I+UHJpbW1lciwgRWV2
YTwvYXV0aG9yPjxhdXRob3I+Sm9raW5lbiwgUGVra2E8L2F1dGhvcj48YXV0aG9yPkJsaWNoYXJz
a2EsIE1hbGdvcnphdGE8L2F1dGhvcj48YXV0aG9yPkJhcnRvbiwgRGF2aWQgTjwvYXV0aG9yPjxh
dXRob3I+QnVndGVyLCBSb2I8L2F1dGhvcj48YXV0aG9yPlBvdHNjaGluLCBNYXJpb248L2F1dGhv
cj48L2F1dGhvcnM+PC9jb250cmlidXRvcnM+PHRpdGxlcz48dGl0bGU+R292ZXJuYW5jZSBvZiBl
Y29zeXN0ZW0gc2VydmljZXM6IGEgZnJhbWV3b3JrIGZvciBlbXBpcmljYWwgYW5hbHlzaXM8L3Rp
dGxlPjxzZWNvbmRhcnktdGl0bGU+RWNvc3lzdGVtIFNlcnZpY2VzPC9zZWNvbmRhcnktdGl0bGU+
PC90aXRsZXM+PHBlcmlvZGljYWw+PGZ1bGwtdGl0bGU+RWNvc3lzdGVtIFNlcnZpY2VzPC9mdWxs
LXRpdGxlPjwvcGVyaW9kaWNhbD48cGFnZXM+MTU4LTE2NjwvcGFnZXM+PHZvbHVtZT4xNjwvdm9s
dW1lPjxkYXRlcz48eWVhcj4yMDE1PC95ZWFyPjwvZGF0ZXM+PGlzYm4+MjIxMi0wNDE2PC9pc2Ju
Pjx1cmxzPjwvdXJscz48L3JlY29yZD48L0NpdGU+PENpdGU+PEF1dGhvcj5IZXJyaWNrPC9BdXRo
b3I+PFllYXI+MjAxOTwvWWVhcj48UmVjTnVtPjQ5MDEyPC9SZWNOdW0+PHJlY29yZD48cmVjLW51
bWJlcj40OTAxMjwvcmVjLW51bWJlcj48Zm9yZWlnbi1rZXlzPjxrZXkgYXBwPSJFTiIgZGItaWQ9
ImF3eDlyYWRkcjB4eDJoZXYwNXJ4cjB6MDV3ZWVwd3B0MGZleCIgdGltZXN0YW1wPSIxNTgxNDk3
MzIwIj40OTAxMjwva2V5PjwvZm9yZWlnbi1rZXlzPjxyZWYtdHlwZSBuYW1lPSJKb3VybmFsIEFy
dGljbGUiPjE3PC9yZWYtdHlwZT48Y29udHJpYnV0b3JzPjxhdXRob3JzPjxhdXRob3I+SGVycmlj
aywgQ2hhcmxlcyBOLjwvYXV0aG9yPjwvYXV0aG9ycz48L2NvbnRyaWJ1dG9ycz48dGl0bGVzPjx0
aXRsZT5BIHJldmlldyBvZiB0aGUgVVMgaW52YXNpdmUgc3BlY2llcyBwb2xpY3kgbWl4OiBRdWVz
dGlvbmluZyB0aGUgcHJvc3BlY3Qgb2YgYW4gaW50ZWdyYXRlZCByZWdpbWU8L3RpdGxlPjxzZWNv
bmRhcnktdGl0bGU+RW52aXJvbm1lbnRhbCBQb2xpY3kgYW5kIEdvdmVybmFuY2U8L3NlY29uZGFy
eS10aXRsZT48L3RpdGxlcz48cGVyaW9kaWNhbD48ZnVsbC10aXRsZT5FbnZpcm9ubWVudGFsIFBv
bGljeSBhbmQgR292ZXJuYW5jZTwvZnVsbC10aXRsZT48L3BlcmlvZGljYWw+PHBhZ2VzPjI2Mi0y
Nzg8L3BhZ2VzPjx2b2x1bWU+Mjk8L3ZvbHVtZT48bnVtYmVyPjQ8L251bWJlcj48ZGF0ZXM+PHll
YXI+MjAxOTwveWVhcj48cHViLWRhdGVzPjxkYXRlPkp1bDwvZGF0ZT48L3B1Yi1kYXRlcz48L2Rh
dGVzPjxpc2JuPjE3NTYtOTMyWDwvaXNibj48YWNjZXNzaW9uLW51bT5XT1M6MDAwNDc4NzM1MDAw
MDAyPC9hY2Nlc3Npb24tbnVtPjx1cmxzPjxyZWxhdGVkLXVybHM+PHVybD4mbHQ7R28gdG8gSVNJ
Jmd0OzovL1dPUzowMDA0Nzg3MzUwMDAwMDI8L3VybD48L3JlbGF0ZWQtdXJscz48L3VybHM+PGVs
ZWN0cm9uaWMtcmVzb3VyY2UtbnVtPjEwLjEwMDIvZWV0LjE4NTI8L2VsZWN0cm9uaWMtcmVzb3Vy
Y2UtbnVtPjwvcmVjb3JkPjwvQ2l0ZT48Q2l0ZT48QXV0aG9yPlNoaW5lPC9BdXRob3I+PFllYXI+
MjAwMDwvWWVhcj48UmVjTnVtPjUwNTIwPC9SZWNOdW0+PHJlY29yZD48cmVjLW51bWJlcj41MDUy
MDwvcmVjLW51bWJlcj48Zm9yZWlnbi1rZXlzPjxrZXkgYXBwPSJFTiIgZGItaWQ9ImF3eDlyYWRk
cjB4eDJoZXYwNXJ4cjB6MDV3ZWVwd3B0MGZleCIgdGltZXN0YW1wPSIxNTk3MDM2NjI3Ij41MDUy
MDwva2V5PjwvZm9yZWlnbi1rZXlzPjxyZWYtdHlwZSBuYW1lPSJCb29rIj42PC9yZWYtdHlwZT48
Y29udHJpYnV0b3JzPjxhdXRob3JzPjxhdXRob3I+U2hpbmUsIEM8L2F1dGhvcj48YXV0aG9yPldp
bGxpYW1zLCBOPC9hdXRob3I+PGF1dGhvcj5Hw7xuZGxpbmcsIEw8L2F1dGhvcj48L2F1dGhvcnM+
PC9jb250cmlidXRvcnM+PHRpdGxlcz48dGl0bGU+QSBndWlkZSB0byBkZXNpZ25pbmcgbGVnYWwg
YW5kIGluc3RpdHV0aW9uYWwgZnJhbWV3b3JrcyBvbiBhbGllbiBpbnZhc2l2ZSBzcGVjaWVzLiYj
eEQ7PC90aXRsZT48L3RpdGxlcz48ZGF0ZXM+PHllYXI+MjAwMDwveWVhcj48L2RhdGVzPjxwdWJs
aXNoZXI+IElVQ04sIEdsYW5kLCBTd2l0emVybGFuZCwgYW5kIENhbWJyaWRnZSwgVUs8L3B1Ymxp
c2hlcj48dXJscz48L3VybHM+PC9yZWNvcmQ+PC9DaXRlPjxDaXRlPjxBdXRob3I+VGVybWVlcjwv
QXV0aG9yPjxZZWFyPjIwMTA8L1llYXI+PFJlY051bT40OTI1NTwvUmVjTnVtPjxyZWNvcmQ+PHJl
Yy1udW1iZXI+NDkyNTU8L3JlYy1udW1iZXI+PGZvcmVpZ24ta2V5cz48a2V5IGFwcD0iRU4iIGRi
LWlkPSJhd3g5cmFkZHIweHgyaGV2MDVyeHIwejA1d2VlcHdwdDBmZXgiIHRpbWVzdGFtcD0iMTU5
MjExMDkzOSI+NDkyNTU8L2tleT48L2ZvcmVpZ24ta2V5cz48cmVmLXR5cGUgbmFtZT0iSm91cm5h
bCBBcnRpY2xlIj4xNzwvcmVmLXR5cGU+PGNvbnRyaWJ1dG9ycz48YXV0aG9ycz48YXV0aG9yPlRl
cm1lZXIsIENhdHJpZW4gSkFNPC9hdXRob3I+PGF1dGhvcj5EZXd1bGYsIEFydDwvYXV0aG9yPjxh
dXRob3I+VmFuIExpZXNob3V0LCBNYWFydGplPC9hdXRob3I+PC9hdXRob3JzPjwvY29udHJpYnV0
b3JzPjx0aXRsZXM+PHRpdGxlPkRpc2VudGFuZ2xpbmcgc2NhbGUgYXBwcm9hY2hlcyBpbiBnb3Zl
cm5hbmNlIHJlc2VhcmNoOiBjb21wYXJpbmcgbW9ub2NlbnRyaWMsIG11bHRpbGV2ZWwsIGFuZCBh
ZGFwdGl2ZSBnb3Zlcm5hbmNlPC90aXRsZT48c2Vjb25kYXJ5LXRpdGxlPkVjb2xvZ3kgYW5kIHNv
Y2lldHk8L3NlY29uZGFyeS10aXRsZT48L3RpdGxlcz48cGVyaW9kaWNhbD48ZnVsbC10aXRsZT5F
Y29sb2d5IGFuZCBTb2NpZXR5PC9mdWxsLXRpdGxlPjxhYmJyLTE+RWNvbC4gU29jLjwvYWJici0x
PjxhYmJyLTI+RWNvbCBTb2M8L2FiYnItMj48L3BlcmlvZGljYWw+PHZvbHVtZT4xNTwvdm9sdW1l
PjxudW1iZXI+NDwvbnVtYmVyPjxkYXRlcz48eWVhcj4yMDEwPC95ZWFyPjwvZGF0ZXM+PGlzYm4+
MTcwOC0zMDg3PC9pc2JuPjx1cmxzPjwvdXJscz48L3JlY29yZD48L0NpdGU+PC9FbmROb3RlPn==
</w:fldData>
              </w:fldChar>
            </w:r>
            <w:r w:rsidRPr="00A9434B">
              <w:instrText xml:space="preserve"> ADDIN EN.CITE </w:instrText>
            </w:r>
            <w:r w:rsidRPr="00A9434B">
              <w:fldChar w:fldCharType="begin">
                <w:fldData xml:space="preserve">PEVuZE5vdGU+PENpdGU+PEF1dGhvcj5QcmltbWVyPC9BdXRob3I+PFllYXI+MjAxNTwvWWVhcj48
UmVjTnVtPjQ5MjU0PC9SZWNOdW0+PERpc3BsYXlUZXh0PihTaGluZSwgV2lsbGlhbXMgZXQgYWwu
IDIwMDAsIFRlcm1lZXIsIERld3VsZiBldCBhbC4gMjAxMCwgUHJpbW1lciwgSm9raW5lbiBldCBh
bC4gMjAxNSwgSGVycmljayAyMDE5KTwvRGlzcGxheVRleHQ+PHJlY29yZD48cmVjLW51bWJlcj40
OTI1NDwvcmVjLW51bWJlcj48Zm9yZWlnbi1rZXlzPjxrZXkgYXBwPSJFTiIgZGItaWQ9ImF3eDly
YWRkcjB4eDJoZXYwNXJ4cjB6MDV3ZWVwd3B0MGZleCIgdGltZXN0YW1wPSIxNTkyMTA5MzE4Ij40
OTI1NDwva2V5PjwvZm9yZWlnbi1rZXlzPjxyZWYtdHlwZSBuYW1lPSJKb3VybmFsIEFydGljbGUi
PjE3PC9yZWYtdHlwZT48Y29udHJpYnV0b3JzPjxhdXRob3JzPjxhdXRob3I+UHJpbW1lciwgRWV2
YTwvYXV0aG9yPjxhdXRob3I+Sm9raW5lbiwgUGVra2E8L2F1dGhvcj48YXV0aG9yPkJsaWNoYXJz
a2EsIE1hbGdvcnphdGE8L2F1dGhvcj48YXV0aG9yPkJhcnRvbiwgRGF2aWQgTjwvYXV0aG9yPjxh
dXRob3I+QnVndGVyLCBSb2I8L2F1dGhvcj48YXV0aG9yPlBvdHNjaGluLCBNYXJpb248L2F1dGhv
cj48L2F1dGhvcnM+PC9jb250cmlidXRvcnM+PHRpdGxlcz48dGl0bGU+R292ZXJuYW5jZSBvZiBl
Y29zeXN0ZW0gc2VydmljZXM6IGEgZnJhbWV3b3JrIGZvciBlbXBpcmljYWwgYW5hbHlzaXM8L3Rp
dGxlPjxzZWNvbmRhcnktdGl0bGU+RWNvc3lzdGVtIFNlcnZpY2VzPC9zZWNvbmRhcnktdGl0bGU+
PC90aXRsZXM+PHBlcmlvZGljYWw+PGZ1bGwtdGl0bGU+RWNvc3lzdGVtIFNlcnZpY2VzPC9mdWxs
LXRpdGxlPjwvcGVyaW9kaWNhbD48cGFnZXM+MTU4LTE2NjwvcGFnZXM+PHZvbHVtZT4xNjwvdm9s
dW1lPjxkYXRlcz48eWVhcj4yMDE1PC95ZWFyPjwvZGF0ZXM+PGlzYm4+MjIxMi0wNDE2PC9pc2Ju
Pjx1cmxzPjwvdXJscz48L3JlY29yZD48L0NpdGU+PENpdGU+PEF1dGhvcj5IZXJyaWNrPC9BdXRo
b3I+PFllYXI+MjAxOTwvWWVhcj48UmVjTnVtPjQ5MDEyPC9SZWNOdW0+PHJlY29yZD48cmVjLW51
bWJlcj40OTAxMjwvcmVjLW51bWJlcj48Zm9yZWlnbi1rZXlzPjxrZXkgYXBwPSJFTiIgZGItaWQ9
ImF3eDlyYWRkcjB4eDJoZXYwNXJ4cjB6MDV3ZWVwd3B0MGZleCIgdGltZXN0YW1wPSIxNTgxNDk3
MzIwIj40OTAxMjwva2V5PjwvZm9yZWlnbi1rZXlzPjxyZWYtdHlwZSBuYW1lPSJKb3VybmFsIEFy
dGljbGUiPjE3PC9yZWYtdHlwZT48Y29udHJpYnV0b3JzPjxhdXRob3JzPjxhdXRob3I+SGVycmlj
aywgQ2hhcmxlcyBOLjwvYXV0aG9yPjwvYXV0aG9ycz48L2NvbnRyaWJ1dG9ycz48dGl0bGVzPjx0
aXRsZT5BIHJldmlldyBvZiB0aGUgVVMgaW52YXNpdmUgc3BlY2llcyBwb2xpY3kgbWl4OiBRdWVz
dGlvbmluZyB0aGUgcHJvc3BlY3Qgb2YgYW4gaW50ZWdyYXRlZCByZWdpbWU8L3RpdGxlPjxzZWNv
bmRhcnktdGl0bGU+RW52aXJvbm1lbnRhbCBQb2xpY3kgYW5kIEdvdmVybmFuY2U8L3NlY29uZGFy
eS10aXRsZT48L3RpdGxlcz48cGVyaW9kaWNhbD48ZnVsbC10aXRsZT5FbnZpcm9ubWVudGFsIFBv
bGljeSBhbmQgR292ZXJuYW5jZTwvZnVsbC10aXRsZT48L3BlcmlvZGljYWw+PHBhZ2VzPjI2Mi0y
Nzg8L3BhZ2VzPjx2b2x1bWU+Mjk8L3ZvbHVtZT48bnVtYmVyPjQ8L251bWJlcj48ZGF0ZXM+PHll
YXI+MjAxOTwveWVhcj48cHViLWRhdGVzPjxkYXRlPkp1bDwvZGF0ZT48L3B1Yi1kYXRlcz48L2Rh
dGVzPjxpc2JuPjE3NTYtOTMyWDwvaXNibj48YWNjZXNzaW9uLW51bT5XT1M6MDAwNDc4NzM1MDAw
MDAyPC9hY2Nlc3Npb24tbnVtPjx1cmxzPjxyZWxhdGVkLXVybHM+PHVybD4mbHQ7R28gdG8gSVNJ
Jmd0OzovL1dPUzowMDA0Nzg3MzUwMDAwMDI8L3VybD48L3JlbGF0ZWQtdXJscz48L3VybHM+PGVs
ZWN0cm9uaWMtcmVzb3VyY2UtbnVtPjEwLjEwMDIvZWV0LjE4NTI8L2VsZWN0cm9uaWMtcmVzb3Vy
Y2UtbnVtPjwvcmVjb3JkPjwvQ2l0ZT48Q2l0ZT48QXV0aG9yPlNoaW5lPC9BdXRob3I+PFllYXI+
MjAwMDwvWWVhcj48UmVjTnVtPjUwNTIwPC9SZWNOdW0+PHJlY29yZD48cmVjLW51bWJlcj41MDUy
MDwvcmVjLW51bWJlcj48Zm9yZWlnbi1rZXlzPjxrZXkgYXBwPSJFTiIgZGItaWQ9ImF3eDlyYWRk
cjB4eDJoZXYwNXJ4cjB6MDV3ZWVwd3B0MGZleCIgdGltZXN0YW1wPSIxNTk3MDM2NjI3Ij41MDUy
MDwva2V5PjwvZm9yZWlnbi1rZXlzPjxyZWYtdHlwZSBuYW1lPSJCb29rIj42PC9yZWYtdHlwZT48
Y29udHJpYnV0b3JzPjxhdXRob3JzPjxhdXRob3I+U2hpbmUsIEM8L2F1dGhvcj48YXV0aG9yPldp
bGxpYW1zLCBOPC9hdXRob3I+PGF1dGhvcj5Hw7xuZGxpbmcsIEw8L2F1dGhvcj48L2F1dGhvcnM+
PC9jb250cmlidXRvcnM+PHRpdGxlcz48dGl0bGU+QSBndWlkZSB0byBkZXNpZ25pbmcgbGVnYWwg
YW5kIGluc3RpdHV0aW9uYWwgZnJhbWV3b3JrcyBvbiBhbGllbiBpbnZhc2l2ZSBzcGVjaWVzLiYj
eEQ7PC90aXRsZT48L3RpdGxlcz48ZGF0ZXM+PHllYXI+MjAwMDwveWVhcj48L2RhdGVzPjxwdWJs
aXNoZXI+IElVQ04sIEdsYW5kLCBTd2l0emVybGFuZCwgYW5kIENhbWJyaWRnZSwgVUs8L3B1Ymxp
c2hlcj48dXJscz48L3VybHM+PC9yZWNvcmQ+PC9DaXRlPjxDaXRlPjxBdXRob3I+VGVybWVlcjwv
QXV0aG9yPjxZZWFyPjIwMTA8L1llYXI+PFJlY051bT40OTI1NTwvUmVjTnVtPjxyZWNvcmQ+PHJl
Yy1udW1iZXI+NDkyNTU8L3JlYy1udW1iZXI+PGZvcmVpZ24ta2V5cz48a2V5IGFwcD0iRU4iIGRi
LWlkPSJhd3g5cmFkZHIweHgyaGV2MDVyeHIwejA1d2VlcHdwdDBmZXgiIHRpbWVzdGFtcD0iMTU5
MjExMDkzOSI+NDkyNTU8L2tleT48L2ZvcmVpZ24ta2V5cz48cmVmLXR5cGUgbmFtZT0iSm91cm5h
bCBBcnRpY2xlIj4xNzwvcmVmLXR5cGU+PGNvbnRyaWJ1dG9ycz48YXV0aG9ycz48YXV0aG9yPlRl
cm1lZXIsIENhdHJpZW4gSkFNPC9hdXRob3I+PGF1dGhvcj5EZXd1bGYsIEFydDwvYXV0aG9yPjxh
dXRob3I+VmFuIExpZXNob3V0LCBNYWFydGplPC9hdXRob3I+PC9hdXRob3JzPjwvY29udHJpYnV0
b3JzPjx0aXRsZXM+PHRpdGxlPkRpc2VudGFuZ2xpbmcgc2NhbGUgYXBwcm9hY2hlcyBpbiBnb3Zl
cm5hbmNlIHJlc2VhcmNoOiBjb21wYXJpbmcgbW9ub2NlbnRyaWMsIG11bHRpbGV2ZWwsIGFuZCBh
ZGFwdGl2ZSBnb3Zlcm5hbmNlPC90aXRsZT48c2Vjb25kYXJ5LXRpdGxlPkVjb2xvZ3kgYW5kIHNv
Y2lldHk8L3NlY29uZGFyeS10aXRsZT48L3RpdGxlcz48cGVyaW9kaWNhbD48ZnVsbC10aXRsZT5F
Y29sb2d5IGFuZCBTb2NpZXR5PC9mdWxsLXRpdGxlPjxhYmJyLTE+RWNvbC4gU29jLjwvYWJici0x
PjxhYmJyLTI+RWNvbCBTb2M8L2FiYnItMj48L3BlcmlvZGljYWw+PHZvbHVtZT4xNTwvdm9sdW1l
PjxudW1iZXI+NDwvbnVtYmVyPjxkYXRlcz48eWVhcj4yMDEwPC95ZWFyPjwvZGF0ZXM+PGlzYm4+
MTcwOC0zMDg3PC9pc2JuPjx1cmxzPjwvdXJscz48L3JlY29yZD48L0NpdGU+PC9FbmROb3RlPn==
</w:fldData>
              </w:fldChar>
            </w:r>
            <w:r w:rsidRPr="00A9434B">
              <w:instrText xml:space="preserve"> ADDIN EN.CITE.DATA </w:instrText>
            </w:r>
            <w:r w:rsidRPr="00A9434B">
              <w:fldChar w:fldCharType="end"/>
            </w:r>
            <w:r w:rsidRPr="00A9434B">
              <w:fldChar w:fldCharType="separate"/>
            </w:r>
            <w:r w:rsidR="007836D9" w:rsidRPr="00A9434B">
              <w:fldChar w:fldCharType="begin"/>
            </w:r>
            <w:r w:rsidR="0006613E">
              <w:instrText xml:space="preserve"> ADDIN ZOTERO_ITEM CSL_CITATION {"citationID":"a4p2b1us50","properties":{"formattedCitation":"(Herrick, 2019; Primmer et al., 2015; Shine et al., 2000; Termeer et al., 2010)","plainCitation":"(Herrick, 2019; Primmer et al., 2015; Shine et al., 2000; Termeer et al., 2010)","noteIndex":0},"citationItems":[{"id":23536,"uris":["http://zotero.org/groups/2352922/items/CJ7IDGDF"],"itemData":{"id":23536,"type":"article-journal","abstract":"By some accounts, invasive species pose the second greatest threat to global biodiversity after habitat destruction. In addition to their ecological impacts, invasive species cause a wide range of economic and social damages. In recent years, scholars and policy officials have called for recalibration of U.S. invasive species policy, with some advocating a tightly integrated policy regime addressing a broad spectrum of activity, including predictive assessment of invasion pathways, prevention of introduction and spread, control of established populations, eradication of selecte</w:instrText>
            </w:r>
            <w:r w:rsidR="0006613E">
              <w:rPr>
                <w:rFonts w:hint="eastAsia"/>
              </w:rPr>
              <w:instrText>d populations, and establishment of high</w:instrText>
            </w:r>
            <w:r w:rsidR="0006613E">
              <w:rPr>
                <w:rFonts w:hint="eastAsia"/>
              </w:rPr>
              <w:instrText>‐</w:instrText>
            </w:r>
            <w:r w:rsidR="0006613E">
              <w:rPr>
                <w:rFonts w:hint="eastAsia"/>
              </w:rPr>
              <w:instrText xml:space="preserve">level coordination bodies. In this paper, I draw upon the policy integration literature and apply a regime construct to review the proposition that the existing mix of U.S. invasive species policies can and should </w:instrText>
            </w:r>
            <w:r w:rsidR="0006613E">
              <w:instrText xml:space="preserve">be more tightly integrated. By way of conclusion, I suggest that the current policy mix is not exhausted and recommend a program evaluation process framed to characterize and assess factors and conditions that might influence the comparative effectiveness of strategic alternatives to integration, such as coping and taming.","container-title":"Environmental Policy and Governance","DOI":"10.1002/eet.1852","ISSN":"1756-932X","issue":"4","page":"262-278","source":"Wiley Online Library","title":"A review of the U.S. invasive species policy mix: Questioning the prospect of an integrated regime","URL":"https://onlinelibrary.wiley.com/doi/abs/10.1002/eet.1852","volume":"29","author":[{"family":"Herrick","given":"Charles N."}],"issued":{"date-parts":[["2019",7]]}},"label":"page"},{"id":24254,"uris":["http://zotero.org/groups/2352922/items/LLCPTQ6P"],"itemData":{"id":24254,"type":"article-journal","abstract":"Biodiversity conservation policies justiﬁed with science and intrinsic value arguments have produced disappointing outcomes, and the need for conservation is now being additionally justiﬁed with the concept of ecosystem services. However, little, if any empirical attention is paid to ways in which different types of ecosystem service decisions are made, to what arguments are effective in turning policy into practice and further into conservation outcomes and, in general, to how ecosystem services are governed. To close this gap, this paper identiﬁes the different modes of governance in policy implementation from biodiversity and environmental conservation literature and incorporates them in a conceptual model of ecosystem services commonly utilised at present, the cascade model. The resulting conceptual framework encompasses: (1) hierarchical governance; (2) scientiﬁc-technical governance; (3) adaptive collaborative governance; and; (4) governing strategic behaviour. This comprehensive framework provides a structure for empirical analysis of ecosystem services governance, which takes into account the people and organisations making decisions, and, in particular, the different arguments that are used when implementing policies. The framework will facilitate holistic ecosystem service analyses and support policies in generating conservation and sustainability impact.","container-title":"Ecosystem Services","DOI":"10.1016/j.ecoser.2015.05.002","ISSN":"22120416","journalAbbreviation":"Ecosystem Services","language":"en","page":"158-166","source":"DOI.org (Crossref)","title":"Governance of Ecosystem Services: A framework for empirical analysis","title-short":"Governance of Ecosystem Services","URL":"https://linkinghub.elsevier.com/retrieve/pii/S2212041615300012","volume":"16","author":[{"family":"Primmer","given":"Eeva"},{"family":"Jokinen","given":"Pekka"},{"family":"Blicharska","given":"Malgorzata"},{"family":"Barton","given":"David N."},{"family":"Bugter","given":"Rob"},{"family":"Potschin","given":"Marion"}],"accessed":{"date-parts":[["2020",6,10]]},"issued":{"date-parts":[["2015",12]]}},"label":"page"},{"id":30156,"uris":["http://zotero.org/groups/2352922/items/V3QBL2ER"],"itemData":{"id":30156,"type":"book","collection-number":"No. 40","collection-title":"Environmental Policy and Law Paper","event-place":"Gland, Switzerland Cambridge and Bonn","ISBN":"2-8317-0548-7","publisher":"IUCN","publisher-place":"Gland, Switzerland Cambridge and Bonn","title":"A guide to designing legal and institutional frameworks on alien invasive species","URL":"https://www.nobanis.org/globalassets/articlesreports/a-guide-to-designing-legal-framework-on-ias.pdf","author":[{"family":"Shine","given":"C."},{"family":"Williams","given":"Nattley"},{"family":"Gündling","given":"Lothar"}],"issued":{"date-parts":[["2000"]]}},"label":"page"},{"id":11542,"uris":["http://zotero.org/groups/2352922/items/42SUSHIG"],"itemData":{"id":11542,"type":"article-journal","container-title":"Ecology and Society","ISSN":"1708-3087","issue":"4","journalAbbreviation":"Ecol. Soc.","page":"29","title":"Disentangling scale approaches in governance research: comparing monocentric, multilevel, and adaptive governance","URL":"http://www.ecologyandsociety.org/vol15/iss4/art29/","volume":"15","author":[{"family":"Termeer","given":"C. J. A. M."},{"family":"Dewulf","given":"Art"},{"family":"Van Lieshout","given":"Maartje"}],"issued":{"date-parts":[["2010"]]}},"label":"page"}],"schema":"https://github.com/citation-style-language/schema/raw/master/csl-citation.json"} </w:instrText>
            </w:r>
            <w:r w:rsidR="007836D9" w:rsidRPr="00A9434B">
              <w:fldChar w:fldCharType="separate"/>
            </w:r>
            <w:r w:rsidR="00E452E2" w:rsidRPr="00E452E2">
              <w:t>(Herrick, 2019; Primmer et al., 2015; Shine et al., 2000; Termeer et al., 2010)</w:t>
            </w:r>
            <w:r w:rsidR="007836D9" w:rsidRPr="00A9434B">
              <w:fldChar w:fldCharType="end"/>
            </w:r>
            <w:r w:rsidRPr="00A9434B">
              <w:fldChar w:fldCharType="end"/>
            </w:r>
          </w:p>
        </w:tc>
      </w:tr>
      <w:tr w:rsidR="00017C04" w14:paraId="7E0F8E82" w14:textId="77777777" w:rsidTr="00B301D7">
        <w:tc>
          <w:tcPr>
            <w:tcW w:w="542" w:type="dxa"/>
          </w:tcPr>
          <w:p w14:paraId="5628DF50" w14:textId="77777777" w:rsidR="00017C04" w:rsidRDefault="00F50AF9">
            <w:r>
              <w:t>4</w:t>
            </w:r>
          </w:p>
        </w:tc>
        <w:tc>
          <w:tcPr>
            <w:tcW w:w="3564" w:type="dxa"/>
          </w:tcPr>
          <w:p w14:paraId="790BDD6C" w14:textId="76C98659" w:rsidR="00017C04" w:rsidRDefault="00F50AF9" w:rsidP="00F27F4C">
            <w:pPr>
              <w:spacing w:before="0" w:after="0"/>
              <w:contextualSpacing/>
            </w:pPr>
            <w:r>
              <w:t>Inter-agency coordination to co-ordinate across policies and agencies and to monitor (stakeholder and Indigenous Peoples and local communit</w:t>
            </w:r>
            <w:r w:rsidR="00351A46">
              <w:t>ies</w:t>
            </w:r>
            <w:r>
              <w:t xml:space="preserve">-wide or) government-wide activity </w:t>
            </w:r>
          </w:p>
        </w:tc>
        <w:tc>
          <w:tcPr>
            <w:tcW w:w="2977" w:type="dxa"/>
          </w:tcPr>
          <w:p w14:paraId="573A5E83" w14:textId="77777777" w:rsidR="00017C04" w:rsidRDefault="00F50AF9" w:rsidP="00F27F4C">
            <w:pPr>
              <w:spacing w:before="0" w:after="0"/>
              <w:contextualSpacing/>
            </w:pPr>
            <w:r>
              <w:t>Increased efficiency and effectiveness of resource allocation and knowledge sharing</w:t>
            </w:r>
          </w:p>
        </w:tc>
        <w:tc>
          <w:tcPr>
            <w:tcW w:w="2126" w:type="dxa"/>
          </w:tcPr>
          <w:p w14:paraId="75489F2E" w14:textId="3EB538ED" w:rsidR="00017C04" w:rsidRDefault="00CD40BE" w:rsidP="00F27F4C">
            <w:pPr>
              <w:spacing w:before="0" w:after="0"/>
              <w:contextualSpacing/>
            </w:pPr>
            <w:r w:rsidRPr="00A9434B">
              <w:rPr>
                <w:rFonts w:eastAsia="Batang"/>
              </w:rPr>
              <w:fldChar w:fldCharType="begin"/>
            </w:r>
            <w:r w:rsidRPr="00A9434B">
              <w:rPr>
                <w:rFonts w:eastAsia="Batang"/>
              </w:rPr>
              <w:instrText xml:space="preserve"> ADDIN EN.CITE &lt;EndNote&gt;&lt;Cite&gt;&lt;Author&gt;Daviter&lt;/Author&gt;&lt;Year&gt;2017&lt;/Year&gt;&lt;RecNum&gt;49206&lt;/RecNum&gt;&lt;DisplayText&gt;(Daviter 2017)&lt;/DisplayText&gt;&lt;record&gt;&lt;rec-number&gt;49206&lt;/rec-number&gt;&lt;foreign-keys&gt;&lt;key app="EN" db-id="awx9raddr0xx2hev05rxr0z05weepwpt0fex" timestamp="1583638483"&gt;49206&lt;/key&gt;&lt;/foreign-keys&gt;&lt;ref-type name="Journal Article"&gt;17&lt;/ref-type&gt;&lt;contributors&gt;&lt;authors&gt;&lt;author&gt;Daviter, F.&lt;/author&gt;&lt;/authors&gt;&lt;/contributors&gt;&lt;titles&gt;&lt;title&gt;Coping, taming or solving: alternative approaches to the governance of wicked problems&lt;/title&gt;&lt;secondary-title&gt;Policy Studies&lt;/secondary-title&gt;&lt;/titles&gt;&lt;periodical&gt;&lt;full-title&gt;Policy Studies&lt;/full-title&gt;&lt;/periodical&gt;&lt;pages&gt;571-588&lt;/pages&gt;&lt;volume&gt;38&lt;/volume&gt;&lt;number&gt;6&lt;/number&gt;&lt;dates&gt;&lt;year&gt;2017&lt;/year&gt;&lt;/dates&gt;&lt;isbn&gt;0144-2872&lt;/isbn&gt;&lt;accession-num&gt;WOS:000415736600003&lt;/accession-num&gt;&lt;urls&gt;&lt;related-urls&gt;&lt;url&gt;&amp;lt;Go to ISI&amp;gt;://WOS:000415736600003&lt;/url&gt;&lt;/related-urls&gt;&lt;/urls&gt;&lt;electronic-resource-num&gt;10.1080/01442872.2017.1384543&lt;/electronic-resource-num&gt;&lt;/record&gt;&lt;/Cite&gt;&lt;/EndNote&gt;</w:instrText>
            </w:r>
            <w:r w:rsidRPr="00A9434B">
              <w:rPr>
                <w:rFonts w:eastAsia="Batang"/>
              </w:rPr>
              <w:fldChar w:fldCharType="separate"/>
            </w:r>
            <w:r w:rsidRPr="00A9434B">
              <w:rPr>
                <w:rFonts w:eastAsia="Batang"/>
              </w:rPr>
              <w:fldChar w:fldCharType="begin"/>
            </w:r>
            <w:r w:rsidR="0006613E">
              <w:rPr>
                <w:rFonts w:eastAsia="Batang"/>
              </w:rPr>
              <w:instrText xml:space="preserve"> ADDIN ZOTERO_ITEM CSL_CITATION {"citationID":"x02aJHTC","properties":{"formattedCitation":"(Daviter, 2017; Herrick, 2019)","plainCitation":"(Daviter, 2017; Herrick, 2019)","noteIndex":0},"citationItems":[{"id":53568,"uris":["http://zotero.org/groups/2352922/items/5SYHFE2I"],"itemData":{"id":53568,"type":"article-journal","container-title":"Policy Studies","DOI":"10.1080/01442872.2017.1384543","ISSN":"0144-2872","issue":"6","page":"571-588","title":"Coping, taming or solving: alternative approaches to the governance of wicked problems","volume":"38","author":[{"family":"Daviter","given":"F."}],"issued":{"date-parts":[["2017"]]}}},{"id":23536,"uris":["http://zotero.org/groups/2352922/items/CJ7IDGDF"],"itemData":{"id":23536,"type":"article-journal","abstract":"By some accounts, invasive species pose the second greatest threat to global biodiversity after habitat destruction. In addition to their ecological impacts, invasive species cause a wide range of economic and social damages. In recent years, scholars and policy officials have called for recalibration of U.S. invasive species policy, with some advocating a tightly integrated policy regime addressing a broad spectrum of activity, including predictive assessment of invasion pathways, prevention of introduction and spread, control of established populations, eradication of selected populations, and establishment of high</w:instrText>
            </w:r>
            <w:r w:rsidR="0006613E">
              <w:rPr>
                <w:rFonts w:ascii="ＭＳ 明朝" w:eastAsia="ＭＳ 明朝" w:hAnsi="ＭＳ 明朝" w:cs="ＭＳ 明朝" w:hint="eastAsia"/>
              </w:rPr>
              <w:instrText>‐</w:instrText>
            </w:r>
            <w:r w:rsidR="0006613E">
              <w:rPr>
                <w:rFonts w:eastAsia="Batang"/>
              </w:rPr>
              <w:instrText xml:space="preserve">level coordination bodies. In this paper, I draw upon the policy integration literature and apply a regime construct to review the proposition that the existing mix of U.S. invasive species policies can and should be more tightly integrated. By way of conclusion, I suggest that the current policy mix is not exhausted and recommend a program evaluation process framed to characterize and assess factors and conditions that might influence the comparative effectiveness of strategic alternatives to integration, such as coping and taming.","container-title":"Environmental Policy and Governance","DOI":"10.1002/eet.1852","ISSN":"1756-932X","issue":"4","page":"262-278","source":"Wiley Online Library","title":"A review of the U.S. invasive species policy mix: Questioning the prospect of an integrated regime","URL":"https://onlinelibrary.wiley.com/doi/abs/10.1002/eet.1852","volume":"29","author":[{"family":"Herrick","given":"Charles N."}],"issued":{"date-parts":[["2019",7]]}}}],"schema":"https://github.com/citation-style-language/schema/raw/master/csl-citation.json"} </w:instrText>
            </w:r>
            <w:r w:rsidRPr="00A9434B">
              <w:rPr>
                <w:rFonts w:eastAsia="Batang"/>
              </w:rPr>
              <w:fldChar w:fldCharType="separate"/>
            </w:r>
            <w:r w:rsidR="00C71E80" w:rsidRPr="00A9434B">
              <w:t>(Daviter, 2017; Herrick, 2019)</w:t>
            </w:r>
            <w:r w:rsidRPr="00A9434B">
              <w:rPr>
                <w:rFonts w:eastAsia="Batang"/>
              </w:rPr>
              <w:fldChar w:fldCharType="end"/>
            </w:r>
            <w:r w:rsidRPr="00A9434B">
              <w:rPr>
                <w:rFonts w:eastAsia="Batang"/>
              </w:rPr>
              <w:fldChar w:fldCharType="end"/>
            </w:r>
          </w:p>
        </w:tc>
      </w:tr>
      <w:tr w:rsidR="00017C04" w14:paraId="4017F78F" w14:textId="77777777" w:rsidTr="00B301D7">
        <w:tc>
          <w:tcPr>
            <w:tcW w:w="542" w:type="dxa"/>
          </w:tcPr>
          <w:p w14:paraId="35DB1986" w14:textId="77777777" w:rsidR="00017C04" w:rsidRDefault="00F50AF9">
            <w:r>
              <w:t>5</w:t>
            </w:r>
          </w:p>
        </w:tc>
        <w:tc>
          <w:tcPr>
            <w:tcW w:w="3564" w:type="dxa"/>
          </w:tcPr>
          <w:p w14:paraId="316EECBE" w14:textId="7A3B5D40" w:rsidR="00017C04" w:rsidRDefault="00F50AF9" w:rsidP="00F27F4C">
            <w:pPr>
              <w:spacing w:before="0" w:after="0"/>
              <w:contextualSpacing/>
            </w:pPr>
            <w:r>
              <w:t>High autonomy for decision</w:t>
            </w:r>
            <w:r w:rsidR="00941B41">
              <w:t xml:space="preserve"> </w:t>
            </w:r>
            <w:r>
              <w:t>makers combined with strong, coherent, overarching policy</w:t>
            </w:r>
          </w:p>
        </w:tc>
        <w:tc>
          <w:tcPr>
            <w:tcW w:w="2977" w:type="dxa"/>
          </w:tcPr>
          <w:p w14:paraId="077CFE4F" w14:textId="77777777" w:rsidR="00017C04" w:rsidRDefault="00F50AF9" w:rsidP="00F27F4C">
            <w:pPr>
              <w:spacing w:before="0" w:after="0"/>
              <w:contextualSpacing/>
            </w:pPr>
            <w:r>
              <w:t>More efficient and targeted local solutions</w:t>
            </w:r>
          </w:p>
        </w:tc>
        <w:tc>
          <w:tcPr>
            <w:tcW w:w="2126" w:type="dxa"/>
          </w:tcPr>
          <w:p w14:paraId="6134C289" w14:textId="32BA28F6" w:rsidR="00017C04" w:rsidRDefault="00166C0F" w:rsidP="00F27F4C">
            <w:pPr>
              <w:spacing w:before="0" w:after="0"/>
              <w:contextualSpacing/>
            </w:pPr>
            <w:r w:rsidRPr="00A9434B">
              <w:rPr>
                <w:rFonts w:eastAsia="Batang"/>
              </w:rPr>
              <w:fldChar w:fldCharType="begin"/>
            </w:r>
            <w:r w:rsidRPr="00A9434B">
              <w:rPr>
                <w:rFonts w:eastAsia="Batang"/>
              </w:rPr>
              <w:instrText xml:space="preserve"> ADDIN EN.CITE &lt;EndNote&gt;&lt;Cite&gt;&lt;Author&gt;Vaas&lt;/Author&gt;&lt;Year&gt;2017&lt;/Year&gt;&lt;RecNum&gt;49076&lt;/RecNum&gt;&lt;DisplayText&gt;(Vaas, Driessen et al. 2017)&lt;/DisplayText&gt;&lt;record&gt;&lt;rec-number&gt;49076&lt;/rec-number&gt;&lt;foreign-keys&gt;&lt;key app="EN" db-id="awx9raddr0xx2hev05rxr0z05weepwpt0fex" timestamp="1581497320"&gt;49076&lt;/key&gt;&lt;/foreign-keys&gt;&lt;ref-type name="Journal Article"&gt;17&lt;/ref-type&gt;&lt;contributors&gt;&lt;authors&gt;&lt;author&gt;Vaas, Jetske&lt;/author&gt;&lt;author&gt;Driessen, Peter P. J.&lt;/author&gt;&lt;author&gt;Giezen, Mendel&lt;/author&gt;&lt;author&gt;van Laerhoven, Frank&lt;/author&gt;&lt;author&gt;Wassen, Martin J.&lt;/author&gt;&lt;/authors&gt;&lt;/contributors&gt;&lt;titles&gt;&lt;title&gt;Who&amp;apos;s in charge here anyway? Polycentric governance configurations and the development of policy on invasive alien species in the semisovereign Caribbean&lt;/title&gt;&lt;secondary-title&gt;Ecology and Society&lt;/secondary-title&gt;&lt;/titles&gt;&lt;periodical&gt;&lt;full-title&gt;Ecology and Society&lt;/full-title&gt;&lt;abbr-1&gt;Ecol. Soc.&lt;/abbr-1&gt;&lt;abbr-2&gt;Ecol Soc&lt;/abbr-2&gt;&lt;/periodical&gt;&lt;volume&gt;22&lt;/volume&gt;&lt;number&gt;4&lt;/number&gt;&lt;dates&gt;&lt;year&gt;2017&lt;/year&gt;&lt;pub-dates&gt;&lt;date&gt;2017&lt;/date&gt;&lt;/pub-dates&gt;&lt;/dates&gt;&lt;isbn&gt;1708-3087&lt;/isbn&gt;&lt;accession-num&gt;WOS:000419351000003&lt;/accession-num&gt;&lt;urls&gt;&lt;related-urls&gt;&lt;url&gt;&amp;lt;Go to ISI&amp;gt;://WOS:000419351000003&lt;/url&gt;&lt;/related-urls&gt;&lt;/urls&gt;&lt;custom7&gt;1&lt;/custom7&gt;&lt;electronic-resource-num&gt;10.5751/es-09487-220401&lt;/electronic-resource-num&gt;&lt;/record&gt;&lt;/Cite&gt;&lt;/EndNote&gt;</w:instrText>
            </w:r>
            <w:r w:rsidRPr="00A9434B">
              <w:rPr>
                <w:rFonts w:eastAsia="Batang"/>
              </w:rPr>
              <w:fldChar w:fldCharType="separate"/>
            </w:r>
            <w:r w:rsidR="007836D9" w:rsidRPr="00A9434B">
              <w:rPr>
                <w:rFonts w:eastAsia="Batang"/>
              </w:rPr>
              <w:fldChar w:fldCharType="begin"/>
            </w:r>
            <w:r w:rsidR="0006613E">
              <w:rPr>
                <w:rFonts w:eastAsia="Batang"/>
              </w:rPr>
              <w:instrText xml:space="preserve"> ADDIN ZOTERO_ITEM CSL_CITATION {"citationID":"a14gsgqegsh","properties":{"formattedCitation":"(Vaas et al., 2017)","plainCitation":"(Vaas et al., 2017)","noteIndex":0},"citationItems":[{"id":11426,"uris":["http://zotero.org/groups/2352922/items/I2E6MVQB"],"itemData":{"id":11426,"type":"article-journal","abstract":"We address the development of policy by polycentric governance configurations, taking Caribbean overseas territories and their advancements on invasive alien species (IAS) policy as an example. The British, Dutch, and French islands in the Caribbean address this matter to different degrees, which we analyzed through differences in their type of polycentric governance configuration with their respective European counterpart. We employ a continuum ranging from predominantly polycentric to predominantly monocentric governance configurations to characterize the three case studies. Based on semistructured interviews with government actors, park managers, and NGO employees on Anguilla, Guadeloupe, and St. Eustatius, plus a literature study, we characterize St. Eustatius as highly polycentric and Guadeloupe as becoming increasingly polycentric. Anguilla cannot be considered either of the two, given the virtually absent involvement of the UK. Policy development on IAS showed most progress in Guadeloupe, whereas in Anguilla and St. Eustatius, IAS management is ad hoc. Within these cases, the hampering effect of dispute about the functioning of the configuration was clear. For Guadeloupe, increasing autonomy to decide on policy priorities within a coherent system where standards are set and ample resources made available appears conducive to policy development. That same balance inherent to polycentric systems between autonomy and coherence is hard to strike for St. Eustatius, and currently mainly perceived as a trade-off, hampering policy development. By discussing these three cases, this study illustrates how different polycentric configurations can affect policy development.","container-title":"Ecology and Society","DOI":"10.5751/ES-09487-220401","ISSN":"1708-3087","issue":"4","journalAbbreviation":"E&amp;S","language":"en","page":"1","source":"DOI.org (Crossref)","title":"Who's in charge here anyway? Polycentric governance configurations and the development of policy on invasive alien species in the semisovereign Caribbean","title-short":"Who's in charge here anyway?","URL":"https://www.ecologyandsociety.org/vol22/iss4/art1/","volume":"22","author":[{"family":"Vaas","given":"Jetske"},{"family":"Driessen","given":"Peter P. J."},{"family":"Giezen","given":"Mendel"},{"family":"Laerhoven","given":"Frank","non-dropping-particle":"van"},{"family":"Wassen","given":"Martin J."}],"accessed":{"date-parts":[["2019",11,6]]},"issued":{"date-parts":[["2017"]]}},"label":"page"}],"schema":"https://github.com/citation-style-language/schema/raw/master/csl-citation.json"} </w:instrText>
            </w:r>
            <w:r w:rsidR="007836D9" w:rsidRPr="00A9434B">
              <w:rPr>
                <w:rFonts w:eastAsia="Batang"/>
              </w:rPr>
              <w:fldChar w:fldCharType="separate"/>
            </w:r>
            <w:r w:rsidR="00C71E80" w:rsidRPr="00A9434B">
              <w:t>(Vaas et al., 2017)</w:t>
            </w:r>
            <w:r w:rsidR="007836D9" w:rsidRPr="00A9434B">
              <w:rPr>
                <w:rFonts w:eastAsia="Batang"/>
              </w:rPr>
              <w:fldChar w:fldCharType="end"/>
            </w:r>
            <w:r w:rsidRPr="00A9434B">
              <w:rPr>
                <w:rFonts w:eastAsia="Batang"/>
              </w:rPr>
              <w:fldChar w:fldCharType="end"/>
            </w:r>
          </w:p>
        </w:tc>
      </w:tr>
      <w:tr w:rsidR="00017C04" w14:paraId="724D244F" w14:textId="77777777" w:rsidTr="00B301D7">
        <w:tc>
          <w:tcPr>
            <w:tcW w:w="542" w:type="dxa"/>
          </w:tcPr>
          <w:p w14:paraId="7280F11A" w14:textId="77777777" w:rsidR="00017C04" w:rsidRDefault="00F50AF9">
            <w:r>
              <w:t>6</w:t>
            </w:r>
          </w:p>
        </w:tc>
        <w:tc>
          <w:tcPr>
            <w:tcW w:w="3564" w:type="dxa"/>
          </w:tcPr>
          <w:p w14:paraId="57AE6F93" w14:textId="77777777" w:rsidR="00017C04" w:rsidRDefault="00F50AF9" w:rsidP="00F27F4C">
            <w:pPr>
              <w:spacing w:before="0" w:after="0"/>
              <w:contextualSpacing/>
            </w:pPr>
            <w:r>
              <w:t xml:space="preserve">Strategic and programmatic coordination that has adequate resourcing and authority to enable coordination </w:t>
            </w:r>
          </w:p>
        </w:tc>
        <w:tc>
          <w:tcPr>
            <w:tcW w:w="2977" w:type="dxa"/>
          </w:tcPr>
          <w:p w14:paraId="59FB416D" w14:textId="77777777" w:rsidR="00017C04" w:rsidRDefault="00F50AF9" w:rsidP="00F27F4C">
            <w:pPr>
              <w:spacing w:before="0" w:after="0"/>
              <w:contextualSpacing/>
            </w:pPr>
            <w:r>
              <w:t>Improved effectiveness of implementation measures</w:t>
            </w:r>
          </w:p>
        </w:tc>
        <w:tc>
          <w:tcPr>
            <w:tcW w:w="2126" w:type="dxa"/>
          </w:tcPr>
          <w:p w14:paraId="1709E970" w14:textId="722BFAD5" w:rsidR="00017C04" w:rsidRDefault="00424414" w:rsidP="00F27F4C">
            <w:pPr>
              <w:spacing w:before="0" w:after="0"/>
              <w:contextualSpacing/>
            </w:pPr>
            <w:r w:rsidRPr="00A9434B">
              <w:rPr>
                <w:rFonts w:eastAsia="Batang"/>
              </w:rPr>
              <w:fldChar w:fldCharType="begin"/>
            </w:r>
            <w:r w:rsidRPr="00A9434B">
              <w:rPr>
                <w:rFonts w:eastAsia="Batang"/>
              </w:rPr>
              <w:instrText xml:space="preserve"> ADDIN EN.CITE &lt;EndNote&gt;&lt;Cite&gt;&lt;Author&gt;Daviter&lt;/Author&gt;&lt;Year&gt;2017&lt;/Year&gt;&lt;RecNum&gt;49206&lt;/RecNum&gt;&lt;DisplayText&gt;(Daviter 2017)&lt;/DisplayText&gt;&lt;record&gt;&lt;rec-number&gt;49206&lt;/rec-number&gt;&lt;foreign-keys&gt;&lt;key app="EN" db-id="awx9raddr0xx2hev05rxr0z05weepwpt0fex" timestamp="1583638483"&gt;49206&lt;/key&gt;&lt;/foreign-keys&gt;&lt;ref-type name="Journal Article"&gt;17&lt;/ref-type&gt;&lt;contributors&gt;&lt;authors&gt;&lt;author&gt;Daviter, F.&lt;/author&gt;&lt;/authors&gt;&lt;/contributors&gt;&lt;titles&gt;&lt;title&gt;Coping, taming or solving: alternative approaches to the governance of wicked problems&lt;/title&gt;&lt;secondary-title&gt;Policy Studies&lt;/secondary-title&gt;&lt;/titles&gt;&lt;periodical&gt;&lt;full-title&gt;Policy Studies&lt;/full-title&gt;&lt;/periodical&gt;&lt;pages&gt;571-588&lt;/pages&gt;&lt;volume&gt;38&lt;/volume&gt;&lt;number&gt;6&lt;/number&gt;&lt;dates&gt;&lt;year&gt;2017&lt;/year&gt;&lt;/dates&gt;&lt;isbn&gt;0144-2872&lt;/isbn&gt;&lt;accession-num&gt;WOS:000415736600003&lt;/accession-num&gt;&lt;urls&gt;&lt;related-urls&gt;&lt;url&gt;&amp;lt;Go to ISI&amp;gt;://WOS:000415736600003&lt;/url&gt;&lt;/related-urls&gt;&lt;/urls&gt;&lt;electronic-resource-num&gt;10.1080/01442872.2017.1384543&lt;/electronic-resource-num&gt;&lt;/record&gt;&lt;/Cite&gt;&lt;/EndNote&gt;</w:instrText>
            </w:r>
            <w:r w:rsidRPr="00A9434B">
              <w:rPr>
                <w:rFonts w:eastAsia="Batang"/>
              </w:rPr>
              <w:fldChar w:fldCharType="separate"/>
            </w:r>
            <w:r w:rsidRPr="00A9434B">
              <w:rPr>
                <w:rFonts w:eastAsia="Batang"/>
              </w:rPr>
              <w:fldChar w:fldCharType="begin"/>
            </w:r>
            <w:r w:rsidR="0006613E">
              <w:rPr>
                <w:rFonts w:eastAsia="Batang"/>
              </w:rPr>
              <w:instrText xml:space="preserve"> ADDIN ZOTERO_ITEM CSL_CITATION {"citationID":"tn3tdYET","properties":{"formattedCitation":"(Daviter, 2017; Herrick, 2019)","plainCitation":"(Daviter, 2017; Herrick, 2019)","noteIndex":0},"citationItems":[{"id":53568,"uris":["http://zotero.org/groups/2352922/items/5SYHFE2I"],"itemData":{"id":53568,"type":"article-journal","container-title":"Policy Studies","DOI":"10.1080/01442872.2017.1384543","ISSN":"0144-2872","issue":"6","page":"571-588","title":"Coping, taming or solving: alternative approaches to the governance of wicked problems","volume":"38","author":[{"family":"Daviter","given":"F."}],"issued":{"date-parts":[["2017"]]}}},{"id":23536,"uris":["http://zotero.org/groups/2352922/items/CJ7IDGDF"],"itemData":{"id":23536,"type":"article-journal","abstract":"By some accounts, invasive species pose the second greatest threat to global biodiversity after habitat destruction. In addition to their ecological impacts, invasive species cause a wide range of economic and social damages. In recent years, scholars and policy officials have called for recalibration of U.S. invasive species policy, with some advocating a tightly integrated policy regime addressing a broad spectrum of activity, including predictive assessment of invasion pathways, prevention of introduction and spread, control of established populations, eradication of selected populations, and establishment of high</w:instrText>
            </w:r>
            <w:r w:rsidR="0006613E">
              <w:rPr>
                <w:rFonts w:ascii="ＭＳ 明朝" w:eastAsia="ＭＳ 明朝" w:hAnsi="ＭＳ 明朝" w:cs="ＭＳ 明朝" w:hint="eastAsia"/>
              </w:rPr>
              <w:instrText>‐</w:instrText>
            </w:r>
            <w:r w:rsidR="0006613E">
              <w:rPr>
                <w:rFonts w:eastAsia="Batang"/>
              </w:rPr>
              <w:instrText xml:space="preserve">level coordination bodies. In this paper, I draw upon the policy integration literature and apply a regime construct to review the proposition that the existing mix of U.S. invasive species policies can and should be more tightly integrated. By way of conclusion, I suggest that the current policy mix is not exhausted and recommend a program evaluation process framed to characterize and assess factors and conditions that might influence the comparative effectiveness of strategic alternatives to integration, such as coping and taming.","container-title":"Environmental Policy and Governance","DOI":"10.1002/eet.1852","ISSN":"1756-932X","issue":"4","page":"262-278","source":"Wiley Online Library","title":"A review of the U.S. invasive species policy mix: Questioning the prospect of an integrated regime","URL":"https://onlinelibrary.wiley.com/doi/abs/10.1002/eet.1852","volume":"29","author":[{"family":"Herrick","given":"Charles N."}],"issued":{"date-parts":[["2019",7]]}}}],"schema":"https://github.com/citation-style-language/schema/raw/master/csl-citation.json"} </w:instrText>
            </w:r>
            <w:r w:rsidRPr="00A9434B">
              <w:rPr>
                <w:rFonts w:eastAsia="Batang"/>
              </w:rPr>
              <w:fldChar w:fldCharType="separate"/>
            </w:r>
            <w:r w:rsidR="00C71E80" w:rsidRPr="00A9434B">
              <w:t>(Daviter, 2017; Herrick, 2019)</w:t>
            </w:r>
            <w:r w:rsidRPr="00A9434B">
              <w:rPr>
                <w:rFonts w:eastAsia="Batang"/>
              </w:rPr>
              <w:fldChar w:fldCharType="end"/>
            </w:r>
            <w:r w:rsidRPr="00A9434B">
              <w:rPr>
                <w:rFonts w:eastAsia="Batang"/>
              </w:rPr>
              <w:fldChar w:fldCharType="end"/>
            </w:r>
          </w:p>
        </w:tc>
      </w:tr>
      <w:tr w:rsidR="00017C04" w14:paraId="68717AF5" w14:textId="77777777" w:rsidTr="00B301D7">
        <w:tc>
          <w:tcPr>
            <w:tcW w:w="542" w:type="dxa"/>
          </w:tcPr>
          <w:p w14:paraId="1476D480" w14:textId="77777777" w:rsidR="00017C04" w:rsidRDefault="00F50AF9">
            <w:r>
              <w:t>7</w:t>
            </w:r>
          </w:p>
        </w:tc>
        <w:tc>
          <w:tcPr>
            <w:tcW w:w="3564" w:type="dxa"/>
          </w:tcPr>
          <w:p w14:paraId="2DC2F842" w14:textId="77777777" w:rsidR="00017C04" w:rsidRDefault="00F50AF9" w:rsidP="00F27F4C">
            <w:pPr>
              <w:spacing w:before="0" w:after="0"/>
              <w:contextualSpacing/>
            </w:pPr>
            <w:r>
              <w:t>Work towards intergenerational sustainability for invasive alien species by linking the consideration of ecosystem functions and process with management actions</w:t>
            </w:r>
          </w:p>
        </w:tc>
        <w:tc>
          <w:tcPr>
            <w:tcW w:w="2977" w:type="dxa"/>
          </w:tcPr>
          <w:p w14:paraId="2BBAD9F0" w14:textId="33FBC8FF" w:rsidR="00017C04" w:rsidRDefault="00F50AF9" w:rsidP="00F27F4C">
            <w:pPr>
              <w:spacing w:before="0" w:after="0"/>
              <w:contextualSpacing/>
            </w:pPr>
            <w:r>
              <w:t>Achieving environmental sustainability and political, stakeholder and Indigenous Peoples and local communit</w:t>
            </w:r>
            <w:r w:rsidR="00351A46">
              <w:t>ies</w:t>
            </w:r>
            <w:r>
              <w:t xml:space="preserve"> support </w:t>
            </w:r>
          </w:p>
        </w:tc>
        <w:tc>
          <w:tcPr>
            <w:tcW w:w="2126" w:type="dxa"/>
          </w:tcPr>
          <w:p w14:paraId="3A479D7C" w14:textId="5B69BF6D" w:rsidR="00017C04" w:rsidRDefault="007836D9" w:rsidP="00F27F4C">
            <w:pPr>
              <w:spacing w:before="0" w:after="0"/>
              <w:contextualSpacing/>
            </w:pPr>
            <w:r w:rsidRPr="00A9434B">
              <w:fldChar w:fldCharType="begin"/>
            </w:r>
            <w:r w:rsidR="0006613E">
              <w:instrText xml:space="preserve"> ADDIN ZOTERO_ITEM CSL_CITATION {"citationID":"a1jjs8cmmk2","properties":{"formattedCitation":"(Smolarz et al., 2016)","plainCitation":"(Smolarz et al., 2016)","noteIndex":0},"citationItems":[{"id":11449,"uris":["http://zotero.org/groups/2352922/items/K5CN724I"],"itemData":{"id":11449,"type":"chapter","collection-title":"MARE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schema":"https://github.com/citation-style-language/schema/raw/master/csl-citation.json"} </w:instrText>
            </w:r>
            <w:r w:rsidRPr="00A9434B">
              <w:fldChar w:fldCharType="separate"/>
            </w:r>
            <w:r w:rsidR="00C71E80" w:rsidRPr="00A9434B">
              <w:t>(Smolarz et al., 2016)</w:t>
            </w:r>
            <w:r w:rsidRPr="00A9434B">
              <w:fldChar w:fldCharType="end"/>
            </w:r>
          </w:p>
        </w:tc>
      </w:tr>
      <w:tr w:rsidR="00017C04" w14:paraId="1A1D5D53" w14:textId="77777777" w:rsidTr="00B301D7">
        <w:tc>
          <w:tcPr>
            <w:tcW w:w="542" w:type="dxa"/>
          </w:tcPr>
          <w:p w14:paraId="6486EBD5" w14:textId="77777777" w:rsidR="00017C04" w:rsidRDefault="00F50AF9">
            <w:r>
              <w:t>8</w:t>
            </w:r>
          </w:p>
        </w:tc>
        <w:tc>
          <w:tcPr>
            <w:tcW w:w="3564" w:type="dxa"/>
          </w:tcPr>
          <w:p w14:paraId="27123AA0" w14:textId="77777777" w:rsidR="00017C04" w:rsidRDefault="00F50AF9" w:rsidP="00F27F4C">
            <w:pPr>
              <w:spacing w:before="0" w:after="0"/>
              <w:contextualSpacing/>
            </w:pPr>
            <w:r>
              <w:t xml:space="preserve">Knowledge systems that enable sharing of information, concepts and arrangements across all stakeholders and scales </w:t>
            </w:r>
          </w:p>
        </w:tc>
        <w:tc>
          <w:tcPr>
            <w:tcW w:w="2977" w:type="dxa"/>
          </w:tcPr>
          <w:p w14:paraId="015FC35A" w14:textId="77777777" w:rsidR="00017C04" w:rsidRDefault="00F50AF9" w:rsidP="00F27F4C">
            <w:pPr>
              <w:spacing w:before="0" w:after="0"/>
              <w:contextualSpacing/>
            </w:pPr>
            <w:r>
              <w:t>Improving learning to empower all stakeholders and Indigenous Peoples and local communities to manage invasive alien species</w:t>
            </w:r>
          </w:p>
        </w:tc>
        <w:tc>
          <w:tcPr>
            <w:tcW w:w="2126" w:type="dxa"/>
          </w:tcPr>
          <w:p w14:paraId="51D60226" w14:textId="69FAAF26" w:rsidR="00017C04" w:rsidRPr="00B301D7" w:rsidRDefault="00166C0F" w:rsidP="00F27F4C">
            <w:pPr>
              <w:spacing w:before="0" w:after="0"/>
              <w:contextualSpacing/>
            </w:pPr>
            <w:r w:rsidRPr="00A9434B">
              <w:fldChar w:fldCharType="begin">
                <w:fldData xml:space="preserve">PEVuZE5vdGU+PENpdGU+PEF1dGhvcj5TbW9sYXJ6PC9BdXRob3I+PFllYXI+MjAxNjwvWWVhcj48
UmVjTnVtPjQ5MDk2PC9SZWNOdW0+PERpc3BsYXlUZXh0PihTdGFwbGVzIGFuZCBIZXJtZXMgMjAx
MiwgU21vbGFyeiwgQmlza3VwIGV0IGFsLiAyMDE2KTwvRGlzcGxheVRleHQ+PHJlY29yZD48cmVj
LW51bWJlcj40OTA5NjwvcmVjLW51bWJlcj48Zm9yZWlnbi1rZXlzPjxrZXkgYXBwPSJFTiIgZGIt
aWQ9ImF3eDlyYWRkcjB4eDJoZXYwNXJ4cjB6MDV3ZWVwd3B0MGZleCIgdGltZXN0YW1wPSIxNTgx
NDk3MzIwIj40OTA5Njwva2V5PjwvZm9yZWlnbi1rZXlzPjxyZWYtdHlwZSBuYW1lPSJCb29rIFNl
Y3Rpb24iPjU8L3JlZi10eXBlPjxjb250cmlidXRvcnM+PGF1dGhvcnM+PGF1dGhvcj5TbW9sYXJ6
LCBLYXRhcnp5bmE8L2F1dGhvcj48YXV0aG9yPkJpc2t1cCwgUGF1bGluYTwvYXV0aG9yPjxhdXRo
b3I+WmdydW5kbywgQWxla3NhbmRyYTwvYXV0aG9yPjwvYXV0aG9ycz48c2Vjb25kYXJ5LWF1dGhv
cnM+PGF1dGhvcj5HaWxlaywgTS48L2F1dGhvcj48YXV0aG9yPkthcmxzc29uLCBNLjwvYXV0aG9y
PjxhdXRob3I+TGlua2UsIFMuPC9hdXRob3I+PGF1dGhvcj5TbW9sYXJ6LCBLLjwvYXV0aG9yPjwv
c2Vjb25kYXJ5LWF1dGhvcnM+PC9jb250cmlidXRvcnM+PHRpdGxlcz48dGl0bGU+QmlvbG9naWNh
bCBJbnZhc2lvbnM6IEEgQ2FzZSBTdHVkeSBvZiBCYWx0aWMgU2VhIEVudmlyb25tZW50YWwgR292
ZXJuYW5jZTwvdGl0bGU+PHNlY29uZGFyeS10aXRsZT5FbnZpcm9ubWVudGFsIEdvdmVybmFuY2Ug
b2YgdGhlIEJhbHRpYyBTZWE8L3NlY29uZGFyeS10aXRsZT48dGVydGlhcnktdGl0bGU+TUFSRSBQ
dWJsaWNhdGlvbiBTZXJpZXM8L3RlcnRpYXJ5LXRpdGxlPjwvdGl0bGVzPjxwZXJpb2RpY2FsPjxm
dWxsLXRpdGxlPkVudmlyb25tZW50YWwgZ292ZXJuYW5jZSBvZiB0aGUgQmFsdGljIFNlYTwvZnVs
bC10aXRsZT48L3BlcmlvZGljYWw+PHBhZ2VzPjczLTk1PC9wYWdlcz48dm9sdW1lPjEwPC92b2x1
bWU+PGRhdGVzPjx5ZWFyPjIwMTY8L3llYXI+PC9kYXRlcz48aXNibj45NzgtMy0zMTktMjcwMDYt
NzsgOTc4LTMtMzE5LTI3MDA1LTA8L2lzYm4+PGFjY2Vzc2lvbi1udW0+V09TOjAwMDM4NjY5NTMw
MDAwNTwvYWNjZXNzaW9uLW51bT48dXJscz48cmVsYXRlZC11cmxzPjx1cmw+Jmx0O0dvIHRvIElT
SSZndDs6Ly9XT1M6MDAwMzg2Njk1MzAwMDA1PC91cmw+PC9yZWxhdGVkLXVybHM+PC91cmxzPjxl
bGVjdHJvbmljLXJlc291cmNlLW51bT4xMC4xMDA3Lzk3OC0zLTMxOS0yNzAwNi03XzQ8L2VsZWN0
cm9uaWMtcmVzb3VyY2UtbnVtPjwvcmVjb3JkPjwvQ2l0ZT48Q2l0ZT48QXV0aG9yPlN0YXBsZXM8
L0F1dGhvcj48WWVhcj4yMDEyPC9ZZWFyPjxSZWNOdW0+NDkxNTI8L1JlY051bT48cmVjb3JkPjxy
ZWMtbnVtYmVyPjQ5MTUyPC9yZWMtbnVtYmVyPjxmb3JlaWduLWtleXM+PGtleSBhcHA9IkVOIiBk
Yi1pZD0iYXd4OXJhZGRyMHh4MmhldjA1cnhyMHowNXdlZXB3cHQwZmV4IiB0aW1lc3RhbXA9IjE1
ODE0OTczMjAiPjQ5MTUyPC9rZXk+PC9mb3JlaWduLWtleXM+PHJlZi10eXBlIG5hbWU9IkpvdXJu
YWwgQXJ0aWNsZSI+MTc8L3JlZi10eXBlPjxjb250cmlidXRvcnM+PGF1dGhvcnM+PGF1dGhvcj5T
dGFwbGVzLCBEZXJlayBKLjwvYXV0aG9yPjxhdXRob3I+SGVybWVzLCBSdWRvbGY8L2F1dGhvcj48
L2F1dGhvcnM+PC9jb250cmlidXRvcnM+PHRpdGxlcz48dGl0bGU+TWFyaW5lIGJpb2RpdmVyc2l0
eSBhbmQgcmVzb3VyY2UgbWFuYWdlbWVudCAtIHdoYXQgaXMgdGhlIGxpbms/PC90aXRsZT48c2Vj
b25kYXJ5LXRpdGxlPkFxdWF0aWMgRWNvc3lzdGVtIEhlYWx0aCAmYW1wOyBNYW5hZ2VtZW50PC9z
ZWNvbmRhcnktdGl0bGU+PC90aXRsZXM+PHBlcmlvZGljYWw+PGZ1bGwtdGl0bGU+QXF1YXRpYyBF
Y29zeXN0ZW0gSGVhbHRoICZhbXA7IE1hbmFnZW1lbnQ8L2Z1bGwtdGl0bGU+PGFiYnItMT5BcXVh
dC4gRWNvc3lzdC4gSGVhbHRoIE1hbmFnZS48L2FiYnItMT48YWJici0yPkFxdWF0IEVjb3N5c3Qg
SGVhbHRoIE1hbmFnZTwvYWJici0yPjwvcGVyaW9kaWNhbD48cGFnZXM+MjQ1LTI1MjwvcGFnZXM+
PHZvbHVtZT4xNTwvdm9sdW1lPjxudW1iZXI+MzwvbnVtYmVyPjxkYXRlcz48eWVhcj4yMDEyPC95
ZWFyPjxwdWItZGF0ZXM+PGRhdGU+MjAxMjwvZGF0ZT48L3B1Yi1kYXRlcz48L2RhdGVzPjxpc2Ju
PjE0NjMtNDk4ODwvaXNibj48YWNjZXNzaW9uLW51bT5XT1M6MDAwMzA5MTI5NjAwMDAzPC9hY2Nl
c3Npb24tbnVtPjx1cmxzPjxyZWxhdGVkLXVybHM+PHVybD4mbHQ7R28gdG8gSVNJJmd0OzovL1dP
UzowMDAzMDkxMjk2MDAwMDM8L3VybD48L3JlbGF0ZWQtdXJscz48L3VybHM+PGVsZWN0cm9uaWMt
cmVzb3VyY2UtbnVtPjEwLjEwODAvMTQ2MzQ5ODguMjAxMi43MDk0Mjk8L2VsZWN0cm9uaWMtcmVz
b3VyY2UtbnVtPjwvcmVjb3JkPjwvQ2l0ZT48L0VuZE5vdGU+AG==
</w:fldData>
              </w:fldChar>
            </w:r>
            <w:r w:rsidRPr="00A9434B">
              <w:instrText xml:space="preserve"> ADDIN EN.CITE </w:instrText>
            </w:r>
            <w:r w:rsidRPr="00A9434B">
              <w:fldChar w:fldCharType="begin">
                <w:fldData xml:space="preserve">PEVuZE5vdGU+PENpdGU+PEF1dGhvcj5TbW9sYXJ6PC9BdXRob3I+PFllYXI+MjAxNjwvWWVhcj48
UmVjTnVtPjQ5MDk2PC9SZWNOdW0+PERpc3BsYXlUZXh0PihTdGFwbGVzIGFuZCBIZXJtZXMgMjAx
MiwgU21vbGFyeiwgQmlza3VwIGV0IGFsLiAyMDE2KTwvRGlzcGxheVRleHQ+PHJlY29yZD48cmVj
LW51bWJlcj40OTA5NjwvcmVjLW51bWJlcj48Zm9yZWlnbi1rZXlzPjxrZXkgYXBwPSJFTiIgZGIt
aWQ9ImF3eDlyYWRkcjB4eDJoZXYwNXJ4cjB6MDV3ZWVwd3B0MGZleCIgdGltZXN0YW1wPSIxNTgx
NDk3MzIwIj40OTA5Njwva2V5PjwvZm9yZWlnbi1rZXlzPjxyZWYtdHlwZSBuYW1lPSJCb29rIFNl
Y3Rpb24iPjU8L3JlZi10eXBlPjxjb250cmlidXRvcnM+PGF1dGhvcnM+PGF1dGhvcj5TbW9sYXJ6
LCBLYXRhcnp5bmE8L2F1dGhvcj48YXV0aG9yPkJpc2t1cCwgUGF1bGluYTwvYXV0aG9yPjxhdXRo
b3I+WmdydW5kbywgQWxla3NhbmRyYTwvYXV0aG9yPjwvYXV0aG9ycz48c2Vjb25kYXJ5LWF1dGhv
cnM+PGF1dGhvcj5HaWxlaywgTS48L2F1dGhvcj48YXV0aG9yPkthcmxzc29uLCBNLjwvYXV0aG9y
PjxhdXRob3I+TGlua2UsIFMuPC9hdXRob3I+PGF1dGhvcj5TbW9sYXJ6LCBLLjwvYXV0aG9yPjwv
c2Vjb25kYXJ5LWF1dGhvcnM+PC9jb250cmlidXRvcnM+PHRpdGxlcz48dGl0bGU+QmlvbG9naWNh
bCBJbnZhc2lvbnM6IEEgQ2FzZSBTdHVkeSBvZiBCYWx0aWMgU2VhIEVudmlyb25tZW50YWwgR292
ZXJuYW5jZTwvdGl0bGU+PHNlY29uZGFyeS10aXRsZT5FbnZpcm9ubWVudGFsIEdvdmVybmFuY2Ug
b2YgdGhlIEJhbHRpYyBTZWE8L3NlY29uZGFyeS10aXRsZT48dGVydGlhcnktdGl0bGU+TUFSRSBQ
dWJsaWNhdGlvbiBTZXJpZXM8L3RlcnRpYXJ5LXRpdGxlPjwvdGl0bGVzPjxwZXJpb2RpY2FsPjxm
dWxsLXRpdGxlPkVudmlyb25tZW50YWwgZ292ZXJuYW5jZSBvZiB0aGUgQmFsdGljIFNlYTwvZnVs
bC10aXRsZT48L3BlcmlvZGljYWw+PHBhZ2VzPjczLTk1PC9wYWdlcz48dm9sdW1lPjEwPC92b2x1
bWU+PGRhdGVzPjx5ZWFyPjIwMTY8L3llYXI+PC9kYXRlcz48aXNibj45NzgtMy0zMTktMjcwMDYt
NzsgOTc4LTMtMzE5LTI3MDA1LTA8L2lzYm4+PGFjY2Vzc2lvbi1udW0+V09TOjAwMDM4NjY5NTMw
MDAwNTwvYWNjZXNzaW9uLW51bT48dXJscz48cmVsYXRlZC11cmxzPjx1cmw+Jmx0O0dvIHRvIElT
SSZndDs6Ly9XT1M6MDAwMzg2Njk1MzAwMDA1PC91cmw+PC9yZWxhdGVkLXVybHM+PC91cmxzPjxl
bGVjdHJvbmljLXJlc291cmNlLW51bT4xMC4xMDA3Lzk3OC0zLTMxOS0yNzAwNi03XzQ8L2VsZWN0
cm9uaWMtcmVzb3VyY2UtbnVtPjwvcmVjb3JkPjwvQ2l0ZT48Q2l0ZT48QXV0aG9yPlN0YXBsZXM8
L0F1dGhvcj48WWVhcj4yMDEyPC9ZZWFyPjxSZWNOdW0+NDkxNTI8L1JlY051bT48cmVjb3JkPjxy
ZWMtbnVtYmVyPjQ5MTUyPC9yZWMtbnVtYmVyPjxmb3JlaWduLWtleXM+PGtleSBhcHA9IkVOIiBk
Yi1pZD0iYXd4OXJhZGRyMHh4MmhldjA1cnhyMHowNXdlZXB3cHQwZmV4IiB0aW1lc3RhbXA9IjE1
ODE0OTczMjAiPjQ5MTUyPC9rZXk+PC9mb3JlaWduLWtleXM+PHJlZi10eXBlIG5hbWU9IkpvdXJu
YWwgQXJ0aWNsZSI+MTc8L3JlZi10eXBlPjxjb250cmlidXRvcnM+PGF1dGhvcnM+PGF1dGhvcj5T
dGFwbGVzLCBEZXJlayBKLjwvYXV0aG9yPjxhdXRob3I+SGVybWVzLCBSdWRvbGY8L2F1dGhvcj48
L2F1dGhvcnM+PC9jb250cmlidXRvcnM+PHRpdGxlcz48dGl0bGU+TWFyaW5lIGJpb2RpdmVyc2l0
eSBhbmQgcmVzb3VyY2UgbWFuYWdlbWVudCAtIHdoYXQgaXMgdGhlIGxpbms/PC90aXRsZT48c2Vj
b25kYXJ5LXRpdGxlPkFxdWF0aWMgRWNvc3lzdGVtIEhlYWx0aCAmYW1wOyBNYW5hZ2VtZW50PC9z
ZWNvbmRhcnktdGl0bGU+PC90aXRsZXM+PHBlcmlvZGljYWw+PGZ1bGwtdGl0bGU+QXF1YXRpYyBF
Y29zeXN0ZW0gSGVhbHRoICZhbXA7IE1hbmFnZW1lbnQ8L2Z1bGwtdGl0bGU+PGFiYnItMT5BcXVh
dC4gRWNvc3lzdC4gSGVhbHRoIE1hbmFnZS48L2FiYnItMT48YWJici0yPkFxdWF0IEVjb3N5c3Qg
SGVhbHRoIE1hbmFnZTwvYWJici0yPjwvcGVyaW9kaWNhbD48cGFnZXM+MjQ1LTI1MjwvcGFnZXM+
PHZvbHVtZT4xNTwvdm9sdW1lPjxudW1iZXI+MzwvbnVtYmVyPjxkYXRlcz48eWVhcj4yMDEyPC95
ZWFyPjxwdWItZGF0ZXM+PGRhdGU+MjAxMjwvZGF0ZT48L3B1Yi1kYXRlcz48L2RhdGVzPjxpc2Ju
PjE0NjMtNDk4ODwvaXNibj48YWNjZXNzaW9uLW51bT5XT1M6MDAwMzA5MTI5NjAwMDAzPC9hY2Nl
c3Npb24tbnVtPjx1cmxzPjxyZWxhdGVkLXVybHM+PHVybD4mbHQ7R28gdG8gSVNJJmd0OzovL1dP
UzowMDAzMDkxMjk2MDAwMDM8L3VybD48L3JlbGF0ZWQtdXJscz48L3VybHM+PGVsZWN0cm9uaWMt
cmVzb3VyY2UtbnVtPjEwLjEwODAvMTQ2MzQ5ODguMjAxMi43MDk0Mjk8L2VsZWN0cm9uaWMtcmVz
b3VyY2UtbnVtPjwvcmVjb3JkPjwvQ2l0ZT48L0VuZE5vdGU+AG==
</w:fldData>
              </w:fldChar>
            </w:r>
            <w:r w:rsidRPr="00A9434B">
              <w:instrText xml:space="preserve"> ADDIN EN.CITE.DATA </w:instrText>
            </w:r>
            <w:r w:rsidRPr="00A9434B">
              <w:fldChar w:fldCharType="end"/>
            </w:r>
            <w:r w:rsidRPr="00A9434B">
              <w:fldChar w:fldCharType="end"/>
            </w:r>
            <w:r w:rsidR="007836D9" w:rsidRPr="00A9434B">
              <w:fldChar w:fldCharType="begin"/>
            </w:r>
            <w:r w:rsidR="0006613E">
              <w:instrText xml:space="preserve"> ADDIN ZOTERO_ITEM CSL_CITATION {"citationID":"a2kna5r7cu0","properties":{"formattedCitation":"(Smolarz et al., 2016; Staples &amp; Hermes, 2012)","plainCitation":"(Smolarz et al., 2016; Staples &amp; Hermes, 2012)","noteIndex":0},"citationItems":[{"id":11449,"uris":["http://zotero.org/groups/2352922/items/K5CN724I"],"itemData":{"id":11449,"type":"chapter","collection-title":"MARE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id":24112,"uris":["http://zotero.org/groups/2352922/items/HPBHU9N8"],"itemData":{"id":24112,"type":"article-journal","abstract":"Marine biodiversity refers to the variation of life at all levels and is much more than just a count of species. Marine biodiversity decline is occurring across the globe and is characterized not only by extinctions (sometimes local), but also by invasions and hybridizations, reductions in the abundance of some species, degradation of habitats and changes in ecosystem processes (e.g. cycling of water, nutrients and energy). The major threats and causes of marine diversity can be categorized as (i) unsustainable resource use, (ii) land-based impacts, (iii) coastal and marine pollution, (iv) introduced invasive species and (v) climate change. All these pose major risks in tropical seas where the high biodiversity in the past has allowed the tropical ecosystems to provide more services with less variability than more temperate systems. There is a strong link between better resource management and better biodiversity outcomes. With the introduction and acceptance of the concept of sustainable development, a way was opened up to ensure that human development did not impact irreversibly on the physical environment, thereby preserving biodiversity for future generation so that they could also enjoy the services that healthy ecosystems can provide. Along with the concept came a range of “approaches,” many of which developed in parallel by different sectors and disciplines. Because they were all developed to promote sustainable development there is considerable agreement on principles and management tools. This article proposes a course of action through an ecosystem approach for planning, implementation, and monitoring and evaluation that better integrates both ecosystem and sector management tools for more integrated management. There have been so many failures and biodiversity continues to decline. Several reasons for these failures are grouped under four pillars that are considered essential for successful resource management. These are: (i) enabling policy/legislative environment, (ii) good governance and institutions, (iii) full participation and (iv) adequate resources–people and ﬁnances to implement the management system. The use of large marine ecosystem management, exempliﬁed by the Bay of Bengal Large Marine Ecosystem Project, is put forward as an approach that can address some of the issues that jeopardize success.","container-title":"Aquatic Ecosystem Health &amp; Management","DOI":"10.1080/14634988.2012.709429","ISSN":"1463-4988, 1539-4077","issue":"3","journalAbbreviation":"Aquatic Ecosystem Health &amp; Management","language":"en","page":"245-252","source":"DOI.org (Crossref)","title":"Marine biodiversity and resource management - what is the link?","URL":"https://www.tandfonline.com/doi/full/10.1080/14634988.2012.709429","volume":"15","author":[{"family":"Staples","given":"Derek J."},{"family":"Hermes","given":"Rudolf"}],"accessed":{"date-parts":[["2020",2,4]]},"issued":{"date-parts":[["2012",7]]}},"label":"page"}],"schema":"https://github.com/citation-style-language/schema/raw/master/csl-citation.json"} </w:instrText>
            </w:r>
            <w:r w:rsidR="007836D9" w:rsidRPr="00A9434B">
              <w:fldChar w:fldCharType="separate"/>
            </w:r>
            <w:r w:rsidR="00C71E80" w:rsidRPr="00A9434B">
              <w:t>(Smolarz et al., 2016; Staples &amp; Hermes, 2012)</w:t>
            </w:r>
            <w:r w:rsidR="007836D9" w:rsidRPr="00A9434B">
              <w:fldChar w:fldCharType="end"/>
            </w:r>
          </w:p>
        </w:tc>
      </w:tr>
      <w:tr w:rsidR="00017C04" w14:paraId="75A8BC6E" w14:textId="77777777" w:rsidTr="00B301D7">
        <w:tc>
          <w:tcPr>
            <w:tcW w:w="542" w:type="dxa"/>
          </w:tcPr>
          <w:p w14:paraId="7391FF35" w14:textId="77777777" w:rsidR="00017C04" w:rsidRDefault="00F50AF9">
            <w:r>
              <w:t>9</w:t>
            </w:r>
          </w:p>
        </w:tc>
        <w:tc>
          <w:tcPr>
            <w:tcW w:w="3564" w:type="dxa"/>
          </w:tcPr>
          <w:p w14:paraId="42F88E16" w14:textId="77777777" w:rsidR="00017C04" w:rsidRDefault="00F50AF9" w:rsidP="00F27F4C">
            <w:pPr>
              <w:spacing w:before="0" w:after="0"/>
              <w:contextualSpacing/>
            </w:pPr>
            <w:r>
              <w:t xml:space="preserve">Creating space for multiple knowledge systems and experiences to encourage the recognition of different values </w:t>
            </w:r>
          </w:p>
        </w:tc>
        <w:tc>
          <w:tcPr>
            <w:tcW w:w="2977" w:type="dxa"/>
          </w:tcPr>
          <w:p w14:paraId="546FC951" w14:textId="77777777" w:rsidR="00017C04" w:rsidRDefault="00F50AF9" w:rsidP="00F27F4C">
            <w:pPr>
              <w:spacing w:before="0" w:after="0"/>
              <w:contextualSpacing/>
            </w:pPr>
            <w:r>
              <w:t>Building trust and social capital for effective collaboration and cooperation (collective action)</w:t>
            </w:r>
          </w:p>
        </w:tc>
        <w:tc>
          <w:tcPr>
            <w:tcW w:w="2126" w:type="dxa"/>
          </w:tcPr>
          <w:p w14:paraId="5F8B14C5" w14:textId="0466F9FA" w:rsidR="00017C04" w:rsidRDefault="00166C0F" w:rsidP="00F27F4C">
            <w:pPr>
              <w:spacing w:before="0" w:after="0"/>
              <w:contextualSpacing/>
            </w:pPr>
            <w:r w:rsidRPr="00A9434B">
              <w:fldChar w:fldCharType="begin"/>
            </w:r>
            <w:r w:rsidR="0006613E">
              <w:instrText xml:space="preserve"> ADDIN ZOTERO_ITEM CSL_CITATION {"citationID":"sdQhYJb9","properties":{"formattedCitation":"(Leventon et al., 2021)","plainCitation":"(Leventon et al., 2021)","dontUpdate":true,"noteIndex":0},"citationItems":[{"id":10824,"uris":["http://zotero.org/groups/2352922/items/FIJXM97V"],"itemData":{"id":10824,"type":"article-journal","abstract":"Abstract\n            The concept of leverage points offers great potential to consider how we can intervene in systems to create transformations for sustainability. In this special issue, we draw together a diverse collection of research that engages with this central idea. The papers cover three broad topics: (1) the use of a ‘leverage points lens’ for systems framings and understandings; (2) how individual interventions can be understood and critiqued from a leverage points perspective; and (3) the implications of a leverage points approach for research practice and action. Across these topics, we present the papers, and embed them within current critical debate in sustainability science. In doing so, we produce nine guiding questions to shape the research and practice of leverage points for sustainability transformation. These nine questions introduce conceptual clarity to untangle some of the deeper questions around which system we are engaging with, whose system counts, and whose sustainability we are seeking to create. They further shape how we deliver a leverage points research practice. We intend, therefore, that our guiding questions open up exploration across systems and worldviews, and help us to dance with systems.","container-title":"Sustainability Science","DOI":"10.1007/s11625-021-00961-8","ISSN":"1862-4065, 1862-4057","issue":"3","journalAbbreviation":"Sustain Sci","language":"en","page":"721-726","source":"DOI.org (Crossref)","title":"Leverage points for sustainability transformations: nine guiding questions for sustainability science and practice","title-short":"Leverage points for sustainability transformations","URL":"https://link.springer.com/10.1007/s11625-021-00961-8","volume":"16","author":[{"family":"Leventon","given":"Julia"},{"family":"Abson","given":"Dave J."},{"family":"Lang","given":"Daniel J."}],"accessed":{"date-parts":[["2021",6,16]]},"issued":{"date-parts":[["2021",5]]}}}],"schema":"https://github.com/citation-style-language/schema/raw/master/csl-citation.json"} </w:instrText>
            </w:r>
            <w:r w:rsidRPr="00A9434B">
              <w:fldChar w:fldCharType="end"/>
            </w:r>
            <w:r w:rsidR="007836D9" w:rsidRPr="00A9434B">
              <w:fldChar w:fldCharType="begin"/>
            </w:r>
            <w:r w:rsidR="0006613E">
              <w:instrText xml:space="preserve"> ADDIN ZOTERO_ITEM CSL_CITATION {"citationID":"a1757g2scsk","properties":{"formattedCitation":"(Leventon et al., 2021; McKiernan, 2018)","plainCitation":"(Leventon et al., 2021; McKiernan, 2018)","noteIndex":0},"citationItems":[{"id":10824,"uris":["http://zotero.org/groups/2352922/items/FIJXM97V"],"itemData":{"id":10824,"type":"article-journal","abstract":"Abstract\n            The concept of leverage points offers great potential to consider how we can intervene in systems to create transformations for sustainability. In this special issue, we draw together a diverse collection of research that engages with this central idea. The papers cover three broad topics: (1) the use of a ‘leverage points lens’ for systems framings and understandings; (2) how individual interventions can be understood and critiqued from a leverage points perspective; and (3) the implications of a leverage points approach for research practice and action. Across these topics, we present the papers, and embed them within current critical debate in sustainability science. In doing so, we produce nine guiding questions to shape the research and practice of leverage points for sustainability transformation. These nine questions introduce conceptual clarity to untangle some of the deeper questions around which system we are engaging with, whose system counts, and whose sustainability we are seeking to create. They further shape how we deliver a leverage points research practice. We intend, therefore, that our guiding questions open up exploration across systems and worldviews, and help us to dance with systems.","container-title":"Sustainability Science","DOI":"10.1007/s11625-021-00961-8","ISSN":"1862-4065, 1862-4057","issue":"3","journalAbbreviation":"Sustain Sci","language":"en","page":"721-726","source":"DOI.org (Crossref)","title":"Leverage points for sustainability transformations: nine guiding questions for sustainability science and practice","title-short":"Leverage points for sustainability transformations","URL":"https://link.springer.com/10.1007/s11625-021-00961-8","volume":"16","author":[{"family":"Leventon","given":"Julia"},{"family":"Abson","given":"Dave J."},{"family":"Lang","given":"Daniel J."}],"accessed":{"date-parts":[["2021",6,16]]},"issued":{"date-parts":[["2021",5]]}},"label":"page"},{"id":52846,"uris":["http://zotero.org/groups/2352922/items/S8J6K9IA"],"itemData":{"id":52846,"type":"article-journal","abstract":"Rural-amenity migration is changing the social and ecological compositions of landscapes globally. The in-migration of new landholders is contributing to significant biophysical changes to rural landscapes, as well as the weakening of collective awareness, knowledge and skills needed to manage natural resources. This is leading to the proliferation of environmental harm. This paper focuses on invasive plants as one such harm, detailing how collective action is developed and challenged in a rural landscape undergoing increasing property turnover and diversifying management priorities. Focusing on the role of a Landcare group, located in southern New South Wales, Australia, I explore how social capital – with a particular focus on trust and social norms – is mobilised to recruit newly arrived residents and maintain commitment among landholders to manage invasive plants. This research provides insights into how policy can better steer management interventions, particularly how to develop and maintain collective action in diversifying rural landscapes.","container-title":"Journal of Environmental Planning and Management","DOI":"10.1080/09640568.2017.1351930","ISSN":"0964-0568","issue":"8","note":"publisher: Routledge\n_eprint: https://doi.org/10.1080/09640568.2017.1351930","page":"1419-1437","source":"Taylor and Francis+NEJM","title":"Managing invasive plants in a rural-amenity landscape: the role of social capital and Landcare","title-short":"Managing invasive plants in a rural-amenity landscape","URL":"https://doi.org/10.1080/09640568.2017.1351930","volume":"61","author":[{"family":"McKiernan","given":"Shaun"}],"accessed":{"date-parts":[["2022",8,4]]},"issued":{"date-parts":[["2018",7,3]]}},"label":"page"}],"schema":"https://github.com/citation-style-language/schema/raw/master/csl-citation.json"} </w:instrText>
            </w:r>
            <w:r w:rsidR="007836D9" w:rsidRPr="00A9434B">
              <w:fldChar w:fldCharType="separate"/>
            </w:r>
            <w:r w:rsidR="00C71E80" w:rsidRPr="00A9434B">
              <w:t>(Leventon et al., 2021; McKiernan, 2018)</w:t>
            </w:r>
            <w:r w:rsidR="007836D9" w:rsidRPr="00A9434B">
              <w:fldChar w:fldCharType="end"/>
            </w:r>
          </w:p>
        </w:tc>
      </w:tr>
      <w:tr w:rsidR="00017C04" w14:paraId="1096E70A" w14:textId="77777777" w:rsidTr="00B301D7">
        <w:tc>
          <w:tcPr>
            <w:tcW w:w="542" w:type="dxa"/>
          </w:tcPr>
          <w:p w14:paraId="6551B342" w14:textId="77777777" w:rsidR="00017C04" w:rsidRDefault="00F50AF9">
            <w:r>
              <w:t>10</w:t>
            </w:r>
          </w:p>
        </w:tc>
        <w:tc>
          <w:tcPr>
            <w:tcW w:w="3564" w:type="dxa"/>
          </w:tcPr>
          <w:p w14:paraId="0A56C904" w14:textId="77777777" w:rsidR="00017C04" w:rsidRDefault="00F50AF9" w:rsidP="00F27F4C">
            <w:pPr>
              <w:spacing w:before="0" w:after="0"/>
              <w:contextualSpacing/>
            </w:pPr>
            <w:r>
              <w:t xml:space="preserve">Implementing mechanisms for reviewing and monitoring policy effectiveness, including gathering data for “Response” indicators (following the Theory of Change, </w:t>
            </w:r>
            <w:r>
              <w:rPr>
                <w:b/>
              </w:rPr>
              <w:t>section 6.2.1</w:t>
            </w:r>
            <w:r>
              <w:t>) so that the success of management interventions can be assessed and fed into adaptive planning</w:t>
            </w:r>
          </w:p>
        </w:tc>
        <w:tc>
          <w:tcPr>
            <w:tcW w:w="2977" w:type="dxa"/>
          </w:tcPr>
          <w:p w14:paraId="3E6A505B" w14:textId="77777777" w:rsidR="00017C04" w:rsidRDefault="00F50AF9" w:rsidP="00F27F4C">
            <w:pPr>
              <w:spacing w:before="0" w:after="0"/>
              <w:contextualSpacing/>
            </w:pPr>
            <w:r>
              <w:t>Overcoming slow and inadequate implementation of policy</w:t>
            </w:r>
          </w:p>
        </w:tc>
        <w:tc>
          <w:tcPr>
            <w:tcW w:w="2126" w:type="dxa"/>
          </w:tcPr>
          <w:p w14:paraId="0F998BDA" w14:textId="5463DBEB" w:rsidR="00017C04" w:rsidRPr="00B301D7" w:rsidRDefault="00166C0F" w:rsidP="00F27F4C">
            <w:pPr>
              <w:spacing w:before="0" w:after="0"/>
              <w:contextualSpacing/>
            </w:pPr>
            <w:r w:rsidRPr="00A9434B">
              <w:rPr>
                <w:rFonts w:eastAsia="Batang"/>
              </w:rPr>
              <w:fldChar w:fldCharType="begin"/>
            </w:r>
            <w:r w:rsidR="002D2756">
              <w:rPr>
                <w:rFonts w:eastAsia="Batang"/>
                <w:lang w:eastAsia="ko-KR"/>
              </w:rPr>
              <w:instrText xml:space="preserve"> ADDIN ZOTERO_ITEM CSL_CITATION {"citationID":"a2likj9r74o","properties":{"formattedCitation":"(McGeoch et al., 2010; McGeoch &amp; Jetz, 2019; OECD, 2019)","plainCitation":"(McGeoch et al., 2010; McGeoch &amp; Jetz, 2019; OECD, 2019)","noteIndex":0},"citationItems":[{"id":"SnSXgYY3/WWzzJk3K","uris":["http://zotero.org/groups/2352922/items/TA9WEFBP"],"itemData":{"id":28832,"type":"article-journal","abstract":"Aim Invasive alien species (IAS) pose a significant threat to biodiversity. The Convention on Biological Diversity’s 2010 Biodiversity Target, and the associated indicator for IAS, has stimulated globally coordinated efforts to quantify patterns in the extent of biological invasion, its impact on biodiversity and policy responses. Here, we report on the outcome of indicators of alien invasion at a global scale. Location Global. Methods We developed four indicators in a pressure-state-response framework, i.e. number of documented IAS (pressure), trends in the impact of IAS on biodiversity (state) and trends in international agreements and national policy adoption relevant to reducing IAS threats to biodiversity (response). These measures were considered best suited to providing globally representative, standardized and sustainable indicators by 2010. Results We show that the number of documented IAS is a significant underestimate, because its value is negatively affected by country development status and positively by research effort and information availability. The Red List Index demonstrates that IAS pressure is driving declines in species diversity, with the overall impact apparently increasing. The policy response trend has nonetheless been positive for the last several decades, although only half of countries that are signatory to the Convention on Biological Diversity (CBD) have IAS-relevant national legislation. Although IAS pressure has apparently driven the policy response, this has clearly not been sufficient and/or adequately implemented to reduce biodiversity impact. Main conclusions For this indicator of threat to biodiversity, the 2010 Biodiversity Target has thus not been achieved. The results nonetheless provide clear direction for bridging the current divide between information available on IAS and that needed for policy and management for the prevention and control of IAS. It further highlights the need for measures to ensure that policy is effectively implemented, such that it translates into reduced IAS pressure and impact on biodiversity beyond 2010.","container-title":"Diversity and Distributions","DOI":"10.1111/j.1472-4642.2009.00633.x","ISSN":"1472-4642","issue":"1","language":"en","license":"© 2010 Blackwell Publishing Ltd","page":"95-108","source":"Wiley Online Library","title":"Global indicators of biological invasion: species numbers, biodiversity impact and policy responses","title-short":"Global indicators of biological invasion","URL":"https://doi.org/10.1111/j.1472-4642.2009.00633.x","volume":"16","author":[{"family":"McGeoch","given":"Melodie A."},{"family":"Butchart","given":"Stuart H. M."},{"family":"Spear","given":"Dian"},{"family":"Marais","given":"Elrike"},{"family":"Kleynhans","given":"Elizabeth J."},{"family":"Symes","given":"Andy"},{"family":"Chanson","given":"Janice"},{"family":"Hoffmann","given":"Michael"}],"accessed":{"date-parts":[["2019",4,16]]},"issued":{"date-parts":[["2010"]]}},"label":"page"},{"id":56520,"uris":["http://zotero.org/groups/2352922/items/5XG8ELME","http://zotero.org/groups/2352922/items/6DDLUR5R"],"itemData":{"id":56520,"type":"article-journal","container-title":"One Earth","DOI":"10.1016/j.oneear.2019.10.003","ISSN":"25903322","issue":"2","journalAbbreviation":"One Earth","language":"en","page":"171-174","source":"DOI.org (Crossref)","title":"Measure and Reduce the Harm Caused by Biological Invasions","URL":"https://doi.org/10.1016/j.oneear.2019.10.003","volume":"1","author":[{"family":"McGeoch","given":"Melodie A."},{"family":"Jetz","given":"Walter"}],"accessed":{"date-parts":[["2023",6,8]]},"issued":{"date-parts":[["2019",10]]}},"label":"page"},{"id":30941,"uris":["http://zotero.org/groups/2352922/items/YFB3Q6LP"],"itemData":{"id":30941,"type":"report","genre":"November version","title":"The Post-2020 Biodiversity Framework: Targets, indicators and measurability implications at global and national level","URL":"https://www.oecd.org/environment/resources/biodiversity/report-the-post-2020-biodiversity-framework-targets-indicators-and-measurability-implications-at-global-and-national-level.pdf","author":[{"literal":"OECD"}],"accessed":{"date-parts":[["2021",11,10]]},"issued":{"date-parts":[["2019"]]}},"label":"page"}],"schema":"https://github.com/citation-style-language/schema/raw/master/csl-citation.json"} </w:instrText>
            </w:r>
            <w:r w:rsidRPr="00A9434B">
              <w:rPr>
                <w:rFonts w:eastAsia="Batang"/>
              </w:rPr>
              <w:fldChar w:fldCharType="separate"/>
            </w:r>
            <w:r w:rsidR="00F0011F" w:rsidRPr="00F0011F">
              <w:t>(McGeoch et al., 2010; McGeoch &amp; Jetz, 2019; OECD, 2019)</w:t>
            </w:r>
            <w:r w:rsidRPr="00A9434B">
              <w:rPr>
                <w:rFonts w:eastAsia="Batang"/>
              </w:rPr>
              <w:fldChar w:fldCharType="end"/>
            </w:r>
            <w:r w:rsidRPr="00A9434B">
              <w:rPr>
                <w:rFonts w:eastAsia="Batang"/>
              </w:rPr>
              <w:t xml:space="preserve"> </w:t>
            </w:r>
          </w:p>
        </w:tc>
      </w:tr>
      <w:tr w:rsidR="00017C04" w14:paraId="34A8288C" w14:textId="77777777" w:rsidTr="00B301D7">
        <w:tc>
          <w:tcPr>
            <w:tcW w:w="542" w:type="dxa"/>
          </w:tcPr>
          <w:p w14:paraId="082A30FF" w14:textId="77777777" w:rsidR="00017C04" w:rsidRDefault="00F50AF9">
            <w:r>
              <w:t>11</w:t>
            </w:r>
          </w:p>
        </w:tc>
        <w:tc>
          <w:tcPr>
            <w:tcW w:w="3564" w:type="dxa"/>
          </w:tcPr>
          <w:p w14:paraId="55A64941" w14:textId="77777777" w:rsidR="00017C04" w:rsidRDefault="00F50AF9" w:rsidP="00F27F4C">
            <w:pPr>
              <w:spacing w:before="0" w:after="0"/>
              <w:contextualSpacing/>
            </w:pPr>
            <w:r>
              <w:t xml:space="preserve">Integrating invasive alien species considerations into policies related to other environmental threats, including climate change </w:t>
            </w:r>
          </w:p>
        </w:tc>
        <w:tc>
          <w:tcPr>
            <w:tcW w:w="2977" w:type="dxa"/>
          </w:tcPr>
          <w:p w14:paraId="6755194E" w14:textId="77777777" w:rsidR="00017C04" w:rsidRDefault="00F50AF9" w:rsidP="00F27F4C">
            <w:pPr>
              <w:spacing w:before="0" w:after="0"/>
              <w:contextualSpacing/>
            </w:pPr>
            <w:r>
              <w:t>Policy that recognizes the inherent inter-dependencies of multiple forms of environmental change</w:t>
            </w:r>
          </w:p>
        </w:tc>
        <w:tc>
          <w:tcPr>
            <w:tcW w:w="2126" w:type="dxa"/>
          </w:tcPr>
          <w:p w14:paraId="46B8A53E" w14:textId="47AD72BE" w:rsidR="00017C04" w:rsidRDefault="007836D9" w:rsidP="00F27F4C">
            <w:pPr>
              <w:spacing w:before="0" w:after="0"/>
              <w:contextualSpacing/>
            </w:pPr>
            <w:r w:rsidRPr="00A9434B">
              <w:fldChar w:fldCharType="begin"/>
            </w:r>
            <w:r w:rsidR="0006613E">
              <w:instrText xml:space="preserve"> ADDIN ZOTERO_ITEM CSL_CITATION {"citationID":"GYMgFHgj","properties":{"formattedCitation":"(Smolarz et al., 2016)","plainCitation":"(Smolarz et al., 2016)","noteIndex":0},"citationItems":[{"id":11449,"uris":["http://zotero.org/groups/2352922/items/K5CN724I"],"itemData":{"id":11449,"type":"chapter","collection-title":"MARE Publication Series","container-title":"Environmental Governance of the Baltic Sea","event-place":"Cham","ISBN":"978-3-319-27006-7","note":"DOI: 10.1007/978-3-319-27006-7_4","page":"73-95","publisher":"Springer","publisher-place":"Cham","title":"Biological Invasions: A Case Study of Baltic Sea Environmental Governance","URL":"https://doi.org/10.1007/978-3-319-27006-7_4","volume":"10","author":[{"family":"Smolarz","given":"Katarzyna"},{"family":"Biskup","given":"Paulina"},{"family":"Zgrundo","given":"Aleksandra"}],"editor":[{"family":"Gilek","given":"M."},{"family":"Karlsson","given":"M."},{"family":"Linke","given":"S."},{"family":"Smolarz","given":"K."}],"issued":{"date-parts":[["2016"]]}}}],"schema":"https://github.com/citation-style-language/schema/raw/master/csl-citation.json"} </w:instrText>
            </w:r>
            <w:r w:rsidRPr="00A9434B">
              <w:fldChar w:fldCharType="separate"/>
            </w:r>
            <w:r w:rsidR="00C71E80" w:rsidRPr="00A9434B">
              <w:t>(Smolarz et al., 2016)</w:t>
            </w:r>
            <w:r w:rsidRPr="00A9434B">
              <w:fldChar w:fldCharType="end"/>
            </w:r>
          </w:p>
        </w:tc>
      </w:tr>
      <w:tr w:rsidR="00017C04" w14:paraId="1520F03B" w14:textId="77777777" w:rsidTr="00B301D7">
        <w:tc>
          <w:tcPr>
            <w:tcW w:w="542" w:type="dxa"/>
          </w:tcPr>
          <w:p w14:paraId="3228415A" w14:textId="77777777" w:rsidR="00017C04" w:rsidRDefault="00F50AF9">
            <w:r>
              <w:lastRenderedPageBreak/>
              <w:t>12</w:t>
            </w:r>
          </w:p>
        </w:tc>
        <w:tc>
          <w:tcPr>
            <w:tcW w:w="3564" w:type="dxa"/>
          </w:tcPr>
          <w:p w14:paraId="4D5FDFE7" w14:textId="77777777" w:rsidR="00017C04" w:rsidRDefault="00F50AF9" w:rsidP="00F27F4C">
            <w:pPr>
              <w:spacing w:before="0" w:after="0"/>
              <w:contextualSpacing/>
            </w:pPr>
            <w:r>
              <w:t xml:space="preserve">A focus and research on the relationships between policy instruments within and between sectors to determine what invasive alien species -relevant policy gaps exist, where policy conflicts occur, and how new policy can best complement existing policy - as the basis for a transition to integrated governance for biological invasions </w:t>
            </w:r>
          </w:p>
        </w:tc>
        <w:tc>
          <w:tcPr>
            <w:tcW w:w="2977" w:type="dxa"/>
          </w:tcPr>
          <w:p w14:paraId="721D8252" w14:textId="77777777" w:rsidR="00017C04" w:rsidRDefault="00F50AF9" w:rsidP="00F27F4C">
            <w:pPr>
              <w:spacing w:before="0" w:after="0"/>
              <w:contextualSpacing/>
            </w:pPr>
            <w:r>
              <w:t>Policy coherence, filling policy gaps and avoiding perverse incentives</w:t>
            </w:r>
          </w:p>
        </w:tc>
        <w:tc>
          <w:tcPr>
            <w:tcW w:w="2126" w:type="dxa"/>
          </w:tcPr>
          <w:p w14:paraId="711D8915" w14:textId="16998CF2" w:rsidR="00017C04" w:rsidRDefault="007836D9" w:rsidP="00F27F4C">
            <w:pPr>
              <w:spacing w:before="0" w:after="0"/>
              <w:contextualSpacing/>
            </w:pPr>
            <w:r w:rsidRPr="00A9434B">
              <w:rPr>
                <w:rFonts w:eastAsia="Batang"/>
              </w:rPr>
              <w:fldChar w:fldCharType="begin"/>
            </w:r>
            <w:r w:rsidR="0006613E">
              <w:rPr>
                <w:rFonts w:eastAsia="Batang"/>
              </w:rPr>
              <w:instrText xml:space="preserve"> ADDIN ZOTERO_ITEM CSL_CITATION {"citationID":"a23oidbmjov","properties":{"formattedCitation":"(Visseren-Hamakers, 2015)","plainCitation":"(Visseren-Hamakers, 2015)","noteIndex":0},"citationItems":[{"id":30284,"uris":["http://zotero.org/groups/2352922/items/3MWGCWSD"],"itemData":{"id":30284,"type":"article-journal","abstract":"The issue of regime complexity in global environmental governance is widely recognized. The academic debate on regime fragmentation has itself however been rather fragmented, with discussions circling around different concepts, including inter-organizational relations, polycentric governance, integrated management, landscape governance, environmental policy integration, coordination, mainstreaming, coherence, policy mixes, governance architectures and systems, regime complexes, institutional interaction, metagovernance and the nexus approach. Moreover, the topic of relationships between different policies is also discussed among practitioners, where the call for synergies is increasingly heard. This article brings together these discussions under the common heading of integrative environmental governance (IEG). The article provides a literature review, and argues for an IEG perspective in which the relationships between governance instruments take center stage.","container-title":"Current Opinion in Environmental Sustainability","DOI":"https://doi.org/10.1016/j.cosust.2015.05.008","ISSN":"1877-3435","page":"136-143","title":"Integrative environmental governance: enhancing governance in the era of synergies","volume":"14","author":[{"family":"Visseren-Hamakers","given":"Ingrid J."}],"issued":{"date-parts":[["2015"]]}},"label":"page"}],"schema":"https://github.com/citation-style-language/schema/raw/master/csl-citation.json"} </w:instrText>
            </w:r>
            <w:r w:rsidRPr="00A9434B">
              <w:rPr>
                <w:rFonts w:eastAsia="Batang"/>
              </w:rPr>
              <w:fldChar w:fldCharType="separate"/>
            </w:r>
            <w:r w:rsidR="00C71E80" w:rsidRPr="00A9434B">
              <w:t>(Visseren-Hamakers, 2015)</w:t>
            </w:r>
            <w:r w:rsidRPr="00A9434B">
              <w:rPr>
                <w:rFonts w:eastAsia="Batang"/>
              </w:rPr>
              <w:fldChar w:fldCharType="end"/>
            </w:r>
          </w:p>
        </w:tc>
      </w:tr>
    </w:tbl>
    <w:p w14:paraId="2BACB5D1" w14:textId="77777777" w:rsidR="00017C04" w:rsidRPr="00B301D7" w:rsidRDefault="00F50AF9">
      <w:pPr>
        <w:rPr>
          <w:spacing w:val="-10"/>
          <w:kern w:val="28"/>
          <w:sz w:val="28"/>
          <w:highlight w:val="yellow"/>
        </w:rPr>
      </w:pPr>
      <w:bookmarkStart w:id="210" w:name="_heading=h.4k668n3" w:colFirst="0" w:colLast="0"/>
      <w:bookmarkEnd w:id="210"/>
      <w:r w:rsidRPr="00B301D7">
        <w:rPr>
          <w:highlight w:val="yellow"/>
        </w:rPr>
        <w:br w:type="page"/>
      </w:r>
      <w:bookmarkStart w:id="211" w:name="_Toc74056278"/>
      <w:bookmarkEnd w:id="203"/>
    </w:p>
    <w:p w14:paraId="1BC7D71D" w14:textId="77777777" w:rsidR="00017C04" w:rsidRDefault="00F50AF9" w:rsidP="00C12647">
      <w:pPr>
        <w:pStyle w:val="Heading1"/>
        <w:numPr>
          <w:ilvl w:val="1"/>
          <w:numId w:val="10"/>
        </w:numPr>
      </w:pPr>
      <w:bookmarkStart w:id="212" w:name="_Toc2095691547"/>
      <w:bookmarkStart w:id="213" w:name="_Toc133428305"/>
      <w:bookmarkStart w:id="214" w:name="_Toc133428786"/>
      <w:bookmarkStart w:id="215" w:name="_Toc147417581"/>
      <w:r>
        <w:lastRenderedPageBreak/>
        <w:t>Legal and regulatory options</w:t>
      </w:r>
      <w:bookmarkEnd w:id="211"/>
      <w:bookmarkEnd w:id="212"/>
      <w:bookmarkEnd w:id="213"/>
      <w:bookmarkEnd w:id="214"/>
      <w:bookmarkEnd w:id="215"/>
    </w:p>
    <w:p w14:paraId="5C943240" w14:textId="1CF390B6" w:rsidR="00017C04" w:rsidRDefault="2F958343">
      <w:r>
        <w:t xml:space="preserve">A broad array of international and national legal and regulatory instruments that directly or indirectly reference invasive alien species exist </w:t>
      </w:r>
      <w:r w:rsidR="00054BA3" w:rsidRPr="00A9434B">
        <w:t>(</w:t>
      </w:r>
      <w:r w:rsidR="00363D20" w:rsidRPr="00673554">
        <w:rPr>
          <w:b/>
          <w:bCs/>
          <w:iCs/>
        </w:rPr>
        <w:fldChar w:fldCharType="begin"/>
      </w:r>
      <w:r w:rsidR="00363D20" w:rsidRPr="00673554">
        <w:rPr>
          <w:b/>
          <w:bCs/>
          <w:iCs/>
        </w:rPr>
        <w:instrText xml:space="preserve"> REF _Ref104892525 \h  \* MERGEFORMAT </w:instrText>
      </w:r>
      <w:r w:rsidR="00363D20" w:rsidRPr="00673554">
        <w:rPr>
          <w:b/>
          <w:bCs/>
          <w:iCs/>
        </w:rPr>
      </w:r>
      <w:r w:rsidR="00363D20" w:rsidRPr="00673554">
        <w:rPr>
          <w:b/>
          <w:bCs/>
          <w:iCs/>
        </w:rPr>
        <w:fldChar w:fldCharType="separate"/>
      </w:r>
      <w:r w:rsidR="0011368C" w:rsidRPr="00673554">
        <w:rPr>
          <w:b/>
          <w:bCs/>
          <w:iCs/>
        </w:rPr>
        <w:t>Table 6.8</w:t>
      </w:r>
      <w:r w:rsidR="00363D20" w:rsidRPr="00673554">
        <w:rPr>
          <w:b/>
          <w:bCs/>
          <w:iCs/>
        </w:rPr>
        <w:fldChar w:fldCharType="end"/>
      </w:r>
      <w:r w:rsidR="00054BA3" w:rsidRPr="00A9434B">
        <w:t>).</w:t>
      </w:r>
      <w:r>
        <w:t xml:space="preserve"> These instruments aim to manage invasive alien species by preventing their introduction and spread and mitigating their impacts. They provide the formal rules upon which other policy instruments (e.g., economic, social; </w:t>
      </w:r>
      <w:r w:rsidR="00874C06" w:rsidRPr="00673554">
        <w:rPr>
          <w:b/>
          <w:iCs/>
        </w:rPr>
        <w:t>Table</w:t>
      </w:r>
      <w:r w:rsidRPr="0B8DB0CC">
        <w:rPr>
          <w:b/>
          <w:bCs/>
        </w:rPr>
        <w:t xml:space="preserve"> 6.1</w:t>
      </w:r>
      <w:r>
        <w:t>) can be framed and operated, and are also associated with multiple global, regional</w:t>
      </w:r>
      <w:r w:rsidR="005D0083">
        <w:t xml:space="preserve"> and</w:t>
      </w:r>
      <w:r>
        <w:t xml:space="preserve"> national organizations. These instruments regulate or propose voluntary standards for the activities of different sectors (e.g., environment, production, extraction, health, trade</w:t>
      </w:r>
      <w:r w:rsidR="005D0083">
        <w:t xml:space="preserve"> and</w:t>
      </w:r>
      <w:r>
        <w:t xml:space="preserve"> transport), often at different stages of the invasion process. This division of sectors, organizations, geopolitical scales</w:t>
      </w:r>
      <w:r w:rsidR="005D0083">
        <w:t xml:space="preserve"> and</w:t>
      </w:r>
      <w:r>
        <w:t xml:space="preserve"> management by invasion stages highlights some of the main governance challenges of managing </w:t>
      </w:r>
      <w:r w:rsidR="60D1C3FC">
        <w:t>biological invasions</w:t>
      </w:r>
      <w:r w:rsidR="61C42CCE">
        <w:t xml:space="preserve"> </w:t>
      </w:r>
      <w:r>
        <w:t xml:space="preserve">discussed in </w:t>
      </w:r>
      <w:r w:rsidRPr="0B8DB0CC">
        <w:rPr>
          <w:b/>
          <w:bCs/>
        </w:rPr>
        <w:t>section 6.2</w:t>
      </w:r>
      <w:r>
        <w:t>.</w:t>
      </w:r>
    </w:p>
    <w:p w14:paraId="3C589C5D" w14:textId="14E0D5A6" w:rsidR="00017C04" w:rsidRDefault="00F50AF9" w:rsidP="56C59A3A">
      <w:r>
        <w:t xml:space="preserve">This section presents a suite of possible policy instruments to address the drivers and impacts of </w:t>
      </w:r>
      <w:r w:rsidR="1719AAB0">
        <w:t xml:space="preserve">invasive alien species </w:t>
      </w:r>
      <w:r>
        <w:t>from a sectorial (</w:t>
      </w:r>
      <w:r w:rsidRPr="56C59A3A">
        <w:rPr>
          <w:b/>
          <w:bCs/>
        </w:rPr>
        <w:t>section 6.3.1</w:t>
      </w:r>
      <w:r>
        <w:t>), geopolitical (</w:t>
      </w:r>
      <w:r w:rsidRPr="56C59A3A">
        <w:rPr>
          <w:b/>
          <w:bCs/>
        </w:rPr>
        <w:t>section 6.3.2</w:t>
      </w:r>
      <w:r>
        <w:t>)</w:t>
      </w:r>
      <w:r w:rsidR="005D0083">
        <w:t xml:space="preserve"> and</w:t>
      </w:r>
      <w:r>
        <w:t xml:space="preserve"> national (</w:t>
      </w:r>
      <w:r w:rsidRPr="56C59A3A">
        <w:rPr>
          <w:b/>
          <w:bCs/>
        </w:rPr>
        <w:t>section 6.3.3</w:t>
      </w:r>
      <w:r>
        <w:t xml:space="preserve">) perspective. The options presented are brought together in </w:t>
      </w:r>
      <w:r w:rsidRPr="56C59A3A">
        <w:rPr>
          <w:b/>
          <w:bCs/>
        </w:rPr>
        <w:t>section 6.7</w:t>
      </w:r>
      <w:r>
        <w:t>,</w:t>
      </w:r>
      <w:r w:rsidRPr="56C59A3A">
        <w:rPr>
          <w:i/>
          <w:iCs/>
        </w:rPr>
        <w:t xml:space="preserve"> </w:t>
      </w:r>
      <w:r>
        <w:t>where the need for alignment and coordination between legal and regulatory instruments across sectors, geopolitical scales</w:t>
      </w:r>
      <w:r w:rsidR="005D0083">
        <w:t xml:space="preserve"> and</w:t>
      </w:r>
      <w:r>
        <w:t xml:space="preserve"> invasion stages is described. Meeting these needs would solve the current significant gaps in coverage of regulations and/or standards targeting invasive alien species and help to implement integrated governance based on </w:t>
      </w:r>
      <w:r w:rsidR="000C4744">
        <w:t>sharing efforts and commitment and understanding the specific role of all actors</w:t>
      </w:r>
      <w:r w:rsidR="00E6339A">
        <w:t xml:space="preserve"> (related to </w:t>
      </w:r>
      <w:r>
        <w:t>the principle of shared but differentiated responsibility</w:t>
      </w:r>
      <w:r w:rsidR="00E6339A">
        <w:t>)</w:t>
      </w:r>
      <w:r>
        <w:t>. A key finding of the present assessment is that there is a need for coordination between policy initiatives to promote free trade, protect animal, plant</w:t>
      </w:r>
      <w:r w:rsidR="005D0083">
        <w:t xml:space="preserve"> and</w:t>
      </w:r>
      <w:r>
        <w:t xml:space="preserve"> human health, or address other drivers of biodiversity loss, such as climate change and land-use and sea-use change. The section also shows options to improve the efficiency and effectiveness of invasive alien species intervention efforts at the national level</w:t>
      </w:r>
      <w:r w:rsidR="005D0083">
        <w:t xml:space="preserve"> and</w:t>
      </w:r>
      <w:r>
        <w:t xml:space="preserve"> their integration at a regional scale.</w:t>
      </w:r>
    </w:p>
    <w:p w14:paraId="2E7370D5" w14:textId="77777777" w:rsidR="00017C04" w:rsidRDefault="00F50AF9" w:rsidP="008521D1">
      <w:pPr>
        <w:pStyle w:val="Heading2"/>
      </w:pPr>
      <w:bookmarkStart w:id="216" w:name="_Toc74056279"/>
      <w:bookmarkStart w:id="217" w:name="_Toc1194429728"/>
      <w:bookmarkStart w:id="218" w:name="_Toc133428306"/>
      <w:bookmarkStart w:id="219" w:name="_Toc133428787"/>
      <w:bookmarkStart w:id="220" w:name="_Toc147417582"/>
      <w:r>
        <w:t>Legal and regulatory options at and across sectors</w:t>
      </w:r>
      <w:bookmarkEnd w:id="216"/>
      <w:bookmarkEnd w:id="217"/>
      <w:bookmarkEnd w:id="218"/>
      <w:bookmarkEnd w:id="219"/>
      <w:bookmarkEnd w:id="220"/>
    </w:p>
    <w:p w14:paraId="1DBC5513" w14:textId="107102A5" w:rsidR="00017C04" w:rsidRDefault="2F958343">
      <w:pPr>
        <w:spacing w:after="0"/>
      </w:pPr>
      <w:r>
        <w:t>Legal and regulatory instruments from many interacting sectors deal with management</w:t>
      </w:r>
      <w:r w:rsidR="3F8043AA">
        <w:t xml:space="preserve"> of biological invasions</w:t>
      </w:r>
      <w:r>
        <w:t xml:space="preserve">, either directly or indirectly. This section presents and discusses the legal and regulatory instruments aimed at solving some of the main challenges in the five key sectors described in </w:t>
      </w:r>
      <w:r w:rsidR="00363D20" w:rsidRPr="00673554">
        <w:rPr>
          <w:b/>
          <w:bCs/>
          <w:iCs/>
        </w:rPr>
        <w:fldChar w:fldCharType="begin"/>
      </w:r>
      <w:r w:rsidR="00363D20" w:rsidRPr="00673554">
        <w:rPr>
          <w:b/>
          <w:bCs/>
          <w:iCs/>
        </w:rPr>
        <w:instrText xml:space="preserve"> REF _Ref104892525 \h  \* MERGEFORMAT </w:instrText>
      </w:r>
      <w:r w:rsidR="00363D20" w:rsidRPr="00673554">
        <w:rPr>
          <w:b/>
          <w:bCs/>
          <w:iCs/>
        </w:rPr>
      </w:r>
      <w:r w:rsidR="00363D20" w:rsidRPr="00673554">
        <w:rPr>
          <w:b/>
          <w:bCs/>
          <w:iCs/>
        </w:rPr>
        <w:fldChar w:fldCharType="separate"/>
      </w:r>
      <w:r w:rsidR="0011368C" w:rsidRPr="00673554">
        <w:rPr>
          <w:b/>
          <w:bCs/>
          <w:iCs/>
        </w:rPr>
        <w:t>Table 6.8</w:t>
      </w:r>
      <w:r w:rsidR="00363D20" w:rsidRPr="00673554">
        <w:rPr>
          <w:b/>
          <w:bCs/>
          <w:iCs/>
        </w:rPr>
        <w:fldChar w:fldCharType="end"/>
      </w:r>
      <w:r w:rsidR="00054BA3" w:rsidRPr="00A9434B">
        <w:t>.</w:t>
      </w:r>
      <w:r>
        <w:t xml:space="preserve"> Rather than describing specific sector-by-sector solutions, legal and regulatory instruments that apply, in many cases, to more than one sector are presented. The options described here focus on addressing four main governance challenges:</w:t>
      </w:r>
    </w:p>
    <w:p w14:paraId="5D188E7F" w14:textId="77777777" w:rsidR="00017C04" w:rsidRDefault="00F50AF9" w:rsidP="00B301D7">
      <w:pPr>
        <w:numPr>
          <w:ilvl w:val="0"/>
          <w:numId w:val="3"/>
        </w:numPr>
        <w:pBdr>
          <w:top w:val="nil"/>
          <w:left w:val="nil"/>
          <w:bottom w:val="nil"/>
          <w:right w:val="nil"/>
          <w:between w:val="nil"/>
        </w:pBdr>
        <w:spacing w:before="0" w:after="0"/>
      </w:pPr>
      <w:r w:rsidRPr="00B301D7">
        <w:rPr>
          <w:color w:val="000000"/>
        </w:rPr>
        <w:t>fragmentation across sectors,</w:t>
      </w:r>
    </w:p>
    <w:p w14:paraId="121F7AC0" w14:textId="77777777" w:rsidR="00017C04" w:rsidRDefault="00F50AF9" w:rsidP="00B301D7">
      <w:pPr>
        <w:numPr>
          <w:ilvl w:val="0"/>
          <w:numId w:val="3"/>
        </w:numPr>
        <w:pBdr>
          <w:top w:val="nil"/>
          <w:left w:val="nil"/>
          <w:bottom w:val="nil"/>
          <w:right w:val="nil"/>
          <w:between w:val="nil"/>
        </w:pBdr>
        <w:spacing w:before="0" w:after="0"/>
      </w:pPr>
      <w:r w:rsidRPr="00B301D7">
        <w:rPr>
          <w:color w:val="000000"/>
        </w:rPr>
        <w:t xml:space="preserve">externalities, </w:t>
      </w:r>
    </w:p>
    <w:p w14:paraId="5CB4DEB5" w14:textId="77777777" w:rsidR="00017C04" w:rsidRDefault="00F50AF9" w:rsidP="00B301D7">
      <w:pPr>
        <w:numPr>
          <w:ilvl w:val="0"/>
          <w:numId w:val="3"/>
        </w:numPr>
        <w:pBdr>
          <w:top w:val="nil"/>
          <w:left w:val="nil"/>
          <w:bottom w:val="nil"/>
          <w:right w:val="nil"/>
          <w:between w:val="nil"/>
        </w:pBdr>
        <w:spacing w:before="0" w:after="0"/>
      </w:pPr>
      <w:r w:rsidRPr="00B301D7">
        <w:rPr>
          <w:color w:val="000000"/>
        </w:rPr>
        <w:t>conflicting interests and trade-offs, and</w:t>
      </w:r>
    </w:p>
    <w:p w14:paraId="21D0A01F" w14:textId="77777777" w:rsidR="00017C04" w:rsidRDefault="00F50AF9" w:rsidP="00B301D7">
      <w:pPr>
        <w:numPr>
          <w:ilvl w:val="0"/>
          <w:numId w:val="3"/>
        </w:numPr>
        <w:pBdr>
          <w:top w:val="nil"/>
          <w:left w:val="nil"/>
          <w:bottom w:val="nil"/>
          <w:right w:val="nil"/>
          <w:between w:val="nil"/>
        </w:pBdr>
        <w:spacing w:before="0"/>
      </w:pPr>
      <w:r w:rsidRPr="00B301D7">
        <w:rPr>
          <w:color w:val="000000"/>
        </w:rPr>
        <w:t>hurdles to policy implementation.</w:t>
      </w:r>
    </w:p>
    <w:p w14:paraId="5B9B7AFC" w14:textId="122A8903" w:rsidR="00017C04" w:rsidRPr="00B301D7" w:rsidRDefault="00F50AF9" w:rsidP="00B301D7">
      <w:pPr>
        <w:keepNext/>
        <w:pBdr>
          <w:top w:val="nil"/>
          <w:left w:val="nil"/>
          <w:bottom w:val="nil"/>
          <w:right w:val="nil"/>
          <w:between w:val="nil"/>
        </w:pBdr>
        <w:rPr>
          <w:b/>
          <w:color w:val="000000"/>
        </w:rPr>
      </w:pPr>
      <w:bookmarkStart w:id="221" w:name="_heading=h.3ygebqi" w:colFirst="0" w:colLast="0"/>
      <w:bookmarkStart w:id="222" w:name="_Ref104892525"/>
      <w:bookmarkStart w:id="223" w:name="_Toc147418541"/>
      <w:bookmarkEnd w:id="221"/>
      <w:r w:rsidRPr="00B301D7">
        <w:rPr>
          <w:b/>
          <w:color w:val="000000"/>
        </w:rPr>
        <w:t>Table 6</w:t>
      </w:r>
      <w:r w:rsidR="00565490" w:rsidRPr="00A9434B">
        <w:t>.</w:t>
      </w:r>
      <w:r w:rsidR="00565490" w:rsidRPr="00B301D7">
        <w:rPr>
          <w:b/>
          <w:bCs/>
        </w:rPr>
        <w:fldChar w:fldCharType="begin"/>
      </w:r>
      <w:r w:rsidR="00565490" w:rsidRPr="00B301D7">
        <w:rPr>
          <w:b/>
          <w:bCs/>
        </w:rPr>
        <w:instrText xml:space="preserve"> SEQ Table_6. \* ARABIC </w:instrText>
      </w:r>
      <w:r w:rsidR="00565490" w:rsidRPr="00B301D7">
        <w:rPr>
          <w:b/>
          <w:bCs/>
        </w:rPr>
        <w:fldChar w:fldCharType="separate"/>
      </w:r>
      <w:r w:rsidR="0011368C" w:rsidRPr="00B301D7">
        <w:rPr>
          <w:b/>
          <w:bCs/>
          <w:noProof/>
        </w:rPr>
        <w:t>8</w:t>
      </w:r>
      <w:r w:rsidR="00565490" w:rsidRPr="00B301D7">
        <w:rPr>
          <w:b/>
          <w:bCs/>
        </w:rPr>
        <w:fldChar w:fldCharType="end"/>
      </w:r>
      <w:bookmarkEnd w:id="222"/>
      <w:r w:rsidR="00E726CE" w:rsidRPr="00B301D7">
        <w:rPr>
          <w:b/>
          <w:bCs/>
        </w:rPr>
        <w:t>.</w:t>
      </w:r>
      <w:r w:rsidRPr="00B301D7">
        <w:rPr>
          <w:b/>
          <w:bCs/>
          <w:color w:val="000000"/>
        </w:rPr>
        <w:t xml:space="preserve"> </w:t>
      </w:r>
      <w:r w:rsidRPr="00B301D7">
        <w:rPr>
          <w:color w:val="000000"/>
        </w:rPr>
        <w:t>Some of the international legal, regulatory and organization-based instruments relevant to invasive alien species by sector</w:t>
      </w:r>
      <w:bookmarkEnd w:id="223"/>
    </w:p>
    <w:p w14:paraId="32406632" w14:textId="15909354" w:rsidR="00F34A9B" w:rsidRPr="00A9434B" w:rsidRDefault="007836D9" w:rsidP="002103CC">
      <w:pPr>
        <w:spacing w:before="0"/>
      </w:pPr>
      <w:r w:rsidRPr="00A9434B">
        <w:rPr>
          <w:iCs/>
        </w:rPr>
        <w:t>Adapted from</w:t>
      </w:r>
      <w:r w:rsidR="00F34A9B" w:rsidRPr="00A9434B">
        <w:rPr>
          <w:i/>
        </w:rPr>
        <w:t xml:space="preserve"> </w:t>
      </w:r>
      <w:r w:rsidR="00424414" w:rsidRPr="00A9434B">
        <w:t>Burgiel</w:t>
      </w:r>
      <w:r w:rsidR="00424414" w:rsidRPr="00A9434B">
        <w:rPr>
          <w:i/>
        </w:rPr>
        <w:t xml:space="preserve"> </w:t>
      </w:r>
      <w:r w:rsidR="00F34A9B" w:rsidRPr="00A9434B">
        <w:fldChar w:fldCharType="begin"/>
      </w:r>
      <w:r w:rsidR="00F34A9B" w:rsidRPr="00A9434B">
        <w:instrText xml:space="preserve"> ADDIN EN.CITE &lt;EndNote&gt;&lt;Cite&gt;&lt;Author&gt;Burgiel&lt;/Author&gt;&lt;Year&gt;2015&lt;/Year&gt;&lt;RecNum&gt;31&lt;/RecNum&gt;&lt;DisplayText&gt;(Burgiel 2015)&lt;/DisplayText&gt;&lt;record&gt;&lt;rec-number&gt;31&lt;/rec-number&gt;&lt;foreign-keys&gt;&lt;key app="EN" db-id="2fps2rpwcptwaxedz9oprzvmawfxef9pfpa2" timestamp="1620720957"&gt;31&lt;/key&gt;&lt;/foreign-keys&gt;&lt;ref-type name="Book Section"&gt;5&lt;/ref-type&gt;&lt;contributors&gt;&lt;authors&gt;&lt;author&gt;Burgiel, Stanley W&lt;/author&gt;&lt;/authors&gt;&lt;secondary-authors&gt;&lt;author&gt;Keller, Reuben P. &lt;/author&gt;&lt;author&gt;Cadotte, Marc W.&lt;/author&gt;&lt;author&gt;Sandiford, Glenn &lt;/author&gt;&lt;/secondary-authors&gt;&lt;/contributors&gt;&lt;titles&gt;&lt;title&gt;From global to local: integrating policy frameworks for the prevention and management of invasive species&lt;/title&gt;&lt;secondary-title&gt;Invasive Species in a Globalized World: Ecological, Social, And Legal Perspectives On Policy&lt;/secondary-title&gt;&lt;/titles&gt;&lt;pages&gt;283-302&lt;/pages&gt;&lt;dates&gt;&lt;year&gt;2015&lt;/year&gt;&lt;/dates&gt;&lt;pub-location&gt;Chicago&lt;/pub-location&gt;&lt;publisher&gt;University of Chicago Press.&lt;/publisher&gt;&lt;urls&gt;&lt;/urls&gt;&lt;/record&gt;&lt;/Cite&gt;&lt;/EndNote&gt;</w:instrText>
      </w:r>
      <w:r w:rsidR="00F34A9B" w:rsidRPr="00A9434B">
        <w:fldChar w:fldCharType="separate"/>
      </w:r>
      <w:r w:rsidRPr="00A9434B">
        <w:fldChar w:fldCharType="begin"/>
      </w:r>
      <w:r w:rsidR="0006613E">
        <w:instrText xml:space="preserve"> ADDIN ZOTERO_ITEM CSL_CITATION {"citationID":"ao5lia5f29","properties":{"formattedCitation":"(2015)","plainCitation":"(2015)","noteIndex":0},"citationItems":[{"id":53583,"uris":["http://zotero.org/groups/2352922/items/QNKBXCTV"],"itemData":{"id":53583,"type":"chapter","container-title":"Invasive Species in a Globalized World: Ecological, Social, And Legal Perspectives On Policy","event-place":"Chicago","note":"DOI: 10.7208/chicago/9780226166216.003.0013","page":"283-302","publisher":"University of Chicago Press.","publisher-place":"Chicago","title":"From global to local: integrating policy frameworks for the prevention and management of invasive species","author":[{"family":"Burgiel","given":"Stanley W."}],"editor":[{"family":"Keller","given":"Reuben P."},{"family":"Cadotte","given":"Marc W."},{"family":"Sandiford","given":"Glenn"}],"issued":{"date-parts":[["2015"]]}},"label":"page","suppress-author":true}],"schema":"https://github.com/citation-style-language/schema/raw/master/csl-citation.json"} </w:instrText>
      </w:r>
      <w:r w:rsidRPr="00A9434B">
        <w:fldChar w:fldCharType="separate"/>
      </w:r>
      <w:r w:rsidR="00C71E80" w:rsidRPr="00A9434B">
        <w:t>(2015)</w:t>
      </w:r>
      <w:r w:rsidRPr="00A9434B">
        <w:fldChar w:fldCharType="end"/>
      </w:r>
      <w:r w:rsidR="00F34A9B" w:rsidRPr="00A9434B">
        <w:fldChar w:fldCharType="end"/>
      </w:r>
      <w:r w:rsidR="00F34A9B" w:rsidRPr="00A9434B">
        <w:t>.</w:t>
      </w:r>
    </w:p>
    <w:tbl>
      <w:tblPr>
        <w:tblW w:w="9634"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1525"/>
        <w:gridCol w:w="2439"/>
        <w:gridCol w:w="4111"/>
        <w:gridCol w:w="1559"/>
      </w:tblGrid>
      <w:tr w:rsidR="00017C04" w14:paraId="3607379D" w14:textId="77777777" w:rsidTr="00B301D7">
        <w:tc>
          <w:tcPr>
            <w:tcW w:w="1525" w:type="dxa"/>
          </w:tcPr>
          <w:p w14:paraId="3D4D4AFD" w14:textId="77777777" w:rsidR="00017C04" w:rsidRPr="000A1E49" w:rsidRDefault="00F50AF9">
            <w:r w:rsidRPr="000A1E49">
              <w:t>Sector</w:t>
            </w:r>
          </w:p>
        </w:tc>
        <w:tc>
          <w:tcPr>
            <w:tcW w:w="2439" w:type="dxa"/>
          </w:tcPr>
          <w:p w14:paraId="5942A573" w14:textId="77777777" w:rsidR="00017C04" w:rsidRPr="000A1E49" w:rsidRDefault="00F50AF9">
            <w:r w:rsidRPr="000A1E49">
              <w:t>Activities</w:t>
            </w:r>
          </w:p>
        </w:tc>
        <w:tc>
          <w:tcPr>
            <w:tcW w:w="4111" w:type="dxa"/>
          </w:tcPr>
          <w:p w14:paraId="6CD208F0" w14:textId="77777777" w:rsidR="00017C04" w:rsidRPr="000A1E49" w:rsidRDefault="00F50AF9">
            <w:r w:rsidRPr="000A1E49">
              <w:t>Examples of relevant legal and regulatory instrument</w:t>
            </w:r>
          </w:p>
        </w:tc>
        <w:tc>
          <w:tcPr>
            <w:tcW w:w="1559" w:type="dxa"/>
          </w:tcPr>
          <w:p w14:paraId="50ADC90F" w14:textId="77777777" w:rsidR="00017C04" w:rsidRPr="000A1E49" w:rsidRDefault="00F50AF9">
            <w:r w:rsidRPr="000A1E49">
              <w:t>Type of instrument*</w:t>
            </w:r>
          </w:p>
        </w:tc>
      </w:tr>
      <w:tr w:rsidR="00192C26" w14:paraId="1381ADE4" w14:textId="77777777" w:rsidTr="00017C04">
        <w:trPr>
          <w:trHeight w:val="431"/>
        </w:trPr>
        <w:tc>
          <w:tcPr>
            <w:tcW w:w="1525" w:type="dxa"/>
            <w:vMerge w:val="restart"/>
            <w:shd w:val="clear" w:color="auto" w:fill="E7E6E6"/>
            <w:vAlign w:val="center"/>
          </w:tcPr>
          <w:p w14:paraId="4DED62D8" w14:textId="77777777" w:rsidR="00017C04" w:rsidRPr="000A1E49" w:rsidRDefault="00F50AF9" w:rsidP="00192C26">
            <w:pPr>
              <w:spacing w:before="0" w:after="0"/>
            </w:pPr>
            <w:r w:rsidRPr="000A1E49">
              <w:t xml:space="preserve">Biodiversity and environment </w:t>
            </w:r>
          </w:p>
        </w:tc>
        <w:tc>
          <w:tcPr>
            <w:tcW w:w="2439" w:type="dxa"/>
            <w:vMerge w:val="restart"/>
            <w:shd w:val="clear" w:color="auto" w:fill="E7E6E6"/>
            <w:vAlign w:val="center"/>
          </w:tcPr>
          <w:p w14:paraId="26F5C605" w14:textId="77777777" w:rsidR="00017C04" w:rsidRPr="000A1E49" w:rsidRDefault="00F50AF9" w:rsidP="00192C26">
            <w:pPr>
              <w:spacing w:before="0" w:after="0"/>
            </w:pPr>
            <w:r w:rsidRPr="000A1E49">
              <w:t xml:space="preserve">Conservation and natural resource management </w:t>
            </w:r>
          </w:p>
        </w:tc>
        <w:tc>
          <w:tcPr>
            <w:tcW w:w="4111" w:type="dxa"/>
            <w:shd w:val="clear" w:color="auto" w:fill="E7E6E6"/>
            <w:vAlign w:val="center"/>
          </w:tcPr>
          <w:p w14:paraId="3DBA8795" w14:textId="77777777" w:rsidR="00017C04" w:rsidRPr="000A1E49" w:rsidRDefault="00F50AF9" w:rsidP="00192C26">
            <w:pPr>
              <w:spacing w:before="0" w:after="0"/>
            </w:pPr>
            <w:r w:rsidRPr="000A1E49">
              <w:t>CBD</w:t>
            </w:r>
          </w:p>
        </w:tc>
        <w:tc>
          <w:tcPr>
            <w:tcW w:w="1559" w:type="dxa"/>
            <w:shd w:val="clear" w:color="auto" w:fill="E7E6E6"/>
            <w:vAlign w:val="center"/>
          </w:tcPr>
          <w:p w14:paraId="37F029D5" w14:textId="77777777" w:rsidR="00017C04" w:rsidRPr="000A1E49" w:rsidRDefault="00F50AF9" w:rsidP="00192C26">
            <w:pPr>
              <w:spacing w:before="0" w:after="0"/>
            </w:pPr>
            <w:r w:rsidRPr="000A1E49">
              <w:t>Binding</w:t>
            </w:r>
          </w:p>
        </w:tc>
      </w:tr>
      <w:tr w:rsidR="00192C26" w14:paraId="47974D0C" w14:textId="77777777" w:rsidTr="00017C04">
        <w:trPr>
          <w:trHeight w:val="482"/>
        </w:trPr>
        <w:tc>
          <w:tcPr>
            <w:tcW w:w="1525" w:type="dxa"/>
            <w:vMerge/>
            <w:shd w:val="clear" w:color="auto" w:fill="E7E6E6"/>
            <w:vAlign w:val="center"/>
          </w:tcPr>
          <w:p w14:paraId="70F8D1AD"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1490CF7D"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1274A8C8" w14:textId="77777777" w:rsidR="00017C04" w:rsidRPr="000A1E49" w:rsidRDefault="00F50AF9" w:rsidP="00192C26">
            <w:pPr>
              <w:spacing w:before="0" w:after="0"/>
            </w:pPr>
            <w:r w:rsidRPr="000A1E49">
              <w:t>Ramsar Convention</w:t>
            </w:r>
          </w:p>
        </w:tc>
        <w:tc>
          <w:tcPr>
            <w:tcW w:w="1559" w:type="dxa"/>
            <w:shd w:val="clear" w:color="auto" w:fill="E7E6E6"/>
            <w:vAlign w:val="center"/>
          </w:tcPr>
          <w:p w14:paraId="207BC73E" w14:textId="77777777" w:rsidR="00017C04" w:rsidRPr="000A1E49" w:rsidRDefault="00F50AF9" w:rsidP="00192C26">
            <w:pPr>
              <w:spacing w:before="0" w:after="0"/>
            </w:pPr>
            <w:r w:rsidRPr="000A1E49">
              <w:t>Voluntary</w:t>
            </w:r>
          </w:p>
        </w:tc>
      </w:tr>
      <w:tr w:rsidR="00192C26" w14:paraId="219E66B2" w14:textId="77777777" w:rsidTr="00017C04">
        <w:trPr>
          <w:trHeight w:val="482"/>
        </w:trPr>
        <w:tc>
          <w:tcPr>
            <w:tcW w:w="1525" w:type="dxa"/>
            <w:vMerge/>
            <w:shd w:val="clear" w:color="auto" w:fill="E7E6E6"/>
            <w:vAlign w:val="center"/>
          </w:tcPr>
          <w:p w14:paraId="12738FB1"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765C33F7"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4A42938D" w14:textId="77777777" w:rsidR="00017C04" w:rsidRPr="000A1E49" w:rsidRDefault="00F50AF9" w:rsidP="00192C26">
            <w:pPr>
              <w:spacing w:before="0" w:after="0"/>
            </w:pPr>
            <w:r w:rsidRPr="000A1E49">
              <w:t>Bern Convention</w:t>
            </w:r>
          </w:p>
        </w:tc>
        <w:tc>
          <w:tcPr>
            <w:tcW w:w="1559" w:type="dxa"/>
            <w:shd w:val="clear" w:color="auto" w:fill="E7E6E6"/>
            <w:vAlign w:val="center"/>
          </w:tcPr>
          <w:p w14:paraId="772355C5" w14:textId="77777777" w:rsidR="00017C04" w:rsidRPr="000A1E49" w:rsidRDefault="00F50AF9" w:rsidP="00192C26">
            <w:pPr>
              <w:spacing w:before="0" w:after="0"/>
            </w:pPr>
            <w:r w:rsidRPr="000A1E49">
              <w:t>Binding</w:t>
            </w:r>
          </w:p>
        </w:tc>
      </w:tr>
      <w:tr w:rsidR="00192C26" w14:paraId="743B3136" w14:textId="77777777" w:rsidTr="00017C04">
        <w:trPr>
          <w:trHeight w:val="482"/>
        </w:trPr>
        <w:tc>
          <w:tcPr>
            <w:tcW w:w="1525" w:type="dxa"/>
            <w:vMerge/>
            <w:shd w:val="clear" w:color="auto" w:fill="E7E6E6"/>
            <w:vAlign w:val="center"/>
          </w:tcPr>
          <w:p w14:paraId="54D68584"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44CD0466"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082EA908" w14:textId="77777777" w:rsidR="00017C04" w:rsidRPr="000A1E49" w:rsidRDefault="00F50AF9" w:rsidP="00192C26">
            <w:pPr>
              <w:spacing w:before="0" w:after="0"/>
            </w:pPr>
            <w:r w:rsidRPr="000A1E49">
              <w:t>United Nations Framework Convention on Climate Change (UNFCCC)</w:t>
            </w:r>
          </w:p>
        </w:tc>
        <w:tc>
          <w:tcPr>
            <w:tcW w:w="1559" w:type="dxa"/>
            <w:shd w:val="clear" w:color="auto" w:fill="E7E6E6"/>
            <w:vAlign w:val="center"/>
          </w:tcPr>
          <w:p w14:paraId="01174192" w14:textId="77777777" w:rsidR="00017C04" w:rsidRPr="000A1E49" w:rsidRDefault="00F50AF9" w:rsidP="00192C26">
            <w:pPr>
              <w:spacing w:before="0" w:after="0"/>
            </w:pPr>
            <w:r w:rsidRPr="000A1E49">
              <w:t>Voluntary</w:t>
            </w:r>
          </w:p>
        </w:tc>
      </w:tr>
      <w:tr w:rsidR="00192C26" w14:paraId="768CEFCE" w14:textId="77777777" w:rsidTr="00017C04">
        <w:trPr>
          <w:trHeight w:val="484"/>
        </w:trPr>
        <w:tc>
          <w:tcPr>
            <w:tcW w:w="1525" w:type="dxa"/>
            <w:vMerge/>
            <w:shd w:val="clear" w:color="auto" w:fill="E7E6E6"/>
            <w:vAlign w:val="center"/>
          </w:tcPr>
          <w:p w14:paraId="1DDBE725"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183F457E"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4E59BE73" w14:textId="77777777" w:rsidR="00017C04" w:rsidRPr="000A1E49" w:rsidRDefault="00F50AF9" w:rsidP="00192C26">
            <w:pPr>
              <w:spacing w:before="0" w:after="0"/>
            </w:pPr>
            <w:r w:rsidRPr="000A1E49">
              <w:t>Protocol on Environmental Protection to the Antarctic Treaty (the Madrid Protocol)</w:t>
            </w:r>
          </w:p>
        </w:tc>
        <w:tc>
          <w:tcPr>
            <w:tcW w:w="1559" w:type="dxa"/>
            <w:shd w:val="clear" w:color="auto" w:fill="E7E6E6"/>
            <w:vAlign w:val="center"/>
          </w:tcPr>
          <w:p w14:paraId="63EC2D26" w14:textId="77777777" w:rsidR="00017C04" w:rsidRPr="000A1E49" w:rsidRDefault="00F50AF9" w:rsidP="00192C26">
            <w:pPr>
              <w:spacing w:before="0" w:after="0"/>
            </w:pPr>
            <w:r w:rsidRPr="000A1E49">
              <w:t>Binding</w:t>
            </w:r>
          </w:p>
        </w:tc>
      </w:tr>
      <w:tr w:rsidR="00192C26" w14:paraId="09B1CEC4" w14:textId="77777777" w:rsidTr="00017C04">
        <w:trPr>
          <w:trHeight w:val="484"/>
        </w:trPr>
        <w:tc>
          <w:tcPr>
            <w:tcW w:w="1525" w:type="dxa"/>
            <w:vMerge w:val="restart"/>
            <w:shd w:val="clear" w:color="auto" w:fill="E7E6E6"/>
            <w:vAlign w:val="center"/>
          </w:tcPr>
          <w:p w14:paraId="17D8AC59" w14:textId="77777777" w:rsidR="00017C04" w:rsidRPr="000A1E49" w:rsidRDefault="00F50AF9" w:rsidP="00192C26">
            <w:pPr>
              <w:spacing w:before="0" w:after="0"/>
            </w:pPr>
            <w:r w:rsidRPr="000A1E49">
              <w:t xml:space="preserve">Transport and trade </w:t>
            </w:r>
          </w:p>
        </w:tc>
        <w:tc>
          <w:tcPr>
            <w:tcW w:w="2439" w:type="dxa"/>
            <w:vMerge w:val="restart"/>
            <w:shd w:val="clear" w:color="auto" w:fill="E7E6E6"/>
            <w:vAlign w:val="center"/>
          </w:tcPr>
          <w:p w14:paraId="6E588535" w14:textId="5A7F3667" w:rsidR="00017C04" w:rsidRPr="000A1E49" w:rsidRDefault="00F50AF9" w:rsidP="00192C26">
            <w:pPr>
              <w:spacing w:before="0" w:after="0"/>
            </w:pPr>
            <w:r w:rsidRPr="000A1E49">
              <w:t>Movement of goods, sanitary and phytosanitary measures</w:t>
            </w:r>
            <w:r w:rsidR="005D0083">
              <w:t xml:space="preserve"> and</w:t>
            </w:r>
            <w:r w:rsidRPr="000A1E49">
              <w:t xml:space="preserve"> border security</w:t>
            </w:r>
          </w:p>
        </w:tc>
        <w:tc>
          <w:tcPr>
            <w:tcW w:w="4111" w:type="dxa"/>
            <w:shd w:val="clear" w:color="auto" w:fill="E7E6E6"/>
            <w:vAlign w:val="center"/>
          </w:tcPr>
          <w:p w14:paraId="54FB28E8" w14:textId="77777777" w:rsidR="00017C04" w:rsidRPr="000A1E49" w:rsidRDefault="00F50AF9" w:rsidP="00192C26">
            <w:pPr>
              <w:spacing w:before="0" w:after="0"/>
            </w:pPr>
            <w:r w:rsidRPr="000A1E49">
              <w:t>WTO</w:t>
            </w:r>
          </w:p>
        </w:tc>
        <w:tc>
          <w:tcPr>
            <w:tcW w:w="1559" w:type="dxa"/>
            <w:shd w:val="clear" w:color="auto" w:fill="E7E6E6"/>
            <w:vAlign w:val="center"/>
          </w:tcPr>
          <w:p w14:paraId="425D206D" w14:textId="77777777" w:rsidR="00017C04" w:rsidRPr="000A1E49" w:rsidRDefault="00F50AF9" w:rsidP="00192C26">
            <w:pPr>
              <w:spacing w:before="0" w:after="0"/>
            </w:pPr>
            <w:r w:rsidRPr="000A1E49">
              <w:t>Binding</w:t>
            </w:r>
          </w:p>
        </w:tc>
      </w:tr>
      <w:tr w:rsidR="00192C26" w14:paraId="4DD6E589" w14:textId="77777777" w:rsidTr="00017C04">
        <w:trPr>
          <w:trHeight w:val="751"/>
        </w:trPr>
        <w:tc>
          <w:tcPr>
            <w:tcW w:w="1525" w:type="dxa"/>
            <w:vMerge/>
            <w:shd w:val="clear" w:color="auto" w:fill="E7E6E6"/>
            <w:vAlign w:val="center"/>
          </w:tcPr>
          <w:p w14:paraId="0555EE87"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4CAC62CB"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0C56F6F7" w14:textId="77777777" w:rsidR="00017C04" w:rsidRPr="000A1E49" w:rsidRDefault="00F50AF9" w:rsidP="00192C26">
            <w:pPr>
              <w:spacing w:before="0" w:after="0"/>
            </w:pPr>
            <w:r w:rsidRPr="000A1E49">
              <w:t>IMO</w:t>
            </w:r>
          </w:p>
        </w:tc>
        <w:tc>
          <w:tcPr>
            <w:tcW w:w="1559" w:type="dxa"/>
            <w:shd w:val="clear" w:color="auto" w:fill="E7E6E6"/>
            <w:vAlign w:val="center"/>
          </w:tcPr>
          <w:p w14:paraId="7F4D26D0" w14:textId="77777777" w:rsidR="00017C04" w:rsidRPr="000A1E49" w:rsidRDefault="00F50AF9" w:rsidP="00192C26">
            <w:pPr>
              <w:spacing w:before="0" w:after="0"/>
            </w:pPr>
            <w:r w:rsidRPr="000A1E49">
              <w:t>Binding</w:t>
            </w:r>
          </w:p>
        </w:tc>
      </w:tr>
      <w:tr w:rsidR="00192C26" w14:paraId="7ECB6616" w14:textId="77777777" w:rsidTr="00017C04">
        <w:trPr>
          <w:trHeight w:val="482"/>
        </w:trPr>
        <w:tc>
          <w:tcPr>
            <w:tcW w:w="1525" w:type="dxa"/>
            <w:vMerge/>
            <w:shd w:val="clear" w:color="auto" w:fill="E7E6E6"/>
            <w:vAlign w:val="center"/>
          </w:tcPr>
          <w:p w14:paraId="483088DE"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08FF8D29"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4ED70F92" w14:textId="77777777" w:rsidR="00017C04" w:rsidRPr="000A1E49" w:rsidRDefault="00F50AF9" w:rsidP="00192C26">
            <w:pPr>
              <w:spacing w:before="0" w:after="0"/>
            </w:pPr>
            <w:r w:rsidRPr="000A1E49">
              <w:t>International Civil Aviation Organization (ICAO)</w:t>
            </w:r>
          </w:p>
        </w:tc>
        <w:tc>
          <w:tcPr>
            <w:tcW w:w="1559" w:type="dxa"/>
            <w:shd w:val="clear" w:color="auto" w:fill="E7E6E6"/>
            <w:vAlign w:val="center"/>
          </w:tcPr>
          <w:p w14:paraId="2B7D3E4A" w14:textId="77777777" w:rsidR="00017C04" w:rsidRPr="000A1E49" w:rsidRDefault="00F50AF9" w:rsidP="00192C26">
            <w:pPr>
              <w:spacing w:before="0" w:after="0"/>
            </w:pPr>
            <w:r w:rsidRPr="000A1E49">
              <w:t>Voluntary</w:t>
            </w:r>
          </w:p>
        </w:tc>
      </w:tr>
      <w:tr w:rsidR="00192C26" w14:paraId="0CF8B51F" w14:textId="77777777" w:rsidTr="00017C04">
        <w:trPr>
          <w:trHeight w:val="554"/>
        </w:trPr>
        <w:tc>
          <w:tcPr>
            <w:tcW w:w="1525" w:type="dxa"/>
            <w:vMerge/>
            <w:shd w:val="clear" w:color="auto" w:fill="E7E6E6"/>
            <w:vAlign w:val="center"/>
          </w:tcPr>
          <w:p w14:paraId="5C184596"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2A328567"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6F348832" w14:textId="77777777" w:rsidR="00017C04" w:rsidRPr="000A1E49" w:rsidRDefault="00F50AF9" w:rsidP="00192C26">
            <w:pPr>
              <w:spacing w:before="0" w:after="0"/>
            </w:pPr>
            <w:r w:rsidRPr="000A1E49">
              <w:t>IPPC</w:t>
            </w:r>
          </w:p>
        </w:tc>
        <w:tc>
          <w:tcPr>
            <w:tcW w:w="1559" w:type="dxa"/>
            <w:shd w:val="clear" w:color="auto" w:fill="E7E6E6"/>
            <w:vAlign w:val="center"/>
          </w:tcPr>
          <w:p w14:paraId="4D59E6D1" w14:textId="77777777" w:rsidR="00017C04" w:rsidRPr="000A1E49" w:rsidRDefault="00F50AF9" w:rsidP="00192C26">
            <w:pPr>
              <w:spacing w:before="0" w:after="0"/>
            </w:pPr>
            <w:r w:rsidRPr="000A1E49">
              <w:t>Binding</w:t>
            </w:r>
          </w:p>
        </w:tc>
      </w:tr>
      <w:tr w:rsidR="00192C26" w14:paraId="067FAB43" w14:textId="77777777" w:rsidTr="00017C04">
        <w:trPr>
          <w:trHeight w:val="554"/>
        </w:trPr>
        <w:tc>
          <w:tcPr>
            <w:tcW w:w="1525" w:type="dxa"/>
            <w:vMerge/>
            <w:shd w:val="clear" w:color="auto" w:fill="E7E6E6"/>
            <w:vAlign w:val="center"/>
          </w:tcPr>
          <w:p w14:paraId="3C492DE5"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5E72768B"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683A8FDB" w14:textId="77777777" w:rsidR="00017C04" w:rsidRPr="000A1E49" w:rsidRDefault="00F50AF9" w:rsidP="00192C26">
            <w:pPr>
              <w:spacing w:before="0" w:after="0"/>
            </w:pPr>
            <w:r w:rsidRPr="000A1E49">
              <w:t>WOAH</w:t>
            </w:r>
          </w:p>
        </w:tc>
        <w:tc>
          <w:tcPr>
            <w:tcW w:w="1559" w:type="dxa"/>
            <w:shd w:val="clear" w:color="auto" w:fill="E7E6E6"/>
            <w:vAlign w:val="center"/>
          </w:tcPr>
          <w:p w14:paraId="29ADAAD6" w14:textId="77777777" w:rsidR="00017C04" w:rsidRPr="000A1E49" w:rsidRDefault="00F50AF9" w:rsidP="00192C26">
            <w:pPr>
              <w:spacing w:before="0" w:after="0"/>
            </w:pPr>
            <w:r w:rsidRPr="000A1E49">
              <w:t>Binding</w:t>
            </w:r>
          </w:p>
        </w:tc>
      </w:tr>
      <w:tr w:rsidR="00192C26" w14:paraId="0D79CDA2" w14:textId="77777777" w:rsidTr="00017C04">
        <w:trPr>
          <w:trHeight w:val="554"/>
        </w:trPr>
        <w:tc>
          <w:tcPr>
            <w:tcW w:w="1525" w:type="dxa"/>
            <w:vMerge/>
            <w:shd w:val="clear" w:color="auto" w:fill="E7E6E6"/>
            <w:vAlign w:val="center"/>
          </w:tcPr>
          <w:p w14:paraId="6AD9E2CF"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43DF0540"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5DD9515F" w14:textId="77777777" w:rsidR="00017C04" w:rsidRPr="000A1E49" w:rsidRDefault="00F50AF9" w:rsidP="00192C26">
            <w:pPr>
              <w:spacing w:before="0" w:after="0"/>
            </w:pPr>
            <w:r w:rsidRPr="000A1E49">
              <w:t>World Customs Organization (WCO)</w:t>
            </w:r>
          </w:p>
        </w:tc>
        <w:tc>
          <w:tcPr>
            <w:tcW w:w="1559" w:type="dxa"/>
            <w:shd w:val="clear" w:color="auto" w:fill="E7E6E6"/>
            <w:vAlign w:val="center"/>
          </w:tcPr>
          <w:p w14:paraId="7513A3A4" w14:textId="77777777" w:rsidR="00017C04" w:rsidRPr="000A1E49" w:rsidRDefault="00F50AF9" w:rsidP="00192C26">
            <w:pPr>
              <w:spacing w:before="0" w:after="0"/>
            </w:pPr>
            <w:r w:rsidRPr="000A1E49">
              <w:t>Voluntary</w:t>
            </w:r>
          </w:p>
        </w:tc>
      </w:tr>
      <w:tr w:rsidR="00192C26" w14:paraId="29C655FA" w14:textId="77777777" w:rsidTr="00017C04">
        <w:trPr>
          <w:trHeight w:val="554"/>
        </w:trPr>
        <w:tc>
          <w:tcPr>
            <w:tcW w:w="1525" w:type="dxa"/>
            <w:vMerge w:val="restart"/>
            <w:shd w:val="clear" w:color="auto" w:fill="E7E6E6"/>
            <w:vAlign w:val="center"/>
          </w:tcPr>
          <w:p w14:paraId="14D2677E" w14:textId="77777777" w:rsidR="00017C04" w:rsidRPr="000A1E49" w:rsidRDefault="00F50AF9" w:rsidP="00192C26">
            <w:pPr>
              <w:spacing w:before="0" w:after="0"/>
            </w:pPr>
            <w:r w:rsidRPr="000A1E49">
              <w:t xml:space="preserve">Production systems </w:t>
            </w:r>
          </w:p>
        </w:tc>
        <w:tc>
          <w:tcPr>
            <w:tcW w:w="2439" w:type="dxa"/>
            <w:vMerge w:val="restart"/>
            <w:shd w:val="clear" w:color="auto" w:fill="E7E6E6"/>
            <w:vAlign w:val="center"/>
          </w:tcPr>
          <w:p w14:paraId="66D9039E" w14:textId="77777777" w:rsidR="00017C04" w:rsidRPr="000A1E49" w:rsidRDefault="00F50AF9" w:rsidP="00192C26">
            <w:pPr>
              <w:spacing w:before="0" w:after="0"/>
            </w:pPr>
            <w:r w:rsidRPr="000A1E49">
              <w:t>Agriculture (silviculture, horticulture, livestock husbandry), aquaculture, and Living Modified Organisms</w:t>
            </w:r>
            <w:r w:rsidRPr="00CB2C93">
              <w:rPr>
                <w:vertAlign w:val="superscript"/>
              </w:rPr>
              <w:footnoteReference w:id="7"/>
            </w:r>
            <w:r w:rsidRPr="00CB2C93">
              <w:rPr>
                <w:vertAlign w:val="superscript"/>
              </w:rPr>
              <w:t xml:space="preserve"> </w:t>
            </w:r>
          </w:p>
        </w:tc>
        <w:tc>
          <w:tcPr>
            <w:tcW w:w="4111" w:type="dxa"/>
            <w:shd w:val="clear" w:color="auto" w:fill="E7E6E6"/>
            <w:vAlign w:val="center"/>
          </w:tcPr>
          <w:p w14:paraId="2E6CC31B" w14:textId="77777777" w:rsidR="00017C04" w:rsidRPr="000A1E49" w:rsidRDefault="00F50AF9" w:rsidP="00192C26">
            <w:pPr>
              <w:spacing w:before="0" w:after="0"/>
            </w:pPr>
            <w:r w:rsidRPr="000A1E49">
              <w:t>IPPC</w:t>
            </w:r>
          </w:p>
        </w:tc>
        <w:tc>
          <w:tcPr>
            <w:tcW w:w="1559" w:type="dxa"/>
            <w:shd w:val="clear" w:color="auto" w:fill="E7E6E6"/>
            <w:vAlign w:val="center"/>
          </w:tcPr>
          <w:p w14:paraId="1D859C35" w14:textId="77777777" w:rsidR="00017C04" w:rsidRPr="000A1E49" w:rsidRDefault="00F50AF9" w:rsidP="00192C26">
            <w:pPr>
              <w:spacing w:before="0" w:after="0"/>
            </w:pPr>
            <w:r w:rsidRPr="000A1E49">
              <w:t>Binding</w:t>
            </w:r>
          </w:p>
        </w:tc>
      </w:tr>
      <w:tr w:rsidR="00192C26" w14:paraId="534E5193" w14:textId="77777777" w:rsidTr="00017C04">
        <w:trPr>
          <w:trHeight w:val="552"/>
        </w:trPr>
        <w:tc>
          <w:tcPr>
            <w:tcW w:w="1525" w:type="dxa"/>
            <w:vMerge/>
            <w:shd w:val="clear" w:color="auto" w:fill="E7E6E6"/>
            <w:vAlign w:val="center"/>
          </w:tcPr>
          <w:p w14:paraId="38DD1E8E"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15E9F30C"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4B1DD572" w14:textId="77777777" w:rsidR="00017C04" w:rsidRPr="000A1E49" w:rsidRDefault="00F50AF9" w:rsidP="00192C26">
            <w:pPr>
              <w:spacing w:before="0" w:after="0"/>
            </w:pPr>
            <w:r w:rsidRPr="000A1E49">
              <w:t>WOAH</w:t>
            </w:r>
          </w:p>
        </w:tc>
        <w:tc>
          <w:tcPr>
            <w:tcW w:w="1559" w:type="dxa"/>
            <w:shd w:val="clear" w:color="auto" w:fill="E7E6E6"/>
            <w:vAlign w:val="center"/>
          </w:tcPr>
          <w:p w14:paraId="52925832" w14:textId="77777777" w:rsidR="00017C04" w:rsidRPr="000A1E49" w:rsidRDefault="00F50AF9" w:rsidP="00192C26">
            <w:pPr>
              <w:spacing w:before="0" w:after="0"/>
            </w:pPr>
            <w:r w:rsidRPr="000A1E49">
              <w:t>Binding</w:t>
            </w:r>
          </w:p>
        </w:tc>
      </w:tr>
      <w:tr w:rsidR="00192C26" w14:paraId="6E3B12BF" w14:textId="77777777" w:rsidTr="00017C04">
        <w:trPr>
          <w:trHeight w:val="552"/>
        </w:trPr>
        <w:tc>
          <w:tcPr>
            <w:tcW w:w="1525" w:type="dxa"/>
            <w:vMerge/>
            <w:shd w:val="clear" w:color="auto" w:fill="E7E6E6"/>
            <w:vAlign w:val="center"/>
          </w:tcPr>
          <w:p w14:paraId="7E9C6551"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50E7CA5D"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674B2807" w14:textId="77777777" w:rsidR="00017C04" w:rsidRPr="000A1E49" w:rsidRDefault="00F50AF9" w:rsidP="00192C26">
            <w:pPr>
              <w:spacing w:before="0" w:after="0"/>
            </w:pPr>
            <w:r w:rsidRPr="000A1E49">
              <w:t>FAO</w:t>
            </w:r>
          </w:p>
        </w:tc>
        <w:tc>
          <w:tcPr>
            <w:tcW w:w="1559" w:type="dxa"/>
            <w:shd w:val="clear" w:color="auto" w:fill="E7E6E6"/>
            <w:vAlign w:val="center"/>
          </w:tcPr>
          <w:p w14:paraId="494B7101" w14:textId="77777777" w:rsidR="00017C04" w:rsidRPr="000A1E49" w:rsidRDefault="00F50AF9" w:rsidP="00192C26">
            <w:pPr>
              <w:spacing w:before="0" w:after="0"/>
            </w:pPr>
            <w:r w:rsidRPr="000A1E49">
              <w:t>Voluntary</w:t>
            </w:r>
          </w:p>
        </w:tc>
      </w:tr>
      <w:tr w:rsidR="00192C26" w14:paraId="50E71F1D" w14:textId="77777777" w:rsidTr="00017C04">
        <w:trPr>
          <w:trHeight w:val="552"/>
        </w:trPr>
        <w:tc>
          <w:tcPr>
            <w:tcW w:w="1525" w:type="dxa"/>
            <w:vMerge/>
            <w:shd w:val="clear" w:color="auto" w:fill="E7E6E6"/>
            <w:vAlign w:val="center"/>
          </w:tcPr>
          <w:p w14:paraId="6B4B0BFD"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3917EA9D"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65904CB2" w14:textId="77777777" w:rsidR="00017C04" w:rsidRPr="000A1E49" w:rsidRDefault="00F50AF9" w:rsidP="00192C26">
            <w:pPr>
              <w:spacing w:before="0" w:after="0"/>
            </w:pPr>
            <w:r w:rsidRPr="000A1E49">
              <w:t>Cartagena Protocol on Biosafety</w:t>
            </w:r>
          </w:p>
        </w:tc>
        <w:tc>
          <w:tcPr>
            <w:tcW w:w="1559" w:type="dxa"/>
            <w:shd w:val="clear" w:color="auto" w:fill="E7E6E6"/>
            <w:vAlign w:val="center"/>
          </w:tcPr>
          <w:p w14:paraId="6BDB2353" w14:textId="77777777" w:rsidR="00017C04" w:rsidRPr="000A1E49" w:rsidRDefault="00F50AF9" w:rsidP="00192C26">
            <w:pPr>
              <w:spacing w:before="0" w:after="0"/>
            </w:pPr>
            <w:r w:rsidRPr="000A1E49">
              <w:t>Binding</w:t>
            </w:r>
          </w:p>
        </w:tc>
      </w:tr>
      <w:tr w:rsidR="00192C26" w14:paraId="49CC4FE9" w14:textId="77777777" w:rsidTr="00017C04">
        <w:tc>
          <w:tcPr>
            <w:tcW w:w="1525" w:type="dxa"/>
            <w:shd w:val="clear" w:color="auto" w:fill="E7E6E6"/>
          </w:tcPr>
          <w:p w14:paraId="4DA16E08" w14:textId="77777777" w:rsidR="00017C04" w:rsidRPr="000A1E49" w:rsidRDefault="00F50AF9" w:rsidP="00192C26">
            <w:pPr>
              <w:spacing w:before="0" w:after="0"/>
            </w:pPr>
            <w:r w:rsidRPr="000A1E49">
              <w:t xml:space="preserve">Extraction systems </w:t>
            </w:r>
          </w:p>
        </w:tc>
        <w:tc>
          <w:tcPr>
            <w:tcW w:w="2439" w:type="dxa"/>
            <w:shd w:val="clear" w:color="auto" w:fill="E7E6E6"/>
            <w:vAlign w:val="center"/>
          </w:tcPr>
          <w:p w14:paraId="45070239" w14:textId="77777777" w:rsidR="00017C04" w:rsidRPr="000A1E49" w:rsidRDefault="00F50AF9" w:rsidP="00192C26">
            <w:pPr>
              <w:spacing w:before="0" w:after="0"/>
            </w:pPr>
            <w:r w:rsidRPr="000A1E49">
              <w:t>Forestry and fisheries</w:t>
            </w:r>
          </w:p>
        </w:tc>
        <w:tc>
          <w:tcPr>
            <w:tcW w:w="4111" w:type="dxa"/>
            <w:shd w:val="clear" w:color="auto" w:fill="E7E6E6"/>
          </w:tcPr>
          <w:p w14:paraId="38ED0BF7" w14:textId="77777777" w:rsidR="00017C04" w:rsidRPr="000A1E49" w:rsidRDefault="00F50AF9" w:rsidP="00192C26">
            <w:pPr>
              <w:spacing w:before="0" w:after="0"/>
            </w:pPr>
            <w:r w:rsidRPr="000A1E49">
              <w:t>FAO</w:t>
            </w:r>
          </w:p>
        </w:tc>
        <w:tc>
          <w:tcPr>
            <w:tcW w:w="1559" w:type="dxa"/>
            <w:shd w:val="clear" w:color="auto" w:fill="E7E6E6"/>
          </w:tcPr>
          <w:p w14:paraId="78F0D29A" w14:textId="77777777" w:rsidR="00017C04" w:rsidRPr="000A1E49" w:rsidRDefault="00F50AF9" w:rsidP="00192C26">
            <w:pPr>
              <w:spacing w:before="0" w:after="0"/>
            </w:pPr>
            <w:r w:rsidRPr="000A1E49">
              <w:t>Voluntary</w:t>
            </w:r>
          </w:p>
        </w:tc>
      </w:tr>
      <w:tr w:rsidR="00192C26" w14:paraId="33423555" w14:textId="77777777" w:rsidTr="00017C04">
        <w:trPr>
          <w:trHeight w:val="275"/>
        </w:trPr>
        <w:tc>
          <w:tcPr>
            <w:tcW w:w="1525" w:type="dxa"/>
            <w:vMerge w:val="restart"/>
            <w:shd w:val="clear" w:color="auto" w:fill="E7E6E6"/>
            <w:vAlign w:val="center"/>
          </w:tcPr>
          <w:p w14:paraId="3E228220" w14:textId="77777777" w:rsidR="00017C04" w:rsidRPr="000A1E49" w:rsidRDefault="00F50AF9" w:rsidP="00192C26">
            <w:pPr>
              <w:spacing w:before="0" w:after="0"/>
            </w:pPr>
            <w:r w:rsidRPr="000A1E49">
              <w:t xml:space="preserve">Public health </w:t>
            </w:r>
          </w:p>
        </w:tc>
        <w:tc>
          <w:tcPr>
            <w:tcW w:w="2439" w:type="dxa"/>
            <w:vMerge w:val="restart"/>
            <w:shd w:val="clear" w:color="auto" w:fill="E7E6E6"/>
            <w:vAlign w:val="center"/>
          </w:tcPr>
          <w:p w14:paraId="4CE6CF5B" w14:textId="77777777" w:rsidR="00017C04" w:rsidRPr="000A1E49" w:rsidRDefault="00F50AF9" w:rsidP="00192C26">
            <w:pPr>
              <w:spacing w:before="0" w:after="0"/>
            </w:pPr>
            <w:r w:rsidRPr="000A1E49">
              <w:t xml:space="preserve">Protection against public health threats </w:t>
            </w:r>
          </w:p>
        </w:tc>
        <w:tc>
          <w:tcPr>
            <w:tcW w:w="4111" w:type="dxa"/>
            <w:shd w:val="clear" w:color="auto" w:fill="E7E6E6"/>
            <w:vAlign w:val="center"/>
          </w:tcPr>
          <w:p w14:paraId="4DADA5B5" w14:textId="77777777" w:rsidR="00017C04" w:rsidRPr="000A1E49" w:rsidRDefault="00F50AF9" w:rsidP="00192C26">
            <w:pPr>
              <w:spacing w:before="0" w:after="0"/>
            </w:pPr>
            <w:r w:rsidRPr="000A1E49">
              <w:t>WHO</w:t>
            </w:r>
          </w:p>
        </w:tc>
        <w:tc>
          <w:tcPr>
            <w:tcW w:w="1559" w:type="dxa"/>
            <w:shd w:val="clear" w:color="auto" w:fill="E7E6E6"/>
            <w:vAlign w:val="center"/>
          </w:tcPr>
          <w:p w14:paraId="19BAEDD1" w14:textId="77777777" w:rsidR="00017C04" w:rsidRPr="000A1E49" w:rsidRDefault="00F50AF9" w:rsidP="00192C26">
            <w:pPr>
              <w:spacing w:before="0" w:after="0"/>
            </w:pPr>
            <w:r w:rsidRPr="000A1E49">
              <w:t>Voluntary</w:t>
            </w:r>
          </w:p>
        </w:tc>
      </w:tr>
      <w:tr w:rsidR="00192C26" w14:paraId="3B23B7BB" w14:textId="77777777" w:rsidTr="00017C04">
        <w:trPr>
          <w:trHeight w:val="275"/>
        </w:trPr>
        <w:tc>
          <w:tcPr>
            <w:tcW w:w="1525" w:type="dxa"/>
            <w:vMerge/>
            <w:shd w:val="clear" w:color="auto" w:fill="E7E6E6"/>
            <w:vAlign w:val="center"/>
          </w:tcPr>
          <w:p w14:paraId="0E04BF85" w14:textId="77777777" w:rsidR="00017C04" w:rsidRPr="000A1E49" w:rsidRDefault="00017C04" w:rsidP="00C12647">
            <w:pPr>
              <w:widowControl w:val="0"/>
              <w:pBdr>
                <w:top w:val="nil"/>
                <w:left w:val="nil"/>
                <w:bottom w:val="nil"/>
                <w:right w:val="nil"/>
                <w:between w:val="nil"/>
              </w:pBdr>
              <w:spacing w:before="0" w:after="0" w:line="276" w:lineRule="auto"/>
            </w:pPr>
          </w:p>
        </w:tc>
        <w:tc>
          <w:tcPr>
            <w:tcW w:w="2439" w:type="dxa"/>
            <w:vMerge/>
            <w:shd w:val="clear" w:color="auto" w:fill="E7E6E6"/>
            <w:vAlign w:val="center"/>
          </w:tcPr>
          <w:p w14:paraId="67340949" w14:textId="77777777" w:rsidR="00017C04" w:rsidRPr="000A1E49" w:rsidRDefault="00017C04" w:rsidP="00C12647">
            <w:pPr>
              <w:widowControl w:val="0"/>
              <w:pBdr>
                <w:top w:val="nil"/>
                <w:left w:val="nil"/>
                <w:bottom w:val="nil"/>
                <w:right w:val="nil"/>
                <w:between w:val="nil"/>
              </w:pBdr>
              <w:spacing w:before="0" w:after="0" w:line="276" w:lineRule="auto"/>
            </w:pPr>
          </w:p>
        </w:tc>
        <w:tc>
          <w:tcPr>
            <w:tcW w:w="4111" w:type="dxa"/>
            <w:shd w:val="clear" w:color="auto" w:fill="E7E6E6"/>
            <w:vAlign w:val="center"/>
          </w:tcPr>
          <w:p w14:paraId="525529A8" w14:textId="77777777" w:rsidR="00017C04" w:rsidRPr="000A1E49" w:rsidRDefault="00F50AF9" w:rsidP="00192C26">
            <w:pPr>
              <w:spacing w:before="0" w:after="0"/>
            </w:pPr>
            <w:r w:rsidRPr="000A1E49">
              <w:t>One Health Joint Plan of Action</w:t>
            </w:r>
          </w:p>
        </w:tc>
        <w:tc>
          <w:tcPr>
            <w:tcW w:w="1559" w:type="dxa"/>
            <w:shd w:val="clear" w:color="auto" w:fill="E7E6E6"/>
            <w:vAlign w:val="center"/>
          </w:tcPr>
          <w:p w14:paraId="282C00B4" w14:textId="77777777" w:rsidR="00017C04" w:rsidRPr="000A1E49" w:rsidRDefault="00F50AF9" w:rsidP="00192C26">
            <w:pPr>
              <w:spacing w:before="0" w:after="0"/>
            </w:pPr>
            <w:r w:rsidRPr="000A1E49">
              <w:t>Voluntary</w:t>
            </w:r>
          </w:p>
        </w:tc>
      </w:tr>
      <w:tr w:rsidR="00017C04" w14:paraId="60FB2753" w14:textId="77777777" w:rsidTr="00C12647">
        <w:trPr>
          <w:trHeight w:val="275"/>
        </w:trPr>
        <w:tc>
          <w:tcPr>
            <w:tcW w:w="9634" w:type="dxa"/>
            <w:gridSpan w:val="4"/>
            <w:shd w:val="clear" w:color="auto" w:fill="E7E6E6"/>
            <w:vAlign w:val="center"/>
          </w:tcPr>
          <w:p w14:paraId="644C5F91" w14:textId="77777777" w:rsidR="00017C04" w:rsidRPr="00C12647" w:rsidRDefault="00F50AF9" w:rsidP="00C12647">
            <w:pPr>
              <w:pBdr>
                <w:top w:val="nil"/>
                <w:left w:val="nil"/>
                <w:bottom w:val="nil"/>
                <w:right w:val="nil"/>
                <w:between w:val="nil"/>
              </w:pBdr>
              <w:spacing w:before="0" w:after="0"/>
              <w:rPr>
                <w:color w:val="000000"/>
              </w:rPr>
            </w:pPr>
            <w:r w:rsidRPr="00C12647">
              <w:rPr>
                <w:color w:val="000000"/>
              </w:rPr>
              <w:t>* Binding instrument refers to those where signatories have a legal obligation to implement and/or achieve their commitments</w:t>
            </w:r>
          </w:p>
        </w:tc>
      </w:tr>
    </w:tbl>
    <w:p w14:paraId="1E207957" w14:textId="77777777" w:rsidR="00017C04" w:rsidRDefault="00F50AF9" w:rsidP="00C12647">
      <w:pPr>
        <w:pStyle w:val="Heading3"/>
        <w:ind w:left="720"/>
      </w:pPr>
      <w:bookmarkStart w:id="224" w:name="_heading=h.2dlolyb" w:colFirst="0" w:colLast="0"/>
      <w:bookmarkStart w:id="225" w:name="_Toc74056280"/>
      <w:bookmarkStart w:id="226" w:name="_Toc1008848795"/>
      <w:bookmarkStart w:id="227" w:name="_Toc133428307"/>
      <w:bookmarkEnd w:id="224"/>
      <w:r>
        <w:t>Addressing fragmentation challenges</w:t>
      </w:r>
      <w:bookmarkEnd w:id="225"/>
      <w:bookmarkEnd w:id="226"/>
      <w:bookmarkEnd w:id="227"/>
    </w:p>
    <w:p w14:paraId="5EDBBE71" w14:textId="3A080445" w:rsidR="00017C04" w:rsidRDefault="00F50AF9">
      <w:r>
        <w:t>Building on the interconnections between different sectors (e.g., transport, human health, trade, agriculture and aquaculture, forestry</w:t>
      </w:r>
      <w:r w:rsidR="005D0083">
        <w:t xml:space="preserve"> and</w:t>
      </w:r>
      <w:r>
        <w:t xml:space="preserve"> biodiversity) to overcome policy fragmentation would provide a </w:t>
      </w:r>
      <w:r w:rsidRPr="00CB2C93">
        <w:t>pathway</w:t>
      </w:r>
      <w:r>
        <w:t xml:space="preserve"> for the effective prevention of invasive alien species (</w:t>
      </w:r>
      <w:r w:rsidR="00071151" w:rsidRPr="00673554">
        <w:rPr>
          <w:b/>
          <w:iCs/>
        </w:rPr>
        <w:t>Figure</w:t>
      </w:r>
      <w:r>
        <w:rPr>
          <w:b/>
        </w:rPr>
        <w:t xml:space="preserve"> 6.10</w:t>
      </w:r>
      <w:r>
        <w:t>). Such a pathway would benefit from a coordinated view of biosecurity across relevant agencies, and a clear definition of the roles and responsibilities of relevant national offices.</w:t>
      </w:r>
    </w:p>
    <w:p w14:paraId="2F25EBF7" w14:textId="6DFB101A" w:rsidR="00017C04" w:rsidRDefault="00F50AF9">
      <w:pPr>
        <w:pStyle w:val="Heading5"/>
        <w:rPr>
          <w:i/>
        </w:rPr>
      </w:pPr>
      <w:bookmarkStart w:id="228" w:name="_heading=h.sqyw64" w:colFirst="0" w:colLast="0"/>
      <w:bookmarkStart w:id="229" w:name="_Toc85291853"/>
      <w:bookmarkEnd w:id="228"/>
      <w:r>
        <w:t>(1) Develop a coordinated approach to biosecurity across relevant agencies</w:t>
      </w:r>
      <w:bookmarkEnd w:id="229"/>
      <w:r>
        <w:br/>
      </w:r>
      <w:r>
        <w:rPr>
          <w:b w:val="0"/>
        </w:rPr>
        <w:t>A coordinated approach to biosecurity may help facilitate the export of products that otherwise would be subject to import restrictions in other countries. At the same time, it could protect agriculture, forestry, horticulture, fisheries, native biodiversity</w:t>
      </w:r>
      <w:r w:rsidR="005D0083">
        <w:rPr>
          <w:b w:val="0"/>
        </w:rPr>
        <w:t xml:space="preserve"> and</w:t>
      </w:r>
      <w:r>
        <w:rPr>
          <w:b w:val="0"/>
        </w:rPr>
        <w:t xml:space="preserve"> human health. A coordinated view of biosecurity would mean blurring the lines between strong sectorial identities associated with specific international standards, individual economic sectors such as health, agriculture and the </w:t>
      </w:r>
      <w:r>
        <w:rPr>
          <w:b w:val="0"/>
        </w:rPr>
        <w:lastRenderedPageBreak/>
        <w:t>environment, specific research communities, and unique stakeholder and Indigenous Peoples and local communit</w:t>
      </w:r>
      <w:r w:rsidR="00351A46">
        <w:rPr>
          <w:b w:val="0"/>
        </w:rPr>
        <w:t>ies</w:t>
      </w:r>
      <w:r>
        <w:rPr>
          <w:b w:val="0"/>
        </w:rPr>
        <w:t xml:space="preserve"> involvement. Biosecurity can benefit from close collaboration between the various national agencies that oversee human health, trade policy, agriculture and aquaculture, forestry</w:t>
      </w:r>
      <w:r w:rsidR="005D0083">
        <w:rPr>
          <w:b w:val="0"/>
        </w:rPr>
        <w:t xml:space="preserve"> and</w:t>
      </w:r>
      <w:r>
        <w:rPr>
          <w:b w:val="0"/>
        </w:rPr>
        <w:t xml:space="preserve"> biodiversity </w:t>
      </w:r>
      <w:bookmarkStart w:id="230" w:name="_Hlk133499264"/>
      <w:r w:rsidR="00DF1AF7" w:rsidRPr="0052397B">
        <w:rPr>
          <w:b w:val="0"/>
          <w:bCs/>
          <w:i/>
          <w:iCs/>
        </w:rPr>
        <w:fldChar w:fldCharType="begin"/>
      </w:r>
      <w:r w:rsidR="00DF1AF7" w:rsidRPr="008615FF">
        <w:rPr>
          <w:b w:val="0"/>
          <w:bCs/>
        </w:rPr>
        <w:instrText xml:space="preserve"> ADDIN EN.CITE &lt;EndNote&gt;&lt;Cite&gt;&lt;Author&gt;COP&lt;/Author&gt;&lt;Year&gt;2012&lt;/Year&gt;&lt;RecNum&gt;74&lt;/RecNum&gt;&lt;DisplayText&gt;(COP 2012)&lt;/DisplayText&gt;&lt;record&gt;&lt;rec-number&gt;74&lt;/rec-number&gt;&lt;foreign-keys&gt;&lt;key app="EN" db-id="2fps2rpwcptwaxedz9oprzvmawfxef9pfpa2" timestamp="1620723604"&gt;74&lt;/key&gt;&lt;/foreign-keys&gt;&lt;ref-type name="Report"&gt;27&lt;/ref-type&gt;&lt;contributors&gt;&lt;authors&gt;&lt;author&gt;COP, CBD&lt;/author&gt;&lt;/authors&gt;&lt;/contributors&gt;&lt;titles&gt;&lt;title&gt;Decision adopted by the conference of the Parties to the convention on biological diversity at its eleventh meeting XI/28. Invasive alien species&lt;/title&gt;&lt;/titles&gt;&lt;pages&gt;5&lt;/pages&gt;&lt;dates&gt;&lt;year&gt;2012&lt;/year&gt;&lt;/dates&gt;&lt;publisher&gt;UNEP/CBD/COP/DEC/XI/20 5 December&lt;/publisher&gt;&lt;urls&gt;&lt;/urls&gt;&lt;electronic-resource-num&gt;https://www.cbd.int/doc/decisions/cop-11/cop-11-dec-28-en.pdf&lt;/electronic-resource-num&gt;&lt;/record&gt;&lt;/Cite&gt;&lt;/EndNote&gt;</w:instrText>
      </w:r>
      <w:r w:rsidR="00DF1AF7" w:rsidRPr="0052397B">
        <w:rPr>
          <w:b w:val="0"/>
          <w:bCs/>
          <w:i/>
          <w:iCs/>
        </w:rPr>
        <w:fldChar w:fldCharType="separate"/>
      </w:r>
      <w:r w:rsidR="00DF1AF7" w:rsidRPr="0052397B">
        <w:rPr>
          <w:b w:val="0"/>
          <w:bCs/>
          <w:i/>
          <w:iCs/>
        </w:rPr>
        <w:fldChar w:fldCharType="begin"/>
      </w:r>
      <w:r w:rsidR="0006613E">
        <w:rPr>
          <w:b w:val="0"/>
          <w:bCs/>
        </w:rPr>
        <w:instrText xml:space="preserve"> ADDIN ZOTERO_ITEM CSL_CITATION {"citationID":"H8PQ86sG","properties":{"formattedCitation":"(CBD, 2012, 2018)","plainCitation":"(CBD, 2012, 2018)","noteIndex":0},"citationItems":[{"id":53571,"uris":["http://zotero.org/groups/2352922/items/EWH6YAMB"],"itemData":{"id":53571,"type":"paper-conference","collection-title":"UNEP/CBD/COP/DEC/XI/28","container-title":"Decision adopted by the conference of the Parties to the convention on biological diversity","event-place":"Hyderabad, India","event-title":"Eleventh meeting of Conference of the parties to the Convention on Biological Diversity","publisher":"Convention on Biodiversity, United Nations Environment Programme","publisher-place":"Hyderabad, India","title":"XI/28. Invasive alien species","URL":"https://www.cbd.int/doc/decisions/cop-11/cop-11-dec-28-en.pdf","author":[{"literal":"CBD"}],"issued":{"date-parts":[["2012"]]}},"label":"paragraph"},{"id":53572,"uris":["http://zotero.org/groups/2352922/items/DVW8WQVI"],"itemData":{"id":53572,"type":"paper-conference","collection-title":"UNEP/CBD/COP/DEC/14/11","container-title":"Decision adopted by the conference of the Parties to the convention on biological diversity","event-place":"Sharm El-Sheikh, Egypt","event-title":"Fourteen meeting of Conference of the parties to the Convention on Biological Diversity","publisher":"Convention on Biodiversity, United Nations Environment Programme","publisher-place":"Sharm El-Sheikh, Egypt","title":"14/11. Invasive alien species","URL":"https://www.cbd.int/doc/decisions/cop-14/cop-14-dec-11-en.pdf","author":[{"literal":"CBD"}],"issued":{"date-parts":[["2018"]]}},"label":"paragraph"}],"schema":"https://github.com/citation-style-language/schema/raw/master/csl-citation.json"} </w:instrText>
      </w:r>
      <w:r w:rsidR="00DF1AF7" w:rsidRPr="0052397B">
        <w:rPr>
          <w:b w:val="0"/>
          <w:bCs/>
          <w:i/>
          <w:iCs/>
        </w:rPr>
        <w:fldChar w:fldCharType="separate"/>
      </w:r>
      <w:r w:rsidR="00017441" w:rsidRPr="00673554">
        <w:rPr>
          <w:b w:val="0"/>
        </w:rPr>
        <w:t>(CBD, 2012, 2018)</w:t>
      </w:r>
      <w:r w:rsidR="00DF1AF7" w:rsidRPr="0052397B">
        <w:rPr>
          <w:b w:val="0"/>
          <w:bCs/>
          <w:i/>
          <w:iCs/>
        </w:rPr>
        <w:fldChar w:fldCharType="end"/>
      </w:r>
      <w:r w:rsidR="00DF1AF7" w:rsidRPr="0052397B">
        <w:rPr>
          <w:b w:val="0"/>
          <w:bCs/>
          <w:i/>
          <w:iCs/>
        </w:rPr>
        <w:fldChar w:fldCharType="end"/>
      </w:r>
      <w:bookmarkEnd w:id="230"/>
      <w:r w:rsidR="7F15770B" w:rsidRPr="00A66FC6">
        <w:rPr>
          <w:b w:val="0"/>
          <w:bCs/>
        </w:rPr>
        <w:t>.</w:t>
      </w:r>
      <w:r>
        <w:rPr>
          <w:b w:val="0"/>
        </w:rPr>
        <w:t xml:space="preserve"> </w:t>
      </w:r>
    </w:p>
    <w:p w14:paraId="5CDA2052" w14:textId="446A438F" w:rsidR="00017C04" w:rsidRDefault="00F50AF9">
      <w:r>
        <w:t xml:space="preserve">Efforts in the direction of cross-agency coordination have been proposed in reviews of existing biosecurity arrangements; for example, Australia’s quarantine and biosecurity arrangements </w:t>
      </w:r>
      <w:r w:rsidR="00424414" w:rsidRPr="00A9434B">
        <w:fldChar w:fldCharType="begin"/>
      </w:r>
      <w:r w:rsidR="0006613E">
        <w:instrText xml:space="preserve"> ADDIN ZOTERO_ITEM CSL_CITATION {"citationID":"a5r9042stb","properties":{"formattedCitation":"(CSIRO, 2022; Durant &amp; Faunce, 2018)","plainCitation":"(CSIRO, 2022; Durant &amp; Faunce, 2018)","noteIndex":0},"citationItems":[{"id":54638,"uris":["http://zotero.org/groups/2352922/items/89WV3ZAH"],"itemData":{"id":54638,"type":"webpage","abstract":"The Australia's Biosecurity Future report provides a transformational vision for a resilient biosecurity system in 2030, and outlines what needs to happen to get there.","language":"en","note":"publisher: Commonwealth Scientific and Industrial Research Organisation","title":"Australia’s Biosecurity Future: Unlocking the next decade of resilience","title-short":"Australia’s Biosecurity Future","URL":"https://www.csiro.au/en/work-with-us/services/consultancy-strategic-advice-services/csiro-futures/agriculture-and-food/biosecurity-futures","author":[{"literal":"CSIRO"}],"accessed":{"date-parts":[["2023",3,2]]},"issued":{"date-parts":[["2022"]]}}},{"id":54637,"uris":["http://zotero.org/groups/2352922/items/BV52NK96"],"itemData":{"id":54637,"type":"article-journal","container-title":"Journal of law and medicine","issue":"3","note":"PMID: 29978659","page":"647-654","title":"Analysis of Australia's new biosecurity legislation","URL":"https://pubmed.ncbi.nlm.nih.gov/29978659/","volume":"25","author":[{"family":"Durant","given":"Sam"},{"family":"Faunce","given":"Thomas Alured"}],"issued":{"date-parts":[["2018"]]}}}],"schema":"https://github.com/citation-style-language/schema/raw/master/csl-citation.json"} </w:instrText>
      </w:r>
      <w:r w:rsidR="00424414" w:rsidRPr="00A9434B">
        <w:fldChar w:fldCharType="separate"/>
      </w:r>
      <w:r w:rsidR="00C71E80" w:rsidRPr="00A9434B">
        <w:t>(CSIRO, 2022; Durant &amp; Faunce, 2018)</w:t>
      </w:r>
      <w:r w:rsidR="00424414" w:rsidRPr="00A9434B">
        <w:fldChar w:fldCharType="end"/>
      </w:r>
      <w:r w:rsidR="005309B4" w:rsidRPr="00A9434B">
        <w:t xml:space="preserve"> </w:t>
      </w:r>
      <w:r w:rsidR="00356BB1" w:rsidRPr="00A9434B">
        <w:t>ar</w:t>
      </w:r>
      <w:r w:rsidR="00161D90" w:rsidRPr="00A9434B">
        <w:t>e</w:t>
      </w:r>
      <w:r w:rsidR="00356BB1" w:rsidRPr="00A9434B">
        <w:t xml:space="preserve"> at the core of </w:t>
      </w:r>
      <w:r w:rsidR="00161D90" w:rsidRPr="00A9434B">
        <w:t xml:space="preserve">the Great Britain </w:t>
      </w:r>
      <w:r w:rsidR="00B301D7">
        <w:t xml:space="preserve">Non-Native </w:t>
      </w:r>
      <w:r w:rsidR="00161D90" w:rsidRPr="00A9434B">
        <w:t>Species Strategy</w:t>
      </w:r>
      <w:r w:rsidR="00077565" w:rsidRPr="00A9434B">
        <w:t xml:space="preserve"> and its Secretariat</w:t>
      </w:r>
      <w:r w:rsidR="00161D90" w:rsidRPr="00A9434B">
        <w:t xml:space="preserve"> </w:t>
      </w:r>
      <w:r w:rsidR="00F806B6" w:rsidRPr="00A9434B">
        <w:t>(</w:t>
      </w:r>
      <w:r w:rsidR="00161D90" w:rsidRPr="00673554">
        <w:rPr>
          <w:b/>
          <w:bCs/>
          <w:iCs/>
        </w:rPr>
        <w:t>Box 6.</w:t>
      </w:r>
      <w:r w:rsidR="00F77EC7" w:rsidRPr="00673554">
        <w:rPr>
          <w:b/>
          <w:bCs/>
          <w:iCs/>
        </w:rPr>
        <w:t>6</w:t>
      </w:r>
      <w:r w:rsidR="00161D90" w:rsidRPr="00A9434B">
        <w:t xml:space="preserve">). </w:t>
      </w:r>
      <w:r w:rsidR="009D3AD2" w:rsidRPr="00A9434B">
        <w:t>A broader</w:t>
      </w:r>
      <w:r w:rsidR="009145F9" w:rsidRPr="00A9434B">
        <w:t xml:space="preserve"> coordinated biosecurity approach </w:t>
      </w:r>
      <w:r w:rsidR="00B877FF" w:rsidRPr="00A9434B">
        <w:t xml:space="preserve">can be achieved through </w:t>
      </w:r>
      <w:r w:rsidR="009145F9" w:rsidRPr="00A9434B">
        <w:t xml:space="preserve">close dialogue </w:t>
      </w:r>
      <w:r w:rsidR="00B877FF" w:rsidRPr="00A9434B">
        <w:t xml:space="preserve">between </w:t>
      </w:r>
      <w:r w:rsidR="009145F9" w:rsidRPr="00A9434B">
        <w:t>health, agriculture</w:t>
      </w:r>
      <w:r w:rsidR="005D0083">
        <w:t xml:space="preserve"> and</w:t>
      </w:r>
      <w:r w:rsidR="009145F9" w:rsidRPr="00A9434B">
        <w:t xml:space="preserve"> environment sectors; global, national and local authorities; and natural and social sciences.</w:t>
      </w:r>
      <w:r w:rsidR="009D3AD2" w:rsidRPr="00A9434B">
        <w:t xml:space="preserve"> For example, the One Biosecurity approach </w:t>
      </w:r>
      <w:r w:rsidR="009D3AD2" w:rsidRPr="00A9434B">
        <w:fldChar w:fldCharType="begin"/>
      </w:r>
      <w:r w:rsidR="009D3AD2" w:rsidRPr="00A9434B">
        <w:instrText xml:space="preserve"> ADDIN EN.CITE &lt;EndNote&gt;&lt;Cite&gt;&lt;Author&gt;Hulme&lt;/Author&gt;&lt;Year&gt;2020&lt;/Year&gt;&lt;RecNum&gt;192&lt;/RecNum&gt;&lt;DisplayText&gt;(Hulme 2020)&lt;/DisplayText&gt;&lt;record&gt;&lt;rec-number&gt;192&lt;/rec-number&gt;&lt;foreign-keys&gt;&lt;key app="EN" db-id="2fps2rpwcptwaxedz9oprzvmawfxef9pfpa2" timestamp="1628072084"&gt;192&lt;/key&gt;&lt;/foreign-keys&gt;&lt;ref-type name="Journal Article"&gt;17&lt;/ref-type&gt;&lt;contributors&gt;&lt;authors&gt;&lt;author&gt;Hulme, P. E.&lt;/author&gt;&lt;/authors&gt;&lt;/contributors&gt;&lt;auth-address&gt;The Bio-Protection Research Centre, Lincoln University, PO Box 85084, Canterbury, New Zealand.&lt;/auth-address&gt;&lt;titles&gt;&lt;title&gt;One Biosecurity: a unified concept to integrate human, animal, plant, and environmental health&lt;/title&gt;&lt;secondary-title&gt;Emerg Top Life Sci&lt;/secondary-title&gt;&lt;/titles&gt;&lt;periodical&gt;&lt;full-title&gt;Emerg Top Life Sci&lt;/full-title&gt;&lt;/periodical&gt;&lt;pages&gt;539-549&lt;/pages&gt;&lt;volume&gt;4&lt;/volume&gt;&lt;number&gt;5&lt;/number&gt;&lt;edition&gt;2020/10/29&lt;/edition&gt;&lt;keywords&gt;&lt;keyword&gt;*Agriculture&lt;/keyword&gt;&lt;keyword&gt;Animals&lt;/keyword&gt;&lt;keyword&gt;Covid-19&lt;/keyword&gt;&lt;keyword&gt;Climate Change&lt;/keyword&gt;&lt;keyword&gt;*Environmental Health&lt;/keyword&gt;&lt;keyword&gt;Humans&lt;/keyword&gt;&lt;keyword&gt;*One Health&lt;/keyword&gt;&lt;keyword&gt;Pandemics&lt;/keyword&gt;&lt;keyword&gt;Plants&lt;/keyword&gt;&lt;keyword&gt;SARS-CoV-2&lt;/keyword&gt;&lt;keyword&gt;Urbanization&lt;/keyword&gt;&lt;keyword&gt;*biological invasions&lt;/keyword&gt;&lt;keyword&gt;*biosecurity&lt;/keyword&gt;&lt;keyword&gt;*epidemiology&lt;/keyword&gt;&lt;/keywords&gt;&lt;dates&gt;&lt;year&gt;2020&lt;/year&gt;&lt;pub-dates&gt;&lt;date&gt;Dec 15&lt;/date&gt;&lt;/pub-dates&gt;&lt;/dates&gt;&lt;isbn&gt;2397-8554 (Print)&amp;#xD;2397-8554 (Linking)&lt;/isbn&gt;&lt;accession-num&gt;33111945&lt;/accession-num&gt;&lt;urls&gt;&lt;related-urls&gt;&lt;url&gt;https://www.ncbi.nlm.nih.gov/pubmed/33111945&lt;/url&gt;&lt;/related-urls&gt;&lt;/urls&gt;&lt;custom2&gt;PMC7803345&lt;/custom2&gt;&lt;electronic-resource-num&gt;10.1042/ETLS20200067&lt;/electronic-resource-num&gt;&lt;/record&gt;&lt;/Cite&gt;&lt;/EndNote&gt;</w:instrText>
      </w:r>
      <w:r w:rsidR="009D3AD2" w:rsidRPr="00A9434B">
        <w:fldChar w:fldCharType="separate"/>
      </w:r>
      <w:r w:rsidR="009D3AD2" w:rsidRPr="00A9434B">
        <w:fldChar w:fldCharType="begin"/>
      </w:r>
      <w:r w:rsidR="0006613E">
        <w:instrText xml:space="preserve"> ADDIN ZOTERO_ITEM CSL_CITATION {"citationID":"a1bm2ajt67d","properties":{"formattedCitation":"(Hulme, 2020)","plainCitation":"(Hulme, 2020)","noteIndex":0},"citationItems":[{"id":56418,"uris":["http://zotero.org/groups/2352922/items/22XLFGB4","http://zotero.org/groups/2352922/items/CFXAKMXQ"],"itemData":{"id":56418,"type":"article-journal","abstract":"In the wake of the SARS-CoV-2 pandemic, the world has woken up to the importance of biosecurity and the need to manage international borders. Yet strong sectorial identities exist within biosecurity that are associated with specific international standards, individual economic interests, specific research communities, and unique stakeholder involvement. Despite considerable research addressing human, animal, plant, and environmental health, the science connections between these sectors remain quite limited. One Biosecurity aims to address these limitations at global, national, and local scales. It is an interdisciplinary approach to biosecurity policy and research that builds on the interconnections between human, animal, plant, and environmental health to effectively prevent and mitigate the impacts of invasive alien species. It provides an integrated perspective to address the many biosecurity risks that transcend the traditional boundaries of health, agriculture, and the environment. Individual invasive alien plant and animal species often have multiple impacts across sectors: as hosts of zoonotic parasites, vectors of pathogens, pests of agriculture or forestry, as well as threats to biodiversity and ecosystem function. It is time these risks were addressed in a systematic way. One Biosecurity is essential to address several major sociological and environmental challenges to biosecurity: climate change, increasing urbanisation, agricultural intensification, human global mobility, loss of technical capability as well as public resistance to pesticides and vaccines. One Biosecurity will require the bringing together of taxonomists, population biologists, modellers, economists, chemists, engineers, and social scientists to engage in a new agenda that is shaped by politics, legislation, and public perceptions.","container-title":"Emerging Topics in Life Sciences","DOI":"10.1042/ETLS20200067","ISSN":"2397-8554, 2397-8562","issue":"5","language":"en","page":"539-549","source":"DOI.org (Crossref)","title":"One Biosecurity: a unified concept to integrate human, animal, plant, and environmental health","title-short":"One Biosecurity","URL":"https://portlandpress.com/emergtoplifesci/article/4/5/539/226789/One-Biosecurity-a-unified-concept-to-integrate","volume":"4","editor":[{"family":"MacLeod","given":"Alan"},{"family":"Spence","given":"Nicola"}],"author":[{"family":"Hulme","given":"Philip E."}],"accessed":{"date-parts":[["2023",6,8]]},"issued":{"date-parts":[["2020",12,15]]}}}],"schema":"https://github.com/citation-style-language/schema/raw/master/csl-citation.json"} </w:instrText>
      </w:r>
      <w:r w:rsidR="009D3AD2" w:rsidRPr="00A9434B">
        <w:fldChar w:fldCharType="separate"/>
      </w:r>
      <w:r w:rsidR="00C71E80" w:rsidRPr="00A9434B">
        <w:t>(Hulme, 2020)</w:t>
      </w:r>
      <w:r w:rsidR="009D3AD2" w:rsidRPr="00A9434B">
        <w:fldChar w:fldCharType="end"/>
      </w:r>
      <w:r w:rsidR="009D3AD2" w:rsidRPr="00A9434B">
        <w:fldChar w:fldCharType="end"/>
      </w:r>
      <w:r w:rsidR="009D3AD2" w:rsidRPr="00A9434B">
        <w:t xml:space="preserve"> provides a framework to tackle multiple social and environmental challenges: climate change, increasing urbani</w:t>
      </w:r>
      <w:r w:rsidR="00F32456" w:rsidRPr="00A9434B">
        <w:t>z</w:t>
      </w:r>
      <w:r w:rsidR="009D3AD2" w:rsidRPr="00A9434B">
        <w:t>ation, agricultural intensification, human global mobility, loss of technical capability as well as public resistance to pesticides and vaccines. This framework can benefit policy development regardless of the type of invasive alien species presenting threats to nature, nature’s contributions to people</w:t>
      </w:r>
      <w:r w:rsidR="005D0083">
        <w:t xml:space="preserve"> and</w:t>
      </w:r>
      <w:r w:rsidR="009D3AD2" w:rsidRPr="00A9434B">
        <w:t xml:space="preserve"> good quality of life (</w:t>
      </w:r>
      <w:r w:rsidR="009D3AD2" w:rsidRPr="00673554">
        <w:rPr>
          <w:b/>
          <w:iCs/>
        </w:rPr>
        <w:t>Figure</w:t>
      </w:r>
      <w:r w:rsidRPr="56C59A3A">
        <w:rPr>
          <w:b/>
          <w:bCs/>
        </w:rPr>
        <w:t xml:space="preserve"> 6.10</w:t>
      </w:r>
      <w:r>
        <w:t>).</w:t>
      </w:r>
    </w:p>
    <w:p w14:paraId="3716CF78" w14:textId="1F3786D4" w:rsidR="00017C04" w:rsidRDefault="00F50AF9">
      <w:r>
        <w:t>A coordinated approach to biosecurity can be improved by additional capacity, including personnel, expertise</w:t>
      </w:r>
      <w:r w:rsidR="005D0083">
        <w:t xml:space="preserve"> and</w:t>
      </w:r>
      <w:r>
        <w:t xml:space="preserve"> equipment. National agencies concerned with biological invasions may be able to build on efforts by agricultural and trade ministries to incrementally improve their sanitary and phytosanitary measures and border control systems. There may also be opportunities to fast-track development of these systems and address any knowledge and policy gaps by making relevant information available when and where it is needed across different offices. In many cases, knowledge sharing and adapting the practices and methods of countries with more advanced biosecurity systems could be an effective strategy in countries lacking biosecurity protocols </w:t>
      </w:r>
      <w:r w:rsidR="0010157E" w:rsidRPr="00A9434B">
        <w:fldChar w:fldCharType="begin"/>
      </w:r>
      <w:r w:rsidR="0014002B">
        <w:instrText xml:space="preserve"> ADDIN ZOTERO_ITEM CSL_CITATION {"citationID":"a21v2bl8b3n","properties":{"formattedCitation":"(Hulme, 2021)","plainCitation":"(Hulme, 2021)","noteIndex":0},"citationItems":[{"id":56416,"uris":["http://zotero.org/groups/2352922/items/XXTWGTAR","http://zotero.org/groups/2352922/items/3QNB478G"],"itemData":{"id":56416,"type":"article-journal","container-title":"BioScience","DOI":"10.1093/biosci/biab019","ISSN":"0006-3568, 1525-3244","issue":"7","language":"en","page":"708-721","source":"DOI.org (Crossref)","title":"Advancing One Biosecurity to Address the Pandemic Risks of Biological Invasions","URL":"https://academic.oup.com/bioscience/article/71/7/708/6158362","volume":"71","author":[{"family":"Hulme","given":"Philip E"}],"accessed":{"date-parts":[["2023",6,8]]},"issued":{"date-parts":[["2021",7,1]]}},"label":"page"}],"schema":"https://github.com/citation-style-language/schema/raw/master/csl-citation.json"} </w:instrText>
      </w:r>
      <w:r w:rsidR="0010157E" w:rsidRPr="00A9434B">
        <w:fldChar w:fldCharType="separate"/>
      </w:r>
      <w:r w:rsidR="00C71E80" w:rsidRPr="00A9434B">
        <w:t>(Hulme, 2021)</w:t>
      </w:r>
      <w:r w:rsidR="0010157E" w:rsidRPr="00A9434B">
        <w:fldChar w:fldCharType="end"/>
      </w:r>
      <w:r w:rsidR="0010157E" w:rsidRPr="00A9434B">
        <w:t xml:space="preserve"> </w:t>
      </w:r>
      <w:r w:rsidR="009145F9" w:rsidRPr="00A9434B">
        <w:t xml:space="preserve">and </w:t>
      </w:r>
      <w:r w:rsidR="009145F9" w:rsidRPr="00673554">
        <w:rPr>
          <w:b/>
          <w:iCs/>
        </w:rPr>
        <w:t>section 6.6</w:t>
      </w:r>
      <w:r w:rsidR="009145F9" w:rsidRPr="00A9434B">
        <w:t>.</w:t>
      </w:r>
      <w:r>
        <w:t xml:space="preserve"> Finally, there may be creative opportunities to tailor capacity</w:t>
      </w:r>
      <w:r w:rsidR="006F2BE1">
        <w:t>-</w:t>
      </w:r>
      <w:r>
        <w:t>building resources and materials currently offered by groups such as the World Bank, the IPPC, the WOAH (</w:t>
      </w:r>
      <w:r w:rsidR="00B35933" w:rsidRPr="00673554">
        <w:rPr>
          <w:b/>
          <w:iCs/>
        </w:rPr>
        <w:t>Table</w:t>
      </w:r>
      <w:r>
        <w:rPr>
          <w:b/>
        </w:rPr>
        <w:t xml:space="preserve"> 6.8</w:t>
      </w:r>
      <w:r>
        <w:t>), the WCO, regional development banks</w:t>
      </w:r>
      <w:r w:rsidR="005D0083">
        <w:t xml:space="preserve"> and</w:t>
      </w:r>
      <w:r>
        <w:t xml:space="preserve"> national or regional research and development organizations.</w:t>
      </w:r>
    </w:p>
    <w:p w14:paraId="0121F4BB" w14:textId="77777777" w:rsidR="00017C04" w:rsidRDefault="00F50AF9">
      <w:pPr>
        <w:jc w:val="center"/>
      </w:pPr>
      <w:r>
        <w:rPr>
          <w:noProof/>
        </w:rPr>
        <w:lastRenderedPageBreak/>
        <w:drawing>
          <wp:inline distT="0" distB="0" distL="0" distR="0" wp14:anchorId="1A1D54E8" wp14:editId="724F0F9C">
            <wp:extent cx="5727700" cy="5359400"/>
            <wp:effectExtent l="0" t="0" r="0" b="0"/>
            <wp:docPr id="1868808434" name="image170.png" descr="A diagram of different types of animal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0.png" descr="A diagram of different types of animals&#10;&#10;Description automatically generated"/>
                    <pic:cNvPicPr preferRelativeResize="0"/>
                  </pic:nvPicPr>
                  <pic:blipFill>
                    <a:blip r:embed="rId40"/>
                    <a:srcRect/>
                    <a:stretch>
                      <a:fillRect/>
                    </a:stretch>
                  </pic:blipFill>
                  <pic:spPr>
                    <a:xfrm>
                      <a:off x="0" y="0"/>
                      <a:ext cx="5727700" cy="5359400"/>
                    </a:xfrm>
                    <a:prstGeom prst="rect">
                      <a:avLst/>
                    </a:prstGeom>
                    <a:ln/>
                  </pic:spPr>
                </pic:pic>
              </a:graphicData>
            </a:graphic>
          </wp:inline>
        </w:drawing>
      </w:r>
    </w:p>
    <w:p w14:paraId="0EB65E03" w14:textId="1C9D67CC" w:rsidR="00017C04" w:rsidRPr="00B301D7" w:rsidRDefault="00F50AF9" w:rsidP="00B301D7">
      <w:pPr>
        <w:pStyle w:val="Caption"/>
        <w:rPr>
          <w:b w:val="0"/>
        </w:rPr>
      </w:pPr>
      <w:bookmarkStart w:id="231" w:name="_heading=h.3cqmetx" w:colFirst="0" w:colLast="0"/>
      <w:bookmarkStart w:id="232" w:name="_Ref104896583"/>
      <w:bookmarkStart w:id="233" w:name="_Toc147418305"/>
      <w:bookmarkEnd w:id="231"/>
      <w:r w:rsidRPr="00B301D7">
        <w:rPr>
          <w:color w:val="000000"/>
        </w:rPr>
        <w:t>Figure 6</w:t>
      </w:r>
      <w:r w:rsidR="14AF23C7" w:rsidRPr="00A9434B">
        <w:t>.</w:t>
      </w:r>
      <w:r w:rsidR="007C7AC3">
        <w:fldChar w:fldCharType="begin"/>
      </w:r>
      <w:r w:rsidR="007C7AC3">
        <w:instrText xml:space="preserve"> SEQ Figure_6. \* ARABIC </w:instrText>
      </w:r>
      <w:r w:rsidR="007C7AC3">
        <w:fldChar w:fldCharType="separate"/>
      </w:r>
      <w:r w:rsidR="0011368C">
        <w:rPr>
          <w:noProof/>
        </w:rPr>
        <w:t>10</w:t>
      </w:r>
      <w:r w:rsidR="007C7AC3">
        <w:rPr>
          <w:noProof/>
        </w:rPr>
        <w:fldChar w:fldCharType="end"/>
      </w:r>
      <w:bookmarkEnd w:id="232"/>
      <w:r w:rsidR="00D0755F" w:rsidRPr="00A9434B">
        <w:t>.</w:t>
      </w:r>
      <w:r w:rsidRPr="00B301D7">
        <w:rPr>
          <w:color w:val="000000"/>
        </w:rPr>
        <w:t xml:space="preserve"> </w:t>
      </w:r>
      <w:r w:rsidRPr="00B301D7">
        <w:rPr>
          <w:b w:val="0"/>
          <w:bCs w:val="0"/>
          <w:color w:val="000000"/>
        </w:rPr>
        <w:t>A conceptual diagram of the links between different types of invasive alien species, human, animal, plant</w:t>
      </w:r>
      <w:r w:rsidR="005D0083">
        <w:rPr>
          <w:b w:val="0"/>
          <w:bCs w:val="0"/>
          <w:color w:val="000000"/>
        </w:rPr>
        <w:t xml:space="preserve"> and</w:t>
      </w:r>
      <w:r w:rsidRPr="00B301D7">
        <w:rPr>
          <w:b w:val="0"/>
          <w:bCs w:val="0"/>
          <w:color w:val="000000"/>
        </w:rPr>
        <w:t xml:space="preserve"> environmental health that arise from the impacts of invasive alien plants, animals</w:t>
      </w:r>
      <w:r w:rsidR="005D0083">
        <w:rPr>
          <w:b w:val="0"/>
          <w:bCs w:val="0"/>
          <w:color w:val="000000"/>
        </w:rPr>
        <w:t xml:space="preserve"> and</w:t>
      </w:r>
      <w:r w:rsidRPr="00B301D7">
        <w:rPr>
          <w:b w:val="0"/>
          <w:bCs w:val="0"/>
          <w:color w:val="000000"/>
        </w:rPr>
        <w:t xml:space="preserve"> pathogens, as described by the One Biosecurity approach</w:t>
      </w:r>
      <w:r w:rsidRPr="00B301D7">
        <w:rPr>
          <w:color w:val="000000"/>
        </w:rPr>
        <w:t xml:space="preserve"> </w:t>
      </w:r>
      <w:r w:rsidR="00E94159" w:rsidRPr="00A9434B">
        <w:rPr>
          <w:b w:val="0"/>
          <w:bCs w:val="0"/>
        </w:rPr>
        <w:fldChar w:fldCharType="begin"/>
      </w:r>
      <w:r w:rsidR="00E94159" w:rsidRPr="00A9434B">
        <w:rPr>
          <w:b w:val="0"/>
          <w:bCs w:val="0"/>
        </w:rPr>
        <w:instrText xml:space="preserve"> ADDIN EN.CITE &lt;EndNote&gt;&lt;Cite&gt;&lt;Author&gt;Hulme&lt;/Author&gt;&lt;Year&gt;2020&lt;/Year&gt;&lt;RecNum&gt;192&lt;/RecNum&gt;&lt;DisplayText&gt;(Hulme 2020)&lt;/DisplayText&gt;&lt;record&gt;&lt;rec-number&gt;192&lt;/rec-number&gt;&lt;foreign-keys&gt;&lt;key app="EN" db-id="2fps2rpwcptwaxedz9oprzvmawfxef9pfpa2" timestamp="1628072084"&gt;192&lt;/key&gt;&lt;/foreign-keys&gt;&lt;ref-type name="Journal Article"&gt;17&lt;/ref-type&gt;&lt;contributors&gt;&lt;authors&gt;&lt;author&gt;Hulme, P. E.&lt;/author&gt;&lt;/authors&gt;&lt;/contributors&gt;&lt;auth-address&gt;The Bio-Protection Research Centre, Lincoln University, PO Box 85084, Canterbury, New Zealand.&lt;/auth-address&gt;&lt;titles&gt;&lt;title&gt;One Biosecurity: a unified concept to integrate human, animal, plant, and environmental health&lt;/title&gt;&lt;secondary-title&gt;Emerg Top Life Sci&lt;/secondary-title&gt;&lt;/titles&gt;&lt;periodical&gt;&lt;full-title&gt;Emerg Top Life Sci&lt;/full-title&gt;&lt;/periodical&gt;&lt;pages&gt;539-549&lt;/pages&gt;&lt;volume&gt;4&lt;/volume&gt;&lt;number&gt;5&lt;/number&gt;&lt;edition&gt;2020/10/29&lt;/edition&gt;&lt;keywords&gt;&lt;keyword&gt;*Agriculture&lt;/keyword&gt;&lt;keyword&gt;Animals&lt;/keyword&gt;&lt;keyword&gt;Covid-19&lt;/keyword&gt;&lt;keyword&gt;Climate Change&lt;/keyword&gt;&lt;keyword&gt;*Environmental Health&lt;/keyword&gt;&lt;keyword&gt;Humans&lt;/keyword&gt;&lt;keyword&gt;*One Health&lt;/keyword&gt;&lt;keyword&gt;Pandemics&lt;/keyword&gt;&lt;keyword&gt;Plants&lt;/keyword&gt;&lt;keyword&gt;SARS-CoV-2&lt;/keyword&gt;&lt;keyword&gt;Urbanization&lt;/keyword&gt;&lt;keyword&gt;*biological invasions&lt;/keyword&gt;&lt;keyword&gt;*biosecurity&lt;/keyword&gt;&lt;keyword&gt;*epidemiology&lt;/keyword&gt;&lt;/keywords&gt;&lt;dates&gt;&lt;year&gt;2020&lt;/year&gt;&lt;pub-dates&gt;&lt;date&gt;Dec 15&lt;/date&gt;&lt;/pub-dates&gt;&lt;/dates&gt;&lt;isbn&gt;2397-8554 (Print)&amp;#xD;2397-8554 (Linking)&lt;/isbn&gt;&lt;accession-num&gt;33111945&lt;/accession-num&gt;&lt;urls&gt;&lt;related-urls&gt;&lt;url&gt;https://www.ncbi.nlm.nih.gov/pubmed/33111945&lt;/url&gt;&lt;/related-urls&gt;&lt;/urls&gt;&lt;custom2&gt;PMC7803345&lt;/custom2&gt;&lt;electronic-resource-num&gt;10.1042/ETLS20200067&lt;/electronic-resource-num&gt;&lt;/record&gt;&lt;/Cite&gt;&lt;/EndNote&gt;</w:instrText>
      </w:r>
      <w:r w:rsidR="00E94159" w:rsidRPr="00A9434B">
        <w:rPr>
          <w:b w:val="0"/>
          <w:bCs w:val="0"/>
        </w:rPr>
        <w:fldChar w:fldCharType="separate"/>
      </w:r>
      <w:r w:rsidR="005309B4" w:rsidRPr="00A9434B">
        <w:rPr>
          <w:b w:val="0"/>
          <w:bCs w:val="0"/>
        </w:rPr>
        <w:fldChar w:fldCharType="begin"/>
      </w:r>
      <w:r w:rsidR="0006613E">
        <w:rPr>
          <w:b w:val="0"/>
          <w:bCs w:val="0"/>
        </w:rPr>
        <w:instrText xml:space="preserve"> ADDIN ZOTERO_ITEM CSL_CITATION {"citationID":"a13j7g6amog","properties":{"formattedCitation":"(Hulme, 2020)","plainCitation":"(Hulme, 2020)","noteIndex":0},"citationItems":[{"id":56418,"uris":["http://zotero.org/groups/2352922/items/22XLFGB4","http://zotero.org/groups/2352922/items/CFXAKMXQ"],"itemData":{"id":56418,"type":"article-journal","abstract":"In the wake of the SARS-CoV-2 pandemic, the world has woken up to the importance of biosecurity and the need to manage international borders. Yet strong sectorial identities exist within biosecurity that are associated with specific international standards, individual economic interests, specific research communities, and unique stakeholder involvement. Despite considerable research addressing human, animal, plant, and environmental health, the science connections between these sectors remain quite limited. One Biosecurity aims to address these limitations at global, national, and local scales. It is an interdisciplinary approach to biosecurity policy and research that builds on the interconnections between human, animal, plant, and environmental health to effectively prevent and mitigate the impacts of invasive alien species. It provides an integrated perspective to address the many biosecurity risks that transcend the traditional boundaries of health, agriculture, and the environment. Individual invasive alien plant and animal species often have multiple impacts across sectors: as hosts of zoonotic parasites, vectors of pathogens, pests of agriculture or forestry, as well as threats to biodiversity and ecosystem function. It is time these risks were addressed in a systematic way. One Biosecurity is essential to address several major sociological and environmental challenges to biosecurity: climate change, increasing urbanisation, agricultural intensification, human global mobility, loss of technical capability as well as public resistance to pesticides and vaccines. One Biosecurity will require the bringing together of taxonomists, population biologists, modellers, economists, chemists, engineers, and social scientists to engage in a new agenda that is shaped by politics, legislation, and public perceptions.","container-title":"Emerging Topics in Life Sciences","DOI":"10.1042/ETLS20200067","ISSN":"2397-8554, 2397-8562","issue":"5","language":"en","page":"539-549","source":"DOI.org (Crossref)","title":"One Biosecurity: a unified concept to integrate human, animal, plant, and environmental health","title-short":"One Biosecurity","URL":"https://portlandpress.com/emergtoplifesci/article/4/5/539/226789/One-Biosecurity-a-unified-concept-to-integrate","volume":"4","editor":[{"family":"MacLeod","given":"Alan"},{"family":"Spence","given":"Nicola"}],"author":[{"family":"Hulme","given":"Philip E."}],"accessed":{"date-parts":[["2023",6,8]]},"issued":{"date-parts":[["2020",12,15]]}},"label":"page"}],"schema":"https://github.com/citation-style-language/schema/raw/master/csl-citation.json"} </w:instrText>
      </w:r>
      <w:r w:rsidR="005309B4" w:rsidRPr="00A9434B">
        <w:rPr>
          <w:b w:val="0"/>
          <w:bCs w:val="0"/>
        </w:rPr>
        <w:fldChar w:fldCharType="separate"/>
      </w:r>
      <w:r w:rsidR="00C71E80" w:rsidRPr="00A9434B">
        <w:rPr>
          <w:b w:val="0"/>
          <w:bCs w:val="0"/>
        </w:rPr>
        <w:t>(Hulme, 2020)</w:t>
      </w:r>
      <w:r w:rsidR="005309B4" w:rsidRPr="00A9434B">
        <w:rPr>
          <w:b w:val="0"/>
          <w:bCs w:val="0"/>
        </w:rPr>
        <w:fldChar w:fldCharType="end"/>
      </w:r>
      <w:r w:rsidR="00E94159" w:rsidRPr="00A9434B">
        <w:rPr>
          <w:b w:val="0"/>
          <w:bCs w:val="0"/>
        </w:rPr>
        <w:fldChar w:fldCharType="end"/>
      </w:r>
      <w:r w:rsidR="1F4A7C8D" w:rsidRPr="00A9434B">
        <w:rPr>
          <w:b w:val="0"/>
          <w:bCs w:val="0"/>
          <w:i/>
          <w:iCs/>
        </w:rPr>
        <w:t>.</w:t>
      </w:r>
      <w:r w:rsidRPr="00B301D7">
        <w:rPr>
          <w:b w:val="0"/>
          <w:i/>
        </w:rPr>
        <w:t xml:space="preserve"> </w:t>
      </w:r>
      <w:r w:rsidRPr="00B301D7">
        <w:rPr>
          <w:b w:val="0"/>
        </w:rPr>
        <w:t>Different types of invasive alien species will have different drivers, pathways and impacts, but their management and policy development aimed at prevention can all benefit from explicit recognition of the inseparability of human, ecosystem</w:t>
      </w:r>
      <w:r w:rsidR="005D0083">
        <w:rPr>
          <w:b w:val="0"/>
        </w:rPr>
        <w:t xml:space="preserve"> and</w:t>
      </w:r>
      <w:r w:rsidRPr="00B301D7">
        <w:rPr>
          <w:b w:val="0"/>
        </w:rPr>
        <w:t xml:space="preserve"> plant and animal health</w:t>
      </w:r>
      <w:r w:rsidR="005D0083">
        <w:rPr>
          <w:b w:val="0"/>
        </w:rPr>
        <w:t xml:space="preserve"> and</w:t>
      </w:r>
      <w:r w:rsidRPr="00B301D7">
        <w:rPr>
          <w:b w:val="0"/>
        </w:rPr>
        <w:t xml:space="preserve"> coordinated engagement by sectorial agents operating within each of those spheres.</w:t>
      </w:r>
      <w:bookmarkEnd w:id="233"/>
    </w:p>
    <w:p w14:paraId="054155C9" w14:textId="13BFF1BF" w:rsidR="00017C04" w:rsidRDefault="00F50AF9">
      <w:pPr>
        <w:pStyle w:val="Heading5"/>
        <w:rPr>
          <w:b w:val="0"/>
        </w:rPr>
      </w:pPr>
      <w:bookmarkStart w:id="234" w:name="_heading=h.1rvwp1q" w:colFirst="0" w:colLast="0"/>
      <w:bookmarkStart w:id="235" w:name="_Toc74056282"/>
      <w:bookmarkEnd w:id="234"/>
      <w:r>
        <w:t>(2) Clearly define roles and responsibilities across existing national offices within legal and regulatory instruments</w:t>
      </w:r>
      <w:bookmarkEnd w:id="235"/>
      <w:r>
        <w:br/>
      </w:r>
      <w:r>
        <w:rPr>
          <w:b w:val="0"/>
        </w:rPr>
        <w:t>Risk assessments are the most common approach to prevent the introduction of potentially harmful alien species from imports (</w:t>
      </w:r>
      <w:r>
        <w:t>Chapter 5</w:t>
      </w:r>
      <w:r>
        <w:rPr>
          <w:b w:val="0"/>
        </w:rPr>
        <w:t>,</w:t>
      </w:r>
      <w:r>
        <w:t xml:space="preserve"> section 5.2.2.1.e</w:t>
      </w:r>
      <w:r>
        <w:rPr>
          <w:b w:val="0"/>
        </w:rPr>
        <w:t xml:space="preserve">), and are an essential component of any legislation enforcing regulations of trade. In fact, as explicitly stated by the WTO SPS Agreement, countries have the legal right to take proportional measures affecting trade based on the application of scientific principles. Deciding which governmental authority is responsible for assessing the risks of specific imports is important for preventing unwanted introductions. A clear definition of the roles and responsibilities of all agencies involved in the prevention of alien species introductions can help to devise effective management strategies </w:t>
      </w:r>
      <w:r w:rsidR="007419F9" w:rsidRPr="00A9434B">
        <w:rPr>
          <w:b w:val="0"/>
          <w:bCs/>
          <w:i/>
          <w:iCs/>
        </w:rPr>
        <w:fldChar w:fldCharType="begin"/>
      </w:r>
      <w:r w:rsidR="007419F9" w:rsidRPr="00A9434B">
        <w:rPr>
          <w:b w:val="0"/>
          <w:bCs/>
        </w:rPr>
        <w:instrText xml:space="preserve"> ADDIN EN.CITE &lt;EndNote&gt;&lt;Cite&gt;&lt;Author&gt;Hewitt&lt;/Author&gt;&lt;Year&gt;2006&lt;/Year&gt;&lt;RecNum&gt;101&lt;/RecNum&gt;&lt;DisplayText&gt;(Hewitt 2006)&lt;/DisplayText&gt;&lt;record&gt;&lt;rec-number&gt;101&lt;/rec-number&gt;&lt;foreign-keys&gt;&lt;key app="EN" db-id="2fps2rpwcptwaxedz9oprzvmawfxef9pfpa2" timestamp="1620738802"&gt;101&lt;/key&gt;&lt;/foreign-keys&gt;&lt;ref-type name="Book"&gt;6&lt;/ref-type&gt;&lt;contributors&gt;&lt;authors&gt;&lt;author&gt;Hewitt, Chad L&lt;/author&gt;&lt;/authors&gt;&lt;/contributors&gt;&lt;titles&gt;&lt;title&gt;Alien species in aquaculture: considerations for responsible use&lt;/title&gt;&lt;/titles&gt;&lt;dates&gt;&lt;year&gt;2006&lt;/year&gt;&lt;/dates&gt;&lt;publisher&gt;IUCN&lt;/publisher&gt;&lt;isbn&gt;9978453199&lt;/isbn&gt;&lt;urls&gt;&lt;/urls&gt;&lt;/record&gt;&lt;/Cite&gt;&lt;/EndNote&gt;</w:instrText>
      </w:r>
      <w:r w:rsidR="007419F9" w:rsidRPr="00A9434B">
        <w:rPr>
          <w:b w:val="0"/>
          <w:bCs/>
          <w:i/>
          <w:iCs/>
        </w:rPr>
        <w:fldChar w:fldCharType="separate"/>
      </w:r>
      <w:r w:rsidR="00A605E4" w:rsidRPr="00A9434B">
        <w:rPr>
          <w:b w:val="0"/>
          <w:bCs/>
          <w:i/>
          <w:iCs/>
        </w:rPr>
        <w:fldChar w:fldCharType="begin"/>
      </w:r>
      <w:r w:rsidR="0006613E">
        <w:rPr>
          <w:b w:val="0"/>
          <w:bCs/>
        </w:rPr>
        <w:instrText xml:space="preserve"> ADDIN ZOTERO_ITEM CSL_CITATION {"citationID":"a2go47pd478","properties":{"formattedCitation":"(Hewitt et al., 2006)","plainCitation":"(Hewitt et al., 2006)","noteIndex":0},"citationItems":[{"id":30973,"uris":["http://zotero.org/groups/2352922/items/LTMMBU7L"],"itemData":{"id":30973,"type":"book","event-place":"Gland, Switzerland","ISBN":"9978-45-319-9","language":"English","license":"International Union for Conservation of Nature and Natural Resources","number-of-pages":"32","publisher":"IUCN","publisher-place":"Gland, Switzerland","title":"Alien species in aquaculture: Considerations for responsible use","URL":"https://portals.iucn.org/library/sites/library/files/documents/2006-036.pdf","author":[{"family":"Hewitt","given":"Chad L."},{"family":"Campbell","given":"Marnie L."},{"family":"Gollasch","given":"Stephan"}],"issued":{"date-parts":[["2006"]]}},"label":"page"}],"schema":"https://github.com/citation-style-language/schema/raw/master/csl-citation.json"} </w:instrText>
      </w:r>
      <w:r w:rsidR="00A605E4" w:rsidRPr="00A9434B">
        <w:rPr>
          <w:b w:val="0"/>
          <w:bCs/>
          <w:i/>
          <w:iCs/>
        </w:rPr>
        <w:fldChar w:fldCharType="separate"/>
      </w:r>
      <w:r w:rsidR="00C71E80" w:rsidRPr="00A9434B">
        <w:rPr>
          <w:b w:val="0"/>
          <w:bCs/>
        </w:rPr>
        <w:t>(Hewitt et al., 2006)</w:t>
      </w:r>
      <w:r w:rsidR="00A605E4" w:rsidRPr="00A9434B">
        <w:rPr>
          <w:b w:val="0"/>
          <w:bCs/>
          <w:i/>
          <w:iCs/>
        </w:rPr>
        <w:fldChar w:fldCharType="end"/>
      </w:r>
      <w:r w:rsidR="007419F9" w:rsidRPr="00A9434B">
        <w:rPr>
          <w:b w:val="0"/>
          <w:bCs/>
          <w:i/>
          <w:iCs/>
        </w:rPr>
        <w:fldChar w:fldCharType="end"/>
      </w:r>
      <w:r w:rsidR="007419F9" w:rsidRPr="00A9434B">
        <w:rPr>
          <w:b w:val="0"/>
          <w:bCs/>
        </w:rPr>
        <w:t>.</w:t>
      </w:r>
      <w:r>
        <w:rPr>
          <w:b w:val="0"/>
        </w:rPr>
        <w:t xml:space="preserve"> Moreover, these roles and responsibilities can be supported by legal and regulatory frameworks that allow governments to execute the assigned tasks </w:t>
      </w:r>
      <w:r w:rsidR="005309B4" w:rsidRPr="00A9434B">
        <w:rPr>
          <w:b w:val="0"/>
          <w:bCs/>
          <w:i/>
          <w:iCs/>
        </w:rPr>
        <w:fldChar w:fldCharType="begin"/>
      </w:r>
      <w:r w:rsidR="005309B4" w:rsidRPr="00A9434B">
        <w:rPr>
          <w:b w:val="0"/>
          <w:bCs/>
        </w:rPr>
        <w:instrText xml:space="preserve"> ADDIN EN.CITE &lt;EndNote&gt;&lt;Cite&gt;&lt;Author&gt;Hewitt&lt;/Author&gt;&lt;Year&gt;2006&lt;/Year&gt;&lt;RecNum&gt;101&lt;/RecNum&gt;&lt;DisplayText&gt;(Hewitt 2006)&lt;/DisplayText&gt;&lt;record&gt;&lt;rec-number&gt;101&lt;/rec-number&gt;&lt;foreign-keys&gt;&lt;key app="EN" db-id="2fps2rpwcptwaxedz9oprzvmawfxef9pfpa2" timestamp="1620738802"&gt;101&lt;/key&gt;&lt;/foreign-keys&gt;&lt;ref-type name="Book"&gt;6&lt;/ref-type&gt;&lt;contributors&gt;&lt;authors&gt;&lt;author&gt;Hewitt, Chad L&lt;/author&gt;&lt;/authors&gt;&lt;/contributors&gt;&lt;titles&gt;&lt;title&gt;Alien species in aquaculture: considerations for responsible use&lt;/title&gt;&lt;/titles&gt;&lt;dates&gt;&lt;year&gt;2006&lt;/year&gt;&lt;/dates&gt;&lt;publisher&gt;IUCN&lt;/publisher&gt;&lt;isbn&gt;9978453199&lt;/isbn&gt;&lt;urls&gt;&lt;/urls&gt;&lt;/record&gt;&lt;/Cite&gt;&lt;/EndNote&gt;</w:instrText>
      </w:r>
      <w:r w:rsidR="005309B4" w:rsidRPr="00A9434B">
        <w:rPr>
          <w:b w:val="0"/>
          <w:bCs/>
          <w:i/>
          <w:iCs/>
        </w:rPr>
        <w:fldChar w:fldCharType="separate"/>
      </w:r>
      <w:r w:rsidR="005309B4" w:rsidRPr="00A9434B">
        <w:rPr>
          <w:b w:val="0"/>
          <w:bCs/>
          <w:i/>
          <w:iCs/>
        </w:rPr>
        <w:fldChar w:fldCharType="begin"/>
      </w:r>
      <w:r w:rsidR="0006613E">
        <w:rPr>
          <w:b w:val="0"/>
          <w:bCs/>
        </w:rPr>
        <w:instrText xml:space="preserve"> ADDIN ZOTERO_ITEM CSL_CITATION {"citationID":"a1hpngqc2hu","properties":{"formattedCitation":"(Hewitt et al., 2006)","plainCitation":"(Hewitt et al., 2006)","noteIndex":0},"citationItems":[{"id":30973,"uris":["http://zotero.org/groups/2352922/items/LTMMBU7L"],"itemData":{"id":30973,"type":"book","event-place":"Gland, Switzerland","ISBN":"9978-45-319-9","language":"English","license":"International Union for Conservation of Nature and Natural Resources","number-of-pages":"32","publisher":"IUCN","publisher-place":"Gland, Switzerland","title":"Alien species in aquaculture: Considerations for responsible use","URL":"https://portals.iucn.org/library/sites/library/files/documents/2006-036.pdf","author":[{"family":"Hewitt","given":"Chad L."},{"family":"Campbell","given":"Marnie L."},{"family":"Gollasch","given":"Stephan"}],"issued":{"date-parts":[["2006"]]}},"label":"page"}],"schema":"https://github.com/citation-style-language/schema/raw/master/csl-citation.json"} </w:instrText>
      </w:r>
      <w:r w:rsidR="005309B4" w:rsidRPr="00A9434B">
        <w:rPr>
          <w:b w:val="0"/>
          <w:bCs/>
          <w:i/>
          <w:iCs/>
        </w:rPr>
        <w:fldChar w:fldCharType="separate"/>
      </w:r>
      <w:r w:rsidR="00C71E80" w:rsidRPr="00A9434B">
        <w:rPr>
          <w:b w:val="0"/>
          <w:bCs/>
        </w:rPr>
        <w:t>(Hewitt et al., 2006)</w:t>
      </w:r>
      <w:r w:rsidR="005309B4" w:rsidRPr="00A9434B">
        <w:rPr>
          <w:b w:val="0"/>
          <w:bCs/>
          <w:i/>
          <w:iCs/>
        </w:rPr>
        <w:fldChar w:fldCharType="end"/>
      </w:r>
      <w:r w:rsidR="005309B4" w:rsidRPr="00A9434B">
        <w:rPr>
          <w:b w:val="0"/>
          <w:bCs/>
          <w:i/>
          <w:iCs/>
        </w:rPr>
        <w:fldChar w:fldCharType="end"/>
      </w:r>
      <w:r w:rsidR="005309B4" w:rsidRPr="00A9434B">
        <w:rPr>
          <w:b w:val="0"/>
          <w:bCs/>
          <w:i/>
          <w:iCs/>
        </w:rPr>
        <w:t>.</w:t>
      </w:r>
      <w:r w:rsidR="007419F9" w:rsidRPr="00A9434B">
        <w:rPr>
          <w:b w:val="0"/>
          <w:bCs/>
        </w:rPr>
        <w:t xml:space="preserve"> The questions in </w:t>
      </w:r>
      <w:r w:rsidR="00EA435B" w:rsidRPr="00673554">
        <w:rPr>
          <w:bCs/>
          <w:iCs/>
        </w:rPr>
        <w:fldChar w:fldCharType="begin"/>
      </w:r>
      <w:r w:rsidR="00EA435B" w:rsidRPr="00673554">
        <w:rPr>
          <w:bCs/>
          <w:iCs/>
        </w:rPr>
        <w:instrText xml:space="preserve"> REF _Ref104892556 \h  \* MERGEFORMAT </w:instrText>
      </w:r>
      <w:r w:rsidR="00EA435B" w:rsidRPr="00673554">
        <w:rPr>
          <w:bCs/>
          <w:iCs/>
        </w:rPr>
      </w:r>
      <w:r w:rsidR="00EA435B" w:rsidRPr="00673554">
        <w:rPr>
          <w:bCs/>
          <w:iCs/>
        </w:rPr>
        <w:fldChar w:fldCharType="separate"/>
      </w:r>
      <w:r w:rsidR="0011368C" w:rsidRPr="00673554">
        <w:rPr>
          <w:bCs/>
          <w:iCs/>
        </w:rPr>
        <w:t>Box 6.6</w:t>
      </w:r>
      <w:r w:rsidR="00EA435B" w:rsidRPr="00673554">
        <w:rPr>
          <w:bCs/>
          <w:iCs/>
        </w:rPr>
        <w:fldChar w:fldCharType="end"/>
      </w:r>
      <w:r w:rsidRPr="00B301D7">
        <w:rPr>
          <w:b w:val="0"/>
        </w:rPr>
        <w:t xml:space="preserve"> </w:t>
      </w:r>
      <w:r>
        <w:rPr>
          <w:b w:val="0"/>
        </w:rPr>
        <w:t xml:space="preserve">can help to guide governments to identify the most appropriate authority, and to strengthen the tools and </w:t>
      </w:r>
      <w:r>
        <w:rPr>
          <w:b w:val="0"/>
        </w:rPr>
        <w:lastRenderedPageBreak/>
        <w:t xml:space="preserve">methods for decision-making (as discussed in </w:t>
      </w:r>
      <w:r>
        <w:t>Chapter 5</w:t>
      </w:r>
      <w:r>
        <w:rPr>
          <w:b w:val="0"/>
        </w:rPr>
        <w:t xml:space="preserve">, </w:t>
      </w:r>
      <w:r>
        <w:t>section 5.2.2</w:t>
      </w:r>
      <w:r>
        <w:rPr>
          <w:b w:val="0"/>
        </w:rPr>
        <w:t>). These decisions could focus on defining the appropriate level of protection, and trade-offs between good quality of life benefits of the import and potential impacts on biodiversity. It is important to highlight that although one authority might be considered responsible for assessing the potential impact of an import, continuous communication and coordination between government agencies could ensure that all possible risk dimensions are taken into consideration.</w:t>
      </w:r>
    </w:p>
    <w:p w14:paraId="3684C3F1" w14:textId="2920F1A8" w:rsidR="00017C04" w:rsidRPr="00B301D7" w:rsidRDefault="00F50AF9" w:rsidP="00B301D7">
      <w:pPr>
        <w:pStyle w:val="Caption"/>
        <w:pBdr>
          <w:top w:val="single" w:sz="4" w:space="1" w:color="auto"/>
          <w:left w:val="single" w:sz="4" w:space="4" w:color="auto"/>
          <w:bottom w:val="single" w:sz="4" w:space="1" w:color="auto"/>
          <w:right w:val="single" w:sz="4" w:space="4" w:color="auto"/>
        </w:pBdr>
        <w:shd w:val="clear" w:color="auto" w:fill="E7E6E6" w:themeFill="background2"/>
      </w:pPr>
      <w:bookmarkStart w:id="236" w:name="_heading=h.4bvk7pj" w:colFirst="0" w:colLast="0"/>
      <w:bookmarkStart w:id="237" w:name="_Ref104892556"/>
      <w:bookmarkStart w:id="238" w:name="_Toc147418615"/>
      <w:bookmarkEnd w:id="236"/>
      <w:r w:rsidRPr="00B301D7">
        <w:rPr>
          <w:color w:val="000000"/>
        </w:rPr>
        <w:t>Box 6</w:t>
      </w:r>
      <w:r w:rsidR="00EA435B" w:rsidRPr="00A9434B">
        <w:t>.</w:t>
      </w:r>
      <w:r w:rsidR="007C7AC3">
        <w:fldChar w:fldCharType="begin"/>
      </w:r>
      <w:r w:rsidR="007C7AC3">
        <w:instrText xml:space="preserve"> SEQ Box_6. \* ARABIC </w:instrText>
      </w:r>
      <w:r w:rsidR="007C7AC3">
        <w:fldChar w:fldCharType="separate"/>
      </w:r>
      <w:r w:rsidR="0011368C">
        <w:rPr>
          <w:noProof/>
        </w:rPr>
        <w:t>6</w:t>
      </w:r>
      <w:r w:rsidR="007C7AC3">
        <w:rPr>
          <w:noProof/>
        </w:rPr>
        <w:fldChar w:fldCharType="end"/>
      </w:r>
      <w:bookmarkEnd w:id="237"/>
      <w:r w:rsidR="00D0755F" w:rsidRPr="00A9434B">
        <w:t>.</w:t>
      </w:r>
      <w:r w:rsidRPr="00B301D7">
        <w:t xml:space="preserve"> Governance and management questions to guide decisions on import proposals for aquaculture, horticulture, or silviculture species</w:t>
      </w:r>
      <w:bookmarkEnd w:id="238"/>
    </w:p>
    <w:p w14:paraId="1E5DD46D" w14:textId="69E5F2B8" w:rsidR="00017C04" w:rsidRDefault="00F50AF9" w:rsidP="00B301D7">
      <w:pPr>
        <w:pBdr>
          <w:top w:val="single" w:sz="4" w:space="1" w:color="auto"/>
          <w:left w:val="single" w:sz="4" w:space="4" w:color="auto"/>
          <w:bottom w:val="single" w:sz="4" w:space="1" w:color="auto"/>
          <w:right w:val="single" w:sz="4" w:space="4" w:color="auto"/>
        </w:pBdr>
        <w:shd w:val="clear" w:color="auto" w:fill="E7E6E6" w:themeFill="background2"/>
        <w:spacing w:before="0"/>
      </w:pPr>
      <w:r>
        <w:t xml:space="preserve">Adapted from Hewitt et al. </w:t>
      </w:r>
      <w:r w:rsidR="001A741B" w:rsidRPr="00A9434B">
        <w:rPr>
          <w:rFonts w:eastAsia="Calibri Light"/>
        </w:rPr>
        <w:fldChar w:fldCharType="begin"/>
      </w:r>
      <w:r w:rsidR="0006613E">
        <w:rPr>
          <w:rFonts w:eastAsia="Calibri Light"/>
        </w:rPr>
        <w:instrText xml:space="preserve"> ADDIN ZOTERO_ITEM CSL_CITATION {"citationID":"a1gdub32u39","properties":{"formattedCitation":"(2006)","plainCitation":"(2006)","noteIndex":0},"citationItems":[{"id":30973,"uris":["http://zotero.org/groups/2352922/items/LTMMBU7L"],"itemData":{"id":30973,"type":"book","event-place":"Gland, Switzerland","ISBN":"9978-45-319-9","language":"English","license":"International Union for Conservation of Nature and Natural Resources","number-of-pages":"32","publisher":"IUCN","publisher-place":"Gland, Switzerland","title":"Alien species in aquaculture: Considerations for responsible use","URL":"https://portals.iucn.org/library/sites/library/files/documents/2006-036.pdf","author":[{"family":"Hewitt","given":"Chad L."},{"family":"Campbell","given":"Marnie L."},{"family":"Gollasch","given":"Stephan"}],"issued":{"date-parts":[["2006"]]}},"label":"page","suppress-author":true}],"schema":"https://github.com/citation-style-language/schema/raw/master/csl-citation.json"} </w:instrText>
      </w:r>
      <w:r w:rsidR="001A741B" w:rsidRPr="00A9434B">
        <w:rPr>
          <w:rFonts w:eastAsia="Calibri Light"/>
        </w:rPr>
        <w:fldChar w:fldCharType="separate"/>
      </w:r>
      <w:r w:rsidR="00C71E80" w:rsidRPr="00A9434B">
        <w:t>(2006)</w:t>
      </w:r>
      <w:r w:rsidR="001A741B" w:rsidRPr="00A9434B">
        <w:rPr>
          <w:rFonts w:eastAsia="Calibri Light"/>
        </w:rPr>
        <w:fldChar w:fldCharType="end"/>
      </w:r>
      <w:r w:rsidR="00A31BEB">
        <w:rPr>
          <w:rFonts w:eastAsia="Calibri Light"/>
        </w:rPr>
        <w:t>.</w:t>
      </w:r>
    </w:p>
    <w:p w14:paraId="10AB098E"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Does the government permit the importation of alien species?</w:t>
      </w:r>
    </w:p>
    <w:p w14:paraId="0C9A49A8"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Will any new species imports be allowed for production purposes?</w:t>
      </w:r>
    </w:p>
    <w:p w14:paraId="160866EF"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Has an adequate risk assessment been conducted to support the decision to import the new species and provisions for managing potential harm?</w:t>
      </w:r>
    </w:p>
    <w:p w14:paraId="5B619B71"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Under what national regulation(s) will the import of a new species occur?</w:t>
      </w:r>
    </w:p>
    <w:p w14:paraId="4A9515DE"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Which government agencies are responsible for management of these regulations?</w:t>
      </w:r>
    </w:p>
    <w:p w14:paraId="5474BAFE"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Will these new species be allowed for uncontrolled release, within controlled or quarantine facilities?</w:t>
      </w:r>
    </w:p>
    <w:p w14:paraId="1D3677D8"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Will the responsibility for managed species (e.g., in aquaculture/horticultural) be different from wild (e.g., wild, feral, or released species) populations?</w:t>
      </w:r>
    </w:p>
    <w:p w14:paraId="4DA05D94"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Who will be responsible for the importation (e.g., private individual, research agency/university, industry, or government)?</w:t>
      </w:r>
    </w:p>
    <w:p w14:paraId="1C32D4E1"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Under what legislative arrangements will release into either a managed facility or the natural environment occur?</w:t>
      </w:r>
    </w:p>
    <w:p w14:paraId="651D749B"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Who will be responsible for managing the release (e.g., private individual, research agency/university, industry, or government)?</w:t>
      </w:r>
    </w:p>
    <w:p w14:paraId="360F5957"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Are there appropriate monitoring systems in place to detect and manage accidental releases in the environment?</w:t>
      </w:r>
    </w:p>
    <w:p w14:paraId="05E34230"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Could neighbouring jurisdictions potentially be affected, and if so, are communication pathways in place to manage the risk?</w:t>
      </w:r>
    </w:p>
    <w:p w14:paraId="7A6EEE45"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r w:rsidRPr="00B301D7">
        <w:t>Will neighbouring countries be involved in the decision-making process?</w:t>
      </w:r>
    </w:p>
    <w:p w14:paraId="0CB7CE2C" w14:textId="77777777" w:rsidR="00017C04" w:rsidRPr="00B301D7" w:rsidRDefault="00F50AF9" w:rsidP="00B301D7">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E7E6E6" w:themeFill="background2"/>
      </w:pPr>
      <w:bookmarkStart w:id="239" w:name="_heading=h.2r0uhxc" w:colFirst="0" w:colLast="0"/>
      <w:bookmarkEnd w:id="239"/>
      <w:r w:rsidRPr="00B301D7">
        <w:t>Do emergency response measures exist, including identification of the responsible authorities, in case of unforeseen negative impacts?</w:t>
      </w:r>
      <w:bookmarkStart w:id="240" w:name="_Toc74056283"/>
    </w:p>
    <w:p w14:paraId="026D2044" w14:textId="77777777" w:rsidR="00017C04" w:rsidRDefault="00F50AF9" w:rsidP="00B301D7">
      <w:pPr>
        <w:pStyle w:val="Heading3"/>
      </w:pPr>
      <w:bookmarkStart w:id="241" w:name="_heading=h.1664s55" w:colFirst="0" w:colLast="0"/>
      <w:bookmarkStart w:id="242" w:name="_Toc568295830"/>
      <w:bookmarkStart w:id="243" w:name="_Toc133428308"/>
      <w:bookmarkEnd w:id="241"/>
      <w:r>
        <w:t xml:space="preserve">Addressing </w:t>
      </w:r>
      <w:bookmarkEnd w:id="240"/>
      <w:r>
        <w:t>the indirect costs of biological invasions to uninvolved third parties: externalities</w:t>
      </w:r>
      <w:bookmarkEnd w:id="242"/>
      <w:bookmarkEnd w:id="243"/>
    </w:p>
    <w:p w14:paraId="2F7B7F9C" w14:textId="77777777" w:rsidR="00017C04" w:rsidRDefault="00F50AF9">
      <w:r>
        <w:t>The overarching goal of the policy options presented in this section is to incorporate the negative impacts of invasive alien species into the social or economic context responsible for their introduction and spread. Such an approach would align the private, environmental and social costs of invasive alien species, so that trade-focused decisions take into consideration the environmental needs of society. It would ensure that all responsible government agencies are involved in attributing associated costs and that prices carry all the relevant information. This option would benefit from clear delineation of the environmental jurisdiction of non-environmental multilateral agreements and defining liability and redress from the negative impacts of invasive alien species on nature, nature’s contributions to people and good quality of life.</w:t>
      </w:r>
    </w:p>
    <w:p w14:paraId="2FDB5246" w14:textId="38197823" w:rsidR="00017C04" w:rsidRDefault="00F50AF9">
      <w:pPr>
        <w:pStyle w:val="Heading5"/>
        <w:rPr>
          <w:b w:val="0"/>
        </w:rPr>
      </w:pPr>
      <w:bookmarkStart w:id="244" w:name="_heading=h.3q5sasy" w:colFirst="0" w:colLast="0"/>
      <w:bookmarkStart w:id="245" w:name="_Toc74056284"/>
      <w:bookmarkEnd w:id="244"/>
      <w:r>
        <w:t>(1) Delineate the environmental jurisdiction of trade agreements, so that the mandates of multilateral environmental agreements are enforceable</w:t>
      </w:r>
      <w:bookmarkEnd w:id="245"/>
      <w:r>
        <w:br/>
      </w:r>
      <w:r>
        <w:rPr>
          <w:b w:val="0"/>
        </w:rPr>
        <w:lastRenderedPageBreak/>
        <w:t xml:space="preserve">The tug-of-war between the philosophical underpinnings of biodiversity centred (grounded on the precautionary approach) and trade-related multilateral agreements (grounded on the evidence of adverse effects of an introduction) creates a conflict between trade and the environment </w:t>
      </w:r>
      <w:r w:rsidR="00D60828" w:rsidRPr="00A9434B">
        <w:rPr>
          <w:b w:val="0"/>
          <w:i/>
          <w:iCs/>
        </w:rPr>
        <w:fldChar w:fldCharType="begin"/>
      </w:r>
      <w:r w:rsidR="0006613E">
        <w:rPr>
          <w:b w:val="0"/>
        </w:rPr>
        <w:instrText xml:space="preserve"> ADDIN ZOTERO_ITEM CSL_CITATION {"citationID":"a166slfskge","properties":{"formattedCitation":"(Stilwell &amp; Turk, 1999)","plainCitation":"(Stilwell &amp; Turk, 1999)","noteIndex":0},"citationItems":[{"id":53440,"uris":["http://zotero.org/groups/2352922/items/W35DJFAF","http://zotero.org/groups/2352922/items/YEKTLKWN"],"itemData":{"id":53440,"type":"article-journal","container-title":"A WWF International Discussion Paper","title":"Trade measures and multilateral environmental agreements: resolving uncertainty and removing the WTO chill factor","URL":"https://wwfint.awsassets.panda.org/downloads/chillfactor.pdf","author":[{"family":"Stilwell","given":"Matthew"},{"family":"Turk","given":"Elizabeth"}],"issued":{"date-parts":[["1999"]]}},"label":"page"}],"schema":"https://github.com/citation-style-language/schema/raw/master/csl-citation.json"} </w:instrText>
      </w:r>
      <w:r w:rsidR="00D60828" w:rsidRPr="00A9434B">
        <w:rPr>
          <w:b w:val="0"/>
          <w:i/>
          <w:iCs/>
        </w:rPr>
        <w:fldChar w:fldCharType="separate"/>
      </w:r>
      <w:r w:rsidR="00C71E80" w:rsidRPr="00A9434B">
        <w:rPr>
          <w:b w:val="0"/>
        </w:rPr>
        <w:t>(Stilwell &amp; Turk, 1999)</w:t>
      </w:r>
      <w:r w:rsidR="00D60828" w:rsidRPr="00A9434B">
        <w:rPr>
          <w:b w:val="0"/>
          <w:i/>
          <w:iCs/>
        </w:rPr>
        <w:fldChar w:fldCharType="end"/>
      </w:r>
      <w:r w:rsidR="00DF1AF7" w:rsidRPr="00A9434B">
        <w:rPr>
          <w:b w:val="0"/>
        </w:rPr>
        <w:t>.</w:t>
      </w:r>
      <w:r>
        <w:rPr>
          <w:b w:val="0"/>
        </w:rPr>
        <w:t xml:space="preserve"> One way to avoid such conflict </w:t>
      </w:r>
      <w:r w:rsidR="006E0767">
        <w:rPr>
          <w:b w:val="0"/>
        </w:rPr>
        <w:t>in the context of</w:t>
      </w:r>
      <w:r>
        <w:rPr>
          <w:b w:val="0"/>
        </w:rPr>
        <w:t xml:space="preserve"> biological invasions is for governments to proactively define the relationship between trade and environmental centred agreements when negotiating multilateral environmental agreements. </w:t>
      </w:r>
      <w:r w:rsidR="00DF1AF7" w:rsidRPr="00A9434B">
        <w:rPr>
          <w:b w:val="0"/>
        </w:rPr>
        <w:t>As discussed in</w:t>
      </w:r>
      <w:r w:rsidR="00D60828" w:rsidRPr="00A9434B">
        <w:rPr>
          <w:b w:val="0"/>
        </w:rPr>
        <w:t xml:space="preserve"> </w:t>
      </w:r>
      <w:r w:rsidR="004805FE" w:rsidRPr="00A9434B">
        <w:rPr>
          <w:b w:val="0"/>
        </w:rPr>
        <w:t xml:space="preserve">Stilwell &amp; Turk </w:t>
      </w:r>
      <w:r w:rsidR="00D60828" w:rsidRPr="00A9434B">
        <w:rPr>
          <w:b w:val="0"/>
          <w:i/>
          <w:iCs/>
        </w:rPr>
        <w:fldChar w:fldCharType="begin"/>
      </w:r>
      <w:r w:rsidR="0006613E">
        <w:rPr>
          <w:b w:val="0"/>
        </w:rPr>
        <w:instrText xml:space="preserve"> ADDIN ZOTERO_ITEM CSL_CITATION {"citationID":"a894k7bh25","properties":{"formattedCitation":"(1999)","plainCitation":"(1999)","noteIndex":0},"citationItems":[{"id":53440,"uris":["http://zotero.org/groups/2352922/items/W35DJFAF","http://zotero.org/groups/2352922/items/YEKTLKWN"],"itemData":{"id":53440,"type":"article-journal","container-title":"A WWF International Discussion Paper","title":"Trade measures and multilateral environmental agreements: resolving uncertainty and removing the WTO chill factor","URL":"https://wwfint.awsassets.panda.org/downloads/chillfactor.pdf","author":[{"family":"Stilwell","given":"Matthew"},{"family":"Turk","given":"Elizabeth"}],"issued":{"date-parts":[["1999"]]}},"label":"page","suppress-author":true}],"schema":"https://github.com/citation-style-language/schema/raw/master/csl-citation.json"} </w:instrText>
      </w:r>
      <w:r w:rsidR="00D60828" w:rsidRPr="00A9434B">
        <w:rPr>
          <w:b w:val="0"/>
          <w:i/>
          <w:iCs/>
        </w:rPr>
        <w:fldChar w:fldCharType="separate"/>
      </w:r>
      <w:r w:rsidR="00C71E80" w:rsidRPr="00A9434B">
        <w:rPr>
          <w:b w:val="0"/>
        </w:rPr>
        <w:t>(1999)</w:t>
      </w:r>
      <w:r w:rsidR="00D60828" w:rsidRPr="00A9434B">
        <w:rPr>
          <w:b w:val="0"/>
          <w:i/>
          <w:iCs/>
        </w:rPr>
        <w:fldChar w:fldCharType="end"/>
      </w:r>
      <w:r w:rsidR="00DF1AF7" w:rsidRPr="00A9434B">
        <w:rPr>
          <w:b w:val="0"/>
        </w:rPr>
        <w:t>,</w:t>
      </w:r>
      <w:r>
        <w:rPr>
          <w:b w:val="0"/>
        </w:rPr>
        <w:t xml:space="preserve"> defining this relationship should not rely on exemptions (“saving clauses”) in multilateral environmental agreements. Rather, agreements would better aim to establish a mutually supportive relationship between trade and the environment. Determining when the provisions in one of these two sets of agreements should supersede the other would help to internalize the externality of alien species impacts. It would also enhance policy coherence between multilateral agreements on trade and the environment, making these mutually supportive in favour of sustainable development </w:t>
      </w:r>
      <w:r w:rsidR="00D60828" w:rsidRPr="00A9434B">
        <w:rPr>
          <w:b w:val="0"/>
          <w:i/>
          <w:iCs/>
        </w:rPr>
        <w:fldChar w:fldCharType="begin"/>
      </w:r>
      <w:r w:rsidR="0006613E">
        <w:rPr>
          <w:b w:val="0"/>
        </w:rPr>
        <w:instrText xml:space="preserve"> ADDIN ZOTERO_ITEM CSL_CITATION {"citationID":"a2qss8rhjoi","properties":{"formattedCitation":"(OECD, 2020)","plainCitation":"(OECD, 2020)","noteIndex":0},"citationItems":[{"id":53228,"uris":["http://zotero.org/groups/2352922/items/LDXIW6G9"],"itemData":{"id":53228,"type":"webpage","abstract":"The expansion of global trade and the increasing integration of global value chains raise questions about the interaction between trade and the environment.","title":"Trade and the environment - OECD","URL":"https://www.oecd.org/trade/topics/trade-and-the-environment/","author":[{"literal":"OECD"}],"accessed":{"date-parts":[["2022",9,5]]},"issued":{"date-parts":[["2020"]]}},"label":"page"}],"schema":"https://github.com/citation-style-language/schema/raw/master/csl-citation.json"} </w:instrText>
      </w:r>
      <w:r w:rsidR="00D60828" w:rsidRPr="00A9434B">
        <w:rPr>
          <w:b w:val="0"/>
          <w:i/>
          <w:iCs/>
        </w:rPr>
        <w:fldChar w:fldCharType="separate"/>
      </w:r>
      <w:r w:rsidR="00C71E80" w:rsidRPr="00A9434B">
        <w:rPr>
          <w:b w:val="0"/>
        </w:rPr>
        <w:t>(OECD, 2020)</w:t>
      </w:r>
      <w:r w:rsidR="00D60828" w:rsidRPr="00A9434B">
        <w:rPr>
          <w:b w:val="0"/>
          <w:i/>
          <w:iCs/>
        </w:rPr>
        <w:fldChar w:fldCharType="end"/>
      </w:r>
      <w:r w:rsidR="00DF1AF7" w:rsidRPr="00A9434B">
        <w:rPr>
          <w:b w:val="0"/>
        </w:rPr>
        <w:t>.</w:t>
      </w:r>
      <w:r>
        <w:rPr>
          <w:b w:val="0"/>
        </w:rPr>
        <w:t xml:space="preserve"> Specifically, this could bring about balanced and effective multilateral agreements for this transboundary and global environmental problem without the fear of trade barriers being invoked </w:t>
      </w:r>
      <w:r w:rsidR="00D60828" w:rsidRPr="00A9434B">
        <w:rPr>
          <w:b w:val="0"/>
          <w:i/>
          <w:iCs/>
        </w:rPr>
        <w:fldChar w:fldCharType="begin"/>
      </w:r>
      <w:r w:rsidR="0006613E">
        <w:rPr>
          <w:b w:val="0"/>
        </w:rPr>
        <w:instrText xml:space="preserve"> ADDIN ZOTERO_ITEM CSL_CITATION {"citationID":"a1np5ovf73a","properties":{"formattedCitation":"(Stilwell &amp; Turk, 1999)","plainCitation":"(Stilwell &amp; Turk, 1999)","noteIndex":0},"citationItems":[{"id":53440,"uris":["http://zotero.org/groups/2352922/items/W35DJFAF","http://zotero.org/groups/2352922/items/YEKTLKWN"],"itemData":{"id":53440,"type":"article-journal","container-title":"A WWF International Discussion Paper","title":"Trade measures and multilateral environmental agreements: resolving uncertainty and removing the WTO chill factor","URL":"https://wwfint.awsassets.panda.org/downloads/chillfactor.pdf","author":[{"family":"Stilwell","given":"Matthew"},{"family":"Turk","given":"Elizabeth"}],"issued":{"date-parts":[["1999"]]}}}],"schema":"https://github.com/citation-style-language/schema/raw/master/csl-citation.json"} </w:instrText>
      </w:r>
      <w:r w:rsidR="00D60828" w:rsidRPr="00A9434B">
        <w:rPr>
          <w:b w:val="0"/>
          <w:i/>
          <w:iCs/>
        </w:rPr>
        <w:fldChar w:fldCharType="separate"/>
      </w:r>
      <w:r w:rsidR="00C71E80" w:rsidRPr="00A9434B">
        <w:rPr>
          <w:b w:val="0"/>
        </w:rPr>
        <w:t>(Stilwell &amp; Turk, 1999)</w:t>
      </w:r>
      <w:r w:rsidR="00D60828" w:rsidRPr="00A9434B">
        <w:rPr>
          <w:b w:val="0"/>
          <w:i/>
          <w:iCs/>
        </w:rPr>
        <w:fldChar w:fldCharType="end"/>
      </w:r>
      <w:r w:rsidR="00DF1AF7" w:rsidRPr="00A9434B">
        <w:rPr>
          <w:b w:val="0"/>
        </w:rPr>
        <w:t>.</w:t>
      </w:r>
      <w:r>
        <w:rPr>
          <w:b w:val="0"/>
        </w:rPr>
        <w:t xml:space="preserve"> This clarity would also help preserve the integrity of the multilateral trading system, which is increasingly criticized for its tendency to override social and environmental policies </w:t>
      </w:r>
      <w:r w:rsidR="008907FC" w:rsidRPr="00A9434B">
        <w:rPr>
          <w:b w:val="0"/>
        </w:rPr>
        <w:fldChar w:fldCharType="begin"/>
      </w:r>
      <w:r w:rsidR="0006613E">
        <w:rPr>
          <w:b w:val="0"/>
        </w:rPr>
        <w:instrText xml:space="preserve"> ADDIN ZOTERO_ITEM CSL_CITATION {"citationID":"a12s0ju504","properties":{"formattedCitation":"(European Commission, 2021)","plainCitation":"(European Commission, 2021)","noteIndex":0},"citationItems":[{"id":54652,"uris":["http://zotero.org/groups/2352922/items/SEY8PFQ5"],"itemData":{"id":54652,"type":"report","publisher":"Publications Office of the European Union","title":"Reforming the WTO – Towards a sustainable and effective multilateral trading system","URL":"https://data.europa.eu/doi/10.2781/272480","author":[{"literal":"European Commission"}],"accessed":{"date-parts":[["2023",3,7]]},"issued":{"date-parts":[["2021"]]}}}],"schema":"https://github.com/citation-style-language/schema/raw/master/csl-citation.json"} </w:instrText>
      </w:r>
      <w:r w:rsidR="008907FC" w:rsidRPr="00A9434B">
        <w:rPr>
          <w:b w:val="0"/>
        </w:rPr>
        <w:fldChar w:fldCharType="separate"/>
      </w:r>
      <w:r w:rsidR="00C71E80" w:rsidRPr="00A9434B">
        <w:rPr>
          <w:b w:val="0"/>
        </w:rPr>
        <w:t>(European Commission, 2021)</w:t>
      </w:r>
      <w:r w:rsidR="008907FC" w:rsidRPr="00A9434B">
        <w:rPr>
          <w:b w:val="0"/>
        </w:rPr>
        <w:fldChar w:fldCharType="end"/>
      </w:r>
      <w:r w:rsidR="008907FC" w:rsidRPr="00A9434B">
        <w:rPr>
          <w:b w:val="0"/>
        </w:rPr>
        <w:t>.</w:t>
      </w:r>
      <w:r>
        <w:rPr>
          <w:b w:val="0"/>
        </w:rPr>
        <w:t xml:space="preserve"> Likewise, it would address the view of social and environmental agreements as attempting to override multilateral trading rules </w:t>
      </w:r>
      <w:r w:rsidR="008907FC" w:rsidRPr="00A9434B">
        <w:rPr>
          <w:b w:val="0"/>
        </w:rPr>
        <w:fldChar w:fldCharType="begin"/>
      </w:r>
      <w:r w:rsidR="0006613E">
        <w:rPr>
          <w:b w:val="0"/>
        </w:rPr>
        <w:instrText xml:space="preserve"> ADDIN ZOTERO_ITEM CSL_CITATION {"citationID":"gOhYIcbT","properties":{"formattedCitation":"(European Commission, 2021)","plainCitation":"(European Commission, 2021)","noteIndex":0},"citationItems":[{"id":54652,"uris":["http://zotero.org/groups/2352922/items/SEY8PFQ5"],"itemData":{"id":54652,"type":"report","publisher":"Publications Office of the European Union","title":"Reforming the WTO – Towards a sustainable and effective multilateral trading system","URL":"https://data.europa.eu/doi/10.2781/272480","author":[{"literal":"European Commission"}],"accessed":{"date-parts":[["2023",3,7]]},"issued":{"date-parts":[["2021"]]}}}],"schema":"https://github.com/citation-style-language/schema/raw/master/csl-citation.json"} </w:instrText>
      </w:r>
      <w:r w:rsidR="008907FC" w:rsidRPr="00A9434B">
        <w:rPr>
          <w:b w:val="0"/>
        </w:rPr>
        <w:fldChar w:fldCharType="separate"/>
      </w:r>
      <w:r w:rsidR="00C71E80" w:rsidRPr="00A9434B">
        <w:rPr>
          <w:b w:val="0"/>
        </w:rPr>
        <w:t>(European Commission, 2021)</w:t>
      </w:r>
      <w:r w:rsidR="008907FC" w:rsidRPr="00A9434B">
        <w:rPr>
          <w:b w:val="0"/>
        </w:rPr>
        <w:fldChar w:fldCharType="end"/>
      </w:r>
      <w:r w:rsidR="008907FC" w:rsidRPr="00A9434B">
        <w:rPr>
          <w:b w:val="0"/>
        </w:rPr>
        <w:t>.</w:t>
      </w:r>
      <w:r>
        <w:rPr>
          <w:b w:val="0"/>
        </w:rPr>
        <w:t xml:space="preserve"> Overall, such policy integration would also reduce the tendency and need to resort to unilateral trade measures, which would result in a lack of coordination and collaboration across jurisdictions.</w:t>
      </w:r>
    </w:p>
    <w:p w14:paraId="0BF026AB" w14:textId="73A03DBF" w:rsidR="00017C04" w:rsidRDefault="00F50AF9">
      <w:pPr>
        <w:pStyle w:val="Heading5"/>
        <w:rPr>
          <w:b w:val="0"/>
        </w:rPr>
      </w:pPr>
      <w:bookmarkStart w:id="246" w:name="_heading=h.25b2l0r" w:colFirst="0" w:colLast="0"/>
      <w:bookmarkStart w:id="247" w:name="_Toc85291857"/>
      <w:bookmarkEnd w:id="246"/>
      <w:r>
        <w:t>(2) Defining liability and redress from the negative impacts to biodiversity of invasive alien species in multilateral</w:t>
      </w:r>
      <w:r w:rsidR="005D0083">
        <w:t xml:space="preserve"> and</w:t>
      </w:r>
      <w:r>
        <w:t xml:space="preserve"> national legal and regulatory instruments</w:t>
      </w:r>
      <w:bookmarkEnd w:id="247"/>
      <w:r>
        <w:br/>
      </w:r>
      <w:r>
        <w:rPr>
          <w:b w:val="0"/>
        </w:rPr>
        <w:t xml:space="preserve">Invasive alien species can be viewed as a form of “self-regenerating pollution” </w:t>
      </w:r>
      <w:r w:rsidR="007419F9" w:rsidRPr="00A9434B">
        <w:rPr>
          <w:b w:val="0"/>
          <w:i/>
        </w:rPr>
        <w:fldChar w:fldCharType="begin"/>
      </w:r>
      <w:r w:rsidR="007419F9" w:rsidRPr="00A9434B">
        <w:rPr>
          <w:b w:val="0"/>
        </w:rPr>
        <w:instrText xml:space="preserve"> ADDIN EN.CITE &lt;EndNote&gt;&lt;Cite&gt;&lt;Author&gt;De Klemm&lt;/Author&gt;&lt;Year&gt;1996&lt;/Year&gt;&lt;RecNum&gt;70&lt;/RecNum&gt;&lt;DisplayText&gt;(De Klemm 1996)&lt;/DisplayText&gt;&lt;record&gt;&lt;rec-number&gt;70&lt;/rec-number&gt;&lt;foreign-keys&gt;&lt;key app="EN" db-id="2fps2rpwcptwaxedz9oprzvmawfxef9pfpa2" timestamp="1620723162"&gt;70&lt;/key&gt;&lt;/foreign-keys&gt;&lt;ref-type name="Book"&gt;6&lt;/ref-type&gt;&lt;contributors&gt;&lt;authors&gt;&lt;author&gt;De Klemm, Cyrille&lt;/author&gt;&lt;/authors&gt;&lt;/contributors&gt;&lt;titles&gt;&lt;title&gt;Introductions of non-native organisms into the natural environment&lt;/title&gt;&lt;/titles&gt;&lt;number&gt;18-73&lt;/number&gt;&lt;dates&gt;&lt;year&gt;1996&lt;/year&gt;&lt;/dates&gt;&lt;publisher&gt;Council of Europe&lt;/publisher&gt;&lt;isbn&gt;9287128979&lt;/isbn&gt;&lt;urls&gt;&lt;/urls&gt;&lt;/record&gt;&lt;/Cite&gt;&lt;/EndNote&gt;</w:instrText>
      </w:r>
      <w:r w:rsidR="007419F9" w:rsidRPr="00A9434B">
        <w:rPr>
          <w:b w:val="0"/>
          <w:i/>
        </w:rPr>
        <w:fldChar w:fldCharType="separate"/>
      </w:r>
      <w:r w:rsidR="00F6500D" w:rsidRPr="00A9434B">
        <w:rPr>
          <w:b w:val="0"/>
          <w:i/>
        </w:rPr>
        <w:fldChar w:fldCharType="begin"/>
      </w:r>
      <w:r w:rsidR="0006613E">
        <w:rPr>
          <w:b w:val="0"/>
        </w:rPr>
        <w:instrText xml:space="preserve"> ADDIN ZOTERO_ITEM CSL_CITATION {"citationID":"aj3lef7lps","properties":{"formattedCitation":"(De Klemm, 1996)","plainCitation":"(De Klemm, 1996)","noteIndex":0},"citationItems":[{"id":53208,"uris":["http://zotero.org/groups/2352922/items/5JXY9RRY"],"itemData":{"id":53208,"type":"book","ISBN":"92-871-2897-9","note":"issue: 18-73","publisher":"Council of Europe","title":"Introductions of non-native organisms into the natural environment","author":[{"family":"De Klemm","given":"Cyrille"}],"issued":{"date-parts":[["1996"]]}},"label":"page"}],"schema":"https://github.com/citation-style-language/schema/raw/master/csl-citation.json"} </w:instrText>
      </w:r>
      <w:r w:rsidR="00F6500D" w:rsidRPr="00A9434B">
        <w:rPr>
          <w:b w:val="0"/>
          <w:i/>
        </w:rPr>
        <w:fldChar w:fldCharType="separate"/>
      </w:r>
      <w:r w:rsidR="00C71E80" w:rsidRPr="00A9434B">
        <w:rPr>
          <w:b w:val="0"/>
        </w:rPr>
        <w:t>(De Klemm, 1996)</w:t>
      </w:r>
      <w:r w:rsidR="00F6500D" w:rsidRPr="00A9434B">
        <w:rPr>
          <w:b w:val="0"/>
          <w:i/>
        </w:rPr>
        <w:fldChar w:fldCharType="end"/>
      </w:r>
      <w:r w:rsidR="007419F9" w:rsidRPr="00A9434B">
        <w:rPr>
          <w:b w:val="0"/>
          <w:i/>
        </w:rPr>
        <w:fldChar w:fldCharType="end"/>
      </w:r>
      <w:r w:rsidR="00FA4EE5" w:rsidRPr="00A9434B">
        <w:rPr>
          <w:b w:val="0"/>
        </w:rPr>
        <w:t>. A</w:t>
      </w:r>
      <w:r w:rsidR="007419F9" w:rsidRPr="00A9434B">
        <w:rPr>
          <w:b w:val="0"/>
        </w:rPr>
        <w:t xml:space="preserve"> </w:t>
      </w:r>
      <w:r w:rsidR="00F54B7D" w:rsidRPr="00A9434B">
        <w:rPr>
          <w:b w:val="0"/>
        </w:rPr>
        <w:t>“l</w:t>
      </w:r>
      <w:r w:rsidR="007419F9" w:rsidRPr="00A9434B">
        <w:rPr>
          <w:b w:val="0"/>
        </w:rPr>
        <w:t>egal person</w:t>
      </w:r>
      <w:r w:rsidR="00251139" w:rsidRPr="00A9434B">
        <w:rPr>
          <w:b w:val="0"/>
        </w:rPr>
        <w:t>ality</w:t>
      </w:r>
      <w:r w:rsidR="00F54B7D" w:rsidRPr="00A9434B">
        <w:rPr>
          <w:b w:val="0"/>
        </w:rPr>
        <w:t>”</w:t>
      </w:r>
      <w:r w:rsidR="007419F9" w:rsidRPr="00A9434B">
        <w:rPr>
          <w:b w:val="0"/>
        </w:rPr>
        <w:t xml:space="preserve"> </w:t>
      </w:r>
      <w:r w:rsidR="00F806B6" w:rsidRPr="00A9434B">
        <w:rPr>
          <w:b w:val="0"/>
        </w:rPr>
        <w:t>(</w:t>
      </w:r>
      <w:r w:rsidR="008615FF">
        <w:rPr>
          <w:iCs/>
        </w:rPr>
        <w:t>G</w:t>
      </w:r>
      <w:r w:rsidR="002D25BF" w:rsidRPr="00673554">
        <w:rPr>
          <w:iCs/>
        </w:rPr>
        <w:t>lossary</w:t>
      </w:r>
      <w:r>
        <w:rPr>
          <w:b w:val="0"/>
        </w:rPr>
        <w:t xml:space="preserve">) or entity could therefore be regarded as liable for the damages caused from their involvement in the introduction of an invasive alien species. </w:t>
      </w:r>
      <w:r w:rsidR="006E0767">
        <w:rPr>
          <w:b w:val="0"/>
        </w:rPr>
        <w:t>P</w:t>
      </w:r>
      <w:r>
        <w:rPr>
          <w:b w:val="0"/>
        </w:rPr>
        <w:t>reamble 33 of European Union Regulation 1143/2014 affirms that Member States should impose effective, proportionate</w:t>
      </w:r>
      <w:r w:rsidR="005D0083">
        <w:rPr>
          <w:b w:val="0"/>
        </w:rPr>
        <w:t xml:space="preserve"> and</w:t>
      </w:r>
      <w:r>
        <w:rPr>
          <w:b w:val="0"/>
        </w:rPr>
        <w:t xml:space="preserve"> dissuasive sanctions for infringements, considering the nature and gravity of the infringement, the principle of recovery of the costs</w:t>
      </w:r>
      <w:r w:rsidR="005D0083">
        <w:rPr>
          <w:b w:val="0"/>
        </w:rPr>
        <w:t xml:space="preserve"> and</w:t>
      </w:r>
      <w:r>
        <w:rPr>
          <w:b w:val="0"/>
        </w:rPr>
        <w:t xml:space="preserve"> the polluter pays principle. The same legislation, at art. 21 on cost recovery, says that “in accordance with the polluter pays principle … Member States shall aim to recover the costs of the measures needed to prevent, minimize or mitigate the adverse impact of invasive alien species, including environmental and resources costs as well as the restoration cost.” However, the idea of liability and reparation for the impacts of an invasive alien species is missing from many multilateral environmental agreements. One notable exception is the Bern Convention which makes a formal recommendation about liability. Another example is the Convention on Civil Liability for Damage Resulting from Activities Dangerous to the Environment in Europe </w:t>
      </w:r>
      <w:r w:rsidR="00FA4EE5" w:rsidRPr="00A9434B">
        <w:rPr>
          <w:b w:val="0"/>
          <w:i/>
        </w:rPr>
        <w:fldChar w:fldCharType="begin"/>
      </w:r>
      <w:r w:rsidR="00FA4EE5" w:rsidRPr="00A9434B">
        <w:rPr>
          <w:b w:val="0"/>
        </w:rPr>
        <w:instrText xml:space="preserve"> ADDIN EN.CITE &lt;EndNote&gt;&lt;Cite&gt;&lt;Author&gt;COUNCIL OF EUROPE&lt;/Author&gt;&lt;Year&gt;1993&lt;/Year&gt;&lt;RecNum&gt;68&lt;/RecNum&gt;&lt;DisplayText&gt;(COUNCIL OF EUROPE 1993)&lt;/DisplayText&gt;&lt;record&gt;&lt;rec-number&gt;68&lt;/rec-number&gt;&lt;foreign-keys&gt;&lt;key app="EN" db-id="2fps2rpwcptwaxedz9oprzvmawfxef9pfpa2" timestamp="1620722972"&gt;68&lt;/key&gt;&lt;/foreign-keys&gt;&lt;ref-type name="Report"&gt;27&lt;/ref-type&gt;&lt;contributors&gt;&lt;authors&gt;&lt;author&gt;COUNCIL OF EUROPE,&lt;/author&gt;&lt;/authors&gt;&lt;/contributors&gt;&lt;titles&gt;&lt;title&gt;Convention on civil liability for damage resulting from activities dangerous to the environment&lt;/title&gt;&lt;secondary-title&gt;International Legal Materials&lt;/secondary-title&gt;&lt;/titles&gt;&lt;periodical&gt;&lt;full-title&gt;International Legal Materials&lt;/full-title&gt;&lt;/periodical&gt;&lt;pages&gt;1228-1246&lt;/pages&gt;&lt;volume&gt;32&lt;/volume&gt;&lt;number&gt;5&lt;/number&gt;&lt;dates&gt;&lt;year&gt;1993&lt;/year&gt;&lt;/dates&gt;&lt;urls&gt;&lt;/urls&gt;&lt;/record&gt;&lt;/Cite&gt;&lt;/EndNote&gt;</w:instrText>
      </w:r>
      <w:r w:rsidR="00FA4EE5" w:rsidRPr="00A9434B">
        <w:rPr>
          <w:b w:val="0"/>
          <w:i/>
        </w:rPr>
        <w:fldChar w:fldCharType="separate"/>
      </w:r>
      <w:r w:rsidR="00FA4EE5" w:rsidRPr="00A9434B">
        <w:rPr>
          <w:b w:val="0"/>
          <w:i/>
        </w:rPr>
        <w:fldChar w:fldCharType="begin"/>
      </w:r>
      <w:r w:rsidR="0006613E">
        <w:rPr>
          <w:b w:val="0"/>
        </w:rPr>
        <w:instrText xml:space="preserve"> ADDIN ZOTERO_ITEM CSL_CITATION {"citationID":"adi4p7rgtg","properties":{"formattedCitation":"(Council of Europe, 1993)","plainCitation":"(Council of Europe, 1993)","noteIndex":0},"citationItems":[{"id":53207,"uris":["http://zotero.org/groups/2352922/items/EIWN79TF"],"itemData":{"id":53207,"type":"report","collection-title":"European Treaty Series","event-place":"Lugano","number":"150","page":"16","publisher":"Council of Europe","publisher-place":"Lugano","title":"Convention on Civil Liability for Damage Resulting from Activities Dangerous to the Environment","author":[{"literal":"Council of Europe"}],"issued":{"date-parts":[["1993",6,21]]}},"label":"page"}],"schema":"https://github.com/citation-style-language/schema/raw/master/csl-citation.json"} </w:instrText>
      </w:r>
      <w:r w:rsidR="00FA4EE5" w:rsidRPr="00A9434B">
        <w:rPr>
          <w:b w:val="0"/>
          <w:i/>
        </w:rPr>
        <w:fldChar w:fldCharType="separate"/>
      </w:r>
      <w:r w:rsidR="00C71E80" w:rsidRPr="00A9434B">
        <w:rPr>
          <w:b w:val="0"/>
        </w:rPr>
        <w:t>(Council of Europe, 1993)</w:t>
      </w:r>
      <w:r w:rsidR="00FA4EE5" w:rsidRPr="00A9434B">
        <w:rPr>
          <w:b w:val="0"/>
          <w:i/>
        </w:rPr>
        <w:fldChar w:fldCharType="end"/>
      </w:r>
      <w:r w:rsidR="00FA4EE5" w:rsidRPr="00A9434B">
        <w:rPr>
          <w:b w:val="0"/>
          <w:i/>
        </w:rPr>
        <w:fldChar w:fldCharType="end"/>
      </w:r>
      <w:r>
        <w:rPr>
          <w:b w:val="0"/>
        </w:rPr>
        <w:t xml:space="preserve"> that specifies liability for genetically modified organisms or micro-organisms that present a significant risk for humans, the environment, or property. </w:t>
      </w:r>
    </w:p>
    <w:p w14:paraId="17081C6E" w14:textId="35B5935E" w:rsidR="00017C04" w:rsidRDefault="2F958343">
      <w:r>
        <w:t xml:space="preserve">Different objectives and guiding principles across legal and regulatory instruments raise complex questions about how liability for biological invasions can be assigned; and how liability can be enforced under the current state of international law. The use of environmental liability directives such as the Principle of Polluter-pays (for example, EU Directive 2004/35/CE) or nuisance laws </w:t>
      </w:r>
      <w:r w:rsidR="007077E1" w:rsidRPr="00A9434B">
        <w:fldChar w:fldCharType="begin"/>
      </w:r>
      <w:r w:rsidR="0006613E">
        <w:instrText xml:space="preserve"> ADDIN ZOTERO_ITEM CSL_CITATION {"citationID":"a25jbkmmjqe","properties":{"formattedCitation":"(Pidot, 2005)","plainCitation":"(Pidot, 2005)","noteIndex":0},"citationItems":[{"id":54647,"uris":["http://zotero.org/groups/2352922/items/IJRGI4E6","http://zotero.org/groups/2352922/items/X5UYUL4W"],"itemData":{"id":54647,"type":"article-journal","container-title":"Virginia Environmental Law Journal","issue":"2","note":"ISBN: 1045-5183\npublisher: JSTOR","page":"183-230","title":"The Applicability of Nuisance Law to Invasive Plants: Can Common Law Liability Inspire Government Action?","URL":"https://www.jstor.org/stable/24787332","volume":"24","author":[{"family":"Pidot","given":"Justin R."}],"issued":{"date-parts":[["2005"]]}},"label":"page"}],"schema":"https://github.com/citation-style-language/schema/raw/master/csl-citation.json"} </w:instrText>
      </w:r>
      <w:r w:rsidR="007077E1" w:rsidRPr="00A9434B">
        <w:fldChar w:fldCharType="separate"/>
      </w:r>
      <w:r w:rsidR="00C71E80" w:rsidRPr="00A9434B">
        <w:t>(Pidot, 2005)</w:t>
      </w:r>
      <w:r w:rsidR="007077E1" w:rsidRPr="00A9434B">
        <w:fldChar w:fldCharType="end"/>
      </w:r>
      <w:r>
        <w:t xml:space="preserve"> provides one pathway to incorporate liability and redress provisions into the current multilateral environmental agreements. In these cases, damages are recognized as any unwanted change in protected species and natural habitats, water resources and/or soils (</w:t>
      </w:r>
      <w:r w:rsidRPr="0B8DB0CC">
        <w:rPr>
          <w:b/>
          <w:bCs/>
        </w:rPr>
        <w:t>Chapter 5</w:t>
      </w:r>
      <w:r>
        <w:t xml:space="preserve">, </w:t>
      </w:r>
      <w:r w:rsidRPr="0B8DB0CC">
        <w:rPr>
          <w:b/>
          <w:bCs/>
        </w:rPr>
        <w:t>section 5.3.2</w:t>
      </w:r>
      <w:r>
        <w:t xml:space="preserve">): namely, negligence or intentional actions of legal persons or entities involved in activities resulting in </w:t>
      </w:r>
      <w:r w:rsidR="006E0767">
        <w:t>“</w:t>
      </w:r>
      <w:r>
        <w:t>environmental damage</w:t>
      </w:r>
      <w:r w:rsidR="006E0767">
        <w:t>”</w:t>
      </w:r>
      <w:r>
        <w:t>. In the context of transnational impacts, the best approach is that national legal and regulatory frameworks reflect obligations under international law and emphasize transboundary cooperation and collaboration concerning management</w:t>
      </w:r>
      <w:r w:rsidR="767EBC71">
        <w:t xml:space="preserve"> of biological invasions</w:t>
      </w:r>
      <w:r>
        <w:t>, including liability for harm.</w:t>
      </w:r>
    </w:p>
    <w:p w14:paraId="2D37652E" w14:textId="080D5C26" w:rsidR="00017C04" w:rsidRDefault="00F50AF9">
      <w:r>
        <w:lastRenderedPageBreak/>
        <w:t xml:space="preserve">Given the nature of biological invasions, enforcing environmental liability would require shifting the burden of proof from the prosecution to the defendant(s) </w:t>
      </w:r>
      <w:r w:rsidR="008907FC" w:rsidRPr="00A66FC6">
        <w:fldChar w:fldCharType="begin"/>
      </w:r>
      <w:r w:rsidR="0006613E">
        <w:instrText xml:space="preserve"> ADDIN ZOTERO_ITEM CSL_CITATION {"citationID":"aa0r62pefn","properties":{"formattedCitation":"(Kramer, 2005; Pidot, 2005)","plainCitation":"(Kramer, 2005; Pidot, 2005)","noteIndex":0},"citationItems":[{"id":54648,"uris":["http://zotero.org/groups/2352922/items/VT4LEB4V"],"itemData":{"id":54648,"type":"article-journal","container-title":"Journal for European Environmental &amp; Planning Law","DOI":"10.1163/187601005X00020","ISSN":"1613-7272, 1876-0104","issue":"4","journalAbbreviation":"J Eur Environ Plan Law","page":"250-256","source":"DOI.org (Crossref)","title":"Discussions on Directive 2004/35 Concerning Environmental Liability","URL":"https://brill.com/view/journals/jeep/2/4/article-p250_2.xml","volume":"2","author":[{"family":"Kramer","given":"Ludwig"}],"accessed":{"date-parts":[["2023",3,7]]},"issued":{"date-parts":[["2005"]]}}},{"id":54647,"uris":["http://zotero.org/groups/2352922/items/IJRGI4E6","http://zotero.org/groups/2352922/items/X5UYUL4W"],"itemData":{"id":54647,"type":"article-journal","container-title":"Virginia Environmental Law Journal","issue":"2","note":"ISBN: 1045-5183\npublisher: JSTOR","page":"183-230","title":"The Applicability of Nuisance Law to Invasive Plants: Can Common Law Liability Inspire Government Action?","URL":"https://www.jstor.org/stable/24787332","volume":"24","author":[{"family":"Pidot","given":"Justin R."}],"issued":{"date-parts":[["2005"]]}}}],"schema":"https://github.com/citation-style-language/schema/raw/master/csl-citation.json"} </w:instrText>
      </w:r>
      <w:r w:rsidR="008907FC" w:rsidRPr="00A66FC6">
        <w:fldChar w:fldCharType="separate"/>
      </w:r>
      <w:r w:rsidR="00C71E80" w:rsidRPr="00A66FC6">
        <w:t>(Kramer, 2005; Pidot, 2005)</w:t>
      </w:r>
      <w:r w:rsidR="008907FC" w:rsidRPr="00A66FC6">
        <w:fldChar w:fldCharType="end"/>
      </w:r>
      <w:r w:rsidR="00DE702B" w:rsidRPr="00A66FC6">
        <w:t>.</w:t>
      </w:r>
      <w:r>
        <w:t xml:space="preserve"> Under such a regime, the prosecution would only have to demonstrate objective facts about the presence of an invasive alien species associated with a given activity of a legal person(s) or entity(ies); then the defendant(s) would need to prove the resulting invasion was not the product of negligence </w:t>
      </w:r>
      <w:r w:rsidR="006D0EC5" w:rsidRPr="00A66FC6">
        <w:fldChar w:fldCharType="begin"/>
      </w:r>
      <w:r w:rsidR="0006613E">
        <w:instrText xml:space="preserve"> ADDIN ZOTERO_ITEM CSL_CITATION {"citationID":"a2n6qlvo918","properties":{"formattedCitation":"(Secretariat of the CBD, 2001)","plainCitation":"(Secretariat of the CBD, 2001)","noteIndex":0},"citationItems":[{"id":54661,"uris":["http://zotero.org/groups/2352922/items/RRDB97XK"],"itemData":{"id":54661,"type":"report","event-place":"Montreal","language":"en","number":"CBD Technical Series no. 2","page":"42","publisher":"Secretariat of the Convention on Biological Diversity","publisher-place":"Montreal","source":"K10plus ISBN","title":"Review of the efficiency and efficacy of existing legal instruments applicable to invasive alien species","author":[{"literal":"Secretariat of the CBD"}],"issued":{"date-parts":[["2001"]]}},"label":"page"}],"schema":"https://github.com/citation-style-language/schema/raw/master/csl-citation.json"} </w:instrText>
      </w:r>
      <w:r w:rsidR="006D0EC5" w:rsidRPr="00A66FC6">
        <w:fldChar w:fldCharType="separate"/>
      </w:r>
      <w:r w:rsidR="00C71E80" w:rsidRPr="00A66FC6">
        <w:t>(Secretariat of the CBD, 2001)</w:t>
      </w:r>
      <w:r w:rsidR="006D0EC5" w:rsidRPr="00A66FC6">
        <w:fldChar w:fldCharType="end"/>
      </w:r>
      <w:r w:rsidR="007419F9" w:rsidRPr="00A66FC6">
        <w:t>.</w:t>
      </w:r>
      <w:r>
        <w:t xml:space="preserve"> These proofs would be provided by all parties that received some form of financial benefit from the transport, sale and/or introduction of the species liable for some part of the harm </w:t>
      </w:r>
      <w:r w:rsidR="000F3252" w:rsidRPr="00A66FC6">
        <w:fldChar w:fldCharType="begin"/>
      </w:r>
      <w:r w:rsidR="0006613E">
        <w:instrText xml:space="preserve"> ADDIN ZOTERO_ITEM CSL_CITATION {"citationID":"E56gRCez","properties":{"formattedCitation":"(Secretariat of the CBD, 2001)","plainCitation":"(Secretariat of the CBD, 2001)","noteIndex":0},"citationItems":[{"id":54661,"uris":["http://zotero.org/groups/2352922/items/RRDB97XK"],"itemData":{"id":54661,"type":"report","event-place":"Montreal","language":"en","number":"CBD Technical Series no. 2","page":"42","publisher":"Secretariat of the Convention on Biological Diversity","publisher-place":"Montreal","source":"K10plus ISBN","title":"Review of the efficiency and efficacy of existing legal instruments applicable to invasive alien species","author":[{"literal":"Secretariat of the CBD"}],"issued":{"date-parts":[["2001"]]}},"label":"page"}],"schema":"https://github.com/citation-style-language/schema/raw/master/csl-citation.json"} </w:instrText>
      </w:r>
      <w:r w:rsidR="000F3252" w:rsidRPr="00A66FC6">
        <w:fldChar w:fldCharType="separate"/>
      </w:r>
      <w:r w:rsidR="00C71E80" w:rsidRPr="00A66FC6">
        <w:t>(Secretariat of the CBD, 2001)</w:t>
      </w:r>
      <w:r w:rsidR="000F3252" w:rsidRPr="00A66FC6">
        <w:fldChar w:fldCharType="end"/>
      </w:r>
      <w:r w:rsidR="000F3252" w:rsidRPr="00A66FC6">
        <w:t>.</w:t>
      </w:r>
      <w:r>
        <w:t xml:space="preserve"> Reframing who should be the target of punitive proceedings has the potential to develop a culture of accountability and responsibility, focused on encouraging voluntary compliance and implementations of best practices, though it is important that punitive actions are maintained as a potential last resort </w:t>
      </w:r>
      <w:r w:rsidR="000F3252" w:rsidRPr="00A66FC6">
        <w:fldChar w:fldCharType="begin"/>
      </w:r>
      <w:r w:rsidR="0006613E">
        <w:instrText xml:space="preserve"> ADDIN ZOTERO_ITEM CSL_CITATION {"citationID":"nJpMbxpi","properties":{"formattedCitation":"(Kramer, 2005; Pidot, 2005)","plainCitation":"(Kramer, 2005; Pidot, 2005)","noteIndex":0},"citationItems":[{"id":54648,"uris":["http://zotero.org/groups/2352922/items/VT4LEB4V"],"itemData":{"id":54648,"type":"article-journal","container-title":"Journal for European Environmental &amp; Planning Law","DOI":"10.1163/187601005X00020","ISSN":"1613-7272, 1876-0104","issue":"4","journalAbbreviation":"J Eur Environ Plan Law","page":"250-256","source":"DOI.org (Crossref)","title":"Discussions on Directive 2004/35 Concerning Environmental Liability","URL":"https://brill.com/view/journals/jeep/2/4/article-p250_2.xml","volume":"2","author":[{"family":"Kramer","given":"Ludwig"}],"accessed":{"date-parts":[["2023",3,7]]},"issued":{"date-parts":[["2005"]]}}},{"id":54647,"uris":["http://zotero.org/groups/2352922/items/IJRGI4E6","http://zotero.org/groups/2352922/items/X5UYUL4W"],"itemData":{"id":54647,"type":"article-journal","container-title":"Virginia Environmental Law Journal","issue":"2","note":"ISBN: 1045-5183\npublisher: JSTOR","page":"183-230","title":"The Applicability of Nuisance Law to Invasive Plants: Can Common Law Liability Inspire Government Action?","URL":"https://www.jstor.org/stable/24787332","volume":"24","author":[{"family":"Pidot","given":"Justin R."}],"issued":{"date-parts":[["2005"]]}}}],"schema":"https://github.com/citation-style-language/schema/raw/master/csl-citation.json"} </w:instrText>
      </w:r>
      <w:r w:rsidR="000F3252" w:rsidRPr="00A66FC6">
        <w:fldChar w:fldCharType="separate"/>
      </w:r>
      <w:r w:rsidR="00C71E80" w:rsidRPr="00A66FC6">
        <w:t>(Kramer, 2005; Pidot, 2005)</w:t>
      </w:r>
      <w:r w:rsidR="000F3252" w:rsidRPr="00A66FC6">
        <w:fldChar w:fldCharType="end"/>
      </w:r>
      <w:r w:rsidR="000F3252" w:rsidRPr="00A66FC6">
        <w:t>.</w:t>
      </w:r>
    </w:p>
    <w:p w14:paraId="4131588C" w14:textId="4EB6DF3A" w:rsidR="00017C04" w:rsidRDefault="00F50AF9" w:rsidP="00B301D7">
      <w:pPr>
        <w:pStyle w:val="Heading3"/>
      </w:pPr>
      <w:bookmarkStart w:id="248" w:name="_heading=h.kgcv8k" w:colFirst="0" w:colLast="0"/>
      <w:bookmarkStart w:id="249" w:name="_Toc74056289"/>
      <w:bookmarkStart w:id="250" w:name="_Toc698466937"/>
      <w:bookmarkStart w:id="251" w:name="_Toc133428309"/>
      <w:bookmarkEnd w:id="248"/>
      <w:r>
        <w:t xml:space="preserve">Addressing conflicting interests and </w:t>
      </w:r>
      <w:bookmarkEnd w:id="249"/>
      <w:r>
        <w:t>trade-offs</w:t>
      </w:r>
      <w:bookmarkEnd w:id="250"/>
      <w:bookmarkEnd w:id="251"/>
    </w:p>
    <w:p w14:paraId="1D1ECD9A" w14:textId="1C1345B6" w:rsidR="00017C04" w:rsidRDefault="00F50AF9" w:rsidP="56C59A3A">
      <w:r>
        <w:t>Balancing the interests of multiple sectors and activities can be achieved through the development of legal and regulatory instruments, and reduce inconsistencies and misalignment in the objectives of legal and regulatory instruments. This approach could remove perverse incentives and, for example, encourage the transition to native species (</w:t>
      </w:r>
      <w:r w:rsidR="008615FF">
        <w:rPr>
          <w:b/>
          <w:iCs/>
        </w:rPr>
        <w:t>G</w:t>
      </w:r>
      <w:r w:rsidR="00F6424A" w:rsidRPr="00673554">
        <w:rPr>
          <w:b/>
          <w:iCs/>
        </w:rPr>
        <w:t>lossary</w:t>
      </w:r>
      <w:r>
        <w:t xml:space="preserve">) in production systems, stop the promotion of alien species as a tool to reduce poverty and increase food security, and increase the awareness of </w:t>
      </w:r>
      <w:r w:rsidR="384B6A39">
        <w:t xml:space="preserve">invasive alien species </w:t>
      </w:r>
      <w:r>
        <w:t>problems in disaster relief and assistance programmes.</w:t>
      </w:r>
    </w:p>
    <w:p w14:paraId="723CC550" w14:textId="647B0179" w:rsidR="007419F9" w:rsidRPr="00A9434B" w:rsidRDefault="000906FC" w:rsidP="00585D0E">
      <w:pPr>
        <w:pStyle w:val="Heading5"/>
        <w:rPr>
          <w:b w:val="0"/>
          <w:bCs/>
        </w:rPr>
      </w:pPr>
      <w:r w:rsidRPr="00A9434B">
        <w:t xml:space="preserve">(1) </w:t>
      </w:r>
      <w:r w:rsidR="00F34A9B" w:rsidRPr="00A9434B">
        <w:t xml:space="preserve">Removal of perverse incentives </w:t>
      </w:r>
      <w:r w:rsidR="00D900A6" w:rsidRPr="00A9434B">
        <w:t>in</w:t>
      </w:r>
      <w:r w:rsidR="00F34A9B" w:rsidRPr="00A9434B">
        <w:t xml:space="preserve"> sector</w:t>
      </w:r>
      <w:r w:rsidR="008C7EE2" w:rsidRPr="00A9434B">
        <w:t>-</w:t>
      </w:r>
      <w:r w:rsidR="00F34A9B" w:rsidRPr="00A9434B">
        <w:t>specific legal and regulatory instruments</w:t>
      </w:r>
      <w:r w:rsidR="00AC1E3E" w:rsidRPr="00A9434B">
        <w:br/>
      </w:r>
      <w:r w:rsidR="00D900A6" w:rsidRPr="00A9434B">
        <w:rPr>
          <w:b w:val="0"/>
          <w:bCs/>
        </w:rPr>
        <w:t>L</w:t>
      </w:r>
      <w:r w:rsidR="007419F9" w:rsidRPr="00A9434B">
        <w:rPr>
          <w:b w:val="0"/>
          <w:bCs/>
        </w:rPr>
        <w:t xml:space="preserve">egal and regulatory instruments </w:t>
      </w:r>
      <w:r w:rsidR="00D900A6" w:rsidRPr="00A9434B">
        <w:rPr>
          <w:b w:val="0"/>
          <w:bCs/>
        </w:rPr>
        <w:t xml:space="preserve">that </w:t>
      </w:r>
      <w:r w:rsidR="007419F9" w:rsidRPr="00A9434B">
        <w:rPr>
          <w:b w:val="0"/>
          <w:bCs/>
        </w:rPr>
        <w:t>promot</w:t>
      </w:r>
      <w:r w:rsidR="00D900A6" w:rsidRPr="00A9434B">
        <w:rPr>
          <w:b w:val="0"/>
          <w:bCs/>
        </w:rPr>
        <w:t>e</w:t>
      </w:r>
      <w:r w:rsidR="007419F9" w:rsidRPr="00A9434B">
        <w:rPr>
          <w:b w:val="0"/>
          <w:bCs/>
        </w:rPr>
        <w:t xml:space="preserve"> trade, agri</w:t>
      </w:r>
      <w:r w:rsidR="002E1449">
        <w:rPr>
          <w:b w:val="0"/>
          <w:bCs/>
        </w:rPr>
        <w:t xml:space="preserve">culture and </w:t>
      </w:r>
      <w:r w:rsidR="007419F9" w:rsidRPr="00A9434B">
        <w:rPr>
          <w:b w:val="0"/>
          <w:bCs/>
        </w:rPr>
        <w:t>aquaculture, i</w:t>
      </w:r>
      <w:r w:rsidR="00397DDC" w:rsidRPr="00A9434B">
        <w:rPr>
          <w:b w:val="0"/>
          <w:bCs/>
        </w:rPr>
        <w:t xml:space="preserve">nfrastructure management </w:t>
      </w:r>
      <w:r w:rsidR="00D900A6" w:rsidRPr="00A9434B">
        <w:rPr>
          <w:b w:val="0"/>
          <w:bCs/>
        </w:rPr>
        <w:t>and</w:t>
      </w:r>
      <w:r w:rsidR="00397DDC" w:rsidRPr="00A9434B">
        <w:rPr>
          <w:b w:val="0"/>
          <w:bCs/>
        </w:rPr>
        <w:t xml:space="preserve"> tour</w:t>
      </w:r>
      <w:r w:rsidR="007419F9" w:rsidRPr="00A9434B">
        <w:rPr>
          <w:b w:val="0"/>
          <w:bCs/>
        </w:rPr>
        <w:t xml:space="preserve">ism can </w:t>
      </w:r>
      <w:r w:rsidR="009D3AD2" w:rsidRPr="00A9434B">
        <w:rPr>
          <w:b w:val="0"/>
          <w:bCs/>
        </w:rPr>
        <w:t>also</w:t>
      </w:r>
      <w:r w:rsidR="00D900A6" w:rsidRPr="00A9434B">
        <w:rPr>
          <w:b w:val="0"/>
          <w:bCs/>
        </w:rPr>
        <w:t xml:space="preserve"> </w:t>
      </w:r>
      <w:r w:rsidR="00920970" w:rsidRPr="00A9434B">
        <w:rPr>
          <w:b w:val="0"/>
          <w:bCs/>
        </w:rPr>
        <w:t>facilitate</w:t>
      </w:r>
      <w:r w:rsidR="007419F9" w:rsidRPr="00A9434B">
        <w:rPr>
          <w:b w:val="0"/>
          <w:bCs/>
        </w:rPr>
        <w:t xml:space="preserve"> invasive alien species introductions </w:t>
      </w:r>
      <w:r w:rsidR="00F806B6" w:rsidRPr="00A9434B">
        <w:rPr>
          <w:b w:val="0"/>
          <w:bCs/>
        </w:rPr>
        <w:t>(</w:t>
      </w:r>
      <w:r w:rsidR="008615FF">
        <w:rPr>
          <w:bCs/>
          <w:iCs/>
        </w:rPr>
        <w:t>C</w:t>
      </w:r>
      <w:r w:rsidR="001B7E96" w:rsidRPr="00673554">
        <w:rPr>
          <w:bCs/>
          <w:iCs/>
        </w:rPr>
        <w:t>hapter 3</w:t>
      </w:r>
      <w:r w:rsidR="001B7E96" w:rsidRPr="00673554">
        <w:rPr>
          <w:b w:val="0"/>
          <w:bCs/>
          <w:iCs/>
        </w:rPr>
        <w:t>,</w:t>
      </w:r>
      <w:r w:rsidR="001B7E96" w:rsidRPr="00673554">
        <w:rPr>
          <w:bCs/>
          <w:iCs/>
        </w:rPr>
        <w:t xml:space="preserve"> section</w:t>
      </w:r>
      <w:r w:rsidR="007419F9" w:rsidRPr="00673554">
        <w:rPr>
          <w:bCs/>
          <w:iCs/>
        </w:rPr>
        <w:t xml:space="preserve"> 3.2.5</w:t>
      </w:r>
      <w:r w:rsidR="007419F9" w:rsidRPr="00A9434B">
        <w:rPr>
          <w:b w:val="0"/>
          <w:bCs/>
        </w:rPr>
        <w:t xml:space="preserve">) and exacerbate </w:t>
      </w:r>
      <w:r w:rsidR="00D900A6" w:rsidRPr="00A9434B">
        <w:rPr>
          <w:b w:val="0"/>
          <w:bCs/>
        </w:rPr>
        <w:t xml:space="preserve">their </w:t>
      </w:r>
      <w:r w:rsidR="007419F9" w:rsidRPr="00A9434B">
        <w:rPr>
          <w:b w:val="0"/>
          <w:bCs/>
        </w:rPr>
        <w:t xml:space="preserve">impacts on biodiversity </w:t>
      </w:r>
      <w:r w:rsidR="00F806B6" w:rsidRPr="00A9434B">
        <w:rPr>
          <w:b w:val="0"/>
          <w:bCs/>
        </w:rPr>
        <w:t>(</w:t>
      </w:r>
      <w:r w:rsidR="008615FF">
        <w:rPr>
          <w:bCs/>
          <w:iCs/>
        </w:rPr>
        <w:t>C</w:t>
      </w:r>
      <w:r w:rsidR="007419F9" w:rsidRPr="00673554">
        <w:rPr>
          <w:bCs/>
          <w:iCs/>
        </w:rPr>
        <w:t xml:space="preserve">hapter </w:t>
      </w:r>
      <w:r w:rsidR="001B7E96" w:rsidRPr="00673554">
        <w:rPr>
          <w:bCs/>
          <w:iCs/>
        </w:rPr>
        <w:t>4</w:t>
      </w:r>
      <w:r w:rsidR="001B7E96" w:rsidRPr="00673554">
        <w:rPr>
          <w:b w:val="0"/>
          <w:bCs/>
          <w:iCs/>
        </w:rPr>
        <w:t>,</w:t>
      </w:r>
      <w:r w:rsidR="001B7E96" w:rsidRPr="00673554">
        <w:rPr>
          <w:bCs/>
          <w:iCs/>
        </w:rPr>
        <w:t xml:space="preserve"> section </w:t>
      </w:r>
      <w:r w:rsidR="007419F9" w:rsidRPr="00673554">
        <w:rPr>
          <w:bCs/>
          <w:iCs/>
        </w:rPr>
        <w:t>4</w:t>
      </w:r>
      <w:r w:rsidR="00851847" w:rsidRPr="00673554">
        <w:rPr>
          <w:bCs/>
          <w:iCs/>
        </w:rPr>
        <w:t>.3</w:t>
      </w:r>
      <w:r w:rsidR="007419F9" w:rsidRPr="00A9434B">
        <w:rPr>
          <w:b w:val="0"/>
          <w:bCs/>
        </w:rPr>
        <w:t xml:space="preserve">). </w:t>
      </w:r>
      <w:r w:rsidR="00B301D7">
        <w:rPr>
          <w:b w:val="0"/>
        </w:rPr>
        <w:t xml:space="preserve">The removal, phase out, or reform of these incentives harmful to biodiversity is one of the Kunming-Montreal Global Biodiversity Framework targets (Target 18). </w:t>
      </w:r>
      <w:r w:rsidR="007419F9" w:rsidRPr="00A9434B">
        <w:rPr>
          <w:b w:val="0"/>
          <w:bCs/>
        </w:rPr>
        <w:t xml:space="preserve">As discussed </w:t>
      </w:r>
      <w:r w:rsidR="00920970" w:rsidRPr="00A9434B">
        <w:rPr>
          <w:b w:val="0"/>
          <w:bCs/>
        </w:rPr>
        <w:t xml:space="preserve">by </w:t>
      </w:r>
      <w:r w:rsidR="000F3252" w:rsidRPr="00A9434B">
        <w:rPr>
          <w:b w:val="0"/>
          <w:bCs/>
        </w:rPr>
        <w:t xml:space="preserve">Herrick </w:t>
      </w:r>
      <w:r w:rsidR="007419F9" w:rsidRPr="00A9434B">
        <w:rPr>
          <w:b w:val="0"/>
          <w:bCs/>
          <w:i/>
          <w:iCs/>
        </w:rPr>
        <w:fldChar w:fldCharType="begin">
          <w:fldData xml:space="preserve">PEVuZE5vdGU+PENpdGU+PEF1dGhvcj5Mb2RnZTwvQXV0aG9yPjxZZWFyPjIwMDY8L1llYXI+PFJl
Y051bT40PC9SZWNOdW0+PERpc3BsYXlUZXh0PihMb2RnZSwgV2lsbGlhbXMgZXQgYWwuIDIwMDYs
IEhlcnJpY2sgMjAxOSk8L0Rpc3BsYXlUZXh0PjxyZWNvcmQ+PHJlYy1udW1iZXI+NDwvcmVjLW51
bWJlcj48Zm9yZWlnbi1rZXlzPjxrZXkgYXBwPSJFTiIgZGItaWQ9IjJmcHMycnB3Y3B0d2F4ZWR6
OW9wcnp2bWF3ZnhlZjlwZnBhMiIgdGltZXN0YW1wPSIxNjIwNzE4OTc3Ij40PC9rZXk+PC9mb3Jl
aWduLWtleXM+PHJlZi10eXBlIG5hbWU9IkpvdXJuYWwgQXJ0aWNsZSI+MTc8L3JlZi10eXBlPjxj
b250cmlidXRvcnM+PGF1dGhvcnM+PGF1dGhvcj5Mb2RnZSwgRC4gTS48L2F1dGhvcj48YXV0aG9y
PldpbGxpYW1zLCBTLjwvYXV0aG9yPjxhdXRob3I+TWFjSXNhYWMsIEguIEouPC9hdXRob3I+PGF1
dGhvcj5IYXllcywgSy4gUi48L2F1dGhvcj48YXV0aG9yPkxldW5nLCBCLjwvYXV0aG9yPjxhdXRo
b3I+UmVpY2hhcmQsIFMuPC9hdXRob3I+PGF1dGhvcj5NYWNrLCBSLiBOLjwvYXV0aG9yPjxhdXRo
b3I+TW95bGUsIFAuIEIuPC9hdXRob3I+PGF1dGhvcj5TbWl0aCwgTS48L2F1dGhvcj48YXV0aG9y
PkFuZG93LCBELiBBLjwvYXV0aG9yPjxhdXRob3I+Q2FybHRvbiwgSi4gVC48L2F1dGhvcj48YXV0
aG9yPk1jTWljaGFlbCwgQS48L2F1dGhvcj48L2F1dGhvcnM+PC9jb250cmlidXRvcnM+PGF1dGgt
YWRkcmVzcz5Vbml2IE5vdHJlIERhbWUsIERlcHQgQmlvbCBTY2ksIFBPQiAzNjksIE5vdHJlIERh
bWUsIElOIDQ2NTU2IFVTQSYjeEQ7VW5pdiBDYWxpZiBCb2RlZ2EsIE1hcmluZSBMYWIsIEJvZGVn
YSBCYXksIENBIDk0OTIzIFVTQSYjeEQ7VW5pdiBXaW5kc29yLCBHcmVhdCBMYWtlcyBJbnN0IEVu
dmlyb25tIFJlcywgV2luZHNvciwgT04gTjlCIDNQNCwgQ2FuYWRhJiN4RDtDU0lSTywgTWFyaW5l
ICZhbXA7IEF0bW9zcGhlciBSZXMsIEhvYmFydCwgVGFzIDcwMDEsIEF1c3RyYWxpYSYjeEQ7VW5p
diBXYXNoaW5ndG9uLCBDdHIgVXJiYW4gSG9ydCwgU2VhdHRsZSwgV0EgOTgxOTUgVVNBJiN4RDtX
YXNoaW5ndG9uIFN0YXRlIFVuaXYsIFNjaCBCaW9sIFNjaSwgUHVsbG1hbiwgV0EgOTkxNjQgVVNB
JiN4RDtVbml2IENhbGlmIERhdmlzLCBEZXB0IFdpbGRsaWZlIEZpc2ggJmFtcDsgQ29uc2VydmF0
IEJpb2wsIERhdmlzLCBDQSA5NTYxNiBVU0EmI3hEO0Vjb2wgU29jIEFtZXIsIFdhc2hpbmd0b24s
IERDIDIwMDA5IFVTQSYjeEQ7VW5pdiBNaW5uZXNvdGEsIERlcHQgRW50b21vbCwgU3QgUGF1bCwg
TU4gNTUxMDggVVNBJiN4RDtXaWxsaWFtcyBDb2xsIE15c3QgU2VhcG9ydCwgTWFyaXRpbWUgU3R1
ZGllcyBQcm9ncmFtLCBNeXN0aWMsIENUIDA2MzU1IFVTQSYjeEQ7QXVzdHJhbGlhbiBOYXRsIFVu
aXYsIE5hdGwgQ3RyIEVwaWRlbWlvbCAmYW1wOyBQb3B1bGF0IEhsdGgsIENhbmJlcnJhLCBBQ1Qg
MDIwMCwgQXVzdHJhbGlhPC9hdXRoLWFkZHJlc3M+PHRpdGxlcz48dGl0bGU+QmlvbG9naWNhbCBp
bnZhc2lvbnM6IFJlY29tbWVuZGF0aW9ucyBmb3IgVVMgcG9saWN5IGFuZCBtYW5hZ2VtZW50PC90
aXRsZT48c2Vjb25kYXJ5LXRpdGxlPkVjb2xvZ2ljYWwgQXBwbGljYXRpb25zPC9zZWNvbmRhcnkt
dGl0bGU+PGFsdC10aXRsZT5FY29sIEFwcGw8L2FsdC10aXRsZT48L3RpdGxlcz48cGVyaW9kaWNh
bD48ZnVsbC10aXRsZT5FY29sb2dpY2FsIEFwcGxpY2F0aW9uczwvZnVsbC10aXRsZT48YWJici0x
PkVjb2wgQXBwbDwvYWJici0xPjwvcGVyaW9kaWNhbD48YWx0LXBlcmlvZGljYWw+PGZ1bGwtdGl0
bGU+RWNvbG9naWNhbCBBcHBsaWNhdGlvbnM8L2Z1bGwtdGl0bGU+PGFiYnItMT5FY29sIEFwcGw8
L2FiYnItMT48L2FsdC1wZXJpb2RpY2FsPjxwYWdlcz4yMDM1LTIwNTQ8L3BhZ2VzPjx2b2x1bWU+
MTY8L3ZvbHVtZT48bnVtYmVyPjY8L251bWJlcj48a2V5d29yZHM+PGtleXdvcmQ+Y29udHJvbCBv
ZiBpbnZhc2l2ZSBzcGVjaWVzPC9rZXl3b3JkPjxrZXl3b3JkPmNvc3QtZWZmZWN0aXZlIHByb2dy
YW1zPC9rZXl3b3JkPjxrZXl3b3JkPmRpYWdub3N0aWMgdGVjaG5vbG9naWVzPC9rZXl3b3JkPjxr
ZXl3b3JkPmdsb2JhbGl6YXRpb248L2tleXdvcmQ+PGtleXdvcmQ+aW1wb3J0YXRpb248L2tleXdv
cmQ+PGtleXdvcmQ+aW52YXNpdmUgc3BlY2llczwva2V5d29yZD48a2V5d29yZD5wYXRod2F5cyBv
ZiBpbnZhc2lvbiBhbmQgc3ByZWFkPC9rZXl3b3JkPjxrZXl3b3JkPnJhcGlkIHJlc3BvbnNlIHRv
IGludmFzaXZlIHNwZWNpZXM8L2tleXdvcmQ+PGtleXdvcmQ+cmlzayBhc3Nlc3NtZW50PC9rZXl3
b3JkPjxrZXl3b3JkPnNsb3ctdGhlLXNwcmVhZCBzdHJhdGVneTwva2V5d29yZD48a2V5d29yZD5z
dXJ2ZWlsbGFuY2U8L2tleXdvcmQ+PGtleXdvcmQ+emVicmEgbXVzc2VsPC9rZXl3b3JkPjxrZXl3
b3JkPmNhbGlmb3JuaWEgd2F0ZXJzaGVkczwva2V5d29yZD48a2V5d29yZD5hZWRlcy1hbGJvcGlj
dHVzPC9rZXl3b3JkPjxrZXl3b3JkPnJpc2stYXNzZXNzbWVudDwva2V5d29yZD48a2V5d29yZD5h
bGllbiBmaXNoZXM8L2tleXdvcmQ+PGtleXdvcmQ+cGxhbnRzPC9rZXl3b3JkPjxrZXl3b3JkPmJp
b2RpdmVyc2l0eTwva2V5d29yZD48a2V5d29yZD5lcmFkaWNhdGlvbjwva2V5d29yZD48a2V5d29y
ZD5tb2RlbDwva2V5d29yZD48a2V5d29yZD5lc3RhYmxpc2htZW50PC9rZXl3b3JkPjwva2V5d29y
ZHM+PGRhdGVzPjx5ZWFyPjIwMDY8L3llYXI+PHB1Yi1kYXRlcz48ZGF0ZT5EZWM8L2RhdGU+PC9w
dWItZGF0ZXM+PC9kYXRlcz48aXNibj4xMDUxLTA3NjE8L2lzYm4+PGFjY2Vzc2lvbi1udW0+V09T
OjAwMDI0Mjg0OTMwMDAwMTwvYWNjZXNzaW9uLW51bT48dXJscz48cmVsYXRlZC11cmxzPjx1cmw+
Jmx0O0dvIHRvIElTSSZndDs6Ly9XT1M6MDAwMjQyODQ5MzAwMDAxPC91cmw+PC9yZWxhdGVkLXVy
bHM+PC91cmxzPjxlbGVjdHJvbmljLXJlc291cmNlLW51bT5Eb2kgMTAuMTg5MC8xMDUxLTA3NjEo
MjAwNikwMTZbMjAzNTpCaXJmdXBdMi4wLkNvOzI8L2VsZWN0cm9uaWMtcmVzb3VyY2UtbnVtPjxs
YW5ndWFnZT5FbmdsaXNoPC9sYW5ndWFnZT48L3JlY29yZD48L0NpdGU+PENpdGU+PEF1dGhvcj5I
ZXJyaWNrPC9BdXRob3I+PFllYXI+MjAxOTwvWWVhcj48UmVjTnVtPjc8L1JlY051bT48cmVjb3Jk
PjxyZWMtbnVtYmVyPjc8L3JlYy1udW1iZXI+PGZvcmVpZ24ta2V5cz48a2V5IGFwcD0iRU4iIGRi
LWlkPSIyZnBzMnJwd2NwdHdheGVkejlvcHJ6dm1hd2Z4ZWY5cGZwYTIiIHRpbWVzdGFtcD0iMTYy
MDcxOTMxMSI+Nzwva2V5PjwvZm9yZWlnbi1rZXlzPjxyZWYtdHlwZSBuYW1lPSJKb3VybmFsIEFy
dGljbGUiPjE3PC9yZWYtdHlwZT48Y29udHJpYnV0b3JzPjxhdXRob3JzPjxhdXRob3I+SGVycmlj
aywgQ2hhcmxlcyBOPC9hdXRob3I+PC9hdXRob3JzPjwvY29udHJpYnV0b3JzPjx0aXRsZXM+PHRp
dGxlPkEgcmV2aWV3IG9mIHRoZSBVUyBpbnZhc2l2ZSBzcGVjaWVzIHBvbGljeSBtaXg6IFF1ZXN0
aW9uaW5nIHRoZSBwcm9zcGVjdCBvZiBhbiBpbnRlZ3JhdGVkIHJlZ2ltZTwvdGl0bGU+PHNlY29u
ZGFyeS10aXRsZT5FbnZpcm9ubWVudGFsIFBvbGljeSBhbmQgR292ZXJuYW5jZTwvc2Vjb25kYXJ5
LXRpdGxlPjwvdGl0bGVzPjxwZXJpb2RpY2FsPjxmdWxsLXRpdGxlPkVudmlyb25tZW50YWwgUG9s
aWN5IGFuZCBHb3Zlcm5hbmNlPC9mdWxsLXRpdGxlPjwvcGVyaW9kaWNhbD48cGFnZXM+MjYyLTI3
ODwvcGFnZXM+PHZvbHVtZT4yOTwvdm9sdW1lPjxudW1iZXI+NDwvbnVtYmVyPjxkYXRlcz48eWVh
cj4yMDE5PC95ZWFyPjwvZGF0ZXM+PGlzYm4+MTc1Ni05MzJYPC9pc2JuPjx1cmxzPjwvdXJscz48
L3JlY29yZD48L0NpdGU+PC9FbmROb3RlPgB=
</w:fldData>
        </w:fldChar>
      </w:r>
      <w:r w:rsidR="007419F9" w:rsidRPr="00A9434B">
        <w:rPr>
          <w:b w:val="0"/>
          <w:bCs/>
        </w:rPr>
        <w:instrText xml:space="preserve"> ADDIN EN.CITE </w:instrText>
      </w:r>
      <w:r w:rsidR="007419F9" w:rsidRPr="00A9434B">
        <w:rPr>
          <w:b w:val="0"/>
          <w:bCs/>
          <w:i/>
          <w:iCs/>
        </w:rPr>
        <w:fldChar w:fldCharType="begin">
          <w:fldData xml:space="preserve">PEVuZE5vdGU+PENpdGU+PEF1dGhvcj5Mb2RnZTwvQXV0aG9yPjxZZWFyPjIwMDY8L1llYXI+PFJl
Y051bT40PC9SZWNOdW0+PERpc3BsYXlUZXh0PihMb2RnZSwgV2lsbGlhbXMgZXQgYWwuIDIwMDYs
IEhlcnJpY2sgMjAxOSk8L0Rpc3BsYXlUZXh0PjxyZWNvcmQ+PHJlYy1udW1iZXI+NDwvcmVjLW51
bWJlcj48Zm9yZWlnbi1rZXlzPjxrZXkgYXBwPSJFTiIgZGItaWQ9IjJmcHMycnB3Y3B0d2F4ZWR6
OW9wcnp2bWF3ZnhlZjlwZnBhMiIgdGltZXN0YW1wPSIxNjIwNzE4OTc3Ij40PC9rZXk+PC9mb3Jl
aWduLWtleXM+PHJlZi10eXBlIG5hbWU9IkpvdXJuYWwgQXJ0aWNsZSI+MTc8L3JlZi10eXBlPjxj
b250cmlidXRvcnM+PGF1dGhvcnM+PGF1dGhvcj5Mb2RnZSwgRC4gTS48L2F1dGhvcj48YXV0aG9y
PldpbGxpYW1zLCBTLjwvYXV0aG9yPjxhdXRob3I+TWFjSXNhYWMsIEguIEouPC9hdXRob3I+PGF1
dGhvcj5IYXllcywgSy4gUi48L2F1dGhvcj48YXV0aG9yPkxldW5nLCBCLjwvYXV0aG9yPjxhdXRo
b3I+UmVpY2hhcmQsIFMuPC9hdXRob3I+PGF1dGhvcj5NYWNrLCBSLiBOLjwvYXV0aG9yPjxhdXRo
b3I+TW95bGUsIFAuIEIuPC9hdXRob3I+PGF1dGhvcj5TbWl0aCwgTS48L2F1dGhvcj48YXV0aG9y
PkFuZG93LCBELiBBLjwvYXV0aG9yPjxhdXRob3I+Q2FybHRvbiwgSi4gVC48L2F1dGhvcj48YXV0
aG9yPk1jTWljaGFlbCwgQS48L2F1dGhvcj48L2F1dGhvcnM+PC9jb250cmlidXRvcnM+PGF1dGgt
YWRkcmVzcz5Vbml2IE5vdHJlIERhbWUsIERlcHQgQmlvbCBTY2ksIFBPQiAzNjksIE5vdHJlIERh
bWUsIElOIDQ2NTU2IFVTQSYjeEQ7VW5pdiBDYWxpZiBCb2RlZ2EsIE1hcmluZSBMYWIsIEJvZGVn
YSBCYXksIENBIDk0OTIzIFVTQSYjeEQ7VW5pdiBXaW5kc29yLCBHcmVhdCBMYWtlcyBJbnN0IEVu
dmlyb25tIFJlcywgV2luZHNvciwgT04gTjlCIDNQNCwgQ2FuYWRhJiN4RDtDU0lSTywgTWFyaW5l
ICZhbXA7IEF0bW9zcGhlciBSZXMsIEhvYmFydCwgVGFzIDcwMDEsIEF1c3RyYWxpYSYjeEQ7VW5p
diBXYXNoaW5ndG9uLCBDdHIgVXJiYW4gSG9ydCwgU2VhdHRsZSwgV0EgOTgxOTUgVVNBJiN4RDtX
YXNoaW5ndG9uIFN0YXRlIFVuaXYsIFNjaCBCaW9sIFNjaSwgUHVsbG1hbiwgV0EgOTkxNjQgVVNB
JiN4RDtVbml2IENhbGlmIERhdmlzLCBEZXB0IFdpbGRsaWZlIEZpc2ggJmFtcDsgQ29uc2VydmF0
IEJpb2wsIERhdmlzLCBDQSA5NTYxNiBVU0EmI3hEO0Vjb2wgU29jIEFtZXIsIFdhc2hpbmd0b24s
IERDIDIwMDA5IFVTQSYjeEQ7VW5pdiBNaW5uZXNvdGEsIERlcHQgRW50b21vbCwgU3QgUGF1bCwg
TU4gNTUxMDggVVNBJiN4RDtXaWxsaWFtcyBDb2xsIE15c3QgU2VhcG9ydCwgTWFyaXRpbWUgU3R1
ZGllcyBQcm9ncmFtLCBNeXN0aWMsIENUIDA2MzU1IFVTQSYjeEQ7QXVzdHJhbGlhbiBOYXRsIFVu
aXYsIE5hdGwgQ3RyIEVwaWRlbWlvbCAmYW1wOyBQb3B1bGF0IEhsdGgsIENhbmJlcnJhLCBBQ1Qg
MDIwMCwgQXVzdHJhbGlhPC9hdXRoLWFkZHJlc3M+PHRpdGxlcz48dGl0bGU+QmlvbG9naWNhbCBp
bnZhc2lvbnM6IFJlY29tbWVuZGF0aW9ucyBmb3IgVVMgcG9saWN5IGFuZCBtYW5hZ2VtZW50PC90
aXRsZT48c2Vjb25kYXJ5LXRpdGxlPkVjb2xvZ2ljYWwgQXBwbGljYXRpb25zPC9zZWNvbmRhcnkt
dGl0bGU+PGFsdC10aXRsZT5FY29sIEFwcGw8L2FsdC10aXRsZT48L3RpdGxlcz48cGVyaW9kaWNh
bD48ZnVsbC10aXRsZT5FY29sb2dpY2FsIEFwcGxpY2F0aW9uczwvZnVsbC10aXRsZT48YWJici0x
PkVjb2wgQXBwbDwvYWJici0xPjwvcGVyaW9kaWNhbD48YWx0LXBlcmlvZGljYWw+PGZ1bGwtdGl0
bGU+RWNvbG9naWNhbCBBcHBsaWNhdGlvbnM8L2Z1bGwtdGl0bGU+PGFiYnItMT5FY29sIEFwcGw8
L2FiYnItMT48L2FsdC1wZXJpb2RpY2FsPjxwYWdlcz4yMDM1LTIwNTQ8L3BhZ2VzPjx2b2x1bWU+
MTY8L3ZvbHVtZT48bnVtYmVyPjY8L251bWJlcj48a2V5d29yZHM+PGtleXdvcmQ+Y29udHJvbCBv
ZiBpbnZhc2l2ZSBzcGVjaWVzPC9rZXl3b3JkPjxrZXl3b3JkPmNvc3QtZWZmZWN0aXZlIHByb2dy
YW1zPC9rZXl3b3JkPjxrZXl3b3JkPmRpYWdub3N0aWMgdGVjaG5vbG9naWVzPC9rZXl3b3JkPjxr
ZXl3b3JkPmdsb2JhbGl6YXRpb248L2tleXdvcmQ+PGtleXdvcmQ+aW1wb3J0YXRpb248L2tleXdv
cmQ+PGtleXdvcmQ+aW52YXNpdmUgc3BlY2llczwva2V5d29yZD48a2V5d29yZD5wYXRod2F5cyBv
ZiBpbnZhc2lvbiBhbmQgc3ByZWFkPC9rZXl3b3JkPjxrZXl3b3JkPnJhcGlkIHJlc3BvbnNlIHRv
IGludmFzaXZlIHNwZWNpZXM8L2tleXdvcmQ+PGtleXdvcmQ+cmlzayBhc3Nlc3NtZW50PC9rZXl3
b3JkPjxrZXl3b3JkPnNsb3ctdGhlLXNwcmVhZCBzdHJhdGVneTwva2V5d29yZD48a2V5d29yZD5z
dXJ2ZWlsbGFuY2U8L2tleXdvcmQ+PGtleXdvcmQ+emVicmEgbXVzc2VsPC9rZXl3b3JkPjxrZXl3
b3JkPmNhbGlmb3JuaWEgd2F0ZXJzaGVkczwva2V5d29yZD48a2V5d29yZD5hZWRlcy1hbGJvcGlj
dHVzPC9rZXl3b3JkPjxrZXl3b3JkPnJpc2stYXNzZXNzbWVudDwva2V5d29yZD48a2V5d29yZD5h
bGllbiBmaXNoZXM8L2tleXdvcmQ+PGtleXdvcmQ+cGxhbnRzPC9rZXl3b3JkPjxrZXl3b3JkPmJp
b2RpdmVyc2l0eTwva2V5d29yZD48a2V5d29yZD5lcmFkaWNhdGlvbjwva2V5d29yZD48a2V5d29y
ZD5tb2RlbDwva2V5d29yZD48a2V5d29yZD5lc3RhYmxpc2htZW50PC9rZXl3b3JkPjwva2V5d29y
ZHM+PGRhdGVzPjx5ZWFyPjIwMDY8L3llYXI+PHB1Yi1kYXRlcz48ZGF0ZT5EZWM8L2RhdGU+PC9w
dWItZGF0ZXM+PC9kYXRlcz48aXNibj4xMDUxLTA3NjE8L2lzYm4+PGFjY2Vzc2lvbi1udW0+V09T
OjAwMDI0Mjg0OTMwMDAwMTwvYWNjZXNzaW9uLW51bT48dXJscz48cmVsYXRlZC11cmxzPjx1cmw+
Jmx0O0dvIHRvIElTSSZndDs6Ly9XT1M6MDAwMjQyODQ5MzAwMDAxPC91cmw+PC9yZWxhdGVkLXVy
bHM+PC91cmxzPjxlbGVjdHJvbmljLXJlc291cmNlLW51bT5Eb2kgMTAuMTg5MC8xMDUxLTA3NjEo
MjAwNikwMTZbMjAzNTpCaXJmdXBdMi4wLkNvOzI8L2VsZWN0cm9uaWMtcmVzb3VyY2UtbnVtPjxs
YW5ndWFnZT5FbmdsaXNoPC9sYW5ndWFnZT48L3JlY29yZD48L0NpdGU+PENpdGU+PEF1dGhvcj5I
ZXJyaWNrPC9BdXRob3I+PFllYXI+MjAxOTwvWWVhcj48UmVjTnVtPjc8L1JlY051bT48cmVjb3Jk
PjxyZWMtbnVtYmVyPjc8L3JlYy1udW1iZXI+PGZvcmVpZ24ta2V5cz48a2V5IGFwcD0iRU4iIGRi
LWlkPSIyZnBzMnJwd2NwdHdheGVkejlvcHJ6dm1hd2Z4ZWY5cGZwYTIiIHRpbWVzdGFtcD0iMTYy
MDcxOTMxMSI+Nzwva2V5PjwvZm9yZWlnbi1rZXlzPjxyZWYtdHlwZSBuYW1lPSJKb3VybmFsIEFy
dGljbGUiPjE3PC9yZWYtdHlwZT48Y29udHJpYnV0b3JzPjxhdXRob3JzPjxhdXRob3I+SGVycmlj
aywgQ2hhcmxlcyBOPC9hdXRob3I+PC9hdXRob3JzPjwvY29udHJpYnV0b3JzPjx0aXRsZXM+PHRp
dGxlPkEgcmV2aWV3IG9mIHRoZSBVUyBpbnZhc2l2ZSBzcGVjaWVzIHBvbGljeSBtaXg6IFF1ZXN0
aW9uaW5nIHRoZSBwcm9zcGVjdCBvZiBhbiBpbnRlZ3JhdGVkIHJlZ2ltZTwvdGl0bGU+PHNlY29u
ZGFyeS10aXRsZT5FbnZpcm9ubWVudGFsIFBvbGljeSBhbmQgR292ZXJuYW5jZTwvc2Vjb25kYXJ5
LXRpdGxlPjwvdGl0bGVzPjxwZXJpb2RpY2FsPjxmdWxsLXRpdGxlPkVudmlyb25tZW50YWwgUG9s
aWN5IGFuZCBHb3Zlcm5hbmNlPC9mdWxsLXRpdGxlPjwvcGVyaW9kaWNhbD48cGFnZXM+MjYyLTI3
ODwvcGFnZXM+PHZvbHVtZT4yOTwvdm9sdW1lPjxudW1iZXI+NDwvbnVtYmVyPjxkYXRlcz48eWVh
cj4yMDE5PC95ZWFyPjwvZGF0ZXM+PGlzYm4+MTc1Ni05MzJYPC9pc2JuPjx1cmxzPjwvdXJscz48
L3JlY29yZD48L0NpdGU+PC9FbmROb3RlPgB=
</w:fldData>
        </w:fldChar>
      </w:r>
      <w:r w:rsidR="007419F9" w:rsidRPr="00A9434B">
        <w:rPr>
          <w:b w:val="0"/>
          <w:bCs/>
        </w:rPr>
        <w:instrText xml:space="preserve"> ADDIN EN.CITE.DATA </w:instrText>
      </w:r>
      <w:r w:rsidR="007419F9" w:rsidRPr="00A9434B">
        <w:rPr>
          <w:b w:val="0"/>
          <w:bCs/>
          <w:i/>
          <w:iCs/>
        </w:rPr>
      </w:r>
      <w:r w:rsidR="007419F9" w:rsidRPr="00A9434B">
        <w:rPr>
          <w:b w:val="0"/>
          <w:bCs/>
          <w:i/>
          <w:iCs/>
        </w:rPr>
        <w:fldChar w:fldCharType="end"/>
      </w:r>
      <w:r w:rsidR="007419F9" w:rsidRPr="00A9434B">
        <w:rPr>
          <w:b w:val="0"/>
          <w:bCs/>
          <w:i/>
          <w:iCs/>
        </w:rPr>
      </w:r>
      <w:r w:rsidR="007419F9" w:rsidRPr="00A9434B">
        <w:rPr>
          <w:b w:val="0"/>
          <w:bCs/>
          <w:i/>
          <w:iCs/>
        </w:rPr>
        <w:fldChar w:fldCharType="separate"/>
      </w:r>
      <w:r w:rsidR="007077E1" w:rsidRPr="00A9434B">
        <w:rPr>
          <w:b w:val="0"/>
          <w:bCs/>
          <w:i/>
          <w:iCs/>
        </w:rPr>
        <w:fldChar w:fldCharType="begin"/>
      </w:r>
      <w:r w:rsidR="0006613E">
        <w:rPr>
          <w:b w:val="0"/>
          <w:bCs/>
        </w:rPr>
        <w:instrText xml:space="preserve"> ADDIN ZOTERO_ITEM CSL_CITATION {"citationID":"aab9o2kelv","properties":{"formattedCitation":"(2019)","plainCitation":"(2019)","noteIndex":0},"citationItems":[{"id":23536,"uris":["http://zotero.org/groups/2352922/items/CJ7IDGDF"],"itemData":{"id":23536,"type":"article-journal","abstract":"By some accounts, invasive species pose the second greatest threat to global biodiversity after habitat destruction. In addition to their ecological impacts, invasive species cause a wide range of economic and social damages. In recent years, scholars and policy officials have called for recalibration of U.S. invasive species policy, with some advocating a tightly integrated policy regime addressing a broad spectrum of activity, including predictive assessment of invasio</w:instrText>
      </w:r>
      <w:r w:rsidR="0006613E">
        <w:rPr>
          <w:rFonts w:hint="eastAsia"/>
          <w:b w:val="0"/>
          <w:bCs/>
        </w:rPr>
        <w:instrText>n pathways, prevention of introduction and spread, control of established populations, eradication of selected populations, and establishment of high</w:instrText>
      </w:r>
      <w:r w:rsidR="0006613E">
        <w:rPr>
          <w:rFonts w:hint="eastAsia"/>
          <w:b w:val="0"/>
          <w:bCs/>
        </w:rPr>
        <w:instrText>‐</w:instrText>
      </w:r>
      <w:r w:rsidR="0006613E">
        <w:rPr>
          <w:rFonts w:hint="eastAsia"/>
          <w:b w:val="0"/>
          <w:bCs/>
        </w:rPr>
        <w:instrText>level coordination bodies. In this paper, I draw upon the policy integration literature and apply a regim</w:instrText>
      </w:r>
      <w:r w:rsidR="0006613E">
        <w:rPr>
          <w:b w:val="0"/>
          <w:bCs/>
        </w:rPr>
        <w:instrText xml:space="preserve">e construct to review the proposition that the existing mix of U.S. invasive species policies can and should be more tightly integrated. By way of conclusion, I suggest that the current policy mix is not exhausted and recommend a program evaluation process framed to characterize and assess factors and conditions that might influence the comparative effectiveness of strategic alternatives to integration, such as coping and taming.","container-title":"Environmental Policy and Governance","DOI":"10.1002/eet.1852","ISSN":"1756-932X","issue":"4","page":"262-278","source":"Wiley Online Library","title":"A review of the U.S. invasive species policy mix: Questioning the prospect of an integrated regime","URL":"https://onlinelibrary.wiley.com/doi/abs/10.1002/eet.1852","volume":"29","author":[{"family":"Herrick","given":"Charles N."}],"issued":{"date-parts":[["2019",7]]}},"label":"page","suppress-author":true}],"schema":"https://github.com/citation-style-language/schema/raw/master/csl-citation.json"} </w:instrText>
      </w:r>
      <w:r w:rsidR="007077E1" w:rsidRPr="00A9434B">
        <w:rPr>
          <w:b w:val="0"/>
          <w:bCs/>
          <w:i/>
          <w:iCs/>
        </w:rPr>
        <w:fldChar w:fldCharType="separate"/>
      </w:r>
      <w:r w:rsidR="00C71E80" w:rsidRPr="00A9434B">
        <w:rPr>
          <w:b w:val="0"/>
          <w:bCs/>
        </w:rPr>
        <w:t>(2019)</w:t>
      </w:r>
      <w:r w:rsidR="007077E1" w:rsidRPr="00A9434B">
        <w:rPr>
          <w:b w:val="0"/>
          <w:bCs/>
          <w:i/>
          <w:iCs/>
        </w:rPr>
        <w:fldChar w:fldCharType="end"/>
      </w:r>
      <w:r w:rsidR="007419F9" w:rsidRPr="00A9434B">
        <w:rPr>
          <w:b w:val="0"/>
          <w:bCs/>
          <w:i/>
          <w:iCs/>
        </w:rPr>
        <w:fldChar w:fldCharType="end"/>
      </w:r>
      <w:r w:rsidR="000F3252" w:rsidRPr="00A9434B">
        <w:rPr>
          <w:b w:val="0"/>
          <w:bCs/>
        </w:rPr>
        <w:t xml:space="preserve"> and Lodge et al., </w:t>
      </w:r>
      <w:r w:rsidR="000F3252" w:rsidRPr="00A9434B">
        <w:rPr>
          <w:b w:val="0"/>
          <w:bCs/>
        </w:rPr>
        <w:fldChar w:fldCharType="begin"/>
      </w:r>
      <w:r w:rsidR="0006613E">
        <w:rPr>
          <w:b w:val="0"/>
          <w:bCs/>
        </w:rPr>
        <w:instrText xml:space="preserve"> ADDIN ZOTERO_ITEM CSL_CITATION {"citationID":"a1977le6qfd","properties":{"formattedCitation":"(2006)","plainCitation":"(2006)","noteIndex":0},"citationItems":[{"id":26705,"uris":["http://zotero.org/groups/2352922/items/NYTDRNS8"],"itemData":{"id":26705,"type":"article-journal","abstract":"The Ecological Society of America has evaluated current U.S. national policies and practices on biological invasions in light of current scientific knowledge. Invasions by harmful nonnative species are increasing in number and area affected; the damages to ecosystems, economic activity, and human welfare are accumulating. Without improved strategies based on recent scientific advances and increased investments to counter invasions, harm from invasive species is likely to accelerate. Federal leadership, with the cooperation of state and local governments, is required to increase the effectiveness of prevention of invasions, detect and respond quickly to new potentially harmful invasions, control and slow the spread of existing invasions, and provide a national center to ensure that these efforts are coordinated and cost effective. Specifically, the Ecological Society of America recommends that the federal government take the following six actions: (1) Use new information and practices to better manage commercial and other pathways to reduce the transport and release of potentially harmful species; (2) Adopt more quantitative procedures for risk analysis and apply them to every species proposed for importation into the country; (3) Use new cost-effective diagnostic technologies to increase active surveillance and sharing of information about invasive species so that responses to new invasions can be more rapid and effective; (4) Create new legal authority and provide emergency funding to support rapid responses to emerging invasions; (5) Provide funding and incentives for cost-effective programs to slow the spread of existing invasive species in order to protect still uninvaded ecosystems, social and industrial infrastructure, and human welfare; and (6) Establish a National Center for Invasive Species Management (under the existing National Invasive Species Council) to coordinate and lead improvements in federal, state, and international policies on invasive species. Recent scientific and technical advances provide a sound basis for more cost-effective national responses to invasive species. Greater investments in improved technology and management practices would be more than repaid by reduced damages from current and future invasive species. The Ecological Society of America is committed to assist all levels of government and provide scientific advice to improve all aspects of invasive-species management.","archive":"JSTOR","container-title":"Ecological Applications","DOI":"10.1890/1051-0761(2006)016[2035:BIRFUP]2.0.CO;2","ISSN":"1051-0761","issue":"6","page":"2035-2054","source":"JSTOR","title":"Biological Invasions: Recommendations for U.S. Policy and Management","title-short":"Biological Invasions","URL":"https://www.jstor.org/stable/40061941","volume":"16","author":[{"family":"Lodge","given":"David M."},{"family":"Williams","given":"Susan"},{"family":"MacIsaac","given":"Hugh J."},{"family":"Hayes","given":"Keith R."},{"family":"Leung","given":"Brian"},{"family":"Reichard","given":"Sarah"},{"family":"Mack","given":"Richard N."},{"family":"Moyle","given":"Peter B."},{"family":"Smith","given":"Maggie"},{"family":"Andow","given":"David A."},{"family":"Carlton","given":"James T."},{"family":"McMichael","given":"Anthony"}],"accessed":{"date-parts":[["2019",10,12]]},"issued":{"date-parts":[["2006"]]}},"label":"page","suppress-author":true}],"schema":"https://github.com/citation-style-language/schema/raw/master/csl-citation.json"} </w:instrText>
      </w:r>
      <w:r w:rsidR="000F3252" w:rsidRPr="00A9434B">
        <w:rPr>
          <w:b w:val="0"/>
          <w:bCs/>
        </w:rPr>
        <w:fldChar w:fldCharType="separate"/>
      </w:r>
      <w:r w:rsidR="00C71E80" w:rsidRPr="00A9434B">
        <w:rPr>
          <w:b w:val="0"/>
          <w:bCs/>
        </w:rPr>
        <w:t>(2006)</w:t>
      </w:r>
      <w:r w:rsidR="000F3252" w:rsidRPr="00A9434B">
        <w:rPr>
          <w:b w:val="0"/>
          <w:bCs/>
        </w:rPr>
        <w:fldChar w:fldCharType="end"/>
      </w:r>
      <w:r w:rsidR="000F3252" w:rsidRPr="00A9434B">
        <w:rPr>
          <w:b w:val="0"/>
          <w:bCs/>
        </w:rPr>
        <w:t xml:space="preserve"> </w:t>
      </w:r>
      <w:r w:rsidR="007419F9" w:rsidRPr="00A9434B">
        <w:rPr>
          <w:b w:val="0"/>
          <w:bCs/>
        </w:rPr>
        <w:t>aligning economic, social</w:t>
      </w:r>
      <w:r w:rsidR="005D0083">
        <w:rPr>
          <w:b w:val="0"/>
          <w:bCs/>
        </w:rPr>
        <w:t xml:space="preserve"> and</w:t>
      </w:r>
      <w:r w:rsidR="007419F9" w:rsidRPr="00A9434B">
        <w:rPr>
          <w:b w:val="0"/>
          <w:bCs/>
        </w:rPr>
        <w:t xml:space="preserve"> environmental goals is the first step to</w:t>
      </w:r>
      <w:r w:rsidR="009D3AD2" w:rsidRPr="00A9434B">
        <w:rPr>
          <w:b w:val="0"/>
          <w:bCs/>
        </w:rPr>
        <w:t>wards</w:t>
      </w:r>
      <w:r w:rsidR="007419F9" w:rsidRPr="00A9434B">
        <w:rPr>
          <w:b w:val="0"/>
          <w:bCs/>
        </w:rPr>
        <w:t xml:space="preserve"> resolv</w:t>
      </w:r>
      <w:r w:rsidR="009D3AD2" w:rsidRPr="00A9434B">
        <w:rPr>
          <w:b w:val="0"/>
          <w:bCs/>
        </w:rPr>
        <w:t>ing</w:t>
      </w:r>
      <w:r w:rsidR="007419F9" w:rsidRPr="00A9434B">
        <w:rPr>
          <w:b w:val="0"/>
          <w:bCs/>
        </w:rPr>
        <w:t xml:space="preserve"> perverse incentives </w:t>
      </w:r>
      <w:r w:rsidR="00A605E4" w:rsidRPr="00A9434B">
        <w:rPr>
          <w:b w:val="0"/>
          <w:bCs/>
          <w:i/>
          <w:iCs/>
        </w:rPr>
        <w:fldChar w:fldCharType="begin"/>
      </w:r>
      <w:r w:rsidR="0006613E">
        <w:rPr>
          <w:b w:val="0"/>
          <w:bCs/>
        </w:rPr>
        <w:instrText xml:space="preserve"> ADDIN ZOTERO_ITEM CSL_CITATION {"citationID":"a2h95l2tnhp","properties":{"formattedCitation":"(CBD, 2011)","plainCitation":"(CBD, 2011)","noteIndex":0},"citationItems":[{"id":53579,"uris":["http://zotero.org/groups/2352922/items/KKDYNJ89"],"itemData":{"id":53579,"type":"report","collection-title":"CBD Technical Series","event-place":"Montreal, Quebec, Canada","note":"issue: 56","number":"56","publisher":"Secretariat of the Convention on Biological Diversity","publisher-place":"Montreal, Quebec, Canada","title":"Incentive measures for the conservation and sustainable use of biological diversity. Case studies and lessons learned","URL":"https://www.cbd.int/doc/publications/cbd-ts-56-en.pdf","author":[{"literal":"CBD"}],"issued":{"date-parts":[["2011"]]}},"label":"page"}],"schema":"https://github.com/citation-style-language/schema/raw/master/csl-citation.json"} </w:instrText>
      </w:r>
      <w:r w:rsidR="00A605E4" w:rsidRPr="00A9434B">
        <w:rPr>
          <w:b w:val="0"/>
          <w:bCs/>
          <w:i/>
          <w:iCs/>
        </w:rPr>
        <w:fldChar w:fldCharType="separate"/>
      </w:r>
      <w:r w:rsidR="00C71E80" w:rsidRPr="00A9434B">
        <w:rPr>
          <w:b w:val="0"/>
          <w:bCs/>
        </w:rPr>
        <w:t>(CBD, 2011)</w:t>
      </w:r>
      <w:r w:rsidR="00A605E4" w:rsidRPr="00A9434B">
        <w:rPr>
          <w:b w:val="0"/>
          <w:bCs/>
          <w:i/>
          <w:iCs/>
        </w:rPr>
        <w:fldChar w:fldCharType="end"/>
      </w:r>
      <w:r w:rsidR="007419F9" w:rsidRPr="00A9434B">
        <w:rPr>
          <w:b w:val="0"/>
          <w:bCs/>
        </w:rPr>
        <w:t xml:space="preserve">. Such alignment </w:t>
      </w:r>
      <w:r w:rsidR="0066508D" w:rsidRPr="00A9434B">
        <w:rPr>
          <w:b w:val="0"/>
          <w:bCs/>
        </w:rPr>
        <w:t>can be achieved through</w:t>
      </w:r>
      <w:r w:rsidR="007419F9" w:rsidRPr="00A9434B">
        <w:rPr>
          <w:b w:val="0"/>
          <w:bCs/>
        </w:rPr>
        <w:t xml:space="preserve"> </w:t>
      </w:r>
      <w:r w:rsidR="00630715" w:rsidRPr="00A9434B">
        <w:rPr>
          <w:b w:val="0"/>
          <w:bCs/>
        </w:rPr>
        <w:t>careful</w:t>
      </w:r>
      <w:r w:rsidR="007419F9" w:rsidRPr="00A9434B">
        <w:rPr>
          <w:b w:val="0"/>
          <w:bCs/>
        </w:rPr>
        <w:t xml:space="preserve"> evaluation of the trade-offs between policies with well-intentioned objectives</w:t>
      </w:r>
      <w:r w:rsidR="00630715" w:rsidRPr="00A9434B">
        <w:rPr>
          <w:b w:val="0"/>
          <w:bCs/>
        </w:rPr>
        <w:t>, for example those aiming</w:t>
      </w:r>
      <w:r w:rsidR="007419F9" w:rsidRPr="00A9434B">
        <w:rPr>
          <w:b w:val="0"/>
          <w:bCs/>
        </w:rPr>
        <w:t xml:space="preserve"> </w:t>
      </w:r>
      <w:r w:rsidR="00630715" w:rsidRPr="00A9434B">
        <w:rPr>
          <w:b w:val="0"/>
          <w:bCs/>
        </w:rPr>
        <w:t>to</w:t>
      </w:r>
      <w:r w:rsidR="007419F9" w:rsidRPr="00A9434B">
        <w:rPr>
          <w:b w:val="0"/>
          <w:bCs/>
        </w:rPr>
        <w:t xml:space="preserve"> impr</w:t>
      </w:r>
      <w:r w:rsidR="00EC515B" w:rsidRPr="00A9434B">
        <w:rPr>
          <w:b w:val="0"/>
          <w:bCs/>
        </w:rPr>
        <w:t>ov</w:t>
      </w:r>
      <w:r w:rsidR="00630715" w:rsidRPr="00A9434B">
        <w:rPr>
          <w:b w:val="0"/>
          <w:bCs/>
        </w:rPr>
        <w:t>e</w:t>
      </w:r>
      <w:r w:rsidR="00EC515B" w:rsidRPr="00A9434B">
        <w:rPr>
          <w:b w:val="0"/>
          <w:bCs/>
        </w:rPr>
        <w:t xml:space="preserve"> good quality of life and nature’s contributions to people </w:t>
      </w:r>
      <w:r w:rsidR="00630715" w:rsidRPr="00A9434B">
        <w:rPr>
          <w:b w:val="0"/>
          <w:bCs/>
        </w:rPr>
        <w:t xml:space="preserve">but that </w:t>
      </w:r>
      <w:r w:rsidR="00EC515B" w:rsidRPr="00A9434B">
        <w:rPr>
          <w:b w:val="0"/>
          <w:bCs/>
        </w:rPr>
        <w:t>promot</w:t>
      </w:r>
      <w:r w:rsidR="00630715" w:rsidRPr="00A9434B">
        <w:rPr>
          <w:b w:val="0"/>
          <w:bCs/>
        </w:rPr>
        <w:t>e</w:t>
      </w:r>
      <w:r w:rsidR="00EC515B" w:rsidRPr="00A9434B">
        <w:rPr>
          <w:b w:val="0"/>
          <w:bCs/>
        </w:rPr>
        <w:t xml:space="preserve"> th</w:t>
      </w:r>
      <w:r w:rsidR="007419F9" w:rsidRPr="00A9434B">
        <w:rPr>
          <w:b w:val="0"/>
          <w:bCs/>
        </w:rPr>
        <w:t>e use of invasive alien species</w:t>
      </w:r>
      <w:r w:rsidR="00630715" w:rsidRPr="00A9434B">
        <w:rPr>
          <w:b w:val="0"/>
          <w:bCs/>
        </w:rPr>
        <w:t xml:space="preserve"> to do so</w:t>
      </w:r>
      <w:r w:rsidR="007419F9" w:rsidRPr="00A9434B">
        <w:rPr>
          <w:b w:val="0"/>
          <w:bCs/>
        </w:rPr>
        <w:t xml:space="preserve">. </w:t>
      </w:r>
      <w:r w:rsidR="00B053EF" w:rsidRPr="00673554">
        <w:rPr>
          <w:bCs/>
          <w:iCs/>
        </w:rPr>
        <w:t>Figure 6.11</w:t>
      </w:r>
      <w:r w:rsidR="00B053EF" w:rsidRPr="00A9434B">
        <w:rPr>
          <w:b w:val="0"/>
          <w:bCs/>
        </w:rPr>
        <w:t xml:space="preserve"> </w:t>
      </w:r>
      <w:r w:rsidR="007419F9" w:rsidRPr="00A9434B">
        <w:rPr>
          <w:b w:val="0"/>
          <w:bCs/>
        </w:rPr>
        <w:t xml:space="preserve">showcases some examples of such perverse incentives. </w:t>
      </w:r>
      <w:r w:rsidR="005F648D" w:rsidRPr="00A9434B">
        <w:rPr>
          <w:b w:val="0"/>
          <w:bCs/>
        </w:rPr>
        <w:t xml:space="preserve">There are existing </w:t>
      </w:r>
      <w:r w:rsidR="007419F9" w:rsidRPr="00A9434B">
        <w:rPr>
          <w:b w:val="0"/>
          <w:bCs/>
        </w:rPr>
        <w:t>policy guid</w:t>
      </w:r>
      <w:r w:rsidR="005F648D" w:rsidRPr="00A9434B">
        <w:rPr>
          <w:b w:val="0"/>
          <w:bCs/>
        </w:rPr>
        <w:t>elines relevant to this topic</w:t>
      </w:r>
      <w:r w:rsidR="007419F9" w:rsidRPr="00A9434B">
        <w:rPr>
          <w:b w:val="0"/>
          <w:bCs/>
        </w:rPr>
        <w:t xml:space="preserve"> (such as the E</w:t>
      </w:r>
      <w:r w:rsidR="00607B50" w:rsidRPr="00A9434B">
        <w:rPr>
          <w:b w:val="0"/>
          <w:bCs/>
        </w:rPr>
        <w:t xml:space="preserve">uropean </w:t>
      </w:r>
      <w:r w:rsidR="007419F9" w:rsidRPr="00A9434B">
        <w:rPr>
          <w:b w:val="0"/>
          <w:bCs/>
        </w:rPr>
        <w:t>U</w:t>
      </w:r>
      <w:r w:rsidR="00607B50" w:rsidRPr="00A9434B">
        <w:rPr>
          <w:b w:val="0"/>
          <w:bCs/>
        </w:rPr>
        <w:t>nion</w:t>
      </w:r>
      <w:r w:rsidR="007419F9" w:rsidRPr="00A9434B">
        <w:rPr>
          <w:b w:val="0"/>
          <w:bCs/>
        </w:rPr>
        <w:t xml:space="preserve"> Green Paper on the Reform of the Common Fisheries</w:t>
      </w:r>
      <w:r w:rsidR="006E0767">
        <w:rPr>
          <w:b w:val="0"/>
          <w:bCs/>
        </w:rPr>
        <w:t>;</w:t>
      </w:r>
      <w:r w:rsidR="007077E1" w:rsidRPr="00A9434B">
        <w:rPr>
          <w:b w:val="0"/>
          <w:bCs/>
        </w:rPr>
        <w:t xml:space="preserve"> </w:t>
      </w:r>
      <w:r w:rsidR="007077E1" w:rsidRPr="00A9434B">
        <w:rPr>
          <w:b w:val="0"/>
          <w:bCs/>
          <w:i/>
          <w:iCs/>
        </w:rPr>
        <w:fldChar w:fldCharType="begin"/>
      </w:r>
      <w:r w:rsidR="0014002B">
        <w:rPr>
          <w:b w:val="0"/>
          <w:bCs/>
        </w:rPr>
        <w:instrText xml:space="preserve"> ADDIN ZOTERO_ITEM CSL_CITATION {"citationID":"a2bb585if66","properties":{"formattedCitation":"(Commission of the European Communities, 2009)","plainCitation":"(Commission of the European Communities, 2009)","dontUpdate":true,"noteIndex":0},"citationItems":[{"id":53204,"uris":["http://zotero.org/groups/2352922/items/UVMDZZW9"],"itemData":{"id":53204,"type":"document","call-number":"COM(2009)163 final","language":"EN","title":"COM(2009)163 final. Green Paper - Reform of the Common Fisheries Policy","URL":"https://eur-lex.europa.eu/LexUriServ/LexUriServ.do?uri=COM:2009:0163:FIN:EN:PDF","author":[{"literal":"Commission of the European Communities"}],"issued":{"date-parts":[["2009"]]}},"label":"page"}],"schema":"https://github.com/citation-style-language/schema/raw/master/csl-citation.json"} </w:instrText>
      </w:r>
      <w:r w:rsidR="007077E1" w:rsidRPr="00A9434B">
        <w:rPr>
          <w:b w:val="0"/>
          <w:bCs/>
          <w:i/>
          <w:iCs/>
        </w:rPr>
        <w:fldChar w:fldCharType="separate"/>
      </w:r>
      <w:r w:rsidR="00C71E80" w:rsidRPr="00A9434B">
        <w:rPr>
          <w:b w:val="0"/>
          <w:bCs/>
        </w:rPr>
        <w:t>Commission of the European Communities, 2009)</w:t>
      </w:r>
      <w:r w:rsidR="007077E1" w:rsidRPr="00A9434B">
        <w:rPr>
          <w:b w:val="0"/>
          <w:bCs/>
          <w:i/>
          <w:iCs/>
        </w:rPr>
        <w:fldChar w:fldCharType="end"/>
      </w:r>
      <w:r w:rsidR="005F648D" w:rsidRPr="00A9434B">
        <w:rPr>
          <w:b w:val="0"/>
          <w:bCs/>
        </w:rPr>
        <w:t xml:space="preserve">, and </w:t>
      </w:r>
      <w:r w:rsidR="007419F9" w:rsidRPr="00A9434B">
        <w:rPr>
          <w:b w:val="0"/>
          <w:bCs/>
        </w:rPr>
        <w:t xml:space="preserve">new ones </w:t>
      </w:r>
      <w:r w:rsidR="005F648D" w:rsidRPr="00A9434B">
        <w:rPr>
          <w:b w:val="0"/>
          <w:bCs/>
        </w:rPr>
        <w:t xml:space="preserve">could be developed that </w:t>
      </w:r>
      <w:r w:rsidR="007419F9" w:rsidRPr="00A9434B">
        <w:rPr>
          <w:b w:val="0"/>
          <w:bCs/>
        </w:rPr>
        <w:t xml:space="preserve">focus on addressing specific perverse incentives. The analytical and policy guidance tools developed by </w:t>
      </w:r>
      <w:r w:rsidR="00A25E68" w:rsidRPr="00A9434B">
        <w:rPr>
          <w:b w:val="0"/>
          <w:bCs/>
        </w:rPr>
        <w:t>the Organisation for Economic Co-operation and Development (</w:t>
      </w:r>
      <w:r w:rsidR="007419F9" w:rsidRPr="00A9434B">
        <w:rPr>
          <w:b w:val="0"/>
          <w:bCs/>
        </w:rPr>
        <w:t>OECD</w:t>
      </w:r>
      <w:r w:rsidR="00A25E68" w:rsidRPr="00A9434B">
        <w:rPr>
          <w:b w:val="0"/>
          <w:bCs/>
        </w:rPr>
        <w:t>;</w:t>
      </w:r>
      <w:r w:rsidR="007419F9" w:rsidRPr="00A9434B">
        <w:rPr>
          <w:b w:val="0"/>
          <w:bCs/>
        </w:rPr>
        <w:t xml:space="preserve"> </w:t>
      </w:r>
      <w:r w:rsidR="007419F9" w:rsidRPr="00A9434B">
        <w:rPr>
          <w:b w:val="0"/>
          <w:bCs/>
          <w:i/>
          <w:iCs/>
        </w:rPr>
        <w:fldChar w:fldCharType="begin">
          <w:fldData xml:space="preserve">PEVuZE5vdGU+PENpdGU+PEF1dGhvcj5PRUNEPC9BdXRob3I+PFllYXI+MjAwNzwvWWVhcj48UmVj
TnVtPjk8L1JlY051bT48RGlzcGxheVRleHQ+KE9FQ0QsIFN0YWZmIGV0IGFsLiAyMDA3LCBTb3Zh
Y29vbCAyMDE3KTwvRGlzcGxheVRleHQ+PHJlY29yZD48cmVjLW51bWJlcj45PC9yZWMtbnVtYmVy
Pjxmb3JlaWduLWtleXM+PGtleSBhcHA9IkVOIiBkYi1pZD0iMmZwczJycHdjcHR3YXhlZHo5b3By
enZtYXdmeGVmOXBmcGEyIiB0aW1lc3RhbXA9IjE2MjA3MTk0ODciPjk8L2tleT48L2ZvcmVpZ24t
a2V5cz48cmVmLXR5cGUgbmFtZT0iQm9vayI+NjwvcmVmLXR5cGU+PGNvbnRyaWJ1dG9ycz48YXV0
aG9ycz48YXV0aG9yPk9FQ0Q8L2F1dGhvcj48YXV0aG9yPkRldmVsb3BtZW50IFN0YWZmPC9hdXRo
b3I+PGF1dGhvcj5Tb3VyY2VPRUNEPC9hdXRob3I+PC9hdXRob3JzPjwvY29udHJpYnV0b3JzPjx0
aXRsZXM+PHRpdGxlPk9FQ0QgU3VzdGFpbmFibGUgRGV2ZWxvcG1lbnQgU3R1ZGllcyBTdWJzaWR5
IFJlZm9ybSBhbmQgU3VzdGFpbmFibGUgRGV2ZWxvcG1lbnQ6IFBvbGl0aWNhbCBFY29ub215IEFz
cGVjdHM8L3RpdGxlPjwvdGl0bGVzPjxkYXRlcz48eWVhcj4yMDA3PC95ZWFyPjwvZGF0ZXM+PHB1
Ymxpc2hlcj5Pcmdhbml6YXRpb24gZm9yIEVjb25vbWljPC9wdWJsaXNoZXI+PGlzYm4+OTI2NDAx
OTM2NzwvaXNibj48dXJscz48L3VybHM+PC9yZWNvcmQ+PC9DaXRlPjxDaXRlPjxBdXRob3I+U292
YWNvb2w8L0F1dGhvcj48WWVhcj4yMDE3PC9ZZWFyPjxSZWNOdW0+MTA8L1JlY051bT48cmVjb3Jk
PjxyZWMtbnVtYmVyPjEwPC9yZWMtbnVtYmVyPjxmb3JlaWduLWtleXM+PGtleSBhcHA9IkVOIiBk
Yi1pZD0iMmZwczJycHdjcHR3YXhlZHo5b3ByenZtYXdmeGVmOXBmcGEyIiB0aW1lc3RhbXA9IjE2
MjA3MTk1MDgiPjEwPC9rZXk+PC9mb3JlaWduLWtleXM+PHJlZi10eXBlIG5hbWU9IkpvdXJuYWwg
QXJ0aWNsZSI+MTc8L3JlZi10eXBlPjxjb250cmlidXRvcnM+PGF1dGhvcnM+PGF1dGhvcj5Tb3Zh
Y29vbCwgQi4gSy48L2F1dGhvcj48L2F1dGhvcnM+PC9jb250cmlidXRvcnM+PGF1dGgtYWRkcmVz
cz5Vbml2IFN1c3NleCwgU2NoIEJ1c2luZXNzIE1hbmFnZW1lbnQgJmFtcDsgRWNvbiwgU2NpIFBv
bGljeSBSZXMgVW5pdCBTUFJVLCBCcmlnaHRvbiBCTjEgOVJILCBFIFN1c3NleCwgRW5nbGFuZCYj
eEQ7QWFyaHVzIFVuaXYsIEN0ciBFbmVyZ3kgVGVjaG5vbCwgRGVwdCBCdXNpbmVzcyBEZXYgJmFt
cDsgVGVjaG5vbCwgQWFyaHVzLCBEZW5tYXJrPC9hdXRoLWFkZHJlc3M+PHRpdGxlcz48dGl0bGU+
UmV2aWV3aW5nLCBSZWZvcm1pbmcsIGFuZCBSZXRoaW5raW5nIEdsb2JhbCBFbmVyZ3kgU3Vic2lk
aWVzOiBUb3dhcmRzIGEgUG9saXRpY2FsIEVjb25vbXkgUmVzZWFyY2ggQWdlbmRhPC90aXRsZT48
c2Vjb25kYXJ5LXRpdGxlPkVjb2xvZ2ljYWwgRWNvbm9taWNzPC9zZWNvbmRhcnktdGl0bGU+PGFs
dC10aXRsZT5FY29sIEVjb248L2FsdC10aXRsZT48L3RpdGxlcz48cGVyaW9kaWNhbD48ZnVsbC10
aXRsZT5FY29sb2dpY2FsIEVjb25vbWljczwvZnVsbC10aXRsZT48YWJici0xPkVjb2wgRWNvbjwv
YWJici0xPjwvcGVyaW9kaWNhbD48YWx0LXBlcmlvZGljYWw+PGZ1bGwtdGl0bGU+RWNvbG9naWNh
bCBFY29ub21pY3M8L2Z1bGwtdGl0bGU+PGFiYnItMT5FY29sIEVjb248L2FiYnItMT48L2FsdC1w
ZXJpb2RpY2FsPjxwYWdlcz4xNTAtMTYzPC9wYWdlcz48dm9sdW1lPjEzNTwvdm9sdW1lPjxrZXl3
b3Jkcz48a2V5d29yZD5zdWJzaWR5IHJlZm9ybTwva2V5d29yZD48a2V5d29yZD5lbmVyZ3kgcG9s
aWN5PC9rZXl3b3JkPjxrZXl3b3JkPnN1YnNpZGllczwva2V5d29yZD48a2V5d29yZD5zdWJzaWR5
PC9rZXl3b3JkPjxrZXl3b3JkPnBvbGljeTwva2V5d29yZD48a2V5d29yZD5sZXNzb25zPC9rZXl3
b3JkPjwva2V5d29yZHM+PGRhdGVzPjx5ZWFyPjIwMTc8L3llYXI+PHB1Yi1kYXRlcz48ZGF0ZT5N
YXk8L2RhdGU+PC9wdWItZGF0ZXM+PC9kYXRlcz48aXNibj4wOTIxLTgwMDk8L2lzYm4+PGFjY2Vz
c2lvbi1udW0+V09TOjAwMDM5NTU5NzcwMDAxNDwvYWNjZXNzaW9uLW51bT48dXJscz48cmVsYXRl
ZC11cmxzPjx1cmw+Jmx0O0dvIHRvIElTSSZndDs6Ly9XT1M6MDAwMzk1NTk3NzAwMDE0PC91cmw+
PC9yZWxhdGVkLXVybHM+PC91cmxzPjxlbGVjdHJvbmljLXJlc291cmNlLW51bT4xMC4xMDE2L2ou
ZWNvbGVjb24uMjAxNi4xMi4wMDk8L2VsZWN0cm9uaWMtcmVzb3VyY2UtbnVtPjxsYW5ndWFnZT5F
bmdsaXNoPC9sYW5ndWFnZT48L3JlY29yZD48L0NpdGU+PC9FbmROb3RlPgB=
</w:fldData>
        </w:fldChar>
      </w:r>
      <w:r w:rsidR="007419F9" w:rsidRPr="00A9434B">
        <w:rPr>
          <w:b w:val="0"/>
          <w:bCs/>
        </w:rPr>
        <w:instrText xml:space="preserve"> ADDIN EN.CITE </w:instrText>
      </w:r>
      <w:r w:rsidR="007419F9" w:rsidRPr="00A9434B">
        <w:rPr>
          <w:b w:val="0"/>
          <w:bCs/>
          <w:i/>
          <w:iCs/>
        </w:rPr>
        <w:fldChar w:fldCharType="begin">
          <w:fldData xml:space="preserve">PEVuZE5vdGU+PENpdGU+PEF1dGhvcj5PRUNEPC9BdXRob3I+PFllYXI+MjAwNzwvWWVhcj48UmVj
TnVtPjk8L1JlY051bT48RGlzcGxheVRleHQ+KE9FQ0QsIFN0YWZmIGV0IGFsLiAyMDA3LCBTb3Zh
Y29vbCAyMDE3KTwvRGlzcGxheVRleHQ+PHJlY29yZD48cmVjLW51bWJlcj45PC9yZWMtbnVtYmVy
Pjxmb3JlaWduLWtleXM+PGtleSBhcHA9IkVOIiBkYi1pZD0iMmZwczJycHdjcHR3YXhlZHo5b3By
enZtYXdmeGVmOXBmcGEyIiB0aW1lc3RhbXA9IjE2MjA3MTk0ODciPjk8L2tleT48L2ZvcmVpZ24t
a2V5cz48cmVmLXR5cGUgbmFtZT0iQm9vayI+NjwvcmVmLXR5cGU+PGNvbnRyaWJ1dG9ycz48YXV0
aG9ycz48YXV0aG9yPk9FQ0Q8L2F1dGhvcj48YXV0aG9yPkRldmVsb3BtZW50IFN0YWZmPC9hdXRo
b3I+PGF1dGhvcj5Tb3VyY2VPRUNEPC9hdXRob3I+PC9hdXRob3JzPjwvY29udHJpYnV0b3JzPjx0
aXRsZXM+PHRpdGxlPk9FQ0QgU3VzdGFpbmFibGUgRGV2ZWxvcG1lbnQgU3R1ZGllcyBTdWJzaWR5
IFJlZm9ybSBhbmQgU3VzdGFpbmFibGUgRGV2ZWxvcG1lbnQ6IFBvbGl0aWNhbCBFY29ub215IEFz
cGVjdHM8L3RpdGxlPjwvdGl0bGVzPjxkYXRlcz48eWVhcj4yMDA3PC95ZWFyPjwvZGF0ZXM+PHB1
Ymxpc2hlcj5Pcmdhbml6YXRpb24gZm9yIEVjb25vbWljPC9wdWJsaXNoZXI+PGlzYm4+OTI2NDAx
OTM2NzwvaXNibj48dXJscz48L3VybHM+PC9yZWNvcmQ+PC9DaXRlPjxDaXRlPjxBdXRob3I+U292
YWNvb2w8L0F1dGhvcj48WWVhcj4yMDE3PC9ZZWFyPjxSZWNOdW0+MTA8L1JlY051bT48cmVjb3Jk
PjxyZWMtbnVtYmVyPjEwPC9yZWMtbnVtYmVyPjxmb3JlaWduLWtleXM+PGtleSBhcHA9IkVOIiBk
Yi1pZD0iMmZwczJycHdjcHR3YXhlZHo5b3ByenZtYXdmeGVmOXBmcGEyIiB0aW1lc3RhbXA9IjE2
MjA3MTk1MDgiPjEwPC9rZXk+PC9mb3JlaWduLWtleXM+PHJlZi10eXBlIG5hbWU9IkpvdXJuYWwg
QXJ0aWNsZSI+MTc8L3JlZi10eXBlPjxjb250cmlidXRvcnM+PGF1dGhvcnM+PGF1dGhvcj5Tb3Zh
Y29vbCwgQi4gSy48L2F1dGhvcj48L2F1dGhvcnM+PC9jb250cmlidXRvcnM+PGF1dGgtYWRkcmVz
cz5Vbml2IFN1c3NleCwgU2NoIEJ1c2luZXNzIE1hbmFnZW1lbnQgJmFtcDsgRWNvbiwgU2NpIFBv
bGljeSBSZXMgVW5pdCBTUFJVLCBCcmlnaHRvbiBCTjEgOVJILCBFIFN1c3NleCwgRW5nbGFuZCYj
eEQ7QWFyaHVzIFVuaXYsIEN0ciBFbmVyZ3kgVGVjaG5vbCwgRGVwdCBCdXNpbmVzcyBEZXYgJmFt
cDsgVGVjaG5vbCwgQWFyaHVzLCBEZW5tYXJrPC9hdXRoLWFkZHJlc3M+PHRpdGxlcz48dGl0bGU+
UmV2aWV3aW5nLCBSZWZvcm1pbmcsIGFuZCBSZXRoaW5raW5nIEdsb2JhbCBFbmVyZ3kgU3Vic2lk
aWVzOiBUb3dhcmRzIGEgUG9saXRpY2FsIEVjb25vbXkgUmVzZWFyY2ggQWdlbmRhPC90aXRsZT48
c2Vjb25kYXJ5LXRpdGxlPkVjb2xvZ2ljYWwgRWNvbm9taWNzPC9zZWNvbmRhcnktdGl0bGU+PGFs
dC10aXRsZT5FY29sIEVjb248L2FsdC10aXRsZT48L3RpdGxlcz48cGVyaW9kaWNhbD48ZnVsbC10
aXRsZT5FY29sb2dpY2FsIEVjb25vbWljczwvZnVsbC10aXRsZT48YWJici0xPkVjb2wgRWNvbjwv
YWJici0xPjwvcGVyaW9kaWNhbD48YWx0LXBlcmlvZGljYWw+PGZ1bGwtdGl0bGU+RWNvbG9naWNh
bCBFY29ub21pY3M8L2Z1bGwtdGl0bGU+PGFiYnItMT5FY29sIEVjb248L2FiYnItMT48L2FsdC1w
ZXJpb2RpY2FsPjxwYWdlcz4xNTAtMTYzPC9wYWdlcz48dm9sdW1lPjEzNTwvdm9sdW1lPjxrZXl3
b3Jkcz48a2V5d29yZD5zdWJzaWR5IHJlZm9ybTwva2V5d29yZD48a2V5d29yZD5lbmVyZ3kgcG9s
aWN5PC9rZXl3b3JkPjxrZXl3b3JkPnN1YnNpZGllczwva2V5d29yZD48a2V5d29yZD5zdWJzaWR5
PC9rZXl3b3JkPjxrZXl3b3JkPnBvbGljeTwva2V5d29yZD48a2V5d29yZD5sZXNzb25zPC9rZXl3
b3JkPjwva2V5d29yZHM+PGRhdGVzPjx5ZWFyPjIwMTc8L3llYXI+PHB1Yi1kYXRlcz48ZGF0ZT5N
YXk8L2RhdGU+PC9wdWItZGF0ZXM+PC9kYXRlcz48aXNibj4wOTIxLTgwMDk8L2lzYm4+PGFjY2Vz
c2lvbi1udW0+V09TOjAwMDM5NTU5NzcwMDAxNDwvYWNjZXNzaW9uLW51bT48dXJscz48cmVsYXRl
ZC11cmxzPjx1cmw+Jmx0O0dvIHRvIElTSSZndDs6Ly9XT1M6MDAwMzk1NTk3NzAwMDE0PC91cmw+
PC9yZWxhdGVkLXVybHM+PC91cmxzPjxlbGVjdHJvbmljLXJlc291cmNlLW51bT4xMC4xMDE2L2ou
ZWNvbGVjb24uMjAxNi4xMi4wMDk8L2VsZWN0cm9uaWMtcmVzb3VyY2UtbnVtPjxsYW5ndWFnZT5F
bmdsaXNoPC9sYW5ndWFnZT48L3JlY29yZD48L0NpdGU+PC9FbmROb3RlPgB=
</w:fldData>
        </w:fldChar>
      </w:r>
      <w:r w:rsidR="007419F9" w:rsidRPr="00A9434B">
        <w:rPr>
          <w:b w:val="0"/>
          <w:bCs/>
        </w:rPr>
        <w:instrText xml:space="preserve"> ADDIN EN.CITE.DATA </w:instrText>
      </w:r>
      <w:r w:rsidR="007419F9" w:rsidRPr="00A9434B">
        <w:rPr>
          <w:b w:val="0"/>
          <w:bCs/>
          <w:i/>
          <w:iCs/>
        </w:rPr>
      </w:r>
      <w:r w:rsidR="007419F9" w:rsidRPr="00A9434B">
        <w:rPr>
          <w:b w:val="0"/>
          <w:bCs/>
          <w:i/>
          <w:iCs/>
        </w:rPr>
        <w:fldChar w:fldCharType="end"/>
      </w:r>
      <w:r w:rsidR="007419F9" w:rsidRPr="00A9434B">
        <w:rPr>
          <w:b w:val="0"/>
          <w:bCs/>
          <w:i/>
          <w:iCs/>
        </w:rPr>
      </w:r>
      <w:r w:rsidR="007419F9" w:rsidRPr="00A9434B">
        <w:rPr>
          <w:b w:val="0"/>
          <w:bCs/>
          <w:i/>
          <w:iCs/>
        </w:rPr>
        <w:fldChar w:fldCharType="separate"/>
      </w:r>
      <w:r w:rsidR="00A605E4" w:rsidRPr="00A9434B">
        <w:rPr>
          <w:b w:val="0"/>
          <w:bCs/>
          <w:i/>
          <w:iCs/>
        </w:rPr>
        <w:fldChar w:fldCharType="begin"/>
      </w:r>
      <w:r w:rsidR="0006613E">
        <w:rPr>
          <w:b w:val="0"/>
          <w:bCs/>
        </w:rPr>
        <w:instrText xml:space="preserve"> ADDIN ZOTERO_ITEM CSL_CITATION {"citationID":"a1d6rt7am2a","properties":{"formattedCitation":"\\uldash{(OECD et al., 2007; Sovacool, 2017)}","plainCitation":"(OECD et al., 2007; Sovacool, 2017)","dontUpdate":true,"noteIndex":0},"citationItems":[{"id":53475,"uris":["http://zotero.org/groups/2352922/items/D23NZFU8"],"itemData":{"id":53475,"type":"book","collection-title":"OECD Sustainable Development Studies","event-place":"Paris, France","ISBN":"92-64-01936-7","publisher":"Organisation for Economic Co-operation and Development","publisher-place":"Paris, France","title":"Subsidy Reform and Sustainable Development: Political Economy Aspects","URL":"https://www.cbd.int/financial/fiscalenviron/g-subsidyreform-oecd.pdf","author":[{"literal":"OECD"}],"issued":{"date-parts":[["2007"]]}},"label":"page"},{"id":53438,"uris":["http://zotero.org/groups/2352922/items/TLGU67YC"],"itemData":{"id":53438,"type":"article-journal","container-title":"Ecological Economics","DOI":"10.1016/j.ecolecon.2016.12.009","ISSN":"0921-8009","language":"English","page":"150-163","title":"Reviewing, Reforming, and Rethinking Global Energy Subsidies: Towards a Political Economy Research Agenda","volume":"135","author":[{"family":"Sovacool","given":"B. K."}],"issued":{"date-parts":[["2017",5]]}},"label":"page"}],"schema":"https://github.com/citation-style-language/schema/raw/master/csl-citation.json"} </w:instrText>
      </w:r>
      <w:r w:rsidR="00A605E4" w:rsidRPr="00A9434B">
        <w:rPr>
          <w:b w:val="0"/>
          <w:bCs/>
          <w:i/>
          <w:iCs/>
        </w:rPr>
        <w:fldChar w:fldCharType="separate"/>
      </w:r>
      <w:r w:rsidR="000F3252" w:rsidRPr="00A9434B">
        <w:rPr>
          <w:b w:val="0"/>
        </w:rPr>
        <w:t>OECD et al., 2007; Sovacool, 2017)</w:t>
      </w:r>
      <w:r w:rsidR="00A605E4" w:rsidRPr="00A9434B">
        <w:rPr>
          <w:b w:val="0"/>
          <w:bCs/>
          <w:i/>
          <w:iCs/>
        </w:rPr>
        <w:fldChar w:fldCharType="end"/>
      </w:r>
      <w:r w:rsidR="007419F9" w:rsidRPr="00A9434B">
        <w:rPr>
          <w:b w:val="0"/>
          <w:bCs/>
          <w:i/>
          <w:iCs/>
        </w:rPr>
        <w:fldChar w:fldCharType="end"/>
      </w:r>
      <w:r w:rsidR="007419F9" w:rsidRPr="00A9434B">
        <w:rPr>
          <w:b w:val="0"/>
          <w:bCs/>
        </w:rPr>
        <w:t xml:space="preserve"> and </w:t>
      </w:r>
      <w:r w:rsidR="00FB331D" w:rsidRPr="00A9434B">
        <w:rPr>
          <w:b w:val="0"/>
          <w:bCs/>
        </w:rPr>
        <w:t>the United Nations Enviro</w:t>
      </w:r>
      <w:r w:rsidR="000543B4" w:rsidRPr="00A9434B">
        <w:rPr>
          <w:b w:val="0"/>
          <w:bCs/>
        </w:rPr>
        <w:t>n</w:t>
      </w:r>
      <w:r w:rsidR="00FB331D" w:rsidRPr="00A9434B">
        <w:rPr>
          <w:b w:val="0"/>
          <w:bCs/>
        </w:rPr>
        <w:t>ment Programme (</w:t>
      </w:r>
      <w:r w:rsidR="007419F9" w:rsidRPr="00A9434B">
        <w:rPr>
          <w:b w:val="0"/>
          <w:bCs/>
        </w:rPr>
        <w:t>UNEP</w:t>
      </w:r>
      <w:r w:rsidR="00FB331D" w:rsidRPr="00A9434B">
        <w:rPr>
          <w:b w:val="0"/>
          <w:bCs/>
        </w:rPr>
        <w:t>;</w:t>
      </w:r>
      <w:r w:rsidR="007419F9" w:rsidRPr="00A9434B">
        <w:rPr>
          <w:b w:val="0"/>
          <w:bCs/>
        </w:rPr>
        <w:t xml:space="preserve"> </w:t>
      </w:r>
      <w:r w:rsidR="00A605E4" w:rsidRPr="00A9434B">
        <w:rPr>
          <w:b w:val="0"/>
          <w:bCs/>
          <w:i/>
          <w:iCs/>
        </w:rPr>
        <w:fldChar w:fldCharType="begin">
          <w:fldData xml:space="preserve">PEVuZE5vdGU+PENpdGU+PEF1dGhvcj5PRUNEPC9BdXRob3I+PFllYXI+MjAwNzwvWWVhcj48UmVj
TnVtPjk8L1JlY051bT48RGlzcGxheVRleHQ+KE9FQ0QsIFN0YWZmIGV0IGFsLiAyMDA3LCBTb3Zh
Y29vbCAyMDE3KTwvRGlzcGxheVRleHQ+PHJlY29yZD48cmVjLW51bWJlcj45PC9yZWMtbnVtYmVy
Pjxmb3JlaWduLWtleXM+PGtleSBhcHA9IkVOIiBkYi1pZD0iMmZwczJycHdjcHR3YXhlZHo5b3By
enZtYXdmeGVmOXBmcGEyIiB0aW1lc3RhbXA9IjE2MjA3MTk0ODciPjk8L2tleT48L2ZvcmVpZ24t
a2V5cz48cmVmLXR5cGUgbmFtZT0iQm9vayI+NjwvcmVmLXR5cGU+PGNvbnRyaWJ1dG9ycz48YXV0
aG9ycz48YXV0aG9yPk9FQ0Q8L2F1dGhvcj48YXV0aG9yPkRldmVsb3BtZW50IFN0YWZmPC9hdXRo
b3I+PGF1dGhvcj5Tb3VyY2VPRUNEPC9hdXRob3I+PC9hdXRob3JzPjwvY29udHJpYnV0b3JzPjx0
aXRsZXM+PHRpdGxlPk9FQ0QgU3VzdGFpbmFibGUgRGV2ZWxvcG1lbnQgU3R1ZGllcyBTdWJzaWR5
IFJlZm9ybSBhbmQgU3VzdGFpbmFibGUgRGV2ZWxvcG1lbnQ6IFBvbGl0aWNhbCBFY29ub215IEFz
cGVjdHM8L3RpdGxlPjwvdGl0bGVzPjxkYXRlcz48eWVhcj4yMDA3PC95ZWFyPjwvZGF0ZXM+PHB1
Ymxpc2hlcj5Pcmdhbml6YXRpb24gZm9yIEVjb25vbWljPC9wdWJsaXNoZXI+PGlzYm4+OTI2NDAx
OTM2NzwvaXNibj48dXJscz48L3VybHM+PC9yZWNvcmQ+PC9DaXRlPjxDaXRlPjxBdXRob3I+U292
YWNvb2w8L0F1dGhvcj48WWVhcj4yMDE3PC9ZZWFyPjxSZWNOdW0+MTA8L1JlY051bT48cmVjb3Jk
PjxyZWMtbnVtYmVyPjEwPC9yZWMtbnVtYmVyPjxmb3JlaWduLWtleXM+PGtleSBhcHA9IkVOIiBk
Yi1pZD0iMmZwczJycHdjcHR3YXhlZHo5b3ByenZtYXdmeGVmOXBmcGEyIiB0aW1lc3RhbXA9IjE2
MjA3MTk1MDgiPjEwPC9rZXk+PC9mb3JlaWduLWtleXM+PHJlZi10eXBlIG5hbWU9IkpvdXJuYWwg
QXJ0aWNsZSI+MTc8L3JlZi10eXBlPjxjb250cmlidXRvcnM+PGF1dGhvcnM+PGF1dGhvcj5Tb3Zh
Y29vbCwgQi4gSy48L2F1dGhvcj48L2F1dGhvcnM+PC9jb250cmlidXRvcnM+PGF1dGgtYWRkcmVz
cz5Vbml2IFN1c3NleCwgU2NoIEJ1c2luZXNzIE1hbmFnZW1lbnQgJmFtcDsgRWNvbiwgU2NpIFBv
bGljeSBSZXMgVW5pdCBTUFJVLCBCcmlnaHRvbiBCTjEgOVJILCBFIFN1c3NleCwgRW5nbGFuZCYj
eEQ7QWFyaHVzIFVuaXYsIEN0ciBFbmVyZ3kgVGVjaG5vbCwgRGVwdCBCdXNpbmVzcyBEZXYgJmFt
cDsgVGVjaG5vbCwgQWFyaHVzLCBEZW5tYXJrPC9hdXRoLWFkZHJlc3M+PHRpdGxlcz48dGl0bGU+
UmV2aWV3aW5nLCBSZWZvcm1pbmcsIGFuZCBSZXRoaW5raW5nIEdsb2JhbCBFbmVyZ3kgU3Vic2lk
aWVzOiBUb3dhcmRzIGEgUG9saXRpY2FsIEVjb25vbXkgUmVzZWFyY2ggQWdlbmRhPC90aXRsZT48
c2Vjb25kYXJ5LXRpdGxlPkVjb2xvZ2ljYWwgRWNvbm9taWNzPC9zZWNvbmRhcnktdGl0bGU+PGFs
dC10aXRsZT5FY29sIEVjb248L2FsdC10aXRsZT48L3RpdGxlcz48cGVyaW9kaWNhbD48ZnVsbC10
aXRsZT5FY29sb2dpY2FsIEVjb25vbWljczwvZnVsbC10aXRsZT48YWJici0xPkVjb2wgRWNvbjwv
YWJici0xPjwvcGVyaW9kaWNhbD48YWx0LXBlcmlvZGljYWw+PGZ1bGwtdGl0bGU+RWNvbG9naWNh
bCBFY29ub21pY3M8L2Z1bGwtdGl0bGU+PGFiYnItMT5FY29sIEVjb248L2FiYnItMT48L2FsdC1w
ZXJpb2RpY2FsPjxwYWdlcz4xNTAtMTYzPC9wYWdlcz48dm9sdW1lPjEzNTwvdm9sdW1lPjxrZXl3
b3Jkcz48a2V5d29yZD5zdWJzaWR5IHJlZm9ybTwva2V5d29yZD48a2V5d29yZD5lbmVyZ3kgcG9s
aWN5PC9rZXl3b3JkPjxrZXl3b3JkPnN1YnNpZGllczwva2V5d29yZD48a2V5d29yZD5zdWJzaWR5
PC9rZXl3b3JkPjxrZXl3b3JkPnBvbGljeTwva2V5d29yZD48a2V5d29yZD5sZXNzb25zPC9rZXl3
b3JkPjwva2V5d29yZHM+PGRhdGVzPjx5ZWFyPjIwMTc8L3llYXI+PHB1Yi1kYXRlcz48ZGF0ZT5N
YXk8L2RhdGU+PC9wdWItZGF0ZXM+PC9kYXRlcz48aXNibj4wOTIxLTgwMDk8L2lzYm4+PGFjY2Vz
c2lvbi1udW0+V09TOjAwMDM5NTU5NzcwMDAxNDwvYWNjZXNzaW9uLW51bT48dXJscz48cmVsYXRl
ZC11cmxzPjx1cmw+Jmx0O0dvIHRvIElTSSZndDs6Ly9XT1M6MDAwMzk1NTk3NzAwMDE0PC91cmw+
PC9yZWxhdGVkLXVybHM+PC91cmxzPjxlbGVjdHJvbmljLXJlc291cmNlLW51bT4xMC4xMDE2L2ou
ZWNvbGVjb24uMjAxNi4xMi4wMDk8L2VsZWN0cm9uaWMtcmVzb3VyY2UtbnVtPjxsYW5ndWFnZT5F
bmdsaXNoPC9sYW5ndWFnZT48L3JlY29yZD48L0NpdGU+PC9FbmROb3RlPgB=
</w:fldData>
        </w:fldChar>
      </w:r>
      <w:r w:rsidR="00A605E4" w:rsidRPr="00A9434B">
        <w:rPr>
          <w:b w:val="0"/>
          <w:bCs/>
        </w:rPr>
        <w:instrText xml:space="preserve"> ADDIN EN.CITE </w:instrText>
      </w:r>
      <w:r w:rsidR="00A605E4" w:rsidRPr="00A9434B">
        <w:rPr>
          <w:b w:val="0"/>
          <w:bCs/>
          <w:i/>
          <w:iCs/>
        </w:rPr>
        <w:fldChar w:fldCharType="begin">
          <w:fldData xml:space="preserve">PEVuZE5vdGU+PENpdGU+PEF1dGhvcj5PRUNEPC9BdXRob3I+PFllYXI+MjAwNzwvWWVhcj48UmVj
TnVtPjk8L1JlY051bT48RGlzcGxheVRleHQ+KE9FQ0QsIFN0YWZmIGV0IGFsLiAyMDA3LCBTb3Zh
Y29vbCAyMDE3KTwvRGlzcGxheVRleHQ+PHJlY29yZD48cmVjLW51bWJlcj45PC9yZWMtbnVtYmVy
Pjxmb3JlaWduLWtleXM+PGtleSBhcHA9IkVOIiBkYi1pZD0iMmZwczJycHdjcHR3YXhlZHo5b3By
enZtYXdmeGVmOXBmcGEyIiB0aW1lc3RhbXA9IjE2MjA3MTk0ODciPjk8L2tleT48L2ZvcmVpZ24t
a2V5cz48cmVmLXR5cGUgbmFtZT0iQm9vayI+NjwvcmVmLXR5cGU+PGNvbnRyaWJ1dG9ycz48YXV0
aG9ycz48YXV0aG9yPk9FQ0Q8L2F1dGhvcj48YXV0aG9yPkRldmVsb3BtZW50IFN0YWZmPC9hdXRo
b3I+PGF1dGhvcj5Tb3VyY2VPRUNEPC9hdXRob3I+PC9hdXRob3JzPjwvY29udHJpYnV0b3JzPjx0
aXRsZXM+PHRpdGxlPk9FQ0QgU3VzdGFpbmFibGUgRGV2ZWxvcG1lbnQgU3R1ZGllcyBTdWJzaWR5
IFJlZm9ybSBhbmQgU3VzdGFpbmFibGUgRGV2ZWxvcG1lbnQ6IFBvbGl0aWNhbCBFY29ub215IEFz
cGVjdHM8L3RpdGxlPjwvdGl0bGVzPjxkYXRlcz48eWVhcj4yMDA3PC95ZWFyPjwvZGF0ZXM+PHB1
Ymxpc2hlcj5Pcmdhbml6YXRpb24gZm9yIEVjb25vbWljPC9wdWJsaXNoZXI+PGlzYm4+OTI2NDAx
OTM2NzwvaXNibj48dXJscz48L3VybHM+PC9yZWNvcmQ+PC9DaXRlPjxDaXRlPjxBdXRob3I+U292
YWNvb2w8L0F1dGhvcj48WWVhcj4yMDE3PC9ZZWFyPjxSZWNOdW0+MTA8L1JlY051bT48cmVjb3Jk
PjxyZWMtbnVtYmVyPjEwPC9yZWMtbnVtYmVyPjxmb3JlaWduLWtleXM+PGtleSBhcHA9IkVOIiBk
Yi1pZD0iMmZwczJycHdjcHR3YXhlZHo5b3ByenZtYXdmeGVmOXBmcGEyIiB0aW1lc3RhbXA9IjE2
MjA3MTk1MDgiPjEwPC9rZXk+PC9mb3JlaWduLWtleXM+PHJlZi10eXBlIG5hbWU9IkpvdXJuYWwg
QXJ0aWNsZSI+MTc8L3JlZi10eXBlPjxjb250cmlidXRvcnM+PGF1dGhvcnM+PGF1dGhvcj5Tb3Zh
Y29vbCwgQi4gSy48L2F1dGhvcj48L2F1dGhvcnM+PC9jb250cmlidXRvcnM+PGF1dGgtYWRkcmVz
cz5Vbml2IFN1c3NleCwgU2NoIEJ1c2luZXNzIE1hbmFnZW1lbnQgJmFtcDsgRWNvbiwgU2NpIFBv
bGljeSBSZXMgVW5pdCBTUFJVLCBCcmlnaHRvbiBCTjEgOVJILCBFIFN1c3NleCwgRW5nbGFuZCYj
eEQ7QWFyaHVzIFVuaXYsIEN0ciBFbmVyZ3kgVGVjaG5vbCwgRGVwdCBCdXNpbmVzcyBEZXYgJmFt
cDsgVGVjaG5vbCwgQWFyaHVzLCBEZW5tYXJrPC9hdXRoLWFkZHJlc3M+PHRpdGxlcz48dGl0bGU+
UmV2aWV3aW5nLCBSZWZvcm1pbmcsIGFuZCBSZXRoaW5raW5nIEdsb2JhbCBFbmVyZ3kgU3Vic2lk
aWVzOiBUb3dhcmRzIGEgUG9saXRpY2FsIEVjb25vbXkgUmVzZWFyY2ggQWdlbmRhPC90aXRsZT48
c2Vjb25kYXJ5LXRpdGxlPkVjb2xvZ2ljYWwgRWNvbm9taWNzPC9zZWNvbmRhcnktdGl0bGU+PGFs
dC10aXRsZT5FY29sIEVjb248L2FsdC10aXRsZT48L3RpdGxlcz48cGVyaW9kaWNhbD48ZnVsbC10
aXRsZT5FY29sb2dpY2FsIEVjb25vbWljczwvZnVsbC10aXRsZT48YWJici0xPkVjb2wgRWNvbjwv
YWJici0xPjwvcGVyaW9kaWNhbD48YWx0LXBlcmlvZGljYWw+PGZ1bGwtdGl0bGU+RWNvbG9naWNh
bCBFY29ub21pY3M8L2Z1bGwtdGl0bGU+PGFiYnItMT5FY29sIEVjb248L2FiYnItMT48L2FsdC1w
ZXJpb2RpY2FsPjxwYWdlcz4xNTAtMTYzPC9wYWdlcz48dm9sdW1lPjEzNTwvdm9sdW1lPjxrZXl3
b3Jkcz48a2V5d29yZD5zdWJzaWR5IHJlZm9ybTwva2V5d29yZD48a2V5d29yZD5lbmVyZ3kgcG9s
aWN5PC9rZXl3b3JkPjxrZXl3b3JkPnN1YnNpZGllczwva2V5d29yZD48a2V5d29yZD5zdWJzaWR5
PC9rZXl3b3JkPjxrZXl3b3JkPnBvbGljeTwva2V5d29yZD48a2V5d29yZD5sZXNzb25zPC9rZXl3
b3JkPjwva2V5d29yZHM+PGRhdGVzPjx5ZWFyPjIwMTc8L3llYXI+PHB1Yi1kYXRlcz48ZGF0ZT5N
YXk8L2RhdGU+PC9wdWItZGF0ZXM+PC9kYXRlcz48aXNibj4wOTIxLTgwMDk8L2lzYm4+PGFjY2Vz
c2lvbi1udW0+V09TOjAwMDM5NTU5NzcwMDAxNDwvYWNjZXNzaW9uLW51bT48dXJscz48cmVsYXRl
ZC11cmxzPjx1cmw+Jmx0O0dvIHRvIElTSSZndDs6Ly9XT1M6MDAwMzk1NTk3NzAwMDE0PC91cmw+
PC9yZWxhdGVkLXVybHM+PC91cmxzPjxlbGVjdHJvbmljLXJlc291cmNlLW51bT4xMC4xMDE2L2ou
ZWNvbGVjb24uMjAxNi4xMi4wMDk8L2VsZWN0cm9uaWMtcmVzb3VyY2UtbnVtPjxsYW5ndWFnZT5F
bmdsaXNoPC9sYW5ndWFnZT48L3JlY29yZD48L0NpdGU+PC9FbmROb3RlPgB=
</w:fldData>
        </w:fldChar>
      </w:r>
      <w:r w:rsidR="00A605E4" w:rsidRPr="00A9434B">
        <w:rPr>
          <w:b w:val="0"/>
          <w:bCs/>
        </w:rPr>
        <w:instrText xml:space="preserve"> ADDIN EN.CITE.DATA </w:instrText>
      </w:r>
      <w:r w:rsidR="00A605E4" w:rsidRPr="00A9434B">
        <w:rPr>
          <w:b w:val="0"/>
          <w:bCs/>
          <w:i/>
          <w:iCs/>
        </w:rPr>
      </w:r>
      <w:r w:rsidR="00A605E4" w:rsidRPr="00A9434B">
        <w:rPr>
          <w:b w:val="0"/>
          <w:bCs/>
          <w:i/>
          <w:iCs/>
        </w:rPr>
        <w:fldChar w:fldCharType="end"/>
      </w:r>
      <w:r w:rsidR="00A605E4" w:rsidRPr="00A9434B">
        <w:rPr>
          <w:b w:val="0"/>
          <w:bCs/>
          <w:i/>
          <w:iCs/>
        </w:rPr>
      </w:r>
      <w:r w:rsidR="00A605E4" w:rsidRPr="00A9434B">
        <w:rPr>
          <w:b w:val="0"/>
          <w:bCs/>
          <w:i/>
          <w:iCs/>
        </w:rPr>
        <w:fldChar w:fldCharType="separate"/>
      </w:r>
      <w:r w:rsidR="00A605E4" w:rsidRPr="00A9434B">
        <w:rPr>
          <w:b w:val="0"/>
          <w:bCs/>
          <w:i/>
          <w:iCs/>
        </w:rPr>
        <w:fldChar w:fldCharType="begin"/>
      </w:r>
      <w:r w:rsidR="0006613E">
        <w:rPr>
          <w:b w:val="0"/>
          <w:bCs/>
        </w:rPr>
        <w:instrText xml:space="preserve"> ADDIN ZOTERO_ITEM CSL_CITATION {"citationID":"a2hscp6j23k","properties":{"formattedCitation":"\\uldash{(Morgan, 2008; Sovacool, 2017)}","plainCitation":"(Morgan, 2008; Sovacool, 2017)","dontUpdate":true,"noteIndex":0},"citationItems":[{"id":53486,"uris":["http://zotero.org/groups/2352922/items/4XZACSLC"],"itemData":{"id":53486,"type":"book","ISBN":"92-807-2944-6","publisher":"United Nations Environment Programme","title":"Reforming energy subsidies: Opportunities to contribute to the climate change agenda","URL":"https://wedocs.unep.org/20.500.11822/25941","author":[{"literal":"UN"}],"contributor":[{"family":"Morgan","given":"Trevor"}],"issued":{"date-parts":[["2008"]]}},"label":"page"},{"id":53438,"uris":["http://zotero.org/groups/2352922/items/TLGU67YC"],"itemData":{"id":53438,"type":"article-journal","container-title":"Ecological Economics","DOI":"10.1016/j.ecolecon.2016.12.009","ISSN":"0921-8009","language":"English","page":"150-163","title":"Reviewing, Reforming, and Rethinking Global Energy Subsidies: Towards a Political Economy Research Agenda","volume":"135","author":[{"family":"Sovacool","given":"B. K."}],"issued":{"date-parts":[["2017",5]]}},"label":"page"}],"schema":"https://github.com/citation-style-language/schema/raw/master/csl-citation.json"} </w:instrText>
      </w:r>
      <w:r w:rsidR="00A605E4" w:rsidRPr="00A9434B">
        <w:rPr>
          <w:b w:val="0"/>
          <w:bCs/>
          <w:i/>
          <w:iCs/>
        </w:rPr>
        <w:fldChar w:fldCharType="separate"/>
      </w:r>
      <w:r w:rsidR="000F3252" w:rsidRPr="00A9434B">
        <w:rPr>
          <w:b w:val="0"/>
        </w:rPr>
        <w:t>Morgan, 2008; Sovacool, 2017)</w:t>
      </w:r>
      <w:r w:rsidR="00A605E4" w:rsidRPr="00A9434B">
        <w:rPr>
          <w:b w:val="0"/>
          <w:bCs/>
          <w:i/>
          <w:iCs/>
        </w:rPr>
        <w:fldChar w:fldCharType="end"/>
      </w:r>
      <w:r w:rsidR="00A605E4" w:rsidRPr="00A9434B">
        <w:rPr>
          <w:b w:val="0"/>
          <w:bCs/>
          <w:i/>
          <w:iCs/>
        </w:rPr>
        <w:fldChar w:fldCharType="end"/>
      </w:r>
      <w:r w:rsidR="00A605E4" w:rsidRPr="00A9434B">
        <w:rPr>
          <w:b w:val="0"/>
          <w:bCs/>
        </w:rPr>
        <w:t xml:space="preserve"> </w:t>
      </w:r>
      <w:r w:rsidR="007419F9" w:rsidRPr="00A9434B">
        <w:rPr>
          <w:b w:val="0"/>
          <w:bCs/>
        </w:rPr>
        <w:t>are also valuable tools to start evaluating and addressing the possible biodiversity impacts of current and future legal and regulatory instruments.</w:t>
      </w:r>
    </w:p>
    <w:p w14:paraId="53FD631B" w14:textId="29E1C1AC" w:rsidR="00017C04" w:rsidRDefault="00F50AF9">
      <w:r>
        <w:t xml:space="preserve">Two factors could be considered to remove perverse incentives associated with activities that contribute to biological invasions. First is the resistance to substantive reform. In many cases, removing or modifying a policy can raise legitimate concerns about the economic consequences and the political capital cost of such changes. This is exemplified by the criticism of several countries of CBD COP decision VI/23 </w:t>
      </w:r>
      <w:r w:rsidR="00B3470F">
        <w:fldChar w:fldCharType="begin"/>
      </w:r>
      <w:r w:rsidR="0006613E">
        <w:instrText xml:space="preserve"> ADDIN ZOTERO_ITEM CSL_CITATION {"citationID":"82RZMV3I","properties":{"formattedCitation":"(CBD, 2002)","plainCitation":"(CBD, 2002)","noteIndex":0},"citationItems":[{"id":30011,"uris":["http://zotero.org/groups/2352922/items/9EVDWKMU","http://zotero.org/groups/2352922/items/TPXNITQT"],"itemData":{"id":30011,"type":"paper-conference","collection-title":"Annex of UNEP/CBD/COP/DEC/VI/23","container-title":"COP 6 Decision VI/23","event-place":"The Hague, Netherlands","event-title":"COP 6","language":"en","license":"Copyright 2001-2011, Secretariat of the Convention on Biological Diversity","publisher":"Convention on Biodiversity, United Nations Environment Programme","publisher-place":"The Hague, Netherlands","title":"Alien species that threaten ecosystems, habitats or species","URL":"https://www.cbd.int/decision/cop/?id=7197","author":[{"literal":"CBD"}],"accessed":{"date-parts":[["2021",8,16]]},"issued":{"date-parts":[["2002",4,7]]}}}],"schema":"https://github.com/citation-style-language/schema/raw/master/csl-citation.json"} </w:instrText>
      </w:r>
      <w:r w:rsidR="00B3470F">
        <w:fldChar w:fldCharType="separate"/>
      </w:r>
      <w:r w:rsidR="00713CE0" w:rsidRPr="00713CE0">
        <w:t>(CBD, 2002)</w:t>
      </w:r>
      <w:r w:rsidR="00B3470F">
        <w:fldChar w:fldCharType="end"/>
      </w:r>
      <w:r w:rsidR="007419F9" w:rsidRPr="00A9434B">
        <w:t>.</w:t>
      </w:r>
      <w:r>
        <w:t xml:space="preserve"> In their view, Guiding Principle 7 (which advises member states to </w:t>
      </w:r>
      <w:r w:rsidRPr="006E0767">
        <w:rPr>
          <w:iCs/>
        </w:rPr>
        <w:t>“</w:t>
      </w:r>
      <w:r>
        <w:t xml:space="preserve">implement border controls and quarantine measures, for alien species… based on a risk analysis of the threats posed by alien species and their potential pathways of entry”) could be used as a tool to implement disguised trade barriers, thereby contravening the WTO SPS Agreement. A second factor to consider is the scale (spatial and temporal) at which proposed changes could potentially have an impact. In many cases, policy changes that can prevent invasive alien species introductions or reduce possible invasion drivers will have a direct, short-term </w:t>
      </w:r>
      <w:r>
        <w:lastRenderedPageBreak/>
        <w:t>economic and social cost for local communities, although communities would benefit from such changes in the long term. Identifying, understanding</w:t>
      </w:r>
      <w:r w:rsidR="005D0083">
        <w:t xml:space="preserve"> and</w:t>
      </w:r>
      <w:r>
        <w:t xml:space="preserve"> adequately responding to the possible short-term social impacts of activities that promote the use of invasive alien species is one of the most challenging aspects of reforming policy instruments.</w:t>
      </w:r>
    </w:p>
    <w:p w14:paraId="2EBEC80B" w14:textId="7765C6E8" w:rsidR="004E681B" w:rsidRPr="00A9434B" w:rsidRDefault="7FC1E900" w:rsidP="006B3143">
      <w:r w:rsidRPr="00A9434B">
        <w:t>In addition to</w:t>
      </w:r>
      <w:r w:rsidR="69EEC58A" w:rsidRPr="00A9434B">
        <w:t xml:space="preserve"> the examples shown in</w:t>
      </w:r>
      <w:r w:rsidR="513DF1EE" w:rsidRPr="00A9434B">
        <w:t xml:space="preserve"> </w:t>
      </w:r>
      <w:r w:rsidR="513DF1EE" w:rsidRPr="00673554">
        <w:rPr>
          <w:b/>
          <w:iCs/>
        </w:rPr>
        <w:t>Figure 6.11</w:t>
      </w:r>
      <w:r w:rsidR="513DF1EE" w:rsidRPr="00A9434B">
        <w:t xml:space="preserve">, </w:t>
      </w:r>
      <w:r w:rsidR="4F313501" w:rsidRPr="00A9434B">
        <w:t>t</w:t>
      </w:r>
      <w:r w:rsidR="69EEC58A" w:rsidRPr="00A9434B">
        <w:t xml:space="preserve">he development of a carbon sequestration economy </w:t>
      </w:r>
      <w:r w:rsidRPr="00A9434B">
        <w:t xml:space="preserve">could facilitate </w:t>
      </w:r>
      <w:r w:rsidR="00FC33CE">
        <w:t>introductions of</w:t>
      </w:r>
      <w:r w:rsidRPr="00A9434B">
        <w:t xml:space="preserve"> alien species </w:t>
      </w:r>
      <w:r w:rsidR="00F806B6" w:rsidRPr="00A9434B">
        <w:t>(</w:t>
      </w:r>
      <w:r w:rsidR="008615FF">
        <w:rPr>
          <w:b/>
          <w:iCs/>
        </w:rPr>
        <w:t>C</w:t>
      </w:r>
      <w:r w:rsidRPr="00673554">
        <w:rPr>
          <w:b/>
          <w:iCs/>
        </w:rPr>
        <w:t>hapter 3</w:t>
      </w:r>
      <w:r w:rsidRPr="00673554">
        <w:rPr>
          <w:iCs/>
        </w:rPr>
        <w:t xml:space="preserve">, </w:t>
      </w:r>
      <w:r w:rsidRPr="00673554">
        <w:rPr>
          <w:b/>
          <w:iCs/>
        </w:rPr>
        <w:t>section 3.2.5</w:t>
      </w:r>
      <w:r w:rsidRPr="00A9434B">
        <w:t>).</w:t>
      </w:r>
      <w:r w:rsidR="3D15E86A" w:rsidRPr="00A9434B">
        <w:t xml:space="preserve"> This could take place </w:t>
      </w:r>
      <w:r w:rsidR="69EEC58A" w:rsidRPr="00A9434B">
        <w:t xml:space="preserve">via tree plantations through initiatives like </w:t>
      </w:r>
      <w:r w:rsidR="000348C8" w:rsidRPr="00A9434B">
        <w:t>Reducing Emissions from Deforestation and forest Degradation (</w:t>
      </w:r>
      <w:r w:rsidR="69EEC58A" w:rsidRPr="00A9434B">
        <w:t>REDD</w:t>
      </w:r>
      <w:r w:rsidR="000348C8" w:rsidRPr="00A9434B">
        <w:t>;</w:t>
      </w:r>
      <w:r w:rsidR="69EEC58A" w:rsidRPr="00A9434B">
        <w:t xml:space="preserve"> </w:t>
      </w:r>
      <w:r w:rsidR="007419F9" w:rsidRPr="00A9434B">
        <w:fldChar w:fldCharType="begin"/>
      </w:r>
      <w:r w:rsidR="007419F9" w:rsidRPr="00A9434B">
        <w:instrText xml:space="preserve"> ADDIN EN.CITE &lt;EndNote&gt;&lt;Cite&gt;&lt;Author&gt;Harvey&lt;/Author&gt;&lt;Year&gt;2010&lt;/Year&gt;&lt;RecNum&gt;12&lt;/RecNum&gt;&lt;DisplayText&gt;(Harvey, Dickson et al. 2010)&lt;/DisplayText&gt;&lt;record&gt;&lt;rec-number&gt;12&lt;/rec-number&gt;&lt;foreign-keys&gt;&lt;key app="EN" db-id="2fps2rpwcptwaxedz9oprzvmawfxef9pfpa2" timestamp="1620719597"&gt;12&lt;/key&gt;&lt;/foreign-keys&gt;&lt;ref-type name="Journal Article"&gt;17&lt;/ref-type&gt;&lt;contributors&gt;&lt;authors&gt;&lt;author&gt;Harvey, C. A.&lt;/author&gt;&lt;author&gt;Dickson, B.&lt;/author&gt;&lt;author&gt;Kormos, C.&lt;/author&gt;&lt;/authors&gt;&lt;/contributors&gt;&lt;auth-address&gt;Conservat Int, Ctr Appl Biodivers Sci, Arlington, VA 22202 USA&amp;#xD;UNEP World Conservat Monitoring Ctr, Cambridge CB3 0DL, England&amp;#xD;WILD Fdn, Boulder, CO 80304 USA&lt;/auth-address&gt;&lt;titles&gt;&lt;title&gt;Opportunities for achieving biodiversity conservation through REDD&lt;/title&gt;&lt;secondary-title&gt;Conservation Letters&lt;/secondary-title&gt;&lt;alt-title&gt;Conserv Lett&lt;/alt-title&gt;&lt;/titles&gt;&lt;periodical&gt;&lt;full-title&gt;Conservation Letters&lt;/full-title&gt;&lt;abbr-1&gt;Conserv Lett&lt;/abbr-1&gt;&lt;/periodical&gt;&lt;alt-periodical&gt;&lt;full-title&gt;Conservation Letters&lt;/full-title&gt;&lt;abbr-1&gt;Conserv Lett&lt;/abbr-1&gt;&lt;/alt-periodical&gt;&lt;pages&gt;53-61&lt;/pages&gt;&lt;volume&gt;3&lt;/volume&gt;&lt;number&gt;1&lt;/number&gt;&lt;keywords&gt;&lt;keyword&gt;deforestation&lt;/keyword&gt;&lt;keyword&gt;climate mitigation&lt;/keyword&gt;&lt;keyword&gt;forest degradation&lt;/keyword&gt;&lt;keyword&gt;leakage&lt;/keyword&gt;&lt;keyword&gt;protected areas&lt;/keyword&gt;&lt;keyword&gt;tropical forests&lt;/keyword&gt;&lt;keyword&gt;unfccc&lt;/keyword&gt;&lt;keyword&gt;forest degradation&lt;/keyword&gt;&lt;keyword&gt;protected areas&lt;/keyword&gt;&lt;keyword&gt;carbon&lt;/keyword&gt;&lt;keyword&gt;deforestation&lt;/keyword&gt;&lt;keyword&gt;mitigation&lt;/keyword&gt;&lt;keyword&gt;emissions&lt;/keyword&gt;&lt;keyword&gt;networks&lt;/keyword&gt;&lt;/keywords&gt;&lt;dates&gt;&lt;year&gt;2010&lt;/year&gt;&lt;pub-dates&gt;&lt;date&gt;Feb&lt;/date&gt;&lt;/pub-dates&gt;&lt;/dates&gt;&lt;isbn&gt;1755-263x&lt;/isbn&gt;&lt;accession-num&gt;WOS:000279223900007&lt;/accession-num&gt;&lt;urls&gt;&lt;related-urls&gt;&lt;url&gt;&amp;lt;Go to ISI&amp;gt;://WOS:000279223900007&lt;/url&gt;&lt;/related-urls&gt;&lt;/urls&gt;&lt;electronic-resource-num&gt;10.1111/j.1755-263X.2009.00086.x&lt;/electronic-resource-num&gt;&lt;language&gt;English&lt;/language&gt;&lt;/record&gt;&lt;/Cite&gt;&lt;/EndNote&gt;</w:instrText>
      </w:r>
      <w:r w:rsidR="007419F9" w:rsidRPr="00A9434B">
        <w:fldChar w:fldCharType="separate"/>
      </w:r>
      <w:r w:rsidR="00C555B3" w:rsidRPr="00A9434B">
        <w:fldChar w:fldCharType="begin"/>
      </w:r>
      <w:r w:rsidR="0006613E">
        <w:instrText xml:space="preserve"> ADDIN ZOTERO_ITEM CSL_CITATION {"citationID":"ansif8kdrm","properties":{"formattedCitation":"\\uldash{(Harvey et al., 2010)}","plainCitation":"(Harvey et al., 2010)","dontUpdate":true,"noteIndex":0},"citationItems":[{"id":53537,"uris":["http://zotero.org/groups/2352922/items/LREC4FUM","http://zotero.org/groups/2352922/items/TQF2YUHG"],"itemData":{"id":53537,"type":"article-journal","container-title":"Conservation Letters","DOI":"10.1111/j.1755-263X.2009.00086.x","ISSN":"1755-263X","issue":"1","language":"English","page":"53-61","title":"Opportunities for achieving biodiversity conservation through REDD","volume":"3","author":[{"family":"Harvey","given":"C. A."},{"family":"Dickson","given":"B."},{"family":"Kormos","given":"C."}],"issued":{"date-parts":[["2010",2]]}},"label":"page"}],"schema":"https://github.com/citation-style-language/schema/raw/master/csl-citation.json"} </w:instrText>
      </w:r>
      <w:r w:rsidR="00C555B3" w:rsidRPr="00A9434B">
        <w:fldChar w:fldCharType="separate"/>
      </w:r>
      <w:r w:rsidR="00F60F9E" w:rsidRPr="00A9434B">
        <w:t>Harvey et al., 2010)</w:t>
      </w:r>
      <w:r w:rsidR="00C555B3" w:rsidRPr="00A9434B">
        <w:fldChar w:fldCharType="end"/>
      </w:r>
      <w:r w:rsidR="007419F9" w:rsidRPr="00A9434B">
        <w:fldChar w:fldCharType="end"/>
      </w:r>
      <w:r w:rsidR="086BF4D1" w:rsidRPr="00A9434B">
        <w:t xml:space="preserve">, national and </w:t>
      </w:r>
      <w:r w:rsidR="682C0486" w:rsidRPr="00A9434B">
        <w:t>multilateral</w:t>
      </w:r>
      <w:r w:rsidR="086BF4D1" w:rsidRPr="00A9434B">
        <w:t xml:space="preserve"> initiatives on the use of biomass for energy production (i.e., </w:t>
      </w:r>
      <w:r w:rsidR="00D60828" w:rsidRPr="00A9434B">
        <w:fldChar w:fldCharType="begin"/>
      </w:r>
      <w:r w:rsidR="002D2756">
        <w:instrText xml:space="preserve"> ADDIN ZOTERO_ITEM CSL_CITATION {"citationID":"amu1h8dhqb","properties":{"formattedCitation":"\\uldash{(EU, 2018; Jonsson et al., 2021)}","plainCitation":"(EU, 2018; Jonsson et al., 2021)","dontUpdate":true,"noteIndex":0},"citationItems":[{"id":53226,"uris":["http://zotero.org/groups/2352922/items/RZUSCCQQ"],"itemData":{"id":53226,"type":"document","publisher":"Official Journal of the European Union","title":"Directive (EU) 2018/2001 of the European Parliament and of the Council of 11 December 2018 on the promotion of the use of energy from renewable sources (Text with EEA relevance.)","URL":"https://eur-lex.europa.eu/legal-content/EN/TXT/?uri=uriserv:OJ.L_.2018.328.01.0082.01.ENG&amp;toc=OJ:L:2018:328:TOC","author":[{"literal":"EU"}],"issued":{"date-parts":[["2018"]]}},"label":"page"},{"id":53227,"uris":["http://zotero.org/groups/2352922/items/MEQJRCXF"],"itemData":{"id":53227,"type":"report","note":"DOI: 10.2760/831621","number":"EUR 30548","publisher":"Publications Office of the European Union","title":"The use of woody biomass for energy production in the EU","URL":"https://doi.org/10.2760/831621","author":[{"family":"Camia","given":"A."},{"family":"Giuntoli","given":"J."},{"family":"Jonsson","given":"R."},{"family":"Robert","given":"N."},{"family":"Cazzaniga","given":"N. E."},{"family":"Jasinevičius","given":"G."},{"family":"Avitabile","given":"V."},{"family":"Grassi","given":"G."},{"family":"Barredo","given":"J. I."},{"family":"Mubareka","given":"S."}],"issued":{"date-parts":[["2021"]]}},"label":"page"}],"schema":"https://github.com/citation-style-language/schema/raw/master/csl-citation.json"} </w:instrText>
      </w:r>
      <w:r w:rsidR="00D60828" w:rsidRPr="00A9434B">
        <w:fldChar w:fldCharType="separate"/>
      </w:r>
      <w:r w:rsidR="00F60F9E" w:rsidRPr="00A9434B">
        <w:t>EU, 2018; Jonsson et al., 2021)</w:t>
      </w:r>
      <w:r w:rsidR="00D60828" w:rsidRPr="00A9434B">
        <w:fldChar w:fldCharType="end"/>
      </w:r>
      <w:r w:rsidR="086BF4D1" w:rsidRPr="00A9434B">
        <w:t xml:space="preserve">, and other </w:t>
      </w:r>
      <w:r w:rsidR="655DD497" w:rsidRPr="00A9434B">
        <w:t xml:space="preserve">restoration </w:t>
      </w:r>
      <w:r w:rsidR="086BF4D1" w:rsidRPr="00A9434B">
        <w:t>strategies</w:t>
      </w:r>
      <w:r w:rsidR="2CF4C9EC" w:rsidRPr="00A9434B">
        <w:t xml:space="preserve"> </w:t>
      </w:r>
      <w:r w:rsidR="00D60828" w:rsidRPr="00A9434B">
        <w:fldChar w:fldCharType="begin"/>
      </w:r>
      <w:r w:rsidR="0006613E">
        <w:instrText xml:space="preserve"> ADDIN ZOTERO_ITEM CSL_CITATION {"citationID":"arfu3mv6it","properties":{"formattedCitation":"(Brundu et al., 2020)","plainCitation":"(Brundu et al., 2020)","noteIndex":0},"citationItems":[{"id":32410,"uris":["http://zotero.org/groups/2352922/items/ELAF7FIV"],"itemData":{"id":32410,"type":"article-journal","container-title":"NeoBiota","DOI":"https://doi.org/10.3897/neobiota.61.58380","page":"65-116","title":"Global guidelines for the sustainable use of non-native trees to prevent tree invasions and mitigate their negative impacts","volume":"61","author":[{"family":"Brundu","given":"Giuseppe"},{"family":"Pauchard","given":"Aníbal"},{"family":"Pyšek","given":"Petr"},{"family":"Pergl","given":"Jan"},{"family":"Bindewald","given":"Anja"},{"family":"Brunori","given":"Antonio"},{"family":"Canavan","given":"Susan"},{"family":"Campagnaro","given":"Thomas"},{"family":"Celesti-Grapow","given":"Laura"},{"family":"Sá Dechoum","given":"Michele","non-dropping-particle":"de"},{"family":"Dufour-Dror","given":"Jean-Marc"},{"family":"Essl","given":"Franz"},{"family":"Flory","given":"S. Luke"},{"family":"Genovesi","given":"Piero"},{"family":"Guarino","given":"Francesco"},{"family":"Guangzhe","given":"Liu"},{"family":"Hulme","given":"Philip E."},{"family":"Jäger","given":"Heinke"},{"family":"Kettle","given":"Christopher J."},{"family":"Krumm","given":"Frank"},{"family":"Langdon","given":"Barbara"},{"family":"Lapin","given":"Katharina"},{"family":"Lozano","given":"Vanessa"},{"family":"Le Roux","given":"Johannes J."},{"family":"Novoa","given":"Ana"},{"family":"Nuñez","given":"Martín A."},{"family":"Porté","given":"Annabel J."},{"family":"Silva","given":"Joaquim S."},{"family":"Schaffner","given":"Urs"},{"family":"Sitzia","given":"Tommaso"},{"family":"Tanner","given":"Rob"},{"family":"Tshidada","given":"Ntakadzeni"},{"family":"Vítková","given":"Michaela"},{"family":"Westergren","given":"Marjana"},{"family":"Wilson","given":"John R. U."},{"family":"Richardson","given":"David M."}],"issued":{"date-parts":[["2020"]]}},"label":"page"}],"schema":"https://github.com/citation-style-language/schema/raw/master/csl-citation.json"} </w:instrText>
      </w:r>
      <w:r w:rsidR="00D60828" w:rsidRPr="00A9434B">
        <w:fldChar w:fldCharType="separate"/>
      </w:r>
      <w:r w:rsidR="00C71E80" w:rsidRPr="00A9434B">
        <w:t>(Brundu et al., 2020)</w:t>
      </w:r>
      <w:r w:rsidR="00D60828" w:rsidRPr="00A9434B">
        <w:fldChar w:fldCharType="end"/>
      </w:r>
      <w:r w:rsidR="3D15E86A" w:rsidRPr="00A9434B">
        <w:t xml:space="preserve"> involving invasive, or potentially invasive, alien species.</w:t>
      </w:r>
      <w:r w:rsidR="086BF4D1" w:rsidRPr="00A9434B">
        <w:t xml:space="preserve"> </w:t>
      </w:r>
      <w:r w:rsidR="3D15E86A" w:rsidRPr="00A9434B">
        <w:t>Tree planting is</w:t>
      </w:r>
      <w:r w:rsidR="69EEC58A" w:rsidRPr="00A9434B">
        <w:t xml:space="preserve"> at the core of many national and regional climate strategies (i.e., </w:t>
      </w:r>
      <w:r w:rsidR="25F26563" w:rsidRPr="00A9434B">
        <w:t>c</w:t>
      </w:r>
      <w:r w:rsidR="69EEC58A" w:rsidRPr="00A9434B">
        <w:t>arbon neutrality commitment by the E</w:t>
      </w:r>
      <w:r w:rsidR="3F431928" w:rsidRPr="00A9434B">
        <w:t xml:space="preserve">uropean </w:t>
      </w:r>
      <w:r w:rsidR="69EEC58A" w:rsidRPr="00A9434B">
        <w:t>U</w:t>
      </w:r>
      <w:r w:rsidR="3F431928" w:rsidRPr="00A9434B">
        <w:t>nion</w:t>
      </w:r>
      <w:r w:rsidR="69EEC58A" w:rsidRPr="00A9434B">
        <w:t>, China, U</w:t>
      </w:r>
      <w:r w:rsidR="3F431928" w:rsidRPr="00A9434B">
        <w:t xml:space="preserve">nited </w:t>
      </w:r>
      <w:r w:rsidR="69EEC58A" w:rsidRPr="00A9434B">
        <w:t>S</w:t>
      </w:r>
      <w:r w:rsidR="3F431928" w:rsidRPr="00A9434B">
        <w:t>tates</w:t>
      </w:r>
      <w:r w:rsidR="69EEC58A" w:rsidRPr="00A9434B">
        <w:t xml:space="preserve">, South Africa, Japan, South Korea and Canada; </w:t>
      </w:r>
      <w:r w:rsidR="00D34121" w:rsidRPr="00A9434B">
        <w:fldChar w:fldCharType="begin"/>
      </w:r>
      <w:r w:rsidR="0006613E">
        <w:instrText xml:space="preserve"> ADDIN ZOTERO_ITEM CSL_CITATION {"citationID":"a13l7atlp4h","properties":{"formattedCitation":"\\uldash{(Climate Action Tracker, 2020)}","plainCitation":"(Climate Action Tracker, 2020)","dontUpdate":true,"noteIndex":0},"citationItems":[{"id":27208,"uris":["http://zotero.org/groups/2352922/items/A57RIW3M"],"itemData":{"id":27208,"type":"document","publisher":"NewClimate Institute and Climate Analytics","title":"Paris Agreement turning point: Wave of net zero targets reduces warming estimate to 2.1 degree celcius in 2100 All eyes on 2030 targets","URL":"https://climateactiontracker.org/documents/829/CAT_2020-12-01_Briefing_GlobalUpdate_Paris5Years_Dec2020.pdf","author":[{"literal":"Climate Action Tracker"}],"issued":{"date-parts":[["2020",12]]}},"label":"page"}],"schema":"https://github.com/citation-style-language/schema/raw/master/csl-citation.json"} </w:instrText>
      </w:r>
      <w:r w:rsidR="00D34121" w:rsidRPr="00A9434B">
        <w:fldChar w:fldCharType="separate"/>
      </w:r>
      <w:r w:rsidR="00F60F9E" w:rsidRPr="00A9434B">
        <w:t>Climate Action Tracker, 2020)</w:t>
      </w:r>
      <w:r w:rsidR="00D34121" w:rsidRPr="00A9434B">
        <w:fldChar w:fldCharType="end"/>
      </w:r>
      <w:r w:rsidR="69EEC58A" w:rsidRPr="00A9434B">
        <w:t xml:space="preserve">. However, the most frequently used species in forestry plantations are trees from the genera </w:t>
      </w:r>
      <w:r w:rsidR="69EEC58A" w:rsidRPr="00A9434B">
        <w:rPr>
          <w:i/>
          <w:iCs/>
        </w:rPr>
        <w:t>Pinus</w:t>
      </w:r>
      <w:r w:rsidR="69EEC58A" w:rsidRPr="00A9434B">
        <w:t xml:space="preserve">, </w:t>
      </w:r>
      <w:r w:rsidR="69EEC58A" w:rsidRPr="00A9434B">
        <w:rPr>
          <w:i/>
          <w:iCs/>
        </w:rPr>
        <w:t>Eucalyptus</w:t>
      </w:r>
      <w:r w:rsidR="69EEC58A" w:rsidRPr="00A9434B">
        <w:t xml:space="preserve"> and </w:t>
      </w:r>
      <w:r w:rsidR="69EEC58A" w:rsidRPr="00A9434B">
        <w:rPr>
          <w:i/>
          <w:iCs/>
        </w:rPr>
        <w:t xml:space="preserve">Acacia </w:t>
      </w:r>
      <w:r w:rsidR="69EEC58A" w:rsidRPr="00A9434B">
        <w:t>sp</w:t>
      </w:r>
      <w:r w:rsidR="3D15E86A" w:rsidRPr="00A9434B">
        <w:t>ecies. Th</w:t>
      </w:r>
      <w:r w:rsidR="36DDF192" w:rsidRPr="00A9434B">
        <w:t>ough these</w:t>
      </w:r>
      <w:r w:rsidR="3D15E86A" w:rsidRPr="00A9434B">
        <w:t xml:space="preserve"> species have traits that make them</w:t>
      </w:r>
      <w:r w:rsidR="009D4056" w:rsidRPr="00A9434B">
        <w:t xml:space="preserve"> </w:t>
      </w:r>
      <w:r w:rsidR="3D15E86A" w:rsidRPr="00A9434B">
        <w:t xml:space="preserve">suitable for </w:t>
      </w:r>
      <w:r w:rsidR="36DDF192" w:rsidRPr="00A9434B">
        <w:t xml:space="preserve">relatively rapid </w:t>
      </w:r>
      <w:r w:rsidR="3D15E86A" w:rsidRPr="00A9434B">
        <w:t>afforestation</w:t>
      </w:r>
      <w:r w:rsidR="36DDF192" w:rsidRPr="00A9434B">
        <w:t>,</w:t>
      </w:r>
      <w:r w:rsidR="009A689E" w:rsidRPr="00A9434B">
        <w:t xml:space="preserve"> </w:t>
      </w:r>
      <w:r w:rsidR="0801CE2F" w:rsidRPr="00A9434B">
        <w:t>they are</w:t>
      </w:r>
      <w:r w:rsidR="3D15E86A" w:rsidRPr="00A9434B">
        <w:t xml:space="preserve"> also potentially highly invasive</w:t>
      </w:r>
      <w:r w:rsidR="007419F9" w:rsidRPr="00A9434B">
        <w:fldChar w:fldCharType="begin"/>
      </w:r>
      <w:r w:rsidR="007419F9" w:rsidRPr="00A9434B">
        <w:instrText xml:space="preserve"> ADDIN EN.CITE &lt;EndNote&gt;&lt;Cite&gt;&lt;Author&gt;Doughty&lt;/Author&gt;&lt;Year&gt;2000&lt;/Year&gt;&lt;RecNum&gt;13&lt;/RecNum&gt;&lt;DisplayText&gt;(Eldridge, Davidson et al. 1994, Doughty 2000)&lt;/DisplayText&gt;&lt;record&gt;&lt;rec-number&gt;13&lt;/rec-number&gt;&lt;foreign-keys&gt;&lt;key app="EN" db-id="2fps2rpwcptwaxedz9oprzvmawfxef9pfpa2" timestamp="1620719672"&gt;13&lt;/key&gt;&lt;/foreign-keys&gt;&lt;ref-type name="Book"&gt;6&lt;/ref-type&gt;&lt;contributors&gt;&lt;authors&gt;&lt;author&gt;Doughty, Robin W&lt;/author&gt;&lt;/authors&gt;&lt;/contributors&gt;&lt;titles&gt;&lt;title&gt;The Eucalyptus: a natural and commercial history of the gum tree&lt;/title&gt;&lt;/titles&gt;&lt;dates&gt;&lt;year&gt;2000&lt;/year&gt;&lt;/dates&gt;&lt;publisher&gt;Johns Hopkins University Press&lt;/publisher&gt;&lt;isbn&gt;0801862310&lt;/isbn&gt;&lt;urls&gt;&lt;/urls&gt;&lt;/record&gt;&lt;/Cite&gt;&lt;Cite&gt;&lt;Author&gt;Eldridge&lt;/Author&gt;&lt;Year&gt;1994&lt;/Year&gt;&lt;RecNum&gt;14&lt;/RecNum&gt;&lt;record&gt;&lt;rec-number&gt;14&lt;/rec-number&gt;&lt;foreign-keys&gt;&lt;key app="EN" db-id="2fps2rpwcptwaxedz9oprzvmawfxef9pfpa2" timestamp="1620719702"&gt;14&lt;/key&gt;&lt;/foreign-keys&gt;&lt;ref-type name="Book"&gt;6&lt;/ref-type&gt;&lt;contributors&gt;&lt;authors&gt;&lt;author&gt;Eldridge, Ken&lt;/author&gt;&lt;author&gt;Davidson, John&lt;/author&gt;&lt;author&gt;Harwood, Chris&lt;/author&gt;&lt;author&gt;Wyk, G van&lt;/author&gt;&lt;/authors&gt;&lt;/contributors&gt;&lt;titles&gt;&lt;title&gt;Eucalypt domestication and breeding&lt;/title&gt;&lt;/titles&gt;&lt;dates&gt;&lt;year&gt;1994&lt;/year&gt;&lt;/dates&gt;&lt;publisher&gt;Clarendon Press&lt;/publisher&gt;&lt;isbn&gt;0198548664&lt;/isbn&gt;&lt;urls&gt;&lt;/urls&gt;&lt;/record&gt;&lt;/Cite&gt;&lt;/EndNote&gt;</w:instrText>
      </w:r>
      <w:r w:rsidR="007419F9" w:rsidRPr="00A9434B">
        <w:fldChar w:fldCharType="separate"/>
      </w:r>
      <w:r w:rsidR="677D5C1B" w:rsidRPr="00A9434B">
        <w:t xml:space="preserve"> </w:t>
      </w:r>
      <w:r w:rsidR="00C555B3" w:rsidRPr="00A9434B">
        <w:fldChar w:fldCharType="begin"/>
      </w:r>
      <w:r w:rsidR="0006613E">
        <w:instrText xml:space="preserve"> ADDIN ZOTERO_ITEM CSL_CITATION {"citationID":"a2c11s1gd29","properties":{"formattedCitation":"(Doughty, 2000; Eldridge et al., 1994; D. M. Richardson &amp; Rejmanek, 2004)","plainCitation":"(Doughty, 2000; Eldridge et al., 1994; D. M. Richardson &amp; Rejmanek, 2004)","noteIndex":0},"citationItems":[{"id":53201,"uris":["http://zotero.org/groups/2352922/items/FIJ2IQC9"],"itemData":{"id":53201,"type":"book","ISBN":"978-0-8018-6231-1","publisher":"Johns Hopkins University Press","title":"The Eucalyptus: a natural and commercial history of the gum tree.","author":[{"family":"Doughty","given":"Robin W."}],"issued":{"date-parts":[["2000"]]}},"label":"page"},{"id":53555,"uris":["http://zotero.org/groups/2352922/items/8Z6IJBAH","http://zotero.org/groups/2352922/items/2KU6B95L"],"itemData":{"id":53555,"type":"book","ISBN":"0-19-854866-4","number-of-pages":"308","publisher":"Clarendon Press","title":"Eucalypt domestication and breeding","author":[{"family":"Eldridge","given":"Ken"},{"family":"Davidson","given":"John"},{"family":"Harwood","given":"Chris"},{"family":"Wyk","given":"G.","dropping-particle":"van"}],"issued":{"date-parts":[["1994"]]}},"label":"page"},{"id":53456,"uris":["http://zotero.org/groups/2352922/items/T6RZHXVJ","http://zotero.org/groups/2352922/items/J4QFUUY8"],"itemData":{"id":53456,"type":"article-journal","container-title":"Diversity and Distributions","DOI":"10.1111/j.1366-9516.2004.00096.x","ISSN":"1366-9516","issue":"5-6","language":"English","note":"number: 5-6","page":"321-331","title":"Conifers as invasive aliens: a global survey and predictive framework","volume":"10","author":[{"family":"Richardson","given":"David M."},{"family":"Rejmanek","given":"M."}],"issued":{"date-parts":[["2004",11]]}},"label":"page"}],"schema":"https://github.com/citation-style-language/schema/raw/master/csl-citation.json"} </w:instrText>
      </w:r>
      <w:r w:rsidR="00C555B3" w:rsidRPr="00A9434B">
        <w:fldChar w:fldCharType="separate"/>
      </w:r>
      <w:r w:rsidR="00C71E80" w:rsidRPr="00A9434B">
        <w:t>(Doughty, 2000; Eldridge et al., 1994; D. M. Richardson &amp; Rejmanek, 2004)</w:t>
      </w:r>
      <w:r w:rsidR="00C555B3" w:rsidRPr="00A9434B">
        <w:fldChar w:fldCharType="end"/>
      </w:r>
      <w:r w:rsidR="007419F9" w:rsidRPr="00A9434B">
        <w:fldChar w:fldCharType="end"/>
      </w:r>
      <w:r w:rsidR="00F60F9E" w:rsidRPr="00A9434B">
        <w:t xml:space="preserve">. </w:t>
      </w:r>
      <w:r w:rsidR="36DDF192" w:rsidRPr="00A9434B">
        <w:t>W</w:t>
      </w:r>
      <w:r w:rsidR="5FFB593A" w:rsidRPr="00A9434B">
        <w:t>hile not invasive</w:t>
      </w:r>
      <w:r w:rsidR="01C1A0C6" w:rsidRPr="00A9434B">
        <w:t>,</w:t>
      </w:r>
      <w:r w:rsidR="5FFB593A" w:rsidRPr="00A9434B">
        <w:t xml:space="preserve"> </w:t>
      </w:r>
      <w:r w:rsidR="677D5C1B" w:rsidRPr="00A9434B">
        <w:rPr>
          <w:i/>
          <w:iCs/>
        </w:rPr>
        <w:t>Elaeis guineensis</w:t>
      </w:r>
      <w:r w:rsidR="677D5C1B" w:rsidRPr="00A9434B">
        <w:t xml:space="preserve"> </w:t>
      </w:r>
      <w:r w:rsidR="69EEC58A" w:rsidRPr="00A9434B">
        <w:t>(</w:t>
      </w:r>
      <w:r w:rsidR="005127B0" w:rsidRPr="00A9434B">
        <w:t xml:space="preserve">African </w:t>
      </w:r>
      <w:r w:rsidR="677D5C1B" w:rsidRPr="00A9434B">
        <w:t>oil palm</w:t>
      </w:r>
      <w:r w:rsidR="69EEC58A" w:rsidRPr="00A9434B">
        <w:t>) plantations ha</w:t>
      </w:r>
      <w:r w:rsidR="3718C983" w:rsidRPr="00A9434B">
        <w:t>ve</w:t>
      </w:r>
      <w:r w:rsidR="69EEC58A" w:rsidRPr="00A9434B">
        <w:t xml:space="preserve"> been promoted as a climate mitigation strategy, </w:t>
      </w:r>
      <w:r w:rsidR="358F8FD4" w:rsidRPr="00A9434B">
        <w:t>yet they</w:t>
      </w:r>
      <w:r w:rsidR="69EEC58A" w:rsidRPr="00A9434B">
        <w:t xml:space="preserve"> have limited biodiversity and conservation value </w:t>
      </w:r>
      <w:r w:rsidR="00E07F1D" w:rsidRPr="00A9434B">
        <w:fldChar w:fldCharType="begin"/>
      </w:r>
      <w:r w:rsidR="00E07F1D" w:rsidRPr="00A9434B">
        <w:instrText xml:space="preserve"> ADDIN EN.CITE &lt;EndNote&gt;&lt;Cite&gt;&lt;Author&gt;Harvey&lt;/Author&gt;&lt;Year&gt;2010&lt;/Year&gt;&lt;RecNum&gt;12&lt;/RecNum&gt;&lt;DisplayText&gt;(Harvey, Dickson et al. 2010)&lt;/DisplayText&gt;&lt;record&gt;&lt;rec-number&gt;12&lt;/rec-number&gt;&lt;foreign-keys&gt;&lt;key app="EN" db-id="2fps2rpwcptwaxedz9oprzvmawfxef9pfpa2" timestamp="1620719597"&gt;12&lt;/key&gt;&lt;/foreign-keys&gt;&lt;ref-type name="Journal Article"&gt;17&lt;/ref-type&gt;&lt;contributors&gt;&lt;authors&gt;&lt;author&gt;Harvey, C. A.&lt;/author&gt;&lt;author&gt;Dickson, B.&lt;/author&gt;&lt;author&gt;Kormos, C.&lt;/author&gt;&lt;/authors&gt;&lt;/contributors&gt;&lt;auth-address&gt;Conservat Int, Ctr Appl Biodivers Sci, Arlington, VA 22202 USA&amp;#xD;UNEP World Conservat Monitoring Ctr, Cambridge CB3 0DL, England&amp;#xD;WILD Fdn, Boulder, CO 80304 USA&lt;/auth-address&gt;&lt;titles&gt;&lt;title&gt;Opportunities for achieving biodiversity conservation through REDD&lt;/title&gt;&lt;secondary-title&gt;Conservation Letters&lt;/secondary-title&gt;&lt;alt-title&gt;Conserv Lett&lt;/alt-title&gt;&lt;/titles&gt;&lt;periodical&gt;&lt;full-title&gt;Conservation Letters&lt;/full-title&gt;&lt;abbr-1&gt;Conserv Lett&lt;/abbr-1&gt;&lt;/periodical&gt;&lt;alt-periodical&gt;&lt;full-title&gt;Conservation Letters&lt;/full-title&gt;&lt;abbr-1&gt;Conserv Lett&lt;/abbr-1&gt;&lt;/alt-periodical&gt;&lt;pages&gt;53-61&lt;/pages&gt;&lt;volume&gt;3&lt;/volume&gt;&lt;number&gt;1&lt;/number&gt;&lt;keywords&gt;&lt;keyword&gt;deforestation&lt;/keyword&gt;&lt;keyword&gt;climate mitigation&lt;/keyword&gt;&lt;keyword&gt;forest degradation&lt;/keyword&gt;&lt;keyword&gt;leakage&lt;/keyword&gt;&lt;keyword&gt;protected areas&lt;/keyword&gt;&lt;keyword&gt;tropical forests&lt;/keyword&gt;&lt;keyword&gt;unfccc&lt;/keyword&gt;&lt;keyword&gt;forest degradation&lt;/keyword&gt;&lt;keyword&gt;protected areas&lt;/keyword&gt;&lt;keyword&gt;carbon&lt;/keyword&gt;&lt;keyword&gt;deforestation&lt;/keyword&gt;&lt;keyword&gt;mitigation&lt;/keyword&gt;&lt;keyword&gt;emissions&lt;/keyword&gt;&lt;keyword&gt;networks&lt;/keyword&gt;&lt;/keywords&gt;&lt;dates&gt;&lt;year&gt;2010&lt;/year&gt;&lt;pub-dates&gt;&lt;date&gt;Feb&lt;/date&gt;&lt;/pub-dates&gt;&lt;/dates&gt;&lt;isbn&gt;1755-263x&lt;/isbn&gt;&lt;accession-num&gt;WOS:000279223900007&lt;/accession-num&gt;&lt;urls&gt;&lt;related-urls&gt;&lt;url&gt;&amp;lt;Go to ISI&amp;gt;://WOS:000279223900007&lt;/url&gt;&lt;/related-urls&gt;&lt;/urls&gt;&lt;electronic-resource-num&gt;10.1111/j.1755-263X.2009.00086.x&lt;/electronic-resource-num&gt;&lt;language&gt;English&lt;/language&gt;&lt;/record&gt;&lt;/Cite&gt;&lt;/EndNote&gt;</w:instrText>
      </w:r>
      <w:r w:rsidR="00E07F1D" w:rsidRPr="00A9434B">
        <w:fldChar w:fldCharType="separate"/>
      </w:r>
      <w:r w:rsidR="00E07F1D" w:rsidRPr="00A9434B">
        <w:fldChar w:fldCharType="begin"/>
      </w:r>
      <w:r w:rsidR="0006613E">
        <w:instrText xml:space="preserve"> ADDIN ZOTERO_ITEM CSL_CITATION {"citationID":"a17r4spcn53","properties":{"formattedCitation":"(Harvey et al., 2010)","plainCitation":"(Harvey et al., 2010)","noteIndex":0},"citationItems":[{"id":53537,"uris":["http://zotero.org/groups/2352922/items/LREC4FUM","http://zotero.org/groups/2352922/items/TQF2YUHG"],"itemData":{"id":53537,"type":"article-journal","container-title":"Conservation Letters","DOI":"10.1111/j.1755-263X.2009.00086.x","ISSN":"1755-263X","issue":"1","language":"English","page":"53-61","title":"Opportunities for achieving biodiversity conservation through REDD","volume":"3","author":[{"family":"Harvey","given":"C. A."},{"family":"Dickson","given":"B."},{"family":"Kormos","given":"C."}],"issued":{"date-parts":[["2010",2]]}}}],"schema":"https://github.com/citation-style-language/schema/raw/master/csl-citation.json"} </w:instrText>
      </w:r>
      <w:r w:rsidR="00E07F1D" w:rsidRPr="00A9434B">
        <w:fldChar w:fldCharType="separate"/>
      </w:r>
      <w:r w:rsidR="00C71E80" w:rsidRPr="00A9434B">
        <w:t>(Harvey et al., 2010)</w:t>
      </w:r>
      <w:r w:rsidR="00E07F1D" w:rsidRPr="00A9434B">
        <w:fldChar w:fldCharType="end"/>
      </w:r>
      <w:r w:rsidR="00E07F1D" w:rsidRPr="00A9434B">
        <w:fldChar w:fldCharType="end"/>
      </w:r>
      <w:r w:rsidR="69EEC58A" w:rsidRPr="00A9434B">
        <w:t>. Therefore, not considering fundamental environmental values</w:t>
      </w:r>
      <w:r w:rsidR="3D15E86A" w:rsidRPr="00A9434B">
        <w:t>, including safeguarding</w:t>
      </w:r>
      <w:r w:rsidR="69EEC58A" w:rsidRPr="00A9434B">
        <w:t xml:space="preserve"> biodiversity in climate mitigation initiatives</w:t>
      </w:r>
      <w:r w:rsidR="3D15E86A" w:rsidRPr="00A9434B">
        <w:t>,</w:t>
      </w:r>
      <w:r w:rsidR="69EEC58A" w:rsidRPr="00A9434B">
        <w:t xml:space="preserve"> can result in serious negative ecological consequences</w:t>
      </w:r>
      <w:r w:rsidR="3D15E86A" w:rsidRPr="00A9434B">
        <w:t>. Examples of impact include biotic homogeni</w:t>
      </w:r>
      <w:r w:rsidR="00F32456" w:rsidRPr="00A9434B">
        <w:t>z</w:t>
      </w:r>
      <w:r w:rsidR="3D15E86A" w:rsidRPr="00A9434B">
        <w:t>ation</w:t>
      </w:r>
      <w:r w:rsidR="69EEC58A" w:rsidRPr="00A9434B">
        <w:t xml:space="preserve"> </w:t>
      </w:r>
      <w:r w:rsidR="00F806B6" w:rsidRPr="00A9434B">
        <w:t>(</w:t>
      </w:r>
      <w:r w:rsidR="008615FF">
        <w:rPr>
          <w:b/>
          <w:iCs/>
        </w:rPr>
        <w:t>G</w:t>
      </w:r>
      <w:r w:rsidR="00D34AFC" w:rsidRPr="00673554">
        <w:rPr>
          <w:b/>
          <w:iCs/>
        </w:rPr>
        <w:t>lossary</w:t>
      </w:r>
      <w:r w:rsidR="00D34AFC" w:rsidRPr="00A9434B">
        <w:t xml:space="preserve">, </w:t>
      </w:r>
      <w:r w:rsidR="00A605E4" w:rsidRPr="00A9434B">
        <w:fldChar w:fldCharType="begin"/>
      </w:r>
      <w:r w:rsidR="0006613E">
        <w:instrText xml:space="preserve"> ADDIN ZOTERO_ITEM CSL_CITATION {"citationID":"a1or6cma3he","properties":{"formattedCitation":"\\uldash{(Olden et al., 2004)}","plainCitation":"(Olden et al., 2004)","dontUpdate":true,"noteIndex":0},"citationItems":[{"id":53474,"uris":["http://zotero.org/groups/2352922/items/9CA865YZ"],"itemData":{"id":53474,"type":"article-journal","container-title":"Trends in Ecology &amp; Evolution","DOI":"10.1016/j.tree.2003.09.010","ISSN":"0169-5347","issue":"1","journalAbbreviation":"Trends Ecol Evol","language":"English","note":"number: 1","page":"18-24","title":"Ecological and evolutionary consequences of biotic homogenization","volume":"19","author":[{"family":"Olden","given":"J. D."},{"family":"Poff","given":"N. L."},{"family":"Douglas","given":"M. R."},{"family":"Douglas","given":"M. E."},{"family":"Fausch","given":"K. D."}],"issued":{"date-parts":[["2004",1]]}},"label":"page"}],"schema":"https://github.com/citation-style-language/schema/raw/master/csl-citation.json"} </w:instrText>
      </w:r>
      <w:r w:rsidR="00A605E4" w:rsidRPr="00A9434B">
        <w:fldChar w:fldCharType="separate"/>
      </w:r>
      <w:r w:rsidR="00F60F9E" w:rsidRPr="00A9434B">
        <w:t>Olden et al., 2004)</w:t>
      </w:r>
      <w:r w:rsidR="00A605E4" w:rsidRPr="00A9434B">
        <w:fldChar w:fldCharType="end"/>
      </w:r>
      <w:r w:rsidR="007419F9" w:rsidRPr="00A9434B">
        <w:fldChar w:fldCharType="begin"/>
      </w:r>
      <w:r w:rsidR="007419F9" w:rsidRPr="00A9434B">
        <w:instrText xml:space="preserve"> ADDIN EN.CITE &lt;EndNote&gt;&lt;Cite&gt;&lt;Author&gt;Olden&lt;/Author&gt;&lt;Year&gt;2004&lt;/Year&gt;&lt;RecNum&gt;16&lt;/RecNum&gt;&lt;DisplayText&gt;(Olden, Poff et al. 2004)&lt;/DisplayText&gt;&lt;record&gt;&lt;rec-number&gt;16&lt;/rec-number&gt;&lt;foreign-keys&gt;&lt;key app="EN" db-id="2fps2rpwcptwaxedz9oprzvmawfxef9pfpa2" timestamp="1620719783"&gt;16&lt;/key&gt;&lt;/foreign-keys&gt;&lt;ref-type name="Journal Article"&gt;17&lt;/ref-type&gt;&lt;contributors&gt;&lt;authors&gt;&lt;author&gt;Olden, J. D.&lt;/author&gt;&lt;author&gt;Poff, N. L.&lt;/author&gt;&lt;author&gt;Douglas, M. R.&lt;/author&gt;&lt;author&gt;Douglas, M. E.&lt;/author&gt;&lt;author&gt;Fausch, K. D.&lt;/author&gt;&lt;/authors&gt;&lt;/contributors&gt;&lt;auth-address&gt;Colorado State Univ, Dept Biol, Ft Collins, CO 80523 USA&amp;#xD;Colorado State Univ, Grad Degree Program Ecol, Ft Collins, CO 80523 USA&amp;#xD;Colorado State Univ, Dept Fishery &amp;amp; Wildlife Biol, Ft Collins, CO 80523 USA&lt;/auth-address&gt;&lt;titles&gt;&lt;title&gt;Ecological and evolutionary consequences of biotic homogenization&lt;/title&gt;&lt;secondary-title&gt;Trends in Ecology &amp;amp; Evolution&lt;/secondary-title&gt;&lt;alt-title&gt;Trends Ecol Evol&lt;/alt-title&gt;&lt;/titles&gt;&lt;periodical&gt;&lt;full-title&gt;Trends in Ecology &amp;amp; Evolution&lt;/full-title&gt;&lt;abbr-1&gt;Trends Ecol Evol&lt;/abbr-1&gt;&lt;/periodical&gt;&lt;alt-periodical&gt;&lt;full-title&gt;Trends in Ecology &amp;amp; Evolution&lt;/full-title&gt;&lt;abbr-1&gt;Trends Ecol Evol&lt;/abbr-1&gt;&lt;/alt-periodical&gt;&lt;pages&gt;18-24&lt;/pages&gt;&lt;volume&gt;19&lt;/volume&gt;&lt;number&gt;1&lt;/number&gt;&lt;keywords&gt;&lt;keyword&gt;functional diversity&lt;/keyword&gt;&lt;keyword&gt;population-genetics&lt;/keyword&gt;&lt;keyword&gt;invasion resistance&lt;/keyword&gt;&lt;keyword&gt;ecosystem function&lt;/keyword&gt;&lt;keyword&gt;united-states&lt;/keyword&gt;&lt;keyword&gt;food webs&lt;/keyword&gt;&lt;keyword&gt;biodiversity&lt;/keyword&gt;&lt;keyword&gt;hybridization&lt;/keyword&gt;&lt;keyword&gt;communities&lt;/keyword&gt;&lt;keyword&gt;faunas&lt;/keyword&gt;&lt;/keywords&gt;&lt;dates&gt;&lt;year&gt;2004&lt;/year&gt;&lt;pub-dates&gt;&lt;date&gt;Jan&lt;/date&gt;&lt;/pub-dates&gt;&lt;/dates&gt;&lt;isbn&gt;0169-5347&lt;/isbn&gt;&lt;accession-num&gt;WOS:000187955300007&lt;/accession-num&gt;&lt;urls&gt;&lt;related-urls&gt;&lt;url&gt;&amp;lt;Go to ISI&amp;gt;://WOS:000187955300007&lt;/url&gt;&lt;/related-urls&gt;&lt;/urls&gt;&lt;electronic-resource-num&gt;10.1016/j.tree.2003.09.010&lt;/electronic-resource-num&gt;&lt;language&gt;English&lt;/language&gt;&lt;/record&gt;&lt;/Cite&gt;&lt;/EndNote&gt;</w:instrText>
      </w:r>
      <w:r w:rsidR="007419F9" w:rsidRPr="00A9434B">
        <w:fldChar w:fldCharType="end"/>
      </w:r>
      <w:r w:rsidR="69EEC58A" w:rsidRPr="00A9434B">
        <w:t xml:space="preserve">, genetic swamping </w:t>
      </w:r>
      <w:r w:rsidR="007419F9" w:rsidRPr="00A9434B">
        <w:fldChar w:fldCharType="begin">
          <w:fldData xml:space="preserve">PEVuZE5vdGU+PENpdGU+PEF1dGhvcj5CYXJib3VyPC9BdXRob3I+PFllYXI+MjAxMDwvWWVhcj48
UmVjTnVtPjE3PC9SZWNOdW0+PERpc3BsYXlUZXh0PihCYXJib3VyLCBXaXNlIGV0IGFsLiAyMDEw
KTwvRGlzcGxheVRleHQ+PHJlY29yZD48cmVjLW51bWJlcj4xNzwvcmVjLW51bWJlcj48Zm9yZWln
bi1rZXlzPjxrZXkgYXBwPSJFTiIgZGItaWQ9IjJmcHMycnB3Y3B0d2F4ZWR6OW9wcnp2bWF3Znhl
ZjlwZnBhMiIgdGltZXN0YW1wPSIxNjIwNzE5ODAyIj4xNzwva2V5PjwvZm9yZWlnbi1rZXlzPjxy
ZWYtdHlwZSBuYW1lPSJKb3VybmFsIEFydGljbGUiPjE3PC9yZWYtdHlwZT48Y29udHJpYnV0b3Jz
PjxhdXRob3JzPjxhdXRob3I+QmFyYm91ciwgUi4gQy48L2F1dGhvcj48YXV0aG9yPldpc2UsIFMu
IEwuPC9hdXRob3I+PGF1dGhvcj5NY0tpbm5vbiwgRy4gRS48L2F1dGhvcj48YXV0aG9yPlZhaWxs
YW5jb3VydCwgUi4gRS48L2F1dGhvcj48YXV0aG9yPldpbGxpYW1zb24sIEcuIEouPC9hdXRob3I+
PGF1dGhvcj5Qb3R0cywgQi4gTS48L2F1dGhvcj48L2F1dGhvcnM+PC9jb250cmlidXRvcnM+PGF1
dGgtYWRkcmVzcz5Vbml2IFRhc21hbmlhLCBTY2ggUGxhbnQgU2NpLCBIb2JhcnQsIFRhcyA3MDAx
LCBBdXN0cmFsaWEmI3hEO1VuaXYgVGFzbWFuaWEsIENvb3BlcmF0IFJlcyBDdHIgRm9yZXN0cnks
IEhvYmFydCwgVGFzIDcwMDEsIEF1c3RyYWxpYTwvYXV0aC1hZGRyZXNzPjx0aXRsZXM+PHRpdGxl
PlRoZSBwb3RlbnRpYWwgZm9yIGdlbmUgZmxvdyBmcm9tIGV4b3RpYyBldWNhbHlwdCBwbGFudGF0
aW9ucyBpbnRvIEF1c3RyYWxpYSZhcG9zO3MgcmFyZSBuYXRpdmUgZXVjYWx5cHRzPC90aXRsZT48
c2Vjb25kYXJ5LXRpdGxlPkZvcmVzdCBFY29sb2d5IGFuZCBNYW5hZ2VtZW50PC9zZWNvbmRhcnkt
dGl0bGU+PGFsdC10aXRsZT5Gb3Jlc3QgRWNvbCBNYW5hZzwvYWx0LXRpdGxlPjwvdGl0bGVzPjxw
ZXJpb2RpY2FsPjxmdWxsLXRpdGxlPkZvcmVzdCBFY29sb2d5IGFuZCBNYW5hZ2VtZW50PC9mdWxs
LXRpdGxlPjxhYmJyLTE+Rm9yZXN0IEVjb2wgTWFuYWc8L2FiYnItMT48L3BlcmlvZGljYWw+PGFs
dC1wZXJpb2RpY2FsPjxmdWxsLXRpdGxlPkZvcmVzdCBFY29sb2d5IGFuZCBNYW5hZ2VtZW50PC9m
dWxsLXRpdGxlPjxhYmJyLTE+Rm9yZXN0IEVjb2wgTWFuYWc8L2FiYnItMT48L2FsdC1wZXJpb2Rp
Y2FsPjxwYWdlcz4yMDc5LTIwODc8L3BhZ2VzPjx2b2x1bWU+MjYwPC92b2x1bWU+PG51bWJlcj4x
MjwvbnVtYmVyPjxrZXl3b3Jkcz48a2V5d29yZD5nZW5lIGZsb3c8L2tleXdvcmQ+PGtleXdvcmQ+
YmlvbG9naWNhbCBpbnZhc2lvbjwva2V5d29yZD48a2V5d29yZD5nZW5ldGljIHBvbGx1dGlvbjwv
a2V5d29yZD48a2V5d29yZD5nZW5ldGljIGNvbnRhbWluYXRpb248L2tleXdvcmQ+PGtleXdvcmQ+
cG9sbGVuIGRpc3BlcnNhbDwva2V5d29yZD48a2V5d29yZD5pbnRyb2dyZXNzaW9uPC9rZXl3b3Jk
PjxrZXl3b3JkPm9mZi1zaXRlIGltcGFjdHM8L2tleXdvcmQ+PGtleXdvcmQ+Zm9yZXN0IG1hbmFn
ZW1lbnQ8L2tleXdvcmQ+PGtleXdvcmQ+cGxhbnRhdGlvbiBmb3Jlc3RyeTwva2V5d29yZD48a2V5
d29yZD5wbGFudCBjb25zZXJ2YXRpb248L2tleXdvcmQ+PGtleXdvcmQ+cG9sbGVuIGRpc3BlcnNh
bDwva2V5d29yZD48a2V5d29yZD50cmVlIHBvcHVsYXRpb25zPC9rZXl3b3JkPjxrZXl3b3JkPmh5
YnJpZGl6YXRpb248L2tleXdvcmQ+PGtleXdvcmQ+bml0ZW5zPC9rZXl3b3JkPjxrZXl3b3JkPmV4
dGluY3Rpb248L2tleXdvcmQ+PGtleXdvcmQ+bXlydGFjZWFlPC9rZXl3b3JkPjxrZXl3b3JkPnJp
c2s8L2tleXdvcmQ+PGtleXdvcmQ+aW50cm9ncmVzc2lvbjwva2V5d29yZD48a2V5d29yZD5jb25z
ZXF1ZW5jZXM8L2tleXdvcmQ+PC9rZXl3b3Jkcz48ZGF0ZXM+PHllYXI+MjAxMDwveWVhcj48cHVi
LWRhdGVzPjxkYXRlPkRlYyAxNTwvZGF0ZT48L3B1Yi1kYXRlcz48L2RhdGVzPjxpc2JuPjAzNzgt
MTEyNzwvaXNibj48YWNjZXNzaW9uLW51bT5XT1M6MDAwMjg0NzM0MzAwMDAzPC9hY2Nlc3Npb24t
bnVtPjx1cmxzPjxyZWxhdGVkLXVybHM+PHVybD4mbHQ7R28gdG8gSVNJJmd0OzovL1dPUzowMDAy
ODQ3MzQzMDAwMDM8L3VybD48L3JlbGF0ZWQtdXJscz48L3VybHM+PGVsZWN0cm9uaWMtcmVzb3Vy
Y2UtbnVtPjEwLjEwMTYvai5mb3JlY28uMjAxMC4wOC4wNDk8L2VsZWN0cm9uaWMtcmVzb3VyY2Ut
bnVtPjxsYW5ndWFnZT5FbmdsaXNoPC9sYW5ndWFnZT48L3JlY29yZD48L0NpdGU+PC9FbmROb3Rl
PgB=
</w:fldData>
        </w:fldChar>
      </w:r>
      <w:r w:rsidR="007419F9" w:rsidRPr="00A9434B">
        <w:instrText xml:space="preserve"> ADDIN EN.CITE </w:instrText>
      </w:r>
      <w:r w:rsidR="007419F9" w:rsidRPr="00A9434B">
        <w:fldChar w:fldCharType="begin">
          <w:fldData xml:space="preserve">PEVuZE5vdGU+PENpdGU+PEF1dGhvcj5CYXJib3VyPC9BdXRob3I+PFllYXI+MjAxMDwvWWVhcj48
UmVjTnVtPjE3PC9SZWNOdW0+PERpc3BsYXlUZXh0PihCYXJib3VyLCBXaXNlIGV0IGFsLiAyMDEw
KTwvRGlzcGxheVRleHQ+PHJlY29yZD48cmVjLW51bWJlcj4xNzwvcmVjLW51bWJlcj48Zm9yZWln
bi1rZXlzPjxrZXkgYXBwPSJFTiIgZGItaWQ9IjJmcHMycnB3Y3B0d2F4ZWR6OW9wcnp2bWF3Znhl
ZjlwZnBhMiIgdGltZXN0YW1wPSIxNjIwNzE5ODAyIj4xNzwva2V5PjwvZm9yZWlnbi1rZXlzPjxy
ZWYtdHlwZSBuYW1lPSJKb3VybmFsIEFydGljbGUiPjE3PC9yZWYtdHlwZT48Y29udHJpYnV0b3Jz
PjxhdXRob3JzPjxhdXRob3I+QmFyYm91ciwgUi4gQy48L2F1dGhvcj48YXV0aG9yPldpc2UsIFMu
IEwuPC9hdXRob3I+PGF1dGhvcj5NY0tpbm5vbiwgRy4gRS48L2F1dGhvcj48YXV0aG9yPlZhaWxs
YW5jb3VydCwgUi4gRS48L2F1dGhvcj48YXV0aG9yPldpbGxpYW1zb24sIEcuIEouPC9hdXRob3I+
PGF1dGhvcj5Qb3R0cywgQi4gTS48L2F1dGhvcj48L2F1dGhvcnM+PC9jb250cmlidXRvcnM+PGF1
dGgtYWRkcmVzcz5Vbml2IFRhc21hbmlhLCBTY2ggUGxhbnQgU2NpLCBIb2JhcnQsIFRhcyA3MDAx
LCBBdXN0cmFsaWEmI3hEO1VuaXYgVGFzbWFuaWEsIENvb3BlcmF0IFJlcyBDdHIgRm9yZXN0cnks
IEhvYmFydCwgVGFzIDcwMDEsIEF1c3RyYWxpYTwvYXV0aC1hZGRyZXNzPjx0aXRsZXM+PHRpdGxl
PlRoZSBwb3RlbnRpYWwgZm9yIGdlbmUgZmxvdyBmcm9tIGV4b3RpYyBldWNhbHlwdCBwbGFudGF0
aW9ucyBpbnRvIEF1c3RyYWxpYSZhcG9zO3MgcmFyZSBuYXRpdmUgZXVjYWx5cHRzPC90aXRsZT48
c2Vjb25kYXJ5LXRpdGxlPkZvcmVzdCBFY29sb2d5IGFuZCBNYW5hZ2VtZW50PC9zZWNvbmRhcnkt
dGl0bGU+PGFsdC10aXRsZT5Gb3Jlc3QgRWNvbCBNYW5hZzwvYWx0LXRpdGxlPjwvdGl0bGVzPjxw
ZXJpb2RpY2FsPjxmdWxsLXRpdGxlPkZvcmVzdCBFY29sb2d5IGFuZCBNYW5hZ2VtZW50PC9mdWxs
LXRpdGxlPjxhYmJyLTE+Rm9yZXN0IEVjb2wgTWFuYWc8L2FiYnItMT48L3BlcmlvZGljYWw+PGFs
dC1wZXJpb2RpY2FsPjxmdWxsLXRpdGxlPkZvcmVzdCBFY29sb2d5IGFuZCBNYW5hZ2VtZW50PC9m
dWxsLXRpdGxlPjxhYmJyLTE+Rm9yZXN0IEVjb2wgTWFuYWc8L2FiYnItMT48L2FsdC1wZXJpb2Rp
Y2FsPjxwYWdlcz4yMDc5LTIwODc8L3BhZ2VzPjx2b2x1bWU+MjYwPC92b2x1bWU+PG51bWJlcj4x
MjwvbnVtYmVyPjxrZXl3b3Jkcz48a2V5d29yZD5nZW5lIGZsb3c8L2tleXdvcmQ+PGtleXdvcmQ+
YmlvbG9naWNhbCBpbnZhc2lvbjwva2V5d29yZD48a2V5d29yZD5nZW5ldGljIHBvbGx1dGlvbjwv
a2V5d29yZD48a2V5d29yZD5nZW5ldGljIGNvbnRhbWluYXRpb248L2tleXdvcmQ+PGtleXdvcmQ+
cG9sbGVuIGRpc3BlcnNhbDwva2V5d29yZD48a2V5d29yZD5pbnRyb2dyZXNzaW9uPC9rZXl3b3Jk
PjxrZXl3b3JkPm9mZi1zaXRlIGltcGFjdHM8L2tleXdvcmQ+PGtleXdvcmQ+Zm9yZXN0IG1hbmFn
ZW1lbnQ8L2tleXdvcmQ+PGtleXdvcmQ+cGxhbnRhdGlvbiBmb3Jlc3RyeTwva2V5d29yZD48a2V5
d29yZD5wbGFudCBjb25zZXJ2YXRpb248L2tleXdvcmQ+PGtleXdvcmQ+cG9sbGVuIGRpc3BlcnNh
bDwva2V5d29yZD48a2V5d29yZD50cmVlIHBvcHVsYXRpb25zPC9rZXl3b3JkPjxrZXl3b3JkPmh5
YnJpZGl6YXRpb248L2tleXdvcmQ+PGtleXdvcmQ+bml0ZW5zPC9rZXl3b3JkPjxrZXl3b3JkPmV4
dGluY3Rpb248L2tleXdvcmQ+PGtleXdvcmQ+bXlydGFjZWFlPC9rZXl3b3JkPjxrZXl3b3JkPnJp
c2s8L2tleXdvcmQ+PGtleXdvcmQ+aW50cm9ncmVzc2lvbjwva2V5d29yZD48a2V5d29yZD5jb25z
ZXF1ZW5jZXM8L2tleXdvcmQ+PC9rZXl3b3Jkcz48ZGF0ZXM+PHllYXI+MjAxMDwveWVhcj48cHVi
LWRhdGVzPjxkYXRlPkRlYyAxNTwvZGF0ZT48L3B1Yi1kYXRlcz48L2RhdGVzPjxpc2JuPjAzNzgt
MTEyNzwvaXNibj48YWNjZXNzaW9uLW51bT5XT1M6MDAwMjg0NzM0MzAwMDAzPC9hY2Nlc3Npb24t
bnVtPjx1cmxzPjxyZWxhdGVkLXVybHM+PHVybD4mbHQ7R28gdG8gSVNJJmd0OzovL1dPUzowMDAy
ODQ3MzQzMDAwMDM8L3VybD48L3JlbGF0ZWQtdXJscz48L3VybHM+PGVsZWN0cm9uaWMtcmVzb3Vy
Y2UtbnVtPjEwLjEwMTYvai5mb3JlY28uMjAxMC4wOC4wNDk8L2VsZWN0cm9uaWMtcmVzb3VyY2Ut
bnVtPjxsYW5ndWFnZT5FbmdsaXNoPC9sYW5ndWFnZT48L3JlY29yZD48L0NpdGU+PC9FbmROb3Rl
PgB=
</w:fldData>
        </w:fldChar>
      </w:r>
      <w:r w:rsidR="007419F9" w:rsidRPr="00A9434B">
        <w:instrText xml:space="preserve"> ADDIN EN.CITE.DATA </w:instrText>
      </w:r>
      <w:r w:rsidR="007419F9" w:rsidRPr="00A9434B">
        <w:fldChar w:fldCharType="end"/>
      </w:r>
      <w:r w:rsidR="007419F9" w:rsidRPr="00A9434B">
        <w:fldChar w:fldCharType="separate"/>
      </w:r>
      <w:r w:rsidR="006F5DAD" w:rsidRPr="00A9434B">
        <w:fldChar w:fldCharType="begin"/>
      </w:r>
      <w:r w:rsidR="0006613E">
        <w:instrText xml:space="preserve"> ADDIN ZOTERO_ITEM CSL_CITATION {"citationID":"a1cv42ha0ds","properties":{"formattedCitation":"(R. C. Barbour et al., 2010)","plainCitation":"(R. C. Barbour et al., 2010)","noteIndex":0},"citationItems":[{"id":53588,"uris":["http://zotero.org/groups/2352922/items/R4EAAZ4E","http://zotero.org/groups/2352922/items/EE6N56YW"],"itemData":{"id":53588,"type":"article-journal","container-title":"Forest Ecology and Management","DOI":"10.1016/j.foreco.2010.08.049","ISSN":"0378-1127","issue":"12","journalAbbreviation":"Forest Ecol Manag","language":"English","page":"2079-2087","title":"The potential for gene flow from exotic eucalypt plantations into Australia's rare native eucalypts","volume":"260","author":[{"family":"Barbour","given":"R. C."},{"family":"Wise","given":"S. L."},{"family":"McKinnon","given":"G. E."},{"family":"Vaillancourt","given":"R. E."},{"family":"Williamson","given":"G. J."},{"family":"Potts","given":"B. M."}],"issued":{"date-parts":[["2010",12,15]]}},"label":"page"}],"schema":"https://github.com/citation-style-language/schema/raw/master/csl-citation.json"} </w:instrText>
      </w:r>
      <w:r w:rsidR="006F5DAD" w:rsidRPr="00A9434B">
        <w:fldChar w:fldCharType="separate"/>
      </w:r>
      <w:r w:rsidR="00C71E80" w:rsidRPr="00A9434B">
        <w:t>(R. C. Barbour et al., 2010)</w:t>
      </w:r>
      <w:r w:rsidR="006F5DAD" w:rsidRPr="00A9434B">
        <w:fldChar w:fldCharType="end"/>
      </w:r>
      <w:r w:rsidR="007419F9" w:rsidRPr="00A9434B">
        <w:fldChar w:fldCharType="end"/>
      </w:r>
      <w:r w:rsidR="69EEC58A" w:rsidRPr="00A9434B">
        <w:t xml:space="preserve"> and altered ecosystem processes </w:t>
      </w:r>
      <w:r w:rsidR="007419F9" w:rsidRPr="00A9434B">
        <w:fldChar w:fldCharType="begin">
          <w:fldData xml:space="preserve">PEVuZE5vdGU+PENpdGU+PEF1dGhvcj5TaW1iZXJsb2ZmPC9BdXRob3I+PFllYXI+MjAxMDwvWWVh
cj48UmVjTnVtPjE4PC9SZWNOdW0+PERpc3BsYXlUZXh0PihTaW1iZXJsb2ZmLCBOdW5leiBldCBh
bC4gMjAxMCk8L0Rpc3BsYXlUZXh0PjxyZWNvcmQ+PHJlYy1udW1iZXI+MTg8L3JlYy1udW1iZXI+
PGZvcmVpZ24ta2V5cz48a2V5IGFwcD0iRU4iIGRiLWlkPSIyZnBzMnJwd2NwdHdheGVkejlvcHJ6
dm1hd2Z4ZWY5cGZwYTIiIHRpbWVzdGFtcD0iMTYyMDcxOTgxOSI+MTg8L2tleT48L2ZvcmVpZ24t
a2V5cz48cmVmLXR5cGUgbmFtZT0iSm91cm5hbCBBcnRpY2xlIj4xNzwvcmVmLXR5cGU+PGNvbnRy
aWJ1dG9ycz48YXV0aG9ycz48YXV0aG9yPlNpbWJlcmxvZmYsIEQuPC9hdXRob3I+PGF1dGhvcj5O
dW5leiwgTS4gQS48L2F1dGhvcj48YXV0aG9yPkxlZGdhcmQsIE4uIEouPC9hdXRob3I+PGF1dGhv
cj5QYXVjaGFyZCwgQS48L2F1dGhvcj48YXV0aG9yPlJpY2hhcmRzb24sIEQuIE0uPC9hdXRob3I+
PGF1dGhvcj5TYXJhc29sYSwgTS48L2F1dGhvcj48YXV0aG9yPlZhbiBXaWxnZW4sIEIuIFcuPC9h
dXRob3I+PGF1dGhvcj5aYWxiYSwgUy4gTS48L2F1dGhvcj48YXV0aG9yPlplbm5pLCBSLiBELjwv
YXV0aG9yPjxhdXRob3I+QnVzdGFtYW50ZSwgUi48L2F1dGhvcj48YXV0aG9yPlBlbmEsIEUuPC9h
dXRob3I+PGF1dGhvcj5aaWxsZXIsIFMuIFIuPC9hdXRob3I+PC9hdXRob3JzPjwvY29udHJpYnV0
b3JzPjxhdXRoLWFkZHJlc3M+VW5pdiBUZW5uZXNzZWUsIERlcHQgRWNvbCAmYW1wOyBFdm9sdXRp
b25hcnkgQmlvbCwgS25veHZpbGxlLCBUTiAzNzkxOSBVU0EmI3hEO1VuaXYgQ2VudCBGbG9yaWRh
LCBEZXB0IEJpb2wsIE9ybGFuZG8sIEZMIDMyODE2IFVTQSYjeEQ7RmVuZGFsdG9uLCBTY2lvbiwg
Q2hyaXN0Y2h1cmNoLCBOZXcgWmVhbGFuZCYjeEQ7VW5pdiBDb25jZXBjaW9uLCBGYWMgQ2llbmNp
YXMgRm9yZXN0YWxlcywgQ29uY2VwY2lvbiwgQ2hpbGUmI3hEO0lFQiwgU2FudGlhZ28sIENoaWxl
JiN4RDtVbml2IENoaWxlLCBEZXB0IENpZW5jaWFzIEVjb2wsIFNhbnRpYWdvLCBDaGlsZSYjeEQ7
VW5pdiBTdGVsbGVuYm9zY2gsIERlcHQgQm90ICZhbXA7IFpvb2wsIEN0ciBJbnZhcyBCaW9sLCBN
YXRpZWxhbmQsIFNvdXRoIEFmcmljYSYjeEQ7Q1NJUiBOYXQgUmVzb3VyY2VzICZhbXA7IEVudmly
b25tLCBDdHIgSW52YXMgQmlvbCwgU3RlbGxlbmJvc2NoLCBTb3V0aCBBZnJpY2EmI3hEO0lOVEEg
RUVBIEJhcmlsb2NoZSwgU2FuIENhcmxvcyBEZSBCYXJpbG9jaGUsIFJpbyBOZWdybywgQXJnZW50
aW5hJiN4RDtVbml2IE5hY2wgU3VyLCBHcnAgRXN0dWRpb3MgQ29uc2VydmFjICZhbXA7IE1hbmVq
bywgR0VLS08sIFJBLTgwMDAgQmFoaWEgQmxhbmNhLCBCdWVub3MgQWlyZXMsIEFyZ2VudGluYSYj
eEQ7TmF0dXJlIENvbnNlcnZhbmN5LCBTIEFtZXIgSW52YXMgU3BlY2llcyBQcm9ncmFtLCBDdXJp
dGliYSwgUGFyYW5hLCBCcmF6aWwmI3hEO0hvcnVzIEluc3QgRW52aXJvbm0gQ29uc2VydmF0ICZh
bXA7IERldiwgRmxvcmlhbm9wb2xpcywgU0MsIEJyYXppbDwvYXV0aC1hZGRyZXNzPjx0aXRsZXM+
PHRpdGxlPlNwcmVhZCBhbmQgaW1wYWN0IG9mIGludHJvZHVjZWQgY29uaWZlcnMgaW4gU291dGgg
QW1lcmljYTogTGVzc29ucyBmcm9tIG90aGVyIHNvdXRoZXJuIGhlbWlzcGhlcmUgcmVnaW9uczwv
dGl0bGU+PHNlY29uZGFyeS10aXRsZT5BdXN0cmFsIEVjb2xvZ3k8L3NlY29uZGFyeS10aXRsZT48
YWx0LXRpdGxlPkF1c3RyYWwgRWNvbDwvYWx0LXRpdGxlPjwvdGl0bGVzPjxwZXJpb2RpY2FsPjxm
dWxsLXRpdGxlPkF1c3RyYWwgRWNvbG9neTwvZnVsbC10aXRsZT48YWJici0xPkF1c3RyYWwgRWNv
bDwvYWJici0xPjwvcGVyaW9kaWNhbD48YWx0LXBlcmlvZGljYWw+PGZ1bGwtdGl0bGU+QXVzdHJh
bCBFY29sb2d5PC9mdWxsLXRpdGxlPjxhYmJyLTE+QXVzdHJhbCBFY29sPC9hYmJyLTE+PC9hbHQt
cGVyaW9kaWNhbD48cGFnZXM+NDg5LTUwNDwvcGFnZXM+PHZvbHVtZT4zNTwvdm9sdW1lPjxudW1i
ZXI+NTwvbnVtYmVyPjxrZXl3b3Jkcz48a2V5d29yZD5hcmdlbnRpbmE8L2tleXdvcmQ+PGtleXdv
cmQ+YnJhemlsPC9rZXl3b3JkPjxrZXl3b3JkPmNoaWxlPC9rZXl3b3JkPjxrZXl3b3JkPmNvbmlm
ZXIgcGxhbnRhdGlvbjwva2V5d29yZD48a2V5d29yZD5sYWcgdGltZTwva2V5d29yZD48a2V5d29y
ZD5wcm9wYWd1bGUgcHJlc3N1cmU8L2tleXdvcmQ+PGtleXdvcmQ+bmV3LXplYWxhbmQgdGltYmVy
bGluZXM8L2tleXdvcmQ+PGtleXdvcmQ+YWxpZW4gcGxhbnRzPC9rZXl3b3JkPjxrZXl3b3JkPmJp
b2xvZ2ljYWwgaW52YXNpb25zPC9rZXl3b3JkPjxrZXl3b3JkPnBpbnVzLWNvbnRvcnRhPC9rZXl3
b3JkPjxrZXl3b3JkPmVjb3N5c3RlbTwva2V5d29yZD48a2V5d29yZD5mb3Jlc3Q8L2tleXdvcmQ+
PGtleXdvcmQ+YWZmb3Jlc3RhdGlvbjwva2V5d29yZD48a2V5d29yZD5iaW9kaXZlcnNpdHk8L2tl
eXdvcmQ+PGtleXdvcmQ+cmVnZW5lcmF0aW9uPC9rZXl3b3JkPjxrZXl3b3JkPm1hbmFnZW1lbnQ8
L2tleXdvcmQ+PC9rZXl3b3Jkcz48ZGF0ZXM+PHllYXI+MjAxMDwveWVhcj48cHViLWRhdGVzPjxk
YXRlPkF1ZzwvZGF0ZT48L3B1Yi1kYXRlcz48L2RhdGVzPjxpc2JuPjE0NDItOTk4NTwvaXNibj48
YWNjZXNzaW9uLW51bT5XT1M6MDAwMjgwMTQ4NzAwMDAxPC9hY2Nlc3Npb24tbnVtPjx1cmxzPjxy
ZWxhdGVkLXVybHM+PHVybD4mbHQ7R28gdG8gSVNJJmd0OzovL1dPUzowMDAyODAxNDg3MDAwMDE8
L3VybD48L3JlbGF0ZWQtdXJscz48L3VybHM+PGVsZWN0cm9uaWMtcmVzb3VyY2UtbnVtPjEwLjEx
MTEvai4xNDQyLTk5OTMuMjAwOS4wMjA1OC54PC9lbGVjdHJvbmljLXJlc291cmNlLW51bT48bGFu
Z3VhZ2U+RW5nbGlzaDwvbGFuZ3VhZ2U+PC9yZWNvcmQ+PC9DaXRlPjwvRW5kTm90ZT4A
</w:fldData>
        </w:fldChar>
      </w:r>
      <w:r w:rsidR="007419F9" w:rsidRPr="00A9434B">
        <w:instrText xml:space="preserve"> ADDIN EN.CITE </w:instrText>
      </w:r>
      <w:r w:rsidR="007419F9" w:rsidRPr="00A9434B">
        <w:fldChar w:fldCharType="begin">
          <w:fldData xml:space="preserve">PEVuZE5vdGU+PENpdGU+PEF1dGhvcj5TaW1iZXJsb2ZmPC9BdXRob3I+PFllYXI+MjAxMDwvWWVh
cj48UmVjTnVtPjE4PC9SZWNOdW0+PERpc3BsYXlUZXh0PihTaW1iZXJsb2ZmLCBOdW5leiBldCBh
bC4gMjAxMCk8L0Rpc3BsYXlUZXh0PjxyZWNvcmQ+PHJlYy1udW1iZXI+MTg8L3JlYy1udW1iZXI+
PGZvcmVpZ24ta2V5cz48a2V5IGFwcD0iRU4iIGRiLWlkPSIyZnBzMnJwd2NwdHdheGVkejlvcHJ6
dm1hd2Z4ZWY5cGZwYTIiIHRpbWVzdGFtcD0iMTYyMDcxOTgxOSI+MTg8L2tleT48L2ZvcmVpZ24t
a2V5cz48cmVmLXR5cGUgbmFtZT0iSm91cm5hbCBBcnRpY2xlIj4xNzwvcmVmLXR5cGU+PGNvbnRy
aWJ1dG9ycz48YXV0aG9ycz48YXV0aG9yPlNpbWJlcmxvZmYsIEQuPC9hdXRob3I+PGF1dGhvcj5O
dW5leiwgTS4gQS48L2F1dGhvcj48YXV0aG9yPkxlZGdhcmQsIE4uIEouPC9hdXRob3I+PGF1dGhv
cj5QYXVjaGFyZCwgQS48L2F1dGhvcj48YXV0aG9yPlJpY2hhcmRzb24sIEQuIE0uPC9hdXRob3I+
PGF1dGhvcj5TYXJhc29sYSwgTS48L2F1dGhvcj48YXV0aG9yPlZhbiBXaWxnZW4sIEIuIFcuPC9h
dXRob3I+PGF1dGhvcj5aYWxiYSwgUy4gTS48L2F1dGhvcj48YXV0aG9yPlplbm5pLCBSLiBELjwv
YXV0aG9yPjxhdXRob3I+QnVzdGFtYW50ZSwgUi48L2F1dGhvcj48YXV0aG9yPlBlbmEsIEUuPC9h
dXRob3I+PGF1dGhvcj5aaWxsZXIsIFMuIFIuPC9hdXRob3I+PC9hdXRob3JzPjwvY29udHJpYnV0
b3JzPjxhdXRoLWFkZHJlc3M+VW5pdiBUZW5uZXNzZWUsIERlcHQgRWNvbCAmYW1wOyBFdm9sdXRp
b25hcnkgQmlvbCwgS25veHZpbGxlLCBUTiAzNzkxOSBVU0EmI3hEO1VuaXYgQ2VudCBGbG9yaWRh
LCBEZXB0IEJpb2wsIE9ybGFuZG8sIEZMIDMyODE2IFVTQSYjeEQ7RmVuZGFsdG9uLCBTY2lvbiwg
Q2hyaXN0Y2h1cmNoLCBOZXcgWmVhbGFuZCYjeEQ7VW5pdiBDb25jZXBjaW9uLCBGYWMgQ2llbmNp
YXMgRm9yZXN0YWxlcywgQ29uY2VwY2lvbiwgQ2hpbGUmI3hEO0lFQiwgU2FudGlhZ28sIENoaWxl
JiN4RDtVbml2IENoaWxlLCBEZXB0IENpZW5jaWFzIEVjb2wsIFNhbnRpYWdvLCBDaGlsZSYjeEQ7
VW5pdiBTdGVsbGVuYm9zY2gsIERlcHQgQm90ICZhbXA7IFpvb2wsIEN0ciBJbnZhcyBCaW9sLCBN
YXRpZWxhbmQsIFNvdXRoIEFmcmljYSYjeEQ7Q1NJUiBOYXQgUmVzb3VyY2VzICZhbXA7IEVudmly
b25tLCBDdHIgSW52YXMgQmlvbCwgU3RlbGxlbmJvc2NoLCBTb3V0aCBBZnJpY2EmI3hEO0lOVEEg
RUVBIEJhcmlsb2NoZSwgU2FuIENhcmxvcyBEZSBCYXJpbG9jaGUsIFJpbyBOZWdybywgQXJnZW50
aW5hJiN4RDtVbml2IE5hY2wgU3VyLCBHcnAgRXN0dWRpb3MgQ29uc2VydmFjICZhbXA7IE1hbmVq
bywgR0VLS08sIFJBLTgwMDAgQmFoaWEgQmxhbmNhLCBCdWVub3MgQWlyZXMsIEFyZ2VudGluYSYj
eEQ7TmF0dXJlIENvbnNlcnZhbmN5LCBTIEFtZXIgSW52YXMgU3BlY2llcyBQcm9ncmFtLCBDdXJp
dGliYSwgUGFyYW5hLCBCcmF6aWwmI3hEO0hvcnVzIEluc3QgRW52aXJvbm0gQ29uc2VydmF0ICZh
bXA7IERldiwgRmxvcmlhbm9wb2xpcywgU0MsIEJyYXppbDwvYXV0aC1hZGRyZXNzPjx0aXRsZXM+
PHRpdGxlPlNwcmVhZCBhbmQgaW1wYWN0IG9mIGludHJvZHVjZWQgY29uaWZlcnMgaW4gU291dGgg
QW1lcmljYTogTGVzc29ucyBmcm9tIG90aGVyIHNvdXRoZXJuIGhlbWlzcGhlcmUgcmVnaW9uczwv
dGl0bGU+PHNlY29uZGFyeS10aXRsZT5BdXN0cmFsIEVjb2xvZ3k8L3NlY29uZGFyeS10aXRsZT48
YWx0LXRpdGxlPkF1c3RyYWwgRWNvbDwvYWx0LXRpdGxlPjwvdGl0bGVzPjxwZXJpb2RpY2FsPjxm
dWxsLXRpdGxlPkF1c3RyYWwgRWNvbG9neTwvZnVsbC10aXRsZT48YWJici0xPkF1c3RyYWwgRWNv
bDwvYWJici0xPjwvcGVyaW9kaWNhbD48YWx0LXBlcmlvZGljYWw+PGZ1bGwtdGl0bGU+QXVzdHJh
bCBFY29sb2d5PC9mdWxsLXRpdGxlPjxhYmJyLTE+QXVzdHJhbCBFY29sPC9hYmJyLTE+PC9hbHQt
cGVyaW9kaWNhbD48cGFnZXM+NDg5LTUwNDwvcGFnZXM+PHZvbHVtZT4zNTwvdm9sdW1lPjxudW1i
ZXI+NTwvbnVtYmVyPjxrZXl3b3Jkcz48a2V5d29yZD5hcmdlbnRpbmE8L2tleXdvcmQ+PGtleXdv
cmQ+YnJhemlsPC9rZXl3b3JkPjxrZXl3b3JkPmNoaWxlPC9rZXl3b3JkPjxrZXl3b3JkPmNvbmlm
ZXIgcGxhbnRhdGlvbjwva2V5d29yZD48a2V5d29yZD5sYWcgdGltZTwva2V5d29yZD48a2V5d29y
ZD5wcm9wYWd1bGUgcHJlc3N1cmU8L2tleXdvcmQ+PGtleXdvcmQ+bmV3LXplYWxhbmQgdGltYmVy
bGluZXM8L2tleXdvcmQ+PGtleXdvcmQ+YWxpZW4gcGxhbnRzPC9rZXl3b3JkPjxrZXl3b3JkPmJp
b2xvZ2ljYWwgaW52YXNpb25zPC9rZXl3b3JkPjxrZXl3b3JkPnBpbnVzLWNvbnRvcnRhPC9rZXl3
b3JkPjxrZXl3b3JkPmVjb3N5c3RlbTwva2V5d29yZD48a2V5d29yZD5mb3Jlc3Q8L2tleXdvcmQ+
PGtleXdvcmQ+YWZmb3Jlc3RhdGlvbjwva2V5d29yZD48a2V5d29yZD5iaW9kaXZlcnNpdHk8L2tl
eXdvcmQ+PGtleXdvcmQ+cmVnZW5lcmF0aW9uPC9rZXl3b3JkPjxrZXl3b3JkPm1hbmFnZW1lbnQ8
L2tleXdvcmQ+PC9rZXl3b3Jkcz48ZGF0ZXM+PHllYXI+MjAxMDwveWVhcj48cHViLWRhdGVzPjxk
YXRlPkF1ZzwvZGF0ZT48L3B1Yi1kYXRlcz48L2RhdGVzPjxpc2JuPjE0NDItOTk4NTwvaXNibj48
YWNjZXNzaW9uLW51bT5XT1M6MDAwMjgwMTQ4NzAwMDAxPC9hY2Nlc3Npb24tbnVtPjx1cmxzPjxy
ZWxhdGVkLXVybHM+PHVybD4mbHQ7R28gdG8gSVNJJmd0OzovL1dPUzowMDAyODAxNDg3MDAwMDE8
L3VybD48L3JlbGF0ZWQtdXJscz48L3VybHM+PGVsZWN0cm9uaWMtcmVzb3VyY2UtbnVtPjEwLjEx
MTEvai4xNDQyLTk5OTMuMjAwOS4wMjA1OC54PC9lbGVjdHJvbmljLXJlc291cmNlLW51bT48bGFu
Z3VhZ2U+RW5nbGlzaDwvbGFuZ3VhZ2U+PC9yZWNvcmQ+PC9DaXRlPjwvRW5kTm90ZT4A
</w:fldData>
        </w:fldChar>
      </w:r>
      <w:r w:rsidR="007419F9" w:rsidRPr="00A9434B">
        <w:instrText xml:space="preserve"> ADDIN EN.CITE.DATA </w:instrText>
      </w:r>
      <w:r w:rsidR="007419F9" w:rsidRPr="00A9434B">
        <w:fldChar w:fldCharType="end"/>
      </w:r>
      <w:r w:rsidR="007419F9" w:rsidRPr="00A9434B">
        <w:fldChar w:fldCharType="separate"/>
      </w:r>
      <w:r w:rsidR="006F5DAD" w:rsidRPr="00A9434B">
        <w:fldChar w:fldCharType="begin"/>
      </w:r>
      <w:r w:rsidR="0006613E">
        <w:instrText xml:space="preserve"> ADDIN ZOTERO_ITEM CSL_CITATION {"citationID":"a294g97e0d","properties":{"formattedCitation":"(Simberloff et al., 2009)","plainCitation":"(Simberloff et al., 2009)","noteIndex":0},"citationItems":[{"id":10955,"uris":["http://zotero.org/groups/2352922/items/QAQ4EBNJ","http://zotero.org/groups/2352922/items/XAAJ8IMF"],"itemData":{"id":10955,"type":"article-journal","container-title":"Austral Ecology","DOI":"10.1111/j.1442-9993.2009.02058.x","ISSN":"14429985, 14429993","issue":"5","language":"en","page":"489-504","source":"DOI.org (Crossref)","title":"Spread and impact of introduced conifers in South America: Lessons from other southern hemisphere regions","title-short":"Spread and impact of introduced conifers in South America","URL":"http://doi.wiley.com/10.1111/j.1442-9993.2009.02058.x","volume":"35","author":[{"family":"Simberloff","given":"Daniel"},{"family":"Nuñez","given":"Martin A."},{"family":"Ledgard","given":"Nicholas J."},{"family":"Pauchard","given":"Anibal"},{"family":"Richardson","given":"David M."},{"family":"Sarasola","given":"Mauro"},{"family":"Van Wilgen","given":"Brian W."},{"family":"Zalba","given":"Sergio M."},{"family":"Zenni","given":"Rafael D."},{"family":"Bustamante","given":"Ramiro"},{"family":"Peña","given":"Eduardo"},{"family":"Ziller","given":"Silvia R."}],"accessed":{"date-parts":[["2020",8,13]]},"issued":{"date-parts":[["2009",10,19]]}},"label":"page"}],"schema":"https://github.com/citation-style-language/schema/raw/master/csl-citation.json"} </w:instrText>
      </w:r>
      <w:r w:rsidR="006F5DAD" w:rsidRPr="00A9434B">
        <w:fldChar w:fldCharType="separate"/>
      </w:r>
      <w:r w:rsidR="00C71E80" w:rsidRPr="00A9434B">
        <w:t>(Simberloff et al., 2009)</w:t>
      </w:r>
      <w:r w:rsidR="006F5DAD" w:rsidRPr="00A9434B">
        <w:fldChar w:fldCharType="end"/>
      </w:r>
      <w:r w:rsidR="007419F9" w:rsidRPr="00A9434B">
        <w:fldChar w:fldCharType="end"/>
      </w:r>
      <w:r w:rsidR="69EEC58A" w:rsidRPr="00A9434B">
        <w:t xml:space="preserve">. Moreover, the escape of these plantation species </w:t>
      </w:r>
      <w:r w:rsidR="3D15E86A" w:rsidRPr="00A9434B">
        <w:t xml:space="preserve">can </w:t>
      </w:r>
      <w:r w:rsidR="69EEC58A" w:rsidRPr="00A9434B">
        <w:t>become costly to manage and le</w:t>
      </w:r>
      <w:r w:rsidR="3D15E86A" w:rsidRPr="00A9434B">
        <w:t>a</w:t>
      </w:r>
      <w:r w:rsidR="69EEC58A" w:rsidRPr="00A9434B">
        <w:t xml:space="preserve">d to significant biodiversity losses </w:t>
      </w:r>
      <w:r w:rsidR="006F5DAD" w:rsidRPr="00A9434B">
        <w:fldChar w:fldCharType="begin">
          <w:fldData xml:space="preserve">PEVuZE5vdGU+PENpdGU+PEF1dGhvcj5SaWNoYXJkc29uPC9BdXRob3I+PFllYXI+MjAwNDwvWWVh
cj48UmVjTnVtPjE1PC9SZWNOdW0+PERpc3BsYXlUZXh0PihSaWNoYXJkc29uIGFuZCBSZWptYW5l
ayAyMDA0KTwvRGlzcGxheVRleHQ+PHJlY29yZD48cmVjLW51bWJlcj4xNTwvcmVjLW51bWJlcj48
Zm9yZWlnbi1rZXlzPjxrZXkgYXBwPSJFTiIgZGItaWQ9IjJmcHMycnB3Y3B0d2F4ZWR6OW9wcnp2
bWF3ZnhlZjlwZnBhMiIgdGltZXN0YW1wPSIxNjIwNzE5NzMzIj4xNTwva2V5PjwvZm9yZWlnbi1r
ZXlzPjxyZWYtdHlwZSBuYW1lPSJKb3VybmFsIEFydGljbGUiPjE3PC9yZWYtdHlwZT48Y29udHJp
YnV0b3JzPjxhdXRob3JzPjxhdXRob3I+UmljaGFyZHNvbiwgRC4gTS48L2F1dGhvcj48YXV0aG9y
PlJlam1hbmVrLCBNLjwvYXV0aG9yPjwvYXV0aG9ycz48L2NvbnRyaWJ1dG9ycz48YXV0aC1hZGRy
ZXNzPlVuaXYgQ2FwZSBUb3duLCBEZXB0IEJvdCwgSW5zdCBQbGFudCBDb25zZXJ2YXQsIFpBLTc3
MDEgUm9uZGVib3NjaCwgU291dGggQWZyaWNhJiN4RDtVbml2IENhbGlmIERhdmlzLCBTZWN0IEV2
b2x1dCAmYW1wOyBFY29sLCBEYXZpcywgQ0EgOTU2MTYgVVNBPC9hdXRoLWFkZHJlc3M+PHRpdGxl
cz48dGl0bGU+Q29uaWZlcnMgYXMgaW52YXNpdmUgYWxpZW5zOiBhIGdsb2JhbCBzdXJ2ZXkgYW5k
IHByZWRpY3RpdmUgZnJhbWV3b3JrPC90aXRsZT48c2Vjb25kYXJ5LXRpdGxlPkRpdmVyc2l0eSBh
bmQgRGlzdHJpYnV0aW9uczwvc2Vjb25kYXJ5LXRpdGxlPjxhbHQtdGl0bGU+RGl2ZXJzIERpc3Ry
aWI8L2FsdC10aXRsZT48L3RpdGxlcz48cGVyaW9kaWNhbD48ZnVsbC10aXRsZT5EaXZlcnNpdHkg
YW5kIERpc3RyaWJ1dGlvbnM8L2Z1bGwtdGl0bGU+PGFiYnItMT5EaXZlcnMgRGlzdHJpYjwvYWJi
ci0xPjwvcGVyaW9kaWNhbD48YWx0LXBlcmlvZGljYWw+PGZ1bGwtdGl0bGU+RGl2ZXJzaXR5IGFu
ZCBEaXN0cmlidXRpb25zPC9mdWxsLXRpdGxlPjxhYmJyLTE+RGl2ZXJzIERpc3RyaWI8L2FiYnIt
MT48L2FsdC1wZXJpb2RpY2FsPjxwYWdlcz4zMjEtMzMxPC9wYWdlcz48dm9sdW1lPjEwPC92b2x1
bWU+PG51bWJlcj41LTY8L251bWJlcj48a2V5d29yZHM+PGtleXdvcmQ+YmlvbG9naWNhbCBpbnZh
c2lvbnM8L2tleXdvcmQ+PGtleXdvcmQ+ZGlzcGVyc2FsPC9rZXl3b3JkPjxrZXl3b3JkPmVuZGFu
Z2VyZWQgc3BlY2llczwva2V5d29yZD48a2V5d29yZD5leG90aWMgc3BlY2llczwva2V5d29yZD48
a2V5d29yZD5pbnZhc2lvbiBlY29sb2d5PC9rZXl3b3JkPjxrZXl3b3JkPmludmFzaXZlIGNvbmlm
ZXJzPC9rZXl3b3JkPjxrZXl3b3JkPm5hdHVyYWxpemVkPC9rZXl3b3JkPjxrZXl3b3JkPnJlZ2Vu
ZXJhdGlvbjwva2V5d29yZD48a2V5d29yZD50cmVlIGludmFzaW9uczwva2V5d29yZD48a2V5d29y
ZD5zb3V0aGVybi1oZW1pc3BoZXJlPC9rZXl3b3JkPjxrZXl3b3JkPnBsYW50IGludmFzaXZlbmVz
czwva2V5d29yZD48a2V5d29yZD5waW5lIGludmFzaW9uczwva2V5d29yZD48a2V5d29yZD5lc3Rh
Ymxpc2htZW50PC9rZXl3b3JkPjxrZXl3b3JkPmRldGVybWluYW50czwva2V5d29yZD48a2V5d29y
ZD5ldm9sdXRpb248L2tleXdvcmQ+PGtleXdvcmQ+Zm9yZXN0czwva2V5d29yZD48a2V5d29yZD5w
YXR0ZXJuPC9rZXl3b3JkPjxrZXl3b3JkPnNpemU8L2tleXdvcmQ+PC9rZXl3b3Jkcz48ZGF0ZXM+
PHllYXI+MjAwNDwveWVhcj48cHViLWRhdGVzPjxkYXRlPlNlcC1Ob3Y8L2RhdGU+PC9wdWItZGF0
ZXM+PC9kYXRlcz48aXNibj4xMzY2LTk1MTY8L2lzYm4+PGFjY2Vzc2lvbi1udW0+V09TOjAwMDIy
Mzc0NDUwMDAwMjwvYWNjZXNzaW9uLW51bT48dXJscz48cmVsYXRlZC11cmxzPjx1cmw+Jmx0O0dv
IHRvIElTSSZndDs6Ly9XT1M6MDAwMjIzNzQ0NTAwMDAyPC91cmw+PC9yZWxhdGVkLXVybHM+PC91
cmxzPjxlbGVjdHJvbmljLXJlc291cmNlLW51bT5ET0kgMTAuMTExMS9qLjEzNjYtOTUxNi4yMDA0
LjAwMDk2Lng8L2VsZWN0cm9uaWMtcmVzb3VyY2UtbnVtPjxsYW5ndWFnZT5FbmdsaXNoPC9sYW5n
dWFnZT48L3JlY29yZD48L0NpdGU+PC9FbmROb3RlPgB=
</w:fldData>
        </w:fldChar>
      </w:r>
      <w:r w:rsidR="006F5DAD" w:rsidRPr="00A9434B">
        <w:instrText xml:space="preserve"> ADDIN EN.CITE </w:instrText>
      </w:r>
      <w:r w:rsidR="006F5DAD" w:rsidRPr="00A9434B">
        <w:fldChar w:fldCharType="begin">
          <w:fldData xml:space="preserve">PEVuZE5vdGU+PENpdGU+PEF1dGhvcj5SaWNoYXJkc29uPC9BdXRob3I+PFllYXI+MjAwNDwvWWVh
cj48UmVjTnVtPjE1PC9SZWNOdW0+PERpc3BsYXlUZXh0PihSaWNoYXJkc29uIGFuZCBSZWptYW5l
ayAyMDA0KTwvRGlzcGxheVRleHQ+PHJlY29yZD48cmVjLW51bWJlcj4xNTwvcmVjLW51bWJlcj48
Zm9yZWlnbi1rZXlzPjxrZXkgYXBwPSJFTiIgZGItaWQ9IjJmcHMycnB3Y3B0d2F4ZWR6OW9wcnp2
bWF3ZnhlZjlwZnBhMiIgdGltZXN0YW1wPSIxNjIwNzE5NzMzIj4xNTwva2V5PjwvZm9yZWlnbi1r
ZXlzPjxyZWYtdHlwZSBuYW1lPSJKb3VybmFsIEFydGljbGUiPjE3PC9yZWYtdHlwZT48Y29udHJp
YnV0b3JzPjxhdXRob3JzPjxhdXRob3I+UmljaGFyZHNvbiwgRC4gTS48L2F1dGhvcj48YXV0aG9y
PlJlam1hbmVrLCBNLjwvYXV0aG9yPjwvYXV0aG9ycz48L2NvbnRyaWJ1dG9ycz48YXV0aC1hZGRy
ZXNzPlVuaXYgQ2FwZSBUb3duLCBEZXB0IEJvdCwgSW5zdCBQbGFudCBDb25zZXJ2YXQsIFpBLTc3
MDEgUm9uZGVib3NjaCwgU291dGggQWZyaWNhJiN4RDtVbml2IENhbGlmIERhdmlzLCBTZWN0IEV2
b2x1dCAmYW1wOyBFY29sLCBEYXZpcywgQ0EgOTU2MTYgVVNBPC9hdXRoLWFkZHJlc3M+PHRpdGxl
cz48dGl0bGU+Q29uaWZlcnMgYXMgaW52YXNpdmUgYWxpZW5zOiBhIGdsb2JhbCBzdXJ2ZXkgYW5k
IHByZWRpY3RpdmUgZnJhbWV3b3JrPC90aXRsZT48c2Vjb25kYXJ5LXRpdGxlPkRpdmVyc2l0eSBh
bmQgRGlzdHJpYnV0aW9uczwvc2Vjb25kYXJ5LXRpdGxlPjxhbHQtdGl0bGU+RGl2ZXJzIERpc3Ry
aWI8L2FsdC10aXRsZT48L3RpdGxlcz48cGVyaW9kaWNhbD48ZnVsbC10aXRsZT5EaXZlcnNpdHkg
YW5kIERpc3RyaWJ1dGlvbnM8L2Z1bGwtdGl0bGU+PGFiYnItMT5EaXZlcnMgRGlzdHJpYjwvYWJi
ci0xPjwvcGVyaW9kaWNhbD48YWx0LXBlcmlvZGljYWw+PGZ1bGwtdGl0bGU+RGl2ZXJzaXR5IGFu
ZCBEaXN0cmlidXRpb25zPC9mdWxsLXRpdGxlPjxhYmJyLTE+RGl2ZXJzIERpc3RyaWI8L2FiYnIt
MT48L2FsdC1wZXJpb2RpY2FsPjxwYWdlcz4zMjEtMzMxPC9wYWdlcz48dm9sdW1lPjEwPC92b2x1
bWU+PG51bWJlcj41LTY8L251bWJlcj48a2V5d29yZHM+PGtleXdvcmQ+YmlvbG9naWNhbCBpbnZh
c2lvbnM8L2tleXdvcmQ+PGtleXdvcmQ+ZGlzcGVyc2FsPC9rZXl3b3JkPjxrZXl3b3JkPmVuZGFu
Z2VyZWQgc3BlY2llczwva2V5d29yZD48a2V5d29yZD5leG90aWMgc3BlY2llczwva2V5d29yZD48
a2V5d29yZD5pbnZhc2lvbiBlY29sb2d5PC9rZXl3b3JkPjxrZXl3b3JkPmludmFzaXZlIGNvbmlm
ZXJzPC9rZXl3b3JkPjxrZXl3b3JkPm5hdHVyYWxpemVkPC9rZXl3b3JkPjxrZXl3b3JkPnJlZ2Vu
ZXJhdGlvbjwva2V5d29yZD48a2V5d29yZD50cmVlIGludmFzaW9uczwva2V5d29yZD48a2V5d29y
ZD5zb3V0aGVybi1oZW1pc3BoZXJlPC9rZXl3b3JkPjxrZXl3b3JkPnBsYW50IGludmFzaXZlbmVz
czwva2V5d29yZD48a2V5d29yZD5waW5lIGludmFzaW9uczwva2V5d29yZD48a2V5d29yZD5lc3Rh
Ymxpc2htZW50PC9rZXl3b3JkPjxrZXl3b3JkPmRldGVybWluYW50czwva2V5d29yZD48a2V5d29y
ZD5ldm9sdXRpb248L2tleXdvcmQ+PGtleXdvcmQ+Zm9yZXN0czwva2V5d29yZD48a2V5d29yZD5w
YXR0ZXJuPC9rZXl3b3JkPjxrZXl3b3JkPnNpemU8L2tleXdvcmQ+PC9rZXl3b3Jkcz48ZGF0ZXM+
PHllYXI+MjAwNDwveWVhcj48cHViLWRhdGVzPjxkYXRlPlNlcC1Ob3Y8L2RhdGU+PC9wdWItZGF0
ZXM+PC9kYXRlcz48aXNibj4xMzY2LTk1MTY8L2lzYm4+PGFjY2Vzc2lvbi1udW0+V09TOjAwMDIy
Mzc0NDUwMDAwMjwvYWNjZXNzaW9uLW51bT48dXJscz48cmVsYXRlZC11cmxzPjx1cmw+Jmx0O0dv
IHRvIElTSSZndDs6Ly9XT1M6MDAwMjIzNzQ0NTAwMDAyPC91cmw+PC9yZWxhdGVkLXVybHM+PC91
cmxzPjxlbGVjdHJvbmljLXJlc291cmNlLW51bT5ET0kgMTAuMTExMS9qLjEzNjYtOTUxNi4yMDA0
LjAwMDk2Lng8L2VsZWN0cm9uaWMtcmVzb3VyY2UtbnVtPjxsYW5ndWFnZT5FbmdsaXNoPC9sYW5n
dWFnZT48L3JlY29yZD48L0NpdGU+PC9FbmROb3RlPgB=
</w:fldData>
        </w:fldChar>
      </w:r>
      <w:r w:rsidR="006F5DAD" w:rsidRPr="00A9434B">
        <w:instrText xml:space="preserve"> ADDIN EN.CITE.DATA </w:instrText>
      </w:r>
      <w:r w:rsidR="006F5DAD" w:rsidRPr="00A9434B">
        <w:fldChar w:fldCharType="end"/>
      </w:r>
      <w:r w:rsidR="006F5DAD" w:rsidRPr="00A9434B">
        <w:fldChar w:fldCharType="separate"/>
      </w:r>
      <w:r w:rsidR="006F5DAD" w:rsidRPr="00A9434B">
        <w:fldChar w:fldCharType="begin"/>
      </w:r>
      <w:r w:rsidR="0006613E">
        <w:instrText xml:space="preserve"> ADDIN ZOTERO_ITEM CSL_CITATION {"citationID":"a1cdtts2kj4","properties":{"formattedCitation":"(D. M. Richardson &amp; Rejmanek, 2004)","plainCitation":"(D. M. Richardson &amp; Rejmanek, 2004)","noteIndex":0},"citationItems":[{"id":53456,"uris":["http://zotero.org/groups/2352922/items/T6RZHXVJ","http://zotero.org/groups/2352922/items/J4QFUUY8"],"itemData":{"id":53456,"type":"article-journal","container-title":"Diversity and Distributions","DOI":"10.1111/j.1366-9516.2004.00096.x","ISSN":"1366-9516","issue":"5-6","language":"English","note":"number: 5-6","page":"321-331","title":"Conifers as invasive aliens: a global survey and predictive framework","volume":"10","author":[{"family":"Richardson","given":"David M."},{"family":"Rejmanek","given":"M."}],"issued":{"date-parts":[["2004",11]]}}}],"schema":"https://github.com/citation-style-language/schema/raw/master/csl-citation.json"} </w:instrText>
      </w:r>
      <w:r w:rsidR="006F5DAD" w:rsidRPr="00A9434B">
        <w:fldChar w:fldCharType="separate"/>
      </w:r>
      <w:r w:rsidR="00C71E80" w:rsidRPr="00A9434B">
        <w:t>(D. M. Richardson &amp; Rejmanek, 2004)</w:t>
      </w:r>
      <w:r w:rsidR="006F5DAD" w:rsidRPr="00A9434B">
        <w:fldChar w:fldCharType="end"/>
      </w:r>
      <w:r w:rsidR="006F5DAD" w:rsidRPr="00A9434B">
        <w:fldChar w:fldCharType="end"/>
      </w:r>
      <w:r w:rsidR="69EEC58A" w:rsidRPr="00A9434B">
        <w:t>.</w:t>
      </w:r>
    </w:p>
    <w:p w14:paraId="680D1C5E" w14:textId="77777777" w:rsidR="004E681B" w:rsidRPr="00A9434B" w:rsidRDefault="004E681B" w:rsidP="006B3143">
      <w:r w:rsidRPr="00A9434B">
        <w:br w:type="page"/>
      </w:r>
    </w:p>
    <w:p w14:paraId="3D2688A0" w14:textId="77695538" w:rsidR="002B08C6" w:rsidRDefault="00B912D3" w:rsidP="00EA435B">
      <w:pPr>
        <w:pStyle w:val="Caption"/>
      </w:pPr>
      <w:bookmarkStart w:id="252" w:name="_Ref104896598"/>
      <w:bookmarkStart w:id="253" w:name="_Toc80707183"/>
      <w:r w:rsidRPr="00A9434B">
        <w:rPr>
          <w:rFonts w:eastAsia="Times New Roman"/>
          <w:szCs w:val="24"/>
          <w:lang w:eastAsia="en-GB"/>
        </w:rPr>
        <w:lastRenderedPageBreak/>
        <w:t xml:space="preserve"> </w:t>
      </w:r>
      <w:r w:rsidR="00E560BA">
        <w:rPr>
          <w:noProof/>
        </w:rPr>
        <w:drawing>
          <wp:inline distT="0" distB="0" distL="0" distR="0" wp14:anchorId="6AB6DE11" wp14:editId="279417FF">
            <wp:extent cx="5765800" cy="7213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5765800" cy="7213600"/>
                    </a:xfrm>
                    <a:prstGeom prst="rect">
                      <a:avLst/>
                    </a:prstGeom>
                  </pic:spPr>
                </pic:pic>
              </a:graphicData>
            </a:graphic>
          </wp:inline>
        </w:drawing>
      </w:r>
      <w:bookmarkStart w:id="254" w:name="_Ref127968976"/>
    </w:p>
    <w:p w14:paraId="0A5443C3" w14:textId="3D39481D" w:rsidR="00EA435B" w:rsidRPr="00A9434B" w:rsidRDefault="00851847" w:rsidP="00EA435B">
      <w:pPr>
        <w:pStyle w:val="Caption"/>
        <w:rPr>
          <w:b w:val="0"/>
          <w:bCs w:val="0"/>
        </w:rPr>
      </w:pPr>
      <w:bookmarkStart w:id="255" w:name="_Toc147418306"/>
      <w:r w:rsidRPr="00A9434B">
        <w:t>Figure 6.</w:t>
      </w:r>
      <w:r w:rsidR="007C7AC3">
        <w:fldChar w:fldCharType="begin"/>
      </w:r>
      <w:r w:rsidR="007C7AC3">
        <w:instrText xml:space="preserve"> SEQ Figure_6. \* ARABIC </w:instrText>
      </w:r>
      <w:r w:rsidR="007C7AC3">
        <w:fldChar w:fldCharType="separate"/>
      </w:r>
      <w:r w:rsidR="0011368C">
        <w:rPr>
          <w:noProof/>
        </w:rPr>
        <w:t>11</w:t>
      </w:r>
      <w:r w:rsidR="007C7AC3">
        <w:rPr>
          <w:noProof/>
        </w:rPr>
        <w:fldChar w:fldCharType="end"/>
      </w:r>
      <w:bookmarkEnd w:id="252"/>
      <w:r w:rsidR="004C13C3" w:rsidRPr="00A9434B">
        <w:t>.</w:t>
      </w:r>
      <w:r w:rsidR="0E9FDA66" w:rsidRPr="00A9434B">
        <w:t xml:space="preserve"> </w:t>
      </w:r>
      <w:r w:rsidR="00EE21E6" w:rsidRPr="00A9434B">
        <w:rPr>
          <w:b w:val="0"/>
          <w:bCs w:val="0"/>
        </w:rPr>
        <w:t>Examples of perverse incentives</w:t>
      </w:r>
      <w:bookmarkEnd w:id="253"/>
      <w:r w:rsidR="00EE21E6" w:rsidRPr="00A9434B">
        <w:rPr>
          <w:b w:val="0"/>
          <w:bCs w:val="0"/>
        </w:rPr>
        <w:t xml:space="preserve"> </w:t>
      </w:r>
      <w:r w:rsidR="00E87438" w:rsidRPr="00A9434B">
        <w:rPr>
          <w:b w:val="0"/>
          <w:bCs w:val="0"/>
        </w:rPr>
        <w:t>where</w:t>
      </w:r>
      <w:r w:rsidR="005753D1" w:rsidRPr="00A9434B">
        <w:rPr>
          <w:b w:val="0"/>
          <w:bCs w:val="0"/>
        </w:rPr>
        <w:t xml:space="preserve"> actions aimed at promoting an</w:t>
      </w:r>
      <w:r w:rsidR="00E87438" w:rsidRPr="00A9434B">
        <w:rPr>
          <w:b w:val="0"/>
          <w:bCs w:val="0"/>
        </w:rPr>
        <w:t xml:space="preserve"> activity fail to take into account the existence of environmental externalities.</w:t>
      </w:r>
      <w:r w:rsidR="00EA435B" w:rsidRPr="00A9434B">
        <w:rPr>
          <w:b w:val="0"/>
        </w:rPr>
        <w:t xml:space="preserve"> </w:t>
      </w:r>
      <w:r w:rsidR="00DF1AF7" w:rsidRPr="00A9434B">
        <w:rPr>
          <w:rFonts w:eastAsia="Calibri Light"/>
          <w:b w:val="0"/>
          <w:bCs w:val="0"/>
          <w:iCs/>
        </w:rPr>
        <w:t>Examples present cases whe</w:t>
      </w:r>
      <w:r w:rsidR="00A27294" w:rsidRPr="00A9434B">
        <w:rPr>
          <w:rFonts w:eastAsia="Calibri Light"/>
          <w:b w:val="0"/>
          <w:bCs w:val="0"/>
          <w:iCs/>
        </w:rPr>
        <w:t>re</w:t>
      </w:r>
      <w:r w:rsidR="00DF1AF7" w:rsidRPr="00A9434B">
        <w:rPr>
          <w:rFonts w:eastAsia="Calibri Light"/>
          <w:b w:val="0"/>
          <w:bCs w:val="0"/>
          <w:iCs/>
        </w:rPr>
        <w:t xml:space="preserve"> </w:t>
      </w:r>
      <w:r w:rsidR="00DF1AF7" w:rsidRPr="00A9434B">
        <w:rPr>
          <w:b w:val="0"/>
          <w:bCs w:val="0"/>
        </w:rPr>
        <w:t xml:space="preserve">(a) agriculture </w:t>
      </w:r>
      <w:r w:rsidR="006F5DAD" w:rsidRPr="00A9434B">
        <w:rPr>
          <w:b w:val="0"/>
          <w:bCs w:val="0"/>
        </w:rPr>
        <w:fldChar w:fldCharType="begin"/>
      </w:r>
      <w:r w:rsidR="0006613E">
        <w:rPr>
          <w:b w:val="0"/>
          <w:bCs w:val="0"/>
        </w:rPr>
        <w:instrText xml:space="preserve"> ADDIN ZOTERO_ITEM CSL_CITATION {"citationID":"aan2u3lukb","properties":{"formattedCitation":"(Carson, 1962; Herms &amp; McCullough, 2011)","plainCitation":"(Carson, 1962; Herms &amp; McCullough, 2011)","noteIndex":0},"citationItems":[{"id":32821,"uris":["http://zotero.org/groups/2352922/items/4955SKU6"],"itemData":{"id":32821,"type":"book","language":"en","publisher":"Houghton Mifflin","title":"Silent Spring","URL":"https://www.environmentandsociety.org/mml/silent-spring","author":[{"family":"Carson","given":"Rachel"}],"issued":{"date-parts":[["1962"]]}},"label":"page"},{"id":53530,"uris":["http://zotero.org/groups/2352922/items/V8CUDHPI","http://zotero.org/groups/2352922/items/I5KH9V3T"],"itemData":{"id":53530,"type":"chapter","collection-title":"Encyclopedias of the Natural World","container-title":"Encyclopedia of Biological Invasions","ISBN":"0-520-94843-2","note":"DOI: 10.1525/9780520948433-118","page":"528-535","publisher":"University of California Press","title":"Pesticides for insect eradication","volume":"3","author":[{"family":"Herms","given":"Daniel A."},{"family":"McCullough","given":"Deborah G."}],"editor":[{"family":"Simberloff","given":"Daniel"},{"family":"Rejmanek","given":"Marcel"}],"issued":{"date-parts":[["2011"]]}},"label":"page"}],"schema":"https://github.com/citation-style-language/schema/raw/master/csl-citation.json"} </w:instrText>
      </w:r>
      <w:r w:rsidR="006F5DAD" w:rsidRPr="00A9434B">
        <w:rPr>
          <w:b w:val="0"/>
          <w:bCs w:val="0"/>
        </w:rPr>
        <w:fldChar w:fldCharType="separate"/>
      </w:r>
      <w:r w:rsidR="00C71E80" w:rsidRPr="00A9434B">
        <w:rPr>
          <w:b w:val="0"/>
          <w:bCs w:val="0"/>
        </w:rPr>
        <w:t>(Carson, 1962; Herms &amp; McCullough, 2011)</w:t>
      </w:r>
      <w:r w:rsidR="006F5DAD" w:rsidRPr="00A9434B">
        <w:rPr>
          <w:b w:val="0"/>
          <w:bCs w:val="0"/>
        </w:rPr>
        <w:fldChar w:fldCharType="end"/>
      </w:r>
      <w:r w:rsidR="00F34A9B" w:rsidRPr="00A9434B">
        <w:rPr>
          <w:b w:val="0"/>
          <w:bCs w:val="0"/>
        </w:rPr>
        <w:fldChar w:fldCharType="begin"/>
      </w:r>
      <w:r w:rsidR="00F34A9B" w:rsidRPr="00A9434B">
        <w:rPr>
          <w:b w:val="0"/>
          <w:bCs w:val="0"/>
        </w:rPr>
        <w:instrText xml:space="preserve"> ADDIN EN.CITE &lt;EndNote&gt;&lt;Cite&gt;&lt;Author&gt;Carson&lt;/Author&gt;&lt;Year&gt;2002&lt;/Year&gt;&lt;RecNum&gt;19&lt;/RecNum&gt;&lt;DisplayText&gt;(Carson 2002, Herms and McCullough 2011)&lt;/DisplayText&gt;&lt;record&gt;&lt;rec-number&gt;19&lt;/rec-number&gt;&lt;foreign-keys&gt;&lt;key app="EN" db-id="2fps2rpwcptwaxedz9oprzvmawfxef9pfpa2" timestamp="1620719915"&gt;19&lt;/key&gt;&lt;/foreign-keys&gt;&lt;ref-type name="Book"&gt;6&lt;/ref-type&gt;&lt;contributors&gt;&lt;authors&gt;&lt;author&gt;Carson, Rachel&lt;/author&gt;&lt;/authors&gt;&lt;/contributors&gt;&lt;titles&gt;&lt;title&gt;Silent spring&lt;/title&gt;&lt;/titles&gt;&lt;dates&gt;&lt;year&gt;2002&lt;/year&gt;&lt;/dates&gt;&lt;publisher&gt;Houghton Mifflin Harcourt&lt;/publisher&gt;&lt;isbn&gt;0547527624&lt;/isbn&gt;&lt;urls&gt;&lt;/urls&gt;&lt;/record&gt;&lt;/Cite&gt;&lt;Cite&gt;&lt;Author&gt;Herms&lt;/Author&gt;&lt;Year&gt;2011&lt;/Year&gt;&lt;RecNum&gt;20&lt;/RecNum&gt;&lt;record&gt;&lt;rec-number&gt;20&lt;/rec-number&gt;&lt;foreign-keys&gt;&lt;key app="EN" db-id="2fps2rpwcptwaxedz9oprzvmawfxef9pfpa2" timestamp="1620720011"&gt;20&lt;/key&gt;&lt;/foreign-keys&gt;&lt;ref-type name="Book Section"&gt;5&lt;/ref-type&gt;&lt;contributors&gt;&lt;authors&gt;&lt;author&gt;Herms, Daniel A&lt;/author&gt;&lt;author&gt;McCullough, Deborah G&lt;/author&gt;&lt;/authors&gt;&lt;/contributors&gt;&lt;titles&gt;&lt;title&gt;Pesticides for insect eradication&lt;/title&gt;&lt;secondary-title&gt;Encyclopedia of Biological Invasions&lt;/secondary-title&gt;&lt;/titles&gt;&lt;pages&gt;528-535&lt;/pages&gt;&lt;dates&gt;&lt;year&gt;2011&lt;/year&gt;&lt;/dates&gt;&lt;publisher&gt;University of California Press&lt;/publisher&gt;&lt;isbn&gt;0520948432&lt;/isbn&gt;&lt;urls&gt;&lt;/urls&gt;&lt;/record&gt;&lt;/Cite&gt;&lt;/EndNote&gt;</w:instrText>
      </w:r>
      <w:r w:rsidR="00F34A9B" w:rsidRPr="00A9434B">
        <w:rPr>
          <w:b w:val="0"/>
          <w:bCs w:val="0"/>
        </w:rPr>
        <w:fldChar w:fldCharType="end"/>
      </w:r>
      <w:r w:rsidR="00DF1AF7" w:rsidRPr="00A9434B">
        <w:rPr>
          <w:b w:val="0"/>
          <w:bCs w:val="0"/>
        </w:rPr>
        <w:t xml:space="preserve">, (b) aquaculture </w:t>
      </w:r>
      <w:r w:rsidR="00E072A8" w:rsidRPr="00A9434B">
        <w:rPr>
          <w:b w:val="0"/>
          <w:bCs w:val="0"/>
        </w:rPr>
        <w:fldChar w:fldCharType="begin"/>
      </w:r>
      <w:r w:rsidR="0006613E">
        <w:rPr>
          <w:b w:val="0"/>
          <w:bCs w:val="0"/>
        </w:rPr>
        <w:instrText xml:space="preserve"> ADDIN ZOTERO_ITEM CSL_CITATION {"citationID":"a2o39q8v7tq","properties":{"formattedCitation":"(Engelen et al., 2015)","plainCitation":"(Engelen et al., 2015)","noteIndex":0},"citationItems":[{"id":53195,"uris":["http://zotero.org/groups/2352922/items/3U23GVMM"],"itemData":{"id":53195,"type":"chapter","abstract":"MORTEN F. PEDERSEN6, FRANCISCO ARENAS7, CONSOLACIÓN FERNÁNDEZ8, \nHENNING STEEN9, ROBIN SVENSON10, HENRIK PAVIA10, GUNILLA TOTH10,FRÉDÉRIQUE VIARD11,12 &amp; RUI SANTOS11Center for Marine Sciences (CCMAR), University of Algarve, \nFCMA, Campus de Gambelas, 8005-139 Faro, PortugalE-mail: aengelen@ualg.pt (corresponding author)\n2Marine Science Laboratory, School of Life Sciences,The Chinese University of Hong Kong, Shatin, N.T., HKSAR, China\n3Friday Harbor Laboratories, University of Washington,620 University Road, Friday Harbor, Washington 98250, USA\n4School of Biological Sciences, Queen’s University Belfast,Medical Biology Centre, 97 Lisburn Road, Belfast, BT9 7BL, UK\n5Institute for Global Food Security, Queen’s University Belfast,18-30 Malone Road, Belfast, BT9 5BN, UK\n6Roskilde University, Department of Environmental, Social and Spatial Change,11-2, Universitetsvej 1, P.O. Box 260, DK-4000 Roskilde, Denmark\n7CIIMAR, University of Porto, R dos Bragas 289, 4050-123 Porto, Portugal8Departamento de Biología de Organismos y Sistemas, Universidad de Oviedo, \nc/ Catedrático Rodrigo Uría s/ n. E-33071 Oviedo, Spain9Institute of Marine Research in Norway, \nResearch Group of Benthic Habitats and Shellfish, Norway10Department of Biological and Environmental Sciences, University of Gothenburg, \nTjärnö Marine Biological Laboratory, 452 96 Strömstad, Sweden11Sorbonne Universités, UPMC Univ Paris 06, UMR 7144, \nStation Biologique de Roscoff, 29680 Roscoff, France12CNRS, UMR 7144, Divco Team, Station Biologique de Roscoff, 29680 Roscoff, FranceHundreds of macroalgal species have been spread outside their natural range by human activities, \nand many of these introductions are occurring at a worldwide scale. This review considers one of \nthe best-studied and most widespread invasive macroalgae, Sargassum muticum, to determine the \ntraits and processes important in marine invasions and to identify important lines of future research. \nParticular emphasis is placed on the ecology of S. muticum in its native range and on the four stages \nof invasion-transport, colonization, establishment, and spread-integrating taxonomy, invasion history, dispersal, impact, invasiveness and invasibility, and general ecology. Although S. muticum has \nreceived a lot of scientic attention, with more than 650 papers on this species, key information on \nits taxonomy, invasive biology, and evolutionary potential is still lacking. Most previous studies have \nbeen local or descriptive or provide circumstantial evidence, and too few have been hypothesis driven. \nOnly by local-scale research conducted in different geographical regions, especially including thenative range, and developed in an eco-evolutionary framework, will it be possible to greatly improve \nour understanding of the complex of factors, traits, and processes involved in macroalgal invasions.","container-title":"Oceanography and Marine Biology","ISBN":"978-0-429-16235-0","language":"English","note":"DOI:10.1201/b18733-4\nnumber-of-pages: 46","page":"81-126","publisher":"CRC Press","title":"Circumglobal Invasion by the Brown Seaweed &lt;i&gt;Sargassum muticum&lt;/i&gt;","URL":"https://www.taylorfrancis.com/books/edit/10.1201/b18733/oceanography-marine-biology-hughes-hughes-smith-dale","volume":"53","author":[{"family":"Engelen","given":"Aschwin H."},{"family":"Serebryakova","given":"Alexandra"},{"family":"Ang","given":"Put"},{"family":"Britton-Simmons","given":"Kevin"},{"family":"Mineur","given":"Frédéric"},{"family":"Pedersen","given":"Morten F."},{"family":"Arenas","given":"Francisco"},{"family":"Fernández","given":"Consolación"},{"family":"Steen","given":"Henning"},{"family":"Svenson","given":"Robin"},{"family":"Pavia","given":"Henrik"},{"family":"Toth","given":"Gunilla"},{"family":"Viard","given":"Frédérique"},{"family":"Santos","given":"Rui"}],"issued":{"date-parts":[["2015"]]}},"label":"page"}],"schema":"https://github.com/citation-style-language/schema/raw/master/csl-citation.json"} </w:instrText>
      </w:r>
      <w:r w:rsidR="00E072A8" w:rsidRPr="00A9434B">
        <w:rPr>
          <w:b w:val="0"/>
          <w:bCs w:val="0"/>
        </w:rPr>
        <w:fldChar w:fldCharType="separate"/>
      </w:r>
      <w:r w:rsidR="00C71E80" w:rsidRPr="00A9434B">
        <w:rPr>
          <w:b w:val="0"/>
          <w:bCs w:val="0"/>
        </w:rPr>
        <w:t>(Engelen et al., 2015)</w:t>
      </w:r>
      <w:r w:rsidR="00E072A8" w:rsidRPr="00A9434B">
        <w:rPr>
          <w:b w:val="0"/>
          <w:bCs w:val="0"/>
        </w:rPr>
        <w:fldChar w:fldCharType="end"/>
      </w:r>
      <w:r w:rsidR="00F34A9B" w:rsidRPr="00A9434B">
        <w:rPr>
          <w:b w:val="0"/>
          <w:bCs w:val="0"/>
        </w:rPr>
        <w:fldChar w:fldCharType="begin">
          <w:fldData xml:space="preserve">PEVuZE5vdGU+PENpdGU+PEF1dGhvcj5FbmdlbGVuPC9BdXRob3I+PFllYXI+MjAxNTwvWWVhcj48
UmVjTnVtPjIxPC9SZWNOdW0+PERpc3BsYXlUZXh0PihFbmdlbGVuLCBTZXJlYnJ5YWtvdmEgZXQg
YWwuIDIwMTUpPC9EaXNwbGF5VGV4dD48cmVjb3JkPjxyZWMtbnVtYmVyPjIxPC9yZWMtbnVtYmVy
Pjxmb3JlaWduLWtleXM+PGtleSBhcHA9IkVOIiBkYi1pZD0iMmZwczJycHdjcHR3YXhlZHo5b3By
enZtYXdmeGVmOXBmcGEyIiB0aW1lc3RhbXA9IjE2MjA3MjAxNDAiPjIxPC9rZXk+PC9mb3JlaWdu
LWtleXM+PHJlZi10eXBlIG5hbWU9IkpvdXJuYWwgQXJ0aWNsZSI+MTc8L3JlZi10eXBlPjxjb250
cmlidXRvcnM+PGF1dGhvcnM+PGF1dGhvcj5FbmdlbGVuLCBBLiBILjwvYXV0aG9yPjxhdXRob3I+
U2VyZWJyeWFrb3ZhLCBBLjwvYXV0aG9yPjxhdXRob3I+QW5nLCBQLjwvYXV0aG9yPjxhdXRob3I+
QnJpdHRvbi1TaW1tb25zLCBLLjwvYXV0aG9yPjxhdXRob3I+TWluZXVyLCBGLjwvYXV0aG9yPjxh
dXRob3I+UGVkZXJzZW4sIE0uIEYuPC9hdXRob3I+PGF1dGhvcj5BcmVuYXMsIEYuPC9hdXRob3I+
PGF1dGhvcj5GZXJuYW5kZXosIEMuPC9hdXRob3I+PGF1dGhvcj5TdGVlbiwgSC48L2F1dGhvcj48
YXV0aG9yPlN2ZW5zb24sIFIuPC9hdXRob3I+PGF1dGhvcj5QYXZpYSwgSC48L2F1dGhvcj48YXV0
aG9yPlRvdGgsIEcuPC9hdXRob3I+PGF1dGhvcj5WaWFyZCwgRi48L2F1dGhvcj48YXV0aG9yPlNh
bnRvcywgUi48L2F1dGhvcj48L2F1dGhvcnM+PC9jb250cmlidXRvcnM+PGF1dGgtYWRkcmVzcz5V
bml2IEFsZ2FydmUsIEN0ciBNYXJpbmUgU2NpIENDTUFSLCBGQ01BLCBQLTgwMDUxMzkgRmFybywg
UG9ydHVnYWwmI3hEO0NoaW5lc2UgVW5pdiBIb25nIEtvbmcsIFNjaCBMaWZlIFNjaSwgTWFyaW5l
IFNjaSBMYWIsIFNoYXRpbiwgSG9uZyBLb25nLCBQZW9wbGVzIFIgQ2hpbmEmI3hEO1VuaXYgV2Fz
aGluZ3RvbiwgRnJpZGF5IEhhcmJvciBMYWJzLCBGcmlkYXkgSGFyYm9yLCBXQSA5ODI1MCBVU0Em
I3hEO1F1ZWVucyBVbml2IEJlbGZhc3QsIFNjaCBCaW9sIFNjaSwgQ3RyIE1lZCBCaW9sLCBCZWxm
YXN0IEJUOSA3QkwsIEFudHJpbSwgTm9ydGggSXJlbGFuZCYjeEQ7UXVlZW5zIFVuaXYgQmVsZmFz
dCwgSW5zdCBHbG9iYWwgRm9vZCBTZWN1ciwgQmVsZmFzdCBCVDkgNUJOLCBBbnRyaW0sIE5vcnRo
IElyZWxhbmQmI3hEO1Jvc2tpbGRlIFVuaXYsIERlcHQgRW52aXJvbm0gU29jaWFsICZhbXA7IFNw
YXRpYWwgQ2hhbmdlLCBESy00MDAwIFJvc2tpbGRlLCBEZW5tYXJrJiN4RDtVbml2IFBvcnRvLCBD
SUlNQVIsIFAtNDA1MDEyMyBPcG9ydG8sIFBvcnR1Z2FsJiN4RDtVbml2IE92aWVkbywgRGVwdCBC
aW9sIE9yZ2FuaXNtb3MgJmFtcDsgU2lzdGVtYXMsIEUtMzMwNzEgT3ZpZWRvLCBTcGFpbiYjeEQ7
SW5zdCBNYXJpbmUgUmVzIE5vcndheSwgUmVzIEdycCBCZW50aCBIYWJpdGF0cyAmYW1wOyBTaGVs
bGZpc2gsIEJlcmdlbiwgTm9yd2F5JiN4RDtVbml2IEdvdGhlbmJ1cmcsIERlcHQgQmlvbCAmYW1w
OyBFbnZpcm9ubSBTY2ksIFRqYXJubyBNYXJpbmUgQmlvbCBMYWIsIFMtNDUyOTYgU3Ryb21zdGFk
LCBTd2VkZW4mI3hEO1VuaXYgUGFyaXMgMDYsIFNvcmJvbm5lIFVuaXYsIFVNUiA3MTQ0LCBTdG4g
QmlvbCBSb3Njb2ZmLCBGLTI5NjgwIFJvc2NvZmYsIEZyYW5jZSYjeEQ7Q05SUywgVU1SIDcxNDQs
IERpdmNvIFRlYW0sIFN0biBCaW9sIFJvc2NvZmYsIEYtMjk2ODAgUm9zY29mZiwgRnJhbmNlPC9h
dXRoLWFkZHJlc3M+PHRpdGxlcz48dGl0bGU+Q2lyY3VtZ2xvYmFsIEludmFzaW9uIGJ5IHRoZSBC
cm93biBTZWF3ZWVkIFNhcmdhc3N1bSBNdXRpY3VtPC90aXRsZT48c2Vjb25kYXJ5LXRpdGxlPk9j
ZWFub2dyYXBoeSBhbmQgTWFyaW5lIEJpb2xvZ3k6IEFuIEFubnVhbCBSZXZpZXcsIFZvbCA1Mzwv
c2Vjb25kYXJ5LXRpdGxlPjxhbHQtdGl0bGU+T2NlYW5vZ3IgTWFyIEJpb2w8L2FsdC10aXRsZT48
L3RpdGxlcz48cGVyaW9kaWNhbD48ZnVsbC10aXRsZT5PY2Vhbm9ncmFwaHkgYW5kIE1hcmluZSBC
aW9sb2d5OiBBbiBBbm51YWwgUmV2aWV3LCBWb2wgNTM8L2Z1bGwtdGl0bGU+PGFiYnItMT5PY2Vh
bm9nciBNYXIgQmlvbDwvYWJici0xPjwvcGVyaW9kaWNhbD48YWx0LXBlcmlvZGljYWw+PGZ1bGwt
dGl0bGU+T2NlYW5vZ3JhcGh5IGFuZCBNYXJpbmUgQmlvbG9neTogQW4gQW5udWFsIFJldmlldywg
Vm9sIDUzPC9mdWxsLXRpdGxlPjxhYmJyLTE+T2NlYW5vZ3IgTWFyIEJpb2w8L2FiYnItMT48L2Fs
dC1wZXJpb2RpY2FsPjxwYWdlcz44MS0xMjY8L3BhZ2VzPjx2b2x1bWU+NTM8L3ZvbHVtZT48a2V5
d29yZHM+PGtleXdvcmQ+c2Vhd2VlZDwva2V5d29yZD48a2V5d29yZD5pbnRlcmFjdGlvbnM8L2tl
eXdvcmQ+PGtleXdvcmQ+dGF4b25vbXk8L2tleXdvcmQ+PGtleXdvcmQ+bm9uLWluZGlnZW5vdXMg
c3BlY2llczwva2V5d29yZD48a2V5d29yZD5pbnZhc2l2ZSBzcGVjaWVzPC9rZXl3b3JkPjxrZXl3
b3JkPmludmFzaW9uPC9rZXl3b3JkPjxrZXl3b3JkPmVjb2xvZ3k8L2tleXdvcmQ+PGtleXdvcmQ+
aW1wYWN0PC9rZXl3b3JkPjxrZXl3b3JkPnNhcmdhc3N1bSBtdXRpY3VtPC9rZXl3b3JkPjxrZXl3
b3JkPnllbmRvIGZlbnNob2x0IHBvcHVsYXRpb25zPC9rZXl3b3JkPjxrZXl3b3JkPnVuZGFyaWEt
cGlubmF0aWZpZGE8L2tleXdvcmQ+PGtleXdvcmQ+YmlvbG9naWNhbCBpbnZhc2lvbnM8L2tleXdv
cmQ+PGtleXdvcmQ+ZnVuY3Rpb25hbCBkaXZlcnNpdHk8L2tleXdvcmQ+PGtleXdvcmQ+cmVwcm9k
dWN0aXZlIGVmZm9ydDwva2V5d29yZD48a2V5d29yZD5oYWxpZHJ5cy1zaWxpcXVvc2E8L2tleXdv
cmQ+PGtleXdvcmQ+aW50cm9kdWNlZCBzZWF3ZWVkPC9rZXl3b3JkPjxrZXl3b3JkPmdlbmV0aWMg
ZGl2ZXJzaXR5PC9rZXl3b3JkPjxrZXl3b3JkPmNsaW1hdGUtY2hhbmdlPC9rZXl3b3JkPjxrZXl3
b3JkPmxpZmUtaGlzdG9yeTwva2V5d29yZD48L2tleXdvcmRzPjxkYXRlcz48eWVhcj4yMDE1PC95
ZWFyPjwvZGF0ZXM+PGlzYm4+MDA3OC0zMjE4PC9pc2JuPjxhY2Nlc3Npb24tbnVtPldPUzowMDAz
NjQxNzQxMDAwMDM8L2FjY2Vzc2lvbi1udW0+PHVybHM+PHJlbGF0ZWQtdXJscz48dXJsPiZsdDtH
byB0byBJU0kmZ3Q7Oi8vV09TOjAwMDM2NDE3NDEwMDAwMzwvdXJsPjwvcmVsYXRlZC11cmxzPjwv
dXJscz48ZWxlY3Ryb25pYy1yZXNvdXJjZS1udW0+Qk9PS19ET0kgMTAuMTIwMS9iMTg3MzM8L2Vs
ZWN0cm9uaWMtcmVzb3VyY2UtbnVtPjxsYW5ndWFnZT5FbmdsaXNoPC9sYW5ndWFnZT48L3JlY29y
ZD48L0NpdGU+PC9FbmROb3RlPgB=
</w:fldData>
        </w:fldChar>
      </w:r>
      <w:r w:rsidR="00F34A9B" w:rsidRPr="00A9434B">
        <w:rPr>
          <w:b w:val="0"/>
          <w:bCs w:val="0"/>
        </w:rPr>
        <w:instrText xml:space="preserve"> ADDIN EN.CITE </w:instrText>
      </w:r>
      <w:r w:rsidR="00F34A9B" w:rsidRPr="00A9434B">
        <w:rPr>
          <w:b w:val="0"/>
          <w:bCs w:val="0"/>
        </w:rPr>
        <w:fldChar w:fldCharType="begin">
          <w:fldData xml:space="preserve">PEVuZE5vdGU+PENpdGU+PEF1dGhvcj5FbmdlbGVuPC9BdXRob3I+PFllYXI+MjAxNTwvWWVhcj48
UmVjTnVtPjIxPC9SZWNOdW0+PERpc3BsYXlUZXh0PihFbmdlbGVuLCBTZXJlYnJ5YWtvdmEgZXQg
YWwuIDIwMTUpPC9EaXNwbGF5VGV4dD48cmVjb3JkPjxyZWMtbnVtYmVyPjIxPC9yZWMtbnVtYmVy
Pjxmb3JlaWduLWtleXM+PGtleSBhcHA9IkVOIiBkYi1pZD0iMmZwczJycHdjcHR3YXhlZHo5b3By
enZtYXdmeGVmOXBmcGEyIiB0aW1lc3RhbXA9IjE2MjA3MjAxNDAiPjIxPC9rZXk+PC9mb3JlaWdu
LWtleXM+PHJlZi10eXBlIG5hbWU9IkpvdXJuYWwgQXJ0aWNsZSI+MTc8L3JlZi10eXBlPjxjb250
cmlidXRvcnM+PGF1dGhvcnM+PGF1dGhvcj5FbmdlbGVuLCBBLiBILjwvYXV0aG9yPjxhdXRob3I+
U2VyZWJyeWFrb3ZhLCBBLjwvYXV0aG9yPjxhdXRob3I+QW5nLCBQLjwvYXV0aG9yPjxhdXRob3I+
QnJpdHRvbi1TaW1tb25zLCBLLjwvYXV0aG9yPjxhdXRob3I+TWluZXVyLCBGLjwvYXV0aG9yPjxh
dXRob3I+UGVkZXJzZW4sIE0uIEYuPC9hdXRob3I+PGF1dGhvcj5BcmVuYXMsIEYuPC9hdXRob3I+
PGF1dGhvcj5GZXJuYW5kZXosIEMuPC9hdXRob3I+PGF1dGhvcj5TdGVlbiwgSC48L2F1dGhvcj48
YXV0aG9yPlN2ZW5zb24sIFIuPC9hdXRob3I+PGF1dGhvcj5QYXZpYSwgSC48L2F1dGhvcj48YXV0
aG9yPlRvdGgsIEcuPC9hdXRob3I+PGF1dGhvcj5WaWFyZCwgRi48L2F1dGhvcj48YXV0aG9yPlNh
bnRvcywgUi48L2F1dGhvcj48L2F1dGhvcnM+PC9jb250cmlidXRvcnM+PGF1dGgtYWRkcmVzcz5V
bml2IEFsZ2FydmUsIEN0ciBNYXJpbmUgU2NpIENDTUFSLCBGQ01BLCBQLTgwMDUxMzkgRmFybywg
UG9ydHVnYWwmI3hEO0NoaW5lc2UgVW5pdiBIb25nIEtvbmcsIFNjaCBMaWZlIFNjaSwgTWFyaW5l
IFNjaSBMYWIsIFNoYXRpbiwgSG9uZyBLb25nLCBQZW9wbGVzIFIgQ2hpbmEmI3hEO1VuaXYgV2Fz
aGluZ3RvbiwgRnJpZGF5IEhhcmJvciBMYWJzLCBGcmlkYXkgSGFyYm9yLCBXQSA5ODI1MCBVU0Em
I3hEO1F1ZWVucyBVbml2IEJlbGZhc3QsIFNjaCBCaW9sIFNjaSwgQ3RyIE1lZCBCaW9sLCBCZWxm
YXN0IEJUOSA3QkwsIEFudHJpbSwgTm9ydGggSXJlbGFuZCYjeEQ7UXVlZW5zIFVuaXYgQmVsZmFz
dCwgSW5zdCBHbG9iYWwgRm9vZCBTZWN1ciwgQmVsZmFzdCBCVDkgNUJOLCBBbnRyaW0sIE5vcnRo
IElyZWxhbmQmI3hEO1Jvc2tpbGRlIFVuaXYsIERlcHQgRW52aXJvbm0gU29jaWFsICZhbXA7IFNw
YXRpYWwgQ2hhbmdlLCBESy00MDAwIFJvc2tpbGRlLCBEZW5tYXJrJiN4RDtVbml2IFBvcnRvLCBD
SUlNQVIsIFAtNDA1MDEyMyBPcG9ydG8sIFBvcnR1Z2FsJiN4RDtVbml2IE92aWVkbywgRGVwdCBC
aW9sIE9yZ2FuaXNtb3MgJmFtcDsgU2lzdGVtYXMsIEUtMzMwNzEgT3ZpZWRvLCBTcGFpbiYjeEQ7
SW5zdCBNYXJpbmUgUmVzIE5vcndheSwgUmVzIEdycCBCZW50aCBIYWJpdGF0cyAmYW1wOyBTaGVs
bGZpc2gsIEJlcmdlbiwgTm9yd2F5JiN4RDtVbml2IEdvdGhlbmJ1cmcsIERlcHQgQmlvbCAmYW1w
OyBFbnZpcm9ubSBTY2ksIFRqYXJubyBNYXJpbmUgQmlvbCBMYWIsIFMtNDUyOTYgU3Ryb21zdGFk
LCBTd2VkZW4mI3hEO1VuaXYgUGFyaXMgMDYsIFNvcmJvbm5lIFVuaXYsIFVNUiA3MTQ0LCBTdG4g
QmlvbCBSb3Njb2ZmLCBGLTI5NjgwIFJvc2NvZmYsIEZyYW5jZSYjeEQ7Q05SUywgVU1SIDcxNDQs
IERpdmNvIFRlYW0sIFN0biBCaW9sIFJvc2NvZmYsIEYtMjk2ODAgUm9zY29mZiwgRnJhbmNlPC9h
dXRoLWFkZHJlc3M+PHRpdGxlcz48dGl0bGU+Q2lyY3VtZ2xvYmFsIEludmFzaW9uIGJ5IHRoZSBC
cm93biBTZWF3ZWVkIFNhcmdhc3N1bSBNdXRpY3VtPC90aXRsZT48c2Vjb25kYXJ5LXRpdGxlPk9j
ZWFub2dyYXBoeSBhbmQgTWFyaW5lIEJpb2xvZ3k6IEFuIEFubnVhbCBSZXZpZXcsIFZvbCA1Mzwv
c2Vjb25kYXJ5LXRpdGxlPjxhbHQtdGl0bGU+T2NlYW5vZ3IgTWFyIEJpb2w8L2FsdC10aXRsZT48
L3RpdGxlcz48cGVyaW9kaWNhbD48ZnVsbC10aXRsZT5PY2Vhbm9ncmFwaHkgYW5kIE1hcmluZSBC
aW9sb2d5OiBBbiBBbm51YWwgUmV2aWV3LCBWb2wgNTM8L2Z1bGwtdGl0bGU+PGFiYnItMT5PY2Vh
bm9nciBNYXIgQmlvbDwvYWJici0xPjwvcGVyaW9kaWNhbD48YWx0LXBlcmlvZGljYWw+PGZ1bGwt
dGl0bGU+T2NlYW5vZ3JhcGh5IGFuZCBNYXJpbmUgQmlvbG9neTogQW4gQW5udWFsIFJldmlldywg
Vm9sIDUzPC9mdWxsLXRpdGxlPjxhYmJyLTE+T2NlYW5vZ3IgTWFyIEJpb2w8L2FiYnItMT48L2Fs
dC1wZXJpb2RpY2FsPjxwYWdlcz44MS0xMjY8L3BhZ2VzPjx2b2x1bWU+NTM8L3ZvbHVtZT48a2V5
d29yZHM+PGtleXdvcmQ+c2Vhd2VlZDwva2V5d29yZD48a2V5d29yZD5pbnRlcmFjdGlvbnM8L2tl
eXdvcmQ+PGtleXdvcmQ+dGF4b25vbXk8L2tleXdvcmQ+PGtleXdvcmQ+bm9uLWluZGlnZW5vdXMg
c3BlY2llczwva2V5d29yZD48a2V5d29yZD5pbnZhc2l2ZSBzcGVjaWVzPC9rZXl3b3JkPjxrZXl3
b3JkPmludmFzaW9uPC9rZXl3b3JkPjxrZXl3b3JkPmVjb2xvZ3k8L2tleXdvcmQ+PGtleXdvcmQ+
aW1wYWN0PC9rZXl3b3JkPjxrZXl3b3JkPnNhcmdhc3N1bSBtdXRpY3VtPC9rZXl3b3JkPjxrZXl3
b3JkPnllbmRvIGZlbnNob2x0IHBvcHVsYXRpb25zPC9rZXl3b3JkPjxrZXl3b3JkPnVuZGFyaWEt
cGlubmF0aWZpZGE8L2tleXdvcmQ+PGtleXdvcmQ+YmlvbG9naWNhbCBpbnZhc2lvbnM8L2tleXdv
cmQ+PGtleXdvcmQ+ZnVuY3Rpb25hbCBkaXZlcnNpdHk8L2tleXdvcmQ+PGtleXdvcmQ+cmVwcm9k
dWN0aXZlIGVmZm9ydDwva2V5d29yZD48a2V5d29yZD5oYWxpZHJ5cy1zaWxpcXVvc2E8L2tleXdv
cmQ+PGtleXdvcmQ+aW50cm9kdWNlZCBzZWF3ZWVkPC9rZXl3b3JkPjxrZXl3b3JkPmdlbmV0aWMg
ZGl2ZXJzaXR5PC9rZXl3b3JkPjxrZXl3b3JkPmNsaW1hdGUtY2hhbmdlPC9rZXl3b3JkPjxrZXl3
b3JkPmxpZmUtaGlzdG9yeTwva2V5d29yZD48L2tleXdvcmRzPjxkYXRlcz48eWVhcj4yMDE1PC95
ZWFyPjwvZGF0ZXM+PGlzYm4+MDA3OC0zMjE4PC9pc2JuPjxhY2Nlc3Npb24tbnVtPldPUzowMDAz
NjQxNzQxMDAwMDM8L2FjY2Vzc2lvbi1udW0+PHVybHM+PHJlbGF0ZWQtdXJscz48dXJsPiZsdDtH
byB0byBJU0kmZ3Q7Oi8vV09TOjAwMDM2NDE3NDEwMDAwMzwvdXJsPjwvcmVsYXRlZC11cmxzPjwv
dXJscz48ZWxlY3Ryb25pYy1yZXNvdXJjZS1udW0+Qk9PS19ET0kgMTAuMTIwMS9iMTg3MzM8L2Vs
ZWN0cm9uaWMtcmVzb3VyY2UtbnVtPjxsYW5ndWFnZT5FbmdsaXNoPC9sYW5ndWFnZT48L3JlY29y
ZD48L0NpdGU+PC9FbmROb3RlPgB=
</w:fldData>
        </w:fldChar>
      </w:r>
      <w:r w:rsidR="00F34A9B" w:rsidRPr="00A9434B">
        <w:rPr>
          <w:b w:val="0"/>
          <w:bCs w:val="0"/>
        </w:rPr>
        <w:instrText xml:space="preserve"> ADDIN EN.CITE.DATA </w:instrText>
      </w:r>
      <w:r w:rsidR="00F34A9B" w:rsidRPr="00A9434B">
        <w:rPr>
          <w:b w:val="0"/>
          <w:bCs w:val="0"/>
        </w:rPr>
      </w:r>
      <w:r w:rsidR="00F34A9B" w:rsidRPr="00A9434B">
        <w:rPr>
          <w:b w:val="0"/>
          <w:bCs w:val="0"/>
        </w:rPr>
        <w:fldChar w:fldCharType="end"/>
      </w:r>
      <w:r w:rsidR="00F34A9B" w:rsidRPr="00A9434B">
        <w:rPr>
          <w:b w:val="0"/>
          <w:bCs w:val="0"/>
        </w:rPr>
      </w:r>
      <w:r w:rsidR="00F34A9B" w:rsidRPr="00A9434B">
        <w:rPr>
          <w:b w:val="0"/>
          <w:bCs w:val="0"/>
        </w:rPr>
        <w:fldChar w:fldCharType="end"/>
      </w:r>
      <w:r w:rsidR="0006099E" w:rsidRPr="00A9434B">
        <w:rPr>
          <w:b w:val="0"/>
          <w:bCs w:val="0"/>
        </w:rPr>
        <w:t>,</w:t>
      </w:r>
      <w:r w:rsidR="00EA435B" w:rsidRPr="00A9434B">
        <w:rPr>
          <w:b w:val="0"/>
          <w:bCs w:val="0"/>
        </w:rPr>
        <w:t xml:space="preserve"> </w:t>
      </w:r>
      <w:r w:rsidR="0006099E" w:rsidRPr="00A9434B">
        <w:rPr>
          <w:b w:val="0"/>
          <w:bCs w:val="0"/>
        </w:rPr>
        <w:t>(c)</w:t>
      </w:r>
      <w:r w:rsidR="00EA435B" w:rsidRPr="00A9434B">
        <w:rPr>
          <w:b w:val="0"/>
          <w:bCs w:val="0"/>
        </w:rPr>
        <w:t xml:space="preserve"> p</w:t>
      </w:r>
      <w:r w:rsidR="00AE05B9" w:rsidRPr="00A9434B">
        <w:rPr>
          <w:b w:val="0"/>
          <w:bCs w:val="0"/>
        </w:rPr>
        <w:t>u</w:t>
      </w:r>
      <w:r w:rsidR="00F34A9B" w:rsidRPr="00A9434B">
        <w:rPr>
          <w:b w:val="0"/>
          <w:bCs w:val="0"/>
        </w:rPr>
        <w:t>blic health</w:t>
      </w:r>
      <w:r w:rsidR="00E072A8" w:rsidRPr="00A9434B">
        <w:rPr>
          <w:b w:val="0"/>
          <w:bCs w:val="0"/>
        </w:rPr>
        <w:t xml:space="preserve"> </w:t>
      </w:r>
      <w:r w:rsidR="00E072A8" w:rsidRPr="00A9434B">
        <w:rPr>
          <w:b w:val="0"/>
          <w:bCs w:val="0"/>
        </w:rPr>
        <w:fldChar w:fldCharType="begin"/>
      </w:r>
      <w:r w:rsidR="0006613E">
        <w:rPr>
          <w:b w:val="0"/>
          <w:bCs w:val="0"/>
        </w:rPr>
        <w:instrText xml:space="preserve"> ADDIN ZOTERO_ITEM CSL_CITATION {"citationID":"a20tp7udl86","properties":{"formattedCitation":"(Carson, 1962; Walker et al., 2003)","plainCitation":"(Carson, 1962; Walker et al., 2003)","noteIndex":0},"citationItems":[{"id":32821,"uris":["http://zotero.org/groups/2352922/items/4955SKU6"],"itemData":{"id":32821,"type":"book","language":"en","publisher":"Houghton Mifflin","title":"Silent Spring","URL":"https://www.environmentandsociety.org/mml/silent-spring","author":[{"family":"Carson","given":"Rachel"}],"issued":{"date-parts":[["1962"]]}},"label":"page"},{"id":53418,"uris":["http://zotero.org/groups/2352922/items/JAZWVYY2","http://zotero.org/groups/2352922/items/6R7U376A"],"itemData":{"id":53418,"type":"article-journal","container-title":"International Journal of Hygiene and Environmental Health","DOI":"10.1078/1438-4639-00239","ISSN":"1438-4639","issue":"4-5","journalAbbreviation":"Int J Hyg Envir Heal","language":"English","note":"number: 4-5","page":"423-435","title":"Developing an international consensus on DDT: a balance of environmental protection and disease control","volume":"206","author":[{"family":"Walker","given":"K. R."},{"family":"Ricciardone","given":"M. D."},{"family":"Jensen","given":"J."}],"issued":{"date-parts":[["2003",8]]}},"label":"page"}],"schema":"https://github.com/citation-style-language/schema/raw/master/csl-citation.json"} </w:instrText>
      </w:r>
      <w:r w:rsidR="00E072A8" w:rsidRPr="00A9434B">
        <w:rPr>
          <w:b w:val="0"/>
          <w:bCs w:val="0"/>
        </w:rPr>
        <w:fldChar w:fldCharType="separate"/>
      </w:r>
      <w:r w:rsidR="00C71E80" w:rsidRPr="00A9434B">
        <w:rPr>
          <w:b w:val="0"/>
          <w:bCs w:val="0"/>
        </w:rPr>
        <w:t>(Carson, 1962; Walker et al., 2003)</w:t>
      </w:r>
      <w:r w:rsidR="00E072A8" w:rsidRPr="00A9434B">
        <w:rPr>
          <w:b w:val="0"/>
          <w:bCs w:val="0"/>
        </w:rPr>
        <w:fldChar w:fldCharType="end"/>
      </w:r>
      <w:r w:rsidR="00F34A9B" w:rsidRPr="00A9434B">
        <w:rPr>
          <w:b w:val="0"/>
          <w:bCs w:val="0"/>
        </w:rPr>
        <w:fldChar w:fldCharType="begin">
          <w:fldData xml:space="preserve">PEVuZE5vdGU+PENpdGU+PEF1dGhvcj5XYWxrZXI8L0F1dGhvcj48WWVhcj4yMDAzPC9ZZWFyPjxS
ZWNOdW0+MjI8L1JlY051bT48RGlzcGxheVRleHQ+KENhcnNvbiAyMDAyLCBXYWxrZXIsIFJpY2Np
YXJkb25lIGV0IGFsLiAyMDAzKTwvRGlzcGxheVRleHQ+PHJlY29yZD48cmVjLW51bWJlcj4yMjwv
cmVjLW51bWJlcj48Zm9yZWlnbi1rZXlzPjxrZXkgYXBwPSJFTiIgZGItaWQ9IjJmcHMycnB3Y3B0
d2F4ZWR6OW9wcnp2bWF3ZnhlZjlwZnBhMiIgdGltZXN0YW1wPSIxNjIwNzIwMTc1Ij4yMjwva2V5
PjwvZm9yZWlnbi1rZXlzPjxyZWYtdHlwZSBuYW1lPSJKb3VybmFsIEFydGljbGUiPjE3PC9yZWYt
dHlwZT48Y29udHJpYnV0b3JzPjxhdXRob3JzPjxhdXRob3I+V2Fsa2VyLCBLLiBSLjwvYXV0aG9y
PjxhdXRob3I+UmljY2lhcmRvbmUsIE0uIEQuPC9hdXRob3I+PGF1dGhvcj5KZW5zZW4sIEouPC9h
dXRob3I+PC9hdXRob3JzPjwvY29udHJpYnV0b3JzPjxhdXRoLWFkZHJlc3M+VVMgRVBBLCBXYXNo
aW5ndG9uLCBEQyAyMDQ2MCBVU0E8L2F1dGgtYWRkcmVzcz48dGl0bGVzPjx0aXRsZT5EZXZlbG9w
aW5nIGFuIGludGVybmF0aW9uYWwgY29uc2Vuc3VzIG9uIEREVDogYSBiYWxhbmNlIG9mIGVudmly
b25tZW50YWwgcHJvdGVjdGlvbiBhbmQgZGlzZWFzZSBjb250cm9sPC90aXRsZT48c2Vjb25kYXJ5
LXRpdGxlPkludGVybmF0aW9uYWwgSm91cm5hbCBvZiBIeWdpZW5lIGFuZCBFbnZpcm9ubWVudGFs
IEhlYWx0aDwvc2Vjb25kYXJ5LXRpdGxlPjxhbHQtdGl0bGU+SW50IEogSHlnIEVudmlyIEhlYWw8
L2FsdC10aXRsZT48L3RpdGxlcz48cGVyaW9kaWNhbD48ZnVsbC10aXRsZT5JbnRlcm5hdGlvbmFs
IEpvdXJuYWwgb2YgSHlnaWVuZSBhbmQgRW52aXJvbm1lbnRhbCBIZWFsdGg8L2Z1bGwtdGl0bGU+
PGFiYnItMT5JbnQgSiBIeWcgRW52aXIgSGVhbDwvYWJici0xPjwvcGVyaW9kaWNhbD48YWx0LXBl
cmlvZGljYWw+PGZ1bGwtdGl0bGU+SW50ZXJuYXRpb25hbCBKb3VybmFsIG9mIEh5Z2llbmUgYW5k
IEVudmlyb25tZW50YWwgSGVhbHRoPC9mdWxsLXRpdGxlPjxhYmJyLTE+SW50IEogSHlnIEVudmly
IEhlYWw8L2FiYnItMT48L2FsdC1wZXJpb2RpY2FsPjxwYWdlcz40MjMtNDM1PC9wYWdlcz48dm9s
dW1lPjIwNjwvdm9sdW1lPjxudW1iZXI+NC01PC9udW1iZXI+PGtleXdvcmRzPjxrZXl3b3JkPnBl
cnNpc3RlbnQgb3JnYW5pYyBwb2xsdXRhbnRzPC9rZXl3b3JkPjxrZXl3b3JkPmRkdDwva2V5d29y
ZD48a2V5d29yZD5tYWxhcmlhPC9rZXl3b3JkPjxrZXl3b3JkPnZlY3RvciBjb250cm9sPC9rZXl3
b3JkPjxrZXl3b3JkPnN0b2NraG9sbSBjb252ZW50aW9uPC9rZXl3b3JkPjxrZXl3b3JkPm1hbGFy
aWEgY29udHJvbDwva2V5d29yZD48a2V5d29yZD5vcmdhbm9jaGxvcmluZSBwZXN0aWNpZGU8L2tl
eXdvcmQ+PGtleXdvcmQ+YnJlYXN0LW1pbGs8L2tleXdvcmQ+PGtleXdvcmQ+cmVzaWR1ZXM8L2tl
eXdvcmQ+PGtleXdvcmQ+cmlzazwva2V5d29yZD48a2V5d29yZD5pbnNlY3RpY2lkZXM8L2tleXdv
cmQ+PGtleXdvcmQ+bWV0YWJvbGl0ZXM8L2tleXdvcmQ+PGtleXdvcmQ+c3RyYXRlZ2llczwva2V5
d29yZD48a2V5d29yZD5yZXNpc3RhbmNlPC9rZXl3b3JkPjxrZXl3b3JkPnBlcm1hbmVudDwva2V5
d29yZD48L2tleXdvcmRzPjxkYXRlcz48eWVhcj4yMDAzPC95ZWFyPjxwdWItZGF0ZXM+PGRhdGU+
QXVnPC9kYXRlPjwvcHViLWRhdGVzPjwvZGF0ZXM+PGlzYm4+MTQzOC00NjM5PC9pc2JuPjxhY2Nl
c3Npb24tbnVtPldPUzowMDAxODUwMjQzMDAwMTk8L2FjY2Vzc2lvbi1udW0+PHVybHM+PHJlbGF0
ZWQtdXJscz48dXJsPiZsdDtHbyB0byBJU0kmZ3Q7Oi8vV09TOjAwMDE4NTAyNDMwMDAxOTwvdXJs
PjwvcmVsYXRlZC11cmxzPjwvdXJscz48ZWxlY3Ryb25pYy1yZXNvdXJjZS1udW0+RG9pIDEwLjEw
NzgvMTQzOC00NjM5LTAwMjM5PC9lbGVjdHJvbmljLXJlc291cmNlLW51bT48bGFuZ3VhZ2U+RW5n
bGlzaDwvbGFuZ3VhZ2U+PC9yZWNvcmQ+PC9DaXRlPjxDaXRlPjxBdXRob3I+Q2Fyc29uPC9BdXRo
b3I+PFllYXI+MjAwMjwvWWVhcj48UmVjTnVtPjE5PC9SZWNOdW0+PHJlY29yZD48cmVjLW51bWJl
cj4xOTwvcmVjLW51bWJlcj48Zm9yZWlnbi1rZXlzPjxrZXkgYXBwPSJFTiIgZGItaWQ9IjJmcHMy
cnB3Y3B0d2F4ZWR6OW9wcnp2bWF3ZnhlZjlwZnBhMiIgdGltZXN0YW1wPSIxNjIwNzE5OTE1Ij4x
OTwva2V5PjwvZm9yZWlnbi1rZXlzPjxyZWYtdHlwZSBuYW1lPSJCb29rIj42PC9yZWYtdHlwZT48
Y29udHJpYnV0b3JzPjxhdXRob3JzPjxhdXRob3I+Q2Fyc29uLCBSYWNoZWw8L2F1dGhvcj48L2F1
dGhvcnM+PC9jb250cmlidXRvcnM+PHRpdGxlcz48dGl0bGU+U2lsZW50IHNwcmluZzwvdGl0bGU+
PC90aXRsZXM+PGRhdGVzPjx5ZWFyPjIwMDI8L3llYXI+PC9kYXRlcz48cHVibGlzaGVyPkhvdWdo
dG9uIE1pZmZsaW4gSGFyY291cnQ8L3B1Ymxpc2hlcj48aXNibj4wNTQ3NTI3NjI0PC9pc2JuPjx1
cmxzPjwvdXJscz48L3JlY29yZD48L0NpdGU+PC9FbmROb3RlPgB=
</w:fldData>
        </w:fldChar>
      </w:r>
      <w:r w:rsidR="00F34A9B" w:rsidRPr="00A9434B">
        <w:rPr>
          <w:b w:val="0"/>
          <w:bCs w:val="0"/>
        </w:rPr>
        <w:instrText xml:space="preserve"> ADDIN EN.CITE </w:instrText>
      </w:r>
      <w:r w:rsidR="00F34A9B" w:rsidRPr="00A9434B">
        <w:rPr>
          <w:b w:val="0"/>
          <w:bCs w:val="0"/>
        </w:rPr>
        <w:fldChar w:fldCharType="begin">
          <w:fldData xml:space="preserve">PEVuZE5vdGU+PENpdGU+PEF1dGhvcj5XYWxrZXI8L0F1dGhvcj48WWVhcj4yMDAzPC9ZZWFyPjxS
ZWNOdW0+MjI8L1JlY051bT48RGlzcGxheVRleHQ+KENhcnNvbiAyMDAyLCBXYWxrZXIsIFJpY2Np
YXJkb25lIGV0IGFsLiAyMDAzKTwvRGlzcGxheVRleHQ+PHJlY29yZD48cmVjLW51bWJlcj4yMjwv
cmVjLW51bWJlcj48Zm9yZWlnbi1rZXlzPjxrZXkgYXBwPSJFTiIgZGItaWQ9IjJmcHMycnB3Y3B0
d2F4ZWR6OW9wcnp2bWF3ZnhlZjlwZnBhMiIgdGltZXN0YW1wPSIxNjIwNzIwMTc1Ij4yMjwva2V5
PjwvZm9yZWlnbi1rZXlzPjxyZWYtdHlwZSBuYW1lPSJKb3VybmFsIEFydGljbGUiPjE3PC9yZWYt
dHlwZT48Y29udHJpYnV0b3JzPjxhdXRob3JzPjxhdXRob3I+V2Fsa2VyLCBLLiBSLjwvYXV0aG9y
PjxhdXRob3I+UmljY2lhcmRvbmUsIE0uIEQuPC9hdXRob3I+PGF1dGhvcj5KZW5zZW4sIEouPC9h
dXRob3I+PC9hdXRob3JzPjwvY29udHJpYnV0b3JzPjxhdXRoLWFkZHJlc3M+VVMgRVBBLCBXYXNo
aW5ndG9uLCBEQyAyMDQ2MCBVU0E8L2F1dGgtYWRkcmVzcz48dGl0bGVzPjx0aXRsZT5EZXZlbG9w
aW5nIGFuIGludGVybmF0aW9uYWwgY29uc2Vuc3VzIG9uIEREVDogYSBiYWxhbmNlIG9mIGVudmly
b25tZW50YWwgcHJvdGVjdGlvbiBhbmQgZGlzZWFzZSBjb250cm9sPC90aXRsZT48c2Vjb25kYXJ5
LXRpdGxlPkludGVybmF0aW9uYWwgSm91cm5hbCBvZiBIeWdpZW5lIGFuZCBFbnZpcm9ubWVudGFs
IEhlYWx0aDwvc2Vjb25kYXJ5LXRpdGxlPjxhbHQtdGl0bGU+SW50IEogSHlnIEVudmlyIEhlYWw8
L2FsdC10aXRsZT48L3RpdGxlcz48cGVyaW9kaWNhbD48ZnVsbC10aXRsZT5JbnRlcm5hdGlvbmFs
IEpvdXJuYWwgb2YgSHlnaWVuZSBhbmQgRW52aXJvbm1lbnRhbCBIZWFsdGg8L2Z1bGwtdGl0bGU+
PGFiYnItMT5JbnQgSiBIeWcgRW52aXIgSGVhbDwvYWJici0xPjwvcGVyaW9kaWNhbD48YWx0LXBl
cmlvZGljYWw+PGZ1bGwtdGl0bGU+SW50ZXJuYXRpb25hbCBKb3VybmFsIG9mIEh5Z2llbmUgYW5k
IEVudmlyb25tZW50YWwgSGVhbHRoPC9mdWxsLXRpdGxlPjxhYmJyLTE+SW50IEogSHlnIEVudmly
IEhlYWw8L2FiYnItMT48L2FsdC1wZXJpb2RpY2FsPjxwYWdlcz40MjMtNDM1PC9wYWdlcz48dm9s
dW1lPjIwNjwvdm9sdW1lPjxudW1iZXI+NC01PC9udW1iZXI+PGtleXdvcmRzPjxrZXl3b3JkPnBl
cnNpc3RlbnQgb3JnYW5pYyBwb2xsdXRhbnRzPC9rZXl3b3JkPjxrZXl3b3JkPmRkdDwva2V5d29y
ZD48a2V5d29yZD5tYWxhcmlhPC9rZXl3b3JkPjxrZXl3b3JkPnZlY3RvciBjb250cm9sPC9rZXl3
b3JkPjxrZXl3b3JkPnN0b2NraG9sbSBjb252ZW50aW9uPC9rZXl3b3JkPjxrZXl3b3JkPm1hbGFy
aWEgY29udHJvbDwva2V5d29yZD48a2V5d29yZD5vcmdhbm9jaGxvcmluZSBwZXN0aWNpZGU8L2tl
eXdvcmQ+PGtleXdvcmQ+YnJlYXN0LW1pbGs8L2tleXdvcmQ+PGtleXdvcmQ+cmVzaWR1ZXM8L2tl
eXdvcmQ+PGtleXdvcmQ+cmlzazwva2V5d29yZD48a2V5d29yZD5pbnNlY3RpY2lkZXM8L2tleXdv
cmQ+PGtleXdvcmQ+bWV0YWJvbGl0ZXM8L2tleXdvcmQ+PGtleXdvcmQ+c3RyYXRlZ2llczwva2V5
d29yZD48a2V5d29yZD5yZXNpc3RhbmNlPC9rZXl3b3JkPjxrZXl3b3JkPnBlcm1hbmVudDwva2V5
d29yZD48L2tleXdvcmRzPjxkYXRlcz48eWVhcj4yMDAzPC95ZWFyPjxwdWItZGF0ZXM+PGRhdGU+
QXVnPC9kYXRlPjwvcHViLWRhdGVzPjwvZGF0ZXM+PGlzYm4+MTQzOC00NjM5PC9pc2JuPjxhY2Nl
c3Npb24tbnVtPldPUzowMDAxODUwMjQzMDAwMTk8L2FjY2Vzc2lvbi1udW0+PHVybHM+PHJlbGF0
ZWQtdXJscz48dXJsPiZsdDtHbyB0byBJU0kmZ3Q7Oi8vV09TOjAwMDE4NTAyNDMwMDAxOTwvdXJs
PjwvcmVsYXRlZC11cmxzPjwvdXJscz48ZWxlY3Ryb25pYy1yZXNvdXJjZS1udW0+RG9pIDEwLjEw
NzgvMTQzOC00NjM5LTAwMjM5PC9lbGVjdHJvbmljLXJlc291cmNlLW51bT48bGFuZ3VhZ2U+RW5n
bGlzaDwvbGFuZ3VhZ2U+PC9yZWNvcmQ+PC9DaXRlPjxDaXRlPjxBdXRob3I+Q2Fyc29uPC9BdXRo
b3I+PFllYXI+MjAwMjwvWWVhcj48UmVjTnVtPjE5PC9SZWNOdW0+PHJlY29yZD48cmVjLW51bWJl
cj4xOTwvcmVjLW51bWJlcj48Zm9yZWlnbi1rZXlzPjxrZXkgYXBwPSJFTiIgZGItaWQ9IjJmcHMy
cnB3Y3B0d2F4ZWR6OW9wcnp2bWF3ZnhlZjlwZnBhMiIgdGltZXN0YW1wPSIxNjIwNzE5OTE1Ij4x
OTwva2V5PjwvZm9yZWlnbi1rZXlzPjxyZWYtdHlwZSBuYW1lPSJCb29rIj42PC9yZWYtdHlwZT48
Y29udHJpYnV0b3JzPjxhdXRob3JzPjxhdXRob3I+Q2Fyc29uLCBSYWNoZWw8L2F1dGhvcj48L2F1
dGhvcnM+PC9jb250cmlidXRvcnM+PHRpdGxlcz48dGl0bGU+U2lsZW50IHNwcmluZzwvdGl0bGU+
PC90aXRsZXM+PGRhdGVzPjx5ZWFyPjIwMDI8L3llYXI+PC9kYXRlcz48cHVibGlzaGVyPkhvdWdo
dG9uIE1pZmZsaW4gSGFyY291cnQ8L3B1Ymxpc2hlcj48aXNibj4wNTQ3NTI3NjI0PC9pc2JuPjx1
cmxzPjwvdXJscz48L3JlY29yZD48L0NpdGU+PC9FbmROb3RlPgB=
</w:fldData>
        </w:fldChar>
      </w:r>
      <w:r w:rsidR="00F34A9B" w:rsidRPr="00A9434B">
        <w:rPr>
          <w:b w:val="0"/>
          <w:bCs w:val="0"/>
        </w:rPr>
        <w:instrText xml:space="preserve"> ADDIN EN.CITE.DATA </w:instrText>
      </w:r>
      <w:r w:rsidR="00F34A9B" w:rsidRPr="00A9434B">
        <w:rPr>
          <w:b w:val="0"/>
          <w:bCs w:val="0"/>
        </w:rPr>
      </w:r>
      <w:r w:rsidR="00F34A9B" w:rsidRPr="00A9434B">
        <w:rPr>
          <w:b w:val="0"/>
          <w:bCs w:val="0"/>
        </w:rPr>
        <w:fldChar w:fldCharType="end"/>
      </w:r>
      <w:r w:rsidR="00F34A9B" w:rsidRPr="00A9434B">
        <w:rPr>
          <w:b w:val="0"/>
          <w:bCs w:val="0"/>
        </w:rPr>
      </w:r>
      <w:r w:rsidR="00F34A9B" w:rsidRPr="00A9434B">
        <w:rPr>
          <w:b w:val="0"/>
          <w:bCs w:val="0"/>
        </w:rPr>
        <w:fldChar w:fldCharType="end"/>
      </w:r>
      <w:r w:rsidR="00DF1AF7" w:rsidRPr="00A9434B">
        <w:rPr>
          <w:b w:val="0"/>
          <w:bCs w:val="0"/>
        </w:rPr>
        <w:t>,</w:t>
      </w:r>
      <w:r w:rsidR="005E01AF" w:rsidRPr="00A9434B">
        <w:rPr>
          <w:b w:val="0"/>
          <w:bCs w:val="0"/>
        </w:rPr>
        <w:t xml:space="preserve"> </w:t>
      </w:r>
      <w:r w:rsidR="00DF1AF7" w:rsidRPr="00A9434B">
        <w:rPr>
          <w:b w:val="0"/>
          <w:bCs w:val="0"/>
        </w:rPr>
        <w:t xml:space="preserve">(d) </w:t>
      </w:r>
      <w:r w:rsidR="00A27294" w:rsidRPr="00A9434B">
        <w:rPr>
          <w:b w:val="0"/>
          <w:bCs w:val="0"/>
        </w:rPr>
        <w:t>f</w:t>
      </w:r>
      <w:r w:rsidR="00DF1AF7" w:rsidRPr="00A9434B">
        <w:rPr>
          <w:b w:val="0"/>
          <w:bCs w:val="0"/>
        </w:rPr>
        <w:t>orestry</w:t>
      </w:r>
      <w:r w:rsidR="00EA435B" w:rsidRPr="00A9434B">
        <w:rPr>
          <w:b w:val="0"/>
          <w:bCs w:val="0"/>
        </w:rPr>
        <w:t xml:space="preserve"> </w:t>
      </w:r>
      <w:r w:rsidR="00E072A8" w:rsidRPr="00A9434B">
        <w:rPr>
          <w:b w:val="0"/>
          <w:bCs w:val="0"/>
        </w:rPr>
        <w:fldChar w:fldCharType="begin"/>
      </w:r>
      <w:r w:rsidR="0006613E">
        <w:rPr>
          <w:b w:val="0"/>
          <w:bCs w:val="0"/>
        </w:rPr>
        <w:instrText xml:space="preserve"> ADDIN ZOTERO_ITEM CSL_CITATION {"citationID":"agj09om7te","properties":{"formattedCitation":"(Calvi\\uc0\\u241{}o-Cancela &amp; Rubido-Bar\\uc0\\u225{}, 2013)","plainCitation":"(Calviño-Cancela &amp; Rubido-Bará, 2013)","noteIndex":0},"citationItems":[{"id":53192,"uris":["http://zotero.org/groups/2352922/items/YLNNFVPD"],"itemData":{"id":53192,"type":"article-journal","abstract":"In many countries, plantation forestry depends mostly on a small number of fast-growing exotic species (mainly eucalypts and pines). These species are highly productive but may also become invasive in the communities surrounding plantations. The spread of alien species depends on characteristics of the species itself (species invasiveness) and of the host community (community invasibility), so that some habitats are more vulnerable than others to the invasion of a given species. Our aim in this study is to assess the ability of Eucalyptus globulus to spread in the absence of fire from plantations into the three most common types of surrounding habitats in the study area (NW Spain; native forests, pine plantations and shrublands) and to make recommendations to minimize the risk of spread. We independently assessed propagule pressure and community invasibility by measuring (1) the amount of seeds of E. globulus reaching different distances from the edge of plantations, and (2) seedling emergence and survival in the three types of habitats mentioned. We then estimated the density of seedling and sapling recruitment at different distances from plantation edges by means of a stochastic model parameterized with field data. Seed dispersal distances up to 80m were recorded, with the frequency distribution of dispersal distances being strongly leptokurtic. Most E. globulus seeds were recorded in the first 5m from plantation edges (84.3%), and 98.6% in the first 15m. Native forests were the most resistant to E. globulus spread, showing lower seedling emergence (0.9% vs. 3.3% and 2.2% in shrublands and pine plantations) and survival (3.7% vs. 17.5% and 19.9% up to 6months). Despite relatively low establishment success ratio, high seed production leads to considerable seedling densities in surrounding habitats, especially in pine plantations and shrublands. In order to control E. globulus spread, we recommend eliminating all new recruits in a safety belt around plantations (e.g. a 15-m wide belt could reduce recruitment in c. 95%) while they can be easily uprooted (1–2years) and have not reached sexual maturity. Given the resistance of native forests to eucalypt establishment, fostering this type of vegetation in those belts would facilitate their maintenance and increase their effectiveness.","container-title":"Forest Ecology and Management","DOI":"10.1016/j.foreco.2013.05.037","ISSN":"0378-1127","journalAbbreviation":"Forest Ecology and Management","language":"en","page":"129-137","source":"ScienceDirect","title":"Invasive potential of &lt;i&gt;Eucalyptus globulus&lt;/i&gt;: Seed dispersal, seedling recruitment and survival in habitats surrounding plantations","title-short":"Invasive potential of Eucalyptus globulus","URL":"https://www.sciencedirect.com/science/article/pii/S0378112713003368","volume":"305","author":[{"family":"Calviño-Cancela","given":"María"},{"family":"Rubido-Bará","given":"Marga"}],"accessed":{"date-parts":[["2022",9,6]]},"issued":{"date-parts":[["2013",10,1]]}},"label":"page"}],"schema":"https://github.com/citation-style-language/schema/raw/master/csl-citation.json"} </w:instrText>
      </w:r>
      <w:r w:rsidR="00E072A8" w:rsidRPr="00A9434B">
        <w:rPr>
          <w:b w:val="0"/>
          <w:bCs w:val="0"/>
        </w:rPr>
        <w:fldChar w:fldCharType="separate"/>
      </w:r>
      <w:r w:rsidR="00C71E80" w:rsidRPr="00A9434B">
        <w:rPr>
          <w:b w:val="0"/>
          <w:bCs w:val="0"/>
          <w:szCs w:val="24"/>
        </w:rPr>
        <w:t>(Calviño-Cancela &amp; Rubido-Bará, 2013)</w:t>
      </w:r>
      <w:r w:rsidR="00E072A8" w:rsidRPr="00A9434B">
        <w:rPr>
          <w:b w:val="0"/>
          <w:bCs w:val="0"/>
        </w:rPr>
        <w:fldChar w:fldCharType="end"/>
      </w:r>
      <w:r w:rsidR="00E072A8" w:rsidRPr="00A9434B">
        <w:rPr>
          <w:b w:val="0"/>
          <w:bCs w:val="0"/>
        </w:rPr>
        <w:t>,</w:t>
      </w:r>
      <w:r w:rsidR="00DF1AF7" w:rsidRPr="00A9434B">
        <w:rPr>
          <w:b w:val="0"/>
          <w:bCs w:val="0"/>
        </w:rPr>
        <w:t xml:space="preserve"> (e) infrastructure management</w:t>
      </w:r>
      <w:r w:rsidR="00DF1AF7" w:rsidRPr="008615FF">
        <w:rPr>
          <w:b w:val="0"/>
          <w:bCs w:val="0"/>
        </w:rPr>
        <w:t xml:space="preserve"> </w:t>
      </w:r>
      <w:r w:rsidR="00E072A8" w:rsidRPr="00935C0C">
        <w:rPr>
          <w:b w:val="0"/>
          <w:bCs w:val="0"/>
        </w:rPr>
        <w:fldChar w:fldCharType="begin"/>
      </w:r>
      <w:r w:rsidR="0006613E">
        <w:rPr>
          <w:b w:val="0"/>
          <w:bCs w:val="0"/>
        </w:rPr>
        <w:instrText xml:space="preserve"> ADDIN ZOTERO_ITEM CSL_CITATION {"citationID":"a2112hkj5b4","properties":{"formattedCitation":"(Galil et al., 2017; Mineur et al., 2012; Skultety &amp; Matthews, 2017)","plainCitation":"(Galil et al., 2017; Mineur et al., 2012; Skultety &amp; Matthews, 2017)","noteIndex":0},"citationItems":[{"id":29312,"uris":["http://zotero.org/groups/2352922/items/CVMSM7YS"],"itemData":{"id":29312,"type":"article-journal","abstract":"The Suez Canal is the main pathway of introduction of non-indigenous species into the Mediterranean Sea. The successive enlargements of the Suez Canal have raised concern over increasing propagule pressure resulting in continuous introductions of new non-indigenous species and associated degradation and loss of native populations, habitats and ecosystem services. The United Nations Environment Programme (UNEP) through its Barcelona Convention has pledged to protect the biological resources, habitats and ecosystem services of the Mediterranean Sea, and have committed to spatial protection measures. Yet, UNEP shied away from discussing, let alone managing, the influx of tropical non-indigenous biota introduced through the Suez Canal. Surveys, funded by the Regional Activity Centre for Specially Protected Areas (UNEP RAC/SPA), established by the Contracting Parties to the Barcelona Convention, revealed that marine protected areas in the eastern Mediterranean have been inundated by these non-indigenous species, and may in fact function as hubs for their secondary dispersal. We call attention to the failure of an environmental policy that left the entire Mediterranean Sea prone to colonization by highly impacting non-indigenous species, including poisonous and venomous ones. Scientific research has been documenting this bioinvasion for over a century, yet beyond the ambit of marine scientists there is a lack of awareness of the scale of Mediterranean-wide consequences and scant appetite to enact the necessary environmental policies.","container-title":"Management of Biological Invasions","DOI":"10.3391/mbi.2017.8.2.02","ISSN":"19898649","issue":"2","page":"141-152","title":"The enlargement of the Suez Canal – Erythraean introductions and management challenges","URL":"http://www.reabic.net/journals/mbi/2017/Issue2.aspx","volume":"8","author":[{"family":"Galil","given":"Bella S."},{"family":"Marchini","given":"Agnese"},{"family":"Occhipinti-Ambrogi","given":"Anna"},{"family":"Ojaveer","given":"Henn"}],"issued":{"date-parts":[["2017"]]}},"label":"page"},{"id":30403,"uris":["http://zotero.org/groups/2352922/items/M9EDKFVV"],"itemData":{"id":30403,"type":"chapter","abstract":"Marine aliens are non-native species that have been transported across major geographical barriers by human activities, involving vectors that move propagules along pathways. Species may also be newly observed in a geographical area due to range shifts, generally in association with climate change. Artificial structures are considered to be either man-made materials or natural materials shaped or displaced to serve a specific function for human activities. All types of artificial structures are currently increasing dramatically in coastal zones due to increasing human populations on coastlines. Most of the significant marine vectors and pathways involve mobile artificial structures and are reviewed here. These include shipping (ballast water and hull fouling) and aquaculture, including stock transfer and unintentional introductions, all of which can move species into new biogeographical provinces. Some types of structures frequently move long distances but have low fouling loads (e.g., commercial shipping), whereas others (e.g., barges and pontoons) can be hyperfouled due to long stationary periods such that when moved they transport mature fouling communities. We also examine the presence of alien marine species on static (immobile) artificial structures, which support different communities from those on natural hard substrata. We consider the role of these structures, such as coastal defences, artificial reefs, and offshore platforms, in the dispersal and abundance of alien species. Marinas include both mobile and immobile structures and are apparently particularly favourable habitats for many aliens. For example, in coastal North America approximately 90% of the alien species inhabiting hard substrata have been reported from docks and marinas. Detailed case studies of alien marine species (two seaweeds and four invertebrates) are provided, with an analysis of their origin, vectors of transport, habitat in the introduced range, and potential impact. Although there are exceptions, a large majority of marine alien species seem to be associated, at least for some of the time, with artificial structures. It is clear that artificial structures can pave the way and act as stepping stones or even corridors for some marine aliens, as do urban areas, roads and riparian environments in terrestrial ecosystems. The observed acceleration of spread rates for marine invasions over the course of the last two centuries may partly be a result of the increase of artificial structures in coastal environments coupled with greater activity of vectors.","container-title":"Oceanography and Marine Biology: An Annual Review","edition":"First edition","event-place":"Abingdon, GB","ISBN":"978-0-429-10938-6","page":"189-233","publisher":"CRC Press","publisher-place":"Abingdon, GB","title":"Changing coasts: marine aliens and artificial structures","URL":"https://www.taylorfrancis.com/chapters/edit/10.1201/b12157-6/changing-coasts-marine-aliens-arti%C2%8Dcial-structures-fr%C3%A9d%C3%A9ric-mineur-elizabeth-cook-dan-minchin-katrin-bohn-adrian-macleod-christine-maggs?context=ubx&amp;refId=2930e715-4984-4ce8-81b6-66fa5cbd65e9","volume":"50","author":[{"family":"Mineur","given":"Frédéric"},{"family":"Cook","given":"Elizabeth J."},{"family":"Minchin","given":"Dan"},{"family":"Bohn","given":"Katrin"},{"family":"MacLeod","given":"Adrian"},{"family":"Maggs","given":"Christine A."}],"editor":[{"family":"Gibson","given":"R.N."},{"family":"Atkinson","given":"R.J.A."},{"family":"Gordon","given":"J.D.M."},{"family":"Hughes","given":"R.N."}],"issued":{"date-parts":[["2012"]]}},"label":"page"},{"id":53191,"uris":["http://zotero.org/groups/2352922/items/VHINGSRL"],"itemData":{"id":53191,"type":"article-journal","abstract":"Human modification of the landscape, including urbanization and road construction, has facilitated the spread and establishment of non-native plant species. The effects of urbanization and roads are expected to be species-specific due to differences in species habitat requirements. We examined the influence of urbanization and roads on the occurrences of 16 non-native plant species in over 2000 wetlands within the Chicago metropolitan region in northeastern Illinois, USA. We found that species, or groups of species, responded differently to the effects of urbanization, roads, and proximity to conspecific populations. Occurrences of halophyte species were best predicted by road variables; halophytes were more commonly associated with major roads such as interstates and federal highways, road types that are likely to receive greater applications of de-icing salts. Several species were associated with proximity to Chicago. Proximity to Chicago may serve as a proxy for the degree of urbanization; or alternatively, may reflect a pattern of outward dispersal from an initial establishment point in the urban center. All study species were positively associated with distance to the nearest occupied wetland, implying that for each species, wetlands were more likely to be occupied if closer to other occupied sites. Our results support the need for species-specific understanding of responses to urbanization and roads to facilitate management of non-native species.","container-title":"Biological Invasions","DOI":"10.1007/s10530-017-1464-7","ISSN":"1573-1464","issue":"9","journalAbbreviation":"Biol Invasions","language":"en","page":"2553-2566","source":"Springer Link","title":"Urbanization and roads drive non-native plant invasion in the Chicago Metropolitan region","URL":"https://doi.org/10.1007/s10530-017-1464-7","volume":"19","author":[{"family":"Skultety","given":"Dennis"},{"family":"Matthews","given":"Jeffrey W."}],"accessed":{"date-parts":[["2022",9,6]]},"issued":{"date-parts":[["2017",9,1]]}},"label":"page"}],"schema":"https://github.com/citation-style-language/schema/raw/master/csl-citation.json"} </w:instrText>
      </w:r>
      <w:r w:rsidR="00E072A8" w:rsidRPr="00935C0C">
        <w:rPr>
          <w:b w:val="0"/>
          <w:bCs w:val="0"/>
        </w:rPr>
        <w:fldChar w:fldCharType="separate"/>
      </w:r>
      <w:r w:rsidR="00017441" w:rsidRPr="00673554">
        <w:rPr>
          <w:b w:val="0"/>
        </w:rPr>
        <w:t>(Galil et al., 2017; Mineur et al., 2012; Skultety &amp; Matthews, 2017)</w:t>
      </w:r>
      <w:r w:rsidR="00E072A8" w:rsidRPr="00935C0C">
        <w:rPr>
          <w:b w:val="0"/>
          <w:bCs w:val="0"/>
        </w:rPr>
        <w:fldChar w:fldCharType="end"/>
      </w:r>
      <w:r w:rsidR="00DF1AF7" w:rsidRPr="00A9434B">
        <w:rPr>
          <w:b w:val="0"/>
          <w:bCs w:val="0"/>
        </w:rPr>
        <w:t xml:space="preserve">, (f) military facility management </w:t>
      </w:r>
      <w:r w:rsidR="00E072A8" w:rsidRPr="006E0767">
        <w:rPr>
          <w:b w:val="0"/>
          <w:bCs w:val="0"/>
        </w:rPr>
        <w:fldChar w:fldCharType="begin"/>
      </w:r>
      <w:r w:rsidR="0014002B">
        <w:rPr>
          <w:b w:val="0"/>
          <w:bCs w:val="0"/>
        </w:rPr>
        <w:instrText xml:space="preserve"> ADDIN ZOTERO_ITEM CSL_CITATION {"citationID":"a1oa3q1plfi","properties":{"formattedCitation":"(Taylor et al., 2020)","plainCitation":"(Taylor et al., 2020)","noteIndex":0},"citationItems":[{"id":53189,"uris":["http://zotero.org/groups/2352922/items/ARTZ8GQ8"],"itemData":{"id":53189,"type":"article-journal","container-title":"Ecological Solutions and Evidence","DOI":"10.1002/2688-8319.12007","ISSN":"2688-8319, 2688-8319","issue":"1","journalAbbreviation":"Ecol Sol and Evidence","language":"en","page":"e12007","source":"DOI.org (Crossref)","title":"Using phenology data to improve control of invasive plant species: A case study on Midway Atoll NWR","title-short":"Using phenology data to improve control of invasive plant species","URL":"https://onlinelibrary.wiley.com/doi/10.1002/2688-8319.12007","volume":"1","author":[{"family":"Taylor","given":"Robert V."},{"family":"Holthuijzen","given":"Wieteke"},{"family":"Humphrey","given":"Ann"},{"family":"Posthumus","given":"Erin"}],"accessed":{"date-parts":[["2022",9,6]]},"issued":{"date-parts":[["2020",7]]}},"label":"page"}],"schema":"https://github.com/citation-style-language/schema/raw/master/csl-citation.json"} </w:instrText>
      </w:r>
      <w:r w:rsidR="00E072A8" w:rsidRPr="006E0767">
        <w:rPr>
          <w:b w:val="0"/>
          <w:bCs w:val="0"/>
        </w:rPr>
        <w:fldChar w:fldCharType="separate"/>
      </w:r>
      <w:r w:rsidR="0014002B" w:rsidRPr="0014002B">
        <w:t>(Taylor et al., 2020)</w:t>
      </w:r>
      <w:r w:rsidR="00E072A8" w:rsidRPr="006E0767">
        <w:rPr>
          <w:b w:val="0"/>
          <w:bCs w:val="0"/>
        </w:rPr>
        <w:fldChar w:fldCharType="end"/>
      </w:r>
      <w:r w:rsidR="00DF1AF7" w:rsidRPr="00A9434B">
        <w:rPr>
          <w:b w:val="0"/>
          <w:bCs w:val="0"/>
        </w:rPr>
        <w:t xml:space="preserve">, (g) tourism </w:t>
      </w:r>
      <w:r w:rsidR="002C4048" w:rsidRPr="00A9434B">
        <w:rPr>
          <w:b w:val="0"/>
          <w:bCs w:val="0"/>
        </w:rPr>
        <w:fldChar w:fldCharType="begin"/>
      </w:r>
      <w:r w:rsidR="0006613E">
        <w:rPr>
          <w:b w:val="0"/>
          <w:bCs w:val="0"/>
        </w:rPr>
        <w:instrText xml:space="preserve"> ADDIN ZOTERO_ITEM CSL_CITATION {"citationID":"a23jv3p2cl0","properties":{"formattedCitation":"(Miranda et al., 2020)","plainCitation":"(Miranda et al., 2020)","noteIndex":0},"citationItems":[{"id":30409,"uris":["http://zotero.org/groups/2352922/items/HZ8ME79D"],"itemData":{"id":30409,"type":"article-journal","container-title":"Science","DOI":"10.1126/science.abb7255","ISSN":"0036-8075, 1095-9203","issue":"6490","journalAbbreviation":"Science","language":"en","page":"481","source":"DOI.org (Crossref)","title":"Brazil policy invites marine invasive species","URL":"https://www.sciencemag.org/lookup/doi/10.1126/science.abb7255","volume":"368","editor":[{"family":"Sills","given":"Jennifer"}],"author":[{"family":"Miranda","given":"Ricardo J."},{"family":"Nunes","given":"José A. C. C."},{"family":"Creed","given":"Joel C."},{"family":"Barros","given":"Francisco"},{"family":"Macieira","given":"Raphael M."},{"family":"Santos","given":"Robson G"},{"family":"Lima","given":"Gislaine V."},{"family":"Pontes","given":"Antônio V. F."},{"family":"Silva","given":"Luís G. F. C."},{"family":"Cordeiro","given":"Ralf T."},{"family":"Sampaio","given":"Cláudio L. S."},{"family":"Pinto","given":"Taciana K."},{"family":"Malhado","given":"Ana C. M."},{"family":"Ladle","given":"Richard"},{"family":"Pereira","given":"Pedro HC"}],"accessed":{"date-parts":[["2021",7,21]]},"issued":{"date-parts":[["2020",5,1]]}},"label":"page"}],"schema":"https://github.com/citation-style-language/schema/raw/master/csl-citation.json"} </w:instrText>
      </w:r>
      <w:r w:rsidR="002C4048" w:rsidRPr="00A9434B">
        <w:rPr>
          <w:b w:val="0"/>
          <w:bCs w:val="0"/>
        </w:rPr>
        <w:fldChar w:fldCharType="separate"/>
      </w:r>
      <w:r w:rsidR="00C71E80" w:rsidRPr="00A9434B">
        <w:rPr>
          <w:b w:val="0"/>
          <w:bCs w:val="0"/>
        </w:rPr>
        <w:t>(Miranda et al., 2020)</w:t>
      </w:r>
      <w:r w:rsidR="002C4048" w:rsidRPr="00A9434B">
        <w:rPr>
          <w:b w:val="0"/>
          <w:bCs w:val="0"/>
        </w:rPr>
        <w:fldChar w:fldCharType="end"/>
      </w:r>
      <w:r w:rsidR="005D0083">
        <w:rPr>
          <w:b w:val="0"/>
          <w:bCs w:val="0"/>
        </w:rPr>
        <w:t xml:space="preserve"> and</w:t>
      </w:r>
      <w:r w:rsidR="00A27294" w:rsidRPr="00A9434B">
        <w:rPr>
          <w:b w:val="0"/>
          <w:bCs w:val="0"/>
        </w:rPr>
        <w:t xml:space="preserve"> </w:t>
      </w:r>
      <w:r w:rsidR="00DF1AF7" w:rsidRPr="00A9434B">
        <w:rPr>
          <w:b w:val="0"/>
          <w:bCs w:val="0"/>
        </w:rPr>
        <w:t xml:space="preserve">(h) </w:t>
      </w:r>
      <w:r w:rsidR="00A27294" w:rsidRPr="00A9434B">
        <w:rPr>
          <w:b w:val="0"/>
          <w:bCs w:val="0"/>
        </w:rPr>
        <w:t>b</w:t>
      </w:r>
      <w:r w:rsidR="00DF1AF7" w:rsidRPr="00A9434B">
        <w:rPr>
          <w:b w:val="0"/>
          <w:bCs w:val="0"/>
        </w:rPr>
        <w:t xml:space="preserve">iofuels </w:t>
      </w:r>
      <w:r w:rsidR="002C4048" w:rsidRPr="00A9434B">
        <w:rPr>
          <w:b w:val="0"/>
          <w:bCs w:val="0"/>
        </w:rPr>
        <w:fldChar w:fldCharType="begin"/>
      </w:r>
      <w:r w:rsidR="0006613E">
        <w:rPr>
          <w:b w:val="0"/>
          <w:bCs w:val="0"/>
        </w:rPr>
        <w:instrText xml:space="preserve"> ADDIN ZOTERO_ITEM CSL_CITATION {"citationID":"a19hvsoklkg","properties":{"formattedCitation":"(Pasiecznik, 1999)","plainCitation":"(Pasiecznik, 1999)","noteIndex":0},"citationItems":[{"id":53188,"uris":["http://zotero.org/groups/2352922/items/QQRI4MUB"],"itemData":{"id":53188,"type":"article-journal","container-title":"European Tropical Forest Research Network Newsletter","page":"12-14","title":"Prosopis-pest or providence, weed or wonder tree?","URL":"https://agris.fao.org/agris-search/search.do?recordID=GB2012108487","volume":"28","author":[{"family":"Pasiecznik","given":"Nick"}],"issued":{"date-parts":[["1999"]]}},"label":"page"}],"schema":"https://github.com/citation-style-language/schema/raw/master/csl-citation.json"} </w:instrText>
      </w:r>
      <w:r w:rsidR="002C4048" w:rsidRPr="00A9434B">
        <w:rPr>
          <w:b w:val="0"/>
          <w:bCs w:val="0"/>
        </w:rPr>
        <w:fldChar w:fldCharType="separate"/>
      </w:r>
      <w:r w:rsidR="00C71E80" w:rsidRPr="00A9434B">
        <w:rPr>
          <w:b w:val="0"/>
          <w:bCs w:val="0"/>
        </w:rPr>
        <w:t>(Pasiecznik, 1999)</w:t>
      </w:r>
      <w:r w:rsidR="002C4048" w:rsidRPr="00A9434B">
        <w:rPr>
          <w:b w:val="0"/>
          <w:bCs w:val="0"/>
        </w:rPr>
        <w:fldChar w:fldCharType="end"/>
      </w:r>
      <w:r w:rsidR="00A27294" w:rsidRPr="00A9434B">
        <w:rPr>
          <w:b w:val="0"/>
          <w:bCs w:val="0"/>
        </w:rPr>
        <w:t xml:space="preserve"> can promote biological invasions</w:t>
      </w:r>
      <w:r w:rsidR="00DF1AF7" w:rsidRPr="00A9434B">
        <w:rPr>
          <w:b w:val="0"/>
          <w:bCs w:val="0"/>
        </w:rPr>
        <w:t>.</w:t>
      </w:r>
      <w:bookmarkStart w:id="256" w:name="_Toc74056291"/>
      <w:bookmarkEnd w:id="254"/>
      <w:r w:rsidR="00F87A78">
        <w:rPr>
          <w:b w:val="0"/>
          <w:bCs w:val="0"/>
        </w:rPr>
        <w:t xml:space="preserve"> Photo credit</w:t>
      </w:r>
      <w:r w:rsidR="00257BB2">
        <w:rPr>
          <w:b w:val="0"/>
          <w:bCs w:val="0"/>
        </w:rPr>
        <w:t>s</w:t>
      </w:r>
      <w:r w:rsidR="00F87A78">
        <w:rPr>
          <w:b w:val="0"/>
          <w:bCs w:val="0"/>
        </w:rPr>
        <w:t xml:space="preserve">: </w:t>
      </w:r>
      <w:r w:rsidR="00EB67B3">
        <w:rPr>
          <w:b w:val="0"/>
          <w:bCs w:val="0"/>
        </w:rPr>
        <w:t xml:space="preserve">(a) </w:t>
      </w:r>
      <w:r w:rsidR="00EB67B3" w:rsidRPr="00EB67B3">
        <w:rPr>
          <w:b w:val="0"/>
          <w:bCs w:val="0"/>
        </w:rPr>
        <w:t>James H. Miller, USDA Forest Service, Bugwood.org</w:t>
      </w:r>
      <w:r w:rsidR="00EB67B3">
        <w:rPr>
          <w:b w:val="0"/>
          <w:bCs w:val="0"/>
        </w:rPr>
        <w:t xml:space="preserve"> - </w:t>
      </w:r>
      <w:r w:rsidR="0018534A">
        <w:rPr>
          <w:rFonts w:eastAsiaTheme="minorEastAsia"/>
          <w:b w:val="0"/>
          <w:bCs w:val="0"/>
          <w:lang w:eastAsia="ja-JP"/>
        </w:rPr>
        <w:t xml:space="preserve">under license </w:t>
      </w:r>
      <w:r w:rsidR="00EB67B3" w:rsidRPr="00EB67B3">
        <w:rPr>
          <w:b w:val="0"/>
          <w:bCs w:val="0"/>
        </w:rPr>
        <w:t>CC BY 3.0 US</w:t>
      </w:r>
      <w:r w:rsidR="00EB67B3">
        <w:rPr>
          <w:b w:val="0"/>
          <w:bCs w:val="0"/>
        </w:rPr>
        <w:t xml:space="preserve"> / (b) </w:t>
      </w:r>
      <w:r w:rsidR="00EB67B3" w:rsidRPr="00EB67B3">
        <w:rPr>
          <w:b w:val="0"/>
          <w:bCs w:val="0"/>
        </w:rPr>
        <w:t>Graça Gaspar</w:t>
      </w:r>
      <w:r w:rsidR="00EB67B3">
        <w:rPr>
          <w:b w:val="0"/>
          <w:bCs w:val="0"/>
        </w:rPr>
        <w:t>, WM Commons</w:t>
      </w:r>
      <w:r w:rsidR="00EB67B3" w:rsidRPr="00EB67B3">
        <w:rPr>
          <w:b w:val="0"/>
          <w:bCs w:val="0"/>
        </w:rPr>
        <w:t xml:space="preserve"> </w:t>
      </w:r>
      <w:r w:rsidR="00EB67B3">
        <w:rPr>
          <w:b w:val="0"/>
          <w:bCs w:val="0"/>
        </w:rPr>
        <w:t xml:space="preserve">- </w:t>
      </w:r>
      <w:r w:rsidR="00EB67B3" w:rsidRPr="00EB67B3">
        <w:rPr>
          <w:b w:val="0"/>
          <w:bCs w:val="0"/>
        </w:rPr>
        <w:t>CC BY-SA 3.0</w:t>
      </w:r>
      <w:r w:rsidR="00EB67B3">
        <w:rPr>
          <w:b w:val="0"/>
          <w:bCs w:val="0"/>
        </w:rPr>
        <w:t xml:space="preserve"> / (c)</w:t>
      </w:r>
      <w:r w:rsidR="000222C7">
        <w:rPr>
          <w:b w:val="0"/>
          <w:bCs w:val="0"/>
        </w:rPr>
        <w:t xml:space="preserve"> </w:t>
      </w:r>
      <w:r w:rsidR="000222C7" w:rsidRPr="000222C7">
        <w:rPr>
          <w:b w:val="0"/>
          <w:bCs w:val="0"/>
        </w:rPr>
        <w:t>LSIS Helen Frank</w:t>
      </w:r>
      <w:r w:rsidR="00C5013E">
        <w:rPr>
          <w:b w:val="0"/>
          <w:bCs w:val="0"/>
        </w:rPr>
        <w:t>, WM Commons</w:t>
      </w:r>
      <w:r w:rsidR="000222C7">
        <w:rPr>
          <w:b w:val="0"/>
          <w:bCs w:val="0"/>
        </w:rPr>
        <w:t xml:space="preserve"> – Public domain / (d) </w:t>
      </w:r>
      <w:r w:rsidR="000222C7" w:rsidRPr="000222C7">
        <w:rPr>
          <w:b w:val="0"/>
          <w:bCs w:val="0"/>
        </w:rPr>
        <w:t xml:space="preserve">Ignacio </w:t>
      </w:r>
      <w:r w:rsidR="000222C7" w:rsidRPr="000222C7">
        <w:rPr>
          <w:b w:val="0"/>
          <w:bCs w:val="0"/>
        </w:rPr>
        <w:lastRenderedPageBreak/>
        <w:t>Amigo</w:t>
      </w:r>
      <w:r w:rsidR="000222C7">
        <w:rPr>
          <w:b w:val="0"/>
          <w:bCs w:val="0"/>
        </w:rPr>
        <w:t xml:space="preserve"> – CC BY </w:t>
      </w:r>
      <w:r w:rsidR="0030785C">
        <w:rPr>
          <w:b w:val="0"/>
          <w:bCs w:val="0"/>
        </w:rPr>
        <w:t xml:space="preserve">4.0 </w:t>
      </w:r>
      <w:r w:rsidR="000222C7">
        <w:rPr>
          <w:b w:val="0"/>
          <w:bCs w:val="0"/>
        </w:rPr>
        <w:t xml:space="preserve">/ (e) </w:t>
      </w:r>
      <w:r w:rsidR="000222C7" w:rsidRPr="000222C7">
        <w:rPr>
          <w:b w:val="0"/>
          <w:bCs w:val="0"/>
        </w:rPr>
        <w:t>Rept0n1x - Walk to Lunt (102)</w:t>
      </w:r>
      <w:r w:rsidR="00C5013E">
        <w:rPr>
          <w:b w:val="0"/>
          <w:bCs w:val="0"/>
        </w:rPr>
        <w:t>, WM Commons</w:t>
      </w:r>
      <w:r w:rsidR="000222C7">
        <w:rPr>
          <w:b w:val="0"/>
          <w:bCs w:val="0"/>
        </w:rPr>
        <w:t xml:space="preserve"> - </w:t>
      </w:r>
      <w:r w:rsidR="000222C7" w:rsidRPr="000222C7">
        <w:rPr>
          <w:b w:val="0"/>
          <w:bCs w:val="0"/>
        </w:rPr>
        <w:t>CC BY-SA 2.0</w:t>
      </w:r>
      <w:r w:rsidR="000222C7">
        <w:rPr>
          <w:b w:val="0"/>
          <w:bCs w:val="0"/>
        </w:rPr>
        <w:t xml:space="preserve"> / (f) </w:t>
      </w:r>
      <w:r w:rsidR="000222C7" w:rsidRPr="000222C7">
        <w:rPr>
          <w:b w:val="0"/>
          <w:bCs w:val="0"/>
        </w:rPr>
        <w:t>Forest &amp; Kim Starr</w:t>
      </w:r>
      <w:r w:rsidR="00C5013E">
        <w:rPr>
          <w:b w:val="0"/>
          <w:bCs w:val="0"/>
        </w:rPr>
        <w:t>, WM Commons</w:t>
      </w:r>
      <w:r w:rsidR="000222C7">
        <w:rPr>
          <w:b w:val="0"/>
          <w:bCs w:val="0"/>
        </w:rPr>
        <w:t xml:space="preserve"> - </w:t>
      </w:r>
      <w:r w:rsidR="000222C7" w:rsidRPr="000222C7">
        <w:rPr>
          <w:b w:val="0"/>
          <w:bCs w:val="0"/>
        </w:rPr>
        <w:t xml:space="preserve">CC BY 3.0 </w:t>
      </w:r>
      <w:r w:rsidR="000222C7">
        <w:rPr>
          <w:b w:val="0"/>
          <w:bCs w:val="0"/>
        </w:rPr>
        <w:t xml:space="preserve">US / (g) </w:t>
      </w:r>
      <w:r w:rsidR="000222C7" w:rsidRPr="000222C7">
        <w:rPr>
          <w:b w:val="0"/>
          <w:bCs w:val="0"/>
        </w:rPr>
        <w:t>Paula Raposo</w:t>
      </w:r>
      <w:r w:rsidR="000222C7">
        <w:rPr>
          <w:b w:val="0"/>
          <w:bCs w:val="0"/>
        </w:rPr>
        <w:t xml:space="preserve"> – CC BY </w:t>
      </w:r>
      <w:r w:rsidR="0030785C">
        <w:rPr>
          <w:b w:val="0"/>
          <w:bCs w:val="0"/>
        </w:rPr>
        <w:t xml:space="preserve">4.0 </w:t>
      </w:r>
      <w:r w:rsidR="000222C7">
        <w:rPr>
          <w:b w:val="0"/>
          <w:bCs w:val="0"/>
        </w:rPr>
        <w:t xml:space="preserve">/ (h) </w:t>
      </w:r>
      <w:r w:rsidR="000222C7" w:rsidRPr="000222C7">
        <w:rPr>
          <w:b w:val="0"/>
          <w:bCs w:val="0"/>
        </w:rPr>
        <w:t>Thamizhpparithi Maari</w:t>
      </w:r>
      <w:r w:rsidR="00C5013E">
        <w:rPr>
          <w:b w:val="0"/>
          <w:bCs w:val="0"/>
        </w:rPr>
        <w:t>, WM Commons</w:t>
      </w:r>
      <w:r w:rsidR="000222C7" w:rsidRPr="000222C7">
        <w:rPr>
          <w:b w:val="0"/>
          <w:bCs w:val="0"/>
        </w:rPr>
        <w:t xml:space="preserve"> - CC BY-SA 3.0</w:t>
      </w:r>
      <w:r w:rsidR="00257BB2">
        <w:rPr>
          <w:b w:val="0"/>
          <w:bCs w:val="0"/>
        </w:rPr>
        <w:t>.</w:t>
      </w:r>
      <w:bookmarkEnd w:id="255"/>
    </w:p>
    <w:p w14:paraId="5DB836F3" w14:textId="5610A13D" w:rsidR="007419F9" w:rsidRPr="00A9434B" w:rsidRDefault="000906FC" w:rsidP="00585D0E">
      <w:pPr>
        <w:pStyle w:val="Heading5"/>
        <w:rPr>
          <w:b w:val="0"/>
          <w:bCs/>
        </w:rPr>
      </w:pPr>
      <w:r w:rsidRPr="00A9434B">
        <w:t xml:space="preserve">(2) </w:t>
      </w:r>
      <w:r w:rsidR="007419F9" w:rsidRPr="00A9434B">
        <w:t>E</w:t>
      </w:r>
      <w:r w:rsidR="00F34A9B" w:rsidRPr="00A9434B">
        <w:t>ncourage the transition to native species in production systems</w:t>
      </w:r>
      <w:bookmarkEnd w:id="256"/>
      <w:r w:rsidR="00AC1E3E" w:rsidRPr="00A9434B">
        <w:br/>
      </w:r>
      <w:r w:rsidR="004C3D55">
        <w:rPr>
          <w:b w:val="0"/>
          <w:bCs/>
        </w:rPr>
        <w:t>R</w:t>
      </w:r>
      <w:r w:rsidR="004C3D55" w:rsidRPr="00A9434B">
        <w:rPr>
          <w:b w:val="0"/>
          <w:bCs/>
        </w:rPr>
        <w:t>educ</w:t>
      </w:r>
      <w:r w:rsidR="004C3D55">
        <w:rPr>
          <w:b w:val="0"/>
          <w:bCs/>
        </w:rPr>
        <w:t>ing</w:t>
      </w:r>
      <w:r w:rsidR="004C3D55" w:rsidRPr="00A9434B">
        <w:rPr>
          <w:b w:val="0"/>
          <w:bCs/>
        </w:rPr>
        <w:t xml:space="preserve"> the dependence </w:t>
      </w:r>
      <w:r w:rsidR="004C3D55">
        <w:rPr>
          <w:b w:val="0"/>
          <w:bCs/>
        </w:rPr>
        <w:t xml:space="preserve">of </w:t>
      </w:r>
      <w:r w:rsidR="007419F9" w:rsidRPr="00A9434B">
        <w:rPr>
          <w:b w:val="0"/>
          <w:bCs/>
        </w:rPr>
        <w:t>the still growing aquaculture, horticultural</w:t>
      </w:r>
      <w:r w:rsidR="005D0083">
        <w:rPr>
          <w:b w:val="0"/>
          <w:bCs/>
        </w:rPr>
        <w:t xml:space="preserve"> and</w:t>
      </w:r>
      <w:r w:rsidR="007419F9" w:rsidRPr="00A9434B">
        <w:rPr>
          <w:b w:val="0"/>
          <w:bCs/>
        </w:rPr>
        <w:t xml:space="preserve"> silvicultural </w:t>
      </w:r>
      <w:r w:rsidR="007B42FF">
        <w:rPr>
          <w:b w:val="0"/>
          <w:bCs/>
        </w:rPr>
        <w:t>sectors</w:t>
      </w:r>
      <w:r w:rsidR="007419F9" w:rsidRPr="00A9434B">
        <w:rPr>
          <w:b w:val="0"/>
          <w:bCs/>
        </w:rPr>
        <w:t xml:space="preserve"> </w:t>
      </w:r>
      <w:r w:rsidR="005C51C9" w:rsidRPr="00A9434B">
        <w:rPr>
          <w:b w:val="0"/>
          <w:bCs/>
        </w:rPr>
        <w:t xml:space="preserve">on alien species </w:t>
      </w:r>
      <w:r w:rsidR="004C3D55">
        <w:rPr>
          <w:b w:val="0"/>
          <w:bCs/>
        </w:rPr>
        <w:t>is o</w:t>
      </w:r>
      <w:r w:rsidR="004C3D55" w:rsidRPr="00A9434B">
        <w:rPr>
          <w:b w:val="0"/>
          <w:bCs/>
        </w:rPr>
        <w:t xml:space="preserve">ne of the most pragmatic approaches </w:t>
      </w:r>
      <w:r w:rsidR="0011272C">
        <w:rPr>
          <w:b w:val="0"/>
          <w:bCs/>
        </w:rPr>
        <w:t>to</w:t>
      </w:r>
      <w:r w:rsidR="007419F9" w:rsidRPr="00A9434B">
        <w:rPr>
          <w:b w:val="0"/>
          <w:bCs/>
        </w:rPr>
        <w:t xml:space="preserve"> </w:t>
      </w:r>
      <w:r w:rsidR="006404A8" w:rsidRPr="00A9434B">
        <w:rPr>
          <w:b w:val="0"/>
          <w:bCs/>
        </w:rPr>
        <w:t>reduce</w:t>
      </w:r>
      <w:r w:rsidR="007419F9" w:rsidRPr="00A9434B">
        <w:rPr>
          <w:b w:val="0"/>
          <w:bCs/>
        </w:rPr>
        <w:t xml:space="preserve"> translocations of problem species within and across national borders. </w:t>
      </w:r>
      <w:r w:rsidR="002D2493">
        <w:rPr>
          <w:b w:val="0"/>
          <w:bCs/>
        </w:rPr>
        <w:t>There are o</w:t>
      </w:r>
      <w:r w:rsidR="006404A8" w:rsidRPr="00A9434B">
        <w:rPr>
          <w:b w:val="0"/>
          <w:bCs/>
        </w:rPr>
        <w:t xml:space="preserve">ptions </w:t>
      </w:r>
      <w:r w:rsidR="002D2493">
        <w:rPr>
          <w:b w:val="0"/>
          <w:bCs/>
        </w:rPr>
        <w:t xml:space="preserve">to replace some cultivated alien species </w:t>
      </w:r>
      <w:r w:rsidR="009B71BE">
        <w:rPr>
          <w:b w:val="0"/>
          <w:bCs/>
        </w:rPr>
        <w:t>with</w:t>
      </w:r>
      <w:r w:rsidR="007419F9" w:rsidRPr="00A9434B">
        <w:rPr>
          <w:b w:val="0"/>
          <w:bCs/>
        </w:rPr>
        <w:t xml:space="preserve"> native species (</w:t>
      </w:r>
      <w:r w:rsidR="0085609A">
        <w:rPr>
          <w:b w:val="0"/>
          <w:bCs/>
        </w:rPr>
        <w:t>e.g.,</w:t>
      </w:r>
      <w:r w:rsidR="007419F9" w:rsidRPr="00A9434B">
        <w:rPr>
          <w:b w:val="0"/>
          <w:bCs/>
        </w:rPr>
        <w:t xml:space="preserve"> </w:t>
      </w:r>
      <w:r w:rsidR="007419F9" w:rsidRPr="00A9434B">
        <w:rPr>
          <w:b w:val="0"/>
          <w:bCs/>
          <w:i/>
          <w:iCs/>
        </w:rPr>
        <w:fldChar w:fldCharType="begin">
          <w:fldData xml:space="preserve">PEVuZE5vdGU+PENpdGU+PEF1dGhvcj5QZXJlejwvQXV0aG9yPjxZZWFyPjIwMDM8L1llYXI+PFJl
Y051bT4xMTM8L1JlY051bT48RGlzcGxheVRleHQ+KEpvbmVzIEpyIGFuZCBGb290ZSAxOTkxLCBQ
ZXJleiwgQWxmb25zaSBldCBhbC4gMjAwMywgdmFuIEhlZXppaywgRGlja2luc29uIGV0IGFsLiAy
MDEyKTwvRGlzcGxheVRleHQ+PHJlY29yZD48cmVjLW51bWJlcj4xMTM8L3JlYy1udW1iZXI+PGZv
cmVpZ24ta2V5cz48a2V5IGFwcD0iRU4iIGRiLWlkPSIyZnBzMnJwd2NwdHdheGVkejlvcHJ6dm1h
d2Z4ZWY5cGZwYTIiIHRpbWVzdGFtcD0iMTYyMTQ5NDQ3NSI+MTEzPC9rZXk+PC9mb3JlaWduLWtl
eXM+PHJlZi10eXBlIG5hbWU9IkpvdXJuYWwgQXJ0aWNsZSI+MTc8L3JlZi10eXBlPjxjb250cmli
dXRvcnM+PGF1dGhvcnM+PGF1dGhvcj5QZXJleiwgSi4gRS48L2F1dGhvcj48YXV0aG9yPkFsZm9u
c2ksIEMuPC9hdXRob3I+PGF1dGhvcj5OaXJjaGlvLCBNLjwvYXV0aG9yPjxhdXRob3I+TXVub3os
IEMuPC9hdXRob3I+PGF1dGhvcj5Hb21leiwgSi4gQS48L2F1dGhvcj48L2F1dGhvcnM+PC9jb250
cmlidXRvcnM+PGF1dGgtYWRkcmVzcz5Vbml2IEthbnNhcywgTGF3cmVuY2UsIEtTIDY2MDQ1IFVT
QSYjeEQ7VW5pdiBTb3V0aGFtcHRvbiwgU291dGhhbXB0b24gU085IDVOSCwgSGFudHMsIEVuZ2xh
bmQmI3hEO1VETywgRXNjdWVsYSBDaWVuY2lhcyBBcGxpY2FkYXMgTWFyLCBOdWNsZW8gTnVldmEg
RXNwYXJ0YSwgQ3VtYW5hLCBWZW5lenVlbGEmI3hEO1VuaXYgQXJ0dXJvIFByYXQsIERlcHQgQ2ll
bmNpYXMgTWFyLCBJcXVpcXVlLCBDaGlsZSYjeEQ7VW5pdiBQYW5hbWEsIEN0ciBJbnZlc3QgTWFy
aW5hcyAmYW1wOyBMaW1ub2wsIFBhbmFtYSBDaXR5LCBQYW5hbWE8L2F1dGgtYWRkcmVzcz48dGl0
bGVzPjx0aXRsZT5UaGUgaW50cm9kdWN0aW9uIG9mIGV4b3RpYyBzcGVjaWVzIGluIGFxdWFjdWx0
dXJlOiBBIHNvbHV0aW9uIG9yIHBhcnQgb2YgdGhlIHByb2JsZW0/PC90aXRsZT48c2Vjb25kYXJ5
LXRpdGxlPkludGVyY2llbmNpYTwvc2Vjb25kYXJ5LXRpdGxlPjxhbHQtdGl0bGU+SW50ZXJjaWVu
Y2lhPC9hbHQtdGl0bGU+PC90aXRsZXM+PHBlcmlvZGljYWw+PGZ1bGwtdGl0bGU+SW50ZXJjaWVu
Y2lhPC9mdWxsLXRpdGxlPjxhYmJyLTE+SW50ZXJjaWVuY2lhPC9hYmJyLTE+PC9wZXJpb2RpY2Fs
PjxhbHQtcGVyaW9kaWNhbD48ZnVsbC10aXRsZT5JbnRlcmNpZW5jaWE8L2Z1bGwtdGl0bGU+PGFi
YnItMT5JbnRlcmNpZW5jaWE8L2FiYnItMT48L2FsdC1wZXJpb2RpY2FsPjxwYWdlcz4yMzQtMjM4
PC9wYWdlcz48dm9sdW1lPjI4PC92b2x1bWU+PG51bWJlcj40PC9udW1iZXI+PGtleXdvcmRzPjxr
ZXl3b3JkPmFxdWFjdWx0dXJlPC9rZXl3b3JkPjxrZXl3b3JkPmV4b3RpYyBzcGVjaWVzPC9rZXl3
b3JkPjxrZXl3b3JkPmludGVybmF0aW9uYWwgZnVuZGluZyBhZ2VuY2llczwva2V5d29yZD48a2V5
d29yZD5zYWxtb24gc2FsbW8tc2FsYXI8L2tleXdvcmQ+PGtleXdvcmQ+b25jb3JoeW5jaHVzLW15
a2lzczwva2V5d29yZD48a2V5d29yZD5oeWJyaWRpemF0aW9uPC9rZXl3b3JkPjxrZXl3b3JkPnRy
YW5zZ2VuZXM8L2tleXdvcmQ+PGtleXdvcmQ+aW52YXNpb248L2tleXdvcmQ+PGtleXdvcmQ+cmVs
ZWFzZTwva2V5d29yZD48a2V5d29yZD50cnV0dGE8L2tleXdvcmQ+PGtleXdvcmQ+cmlza3M8L2tl
eXdvcmQ+PGtleXdvcmQ+dHJvdXQ8L2tleXdvcmQ+PC9rZXl3b3Jkcz48ZGF0ZXM+PHllYXI+MjAw
MzwveWVhcj48cHViLWRhdGVzPjxkYXRlPkFwcjwvZGF0ZT48L3B1Yi1kYXRlcz48L2RhdGVzPjxp
c2JuPjAzNzgtMTg0NDwvaXNibj48YWNjZXNzaW9uLW51bT5XT1M6MDAwMTgzMTM3NTAwMDEyPC9h
Y2Nlc3Npb24tbnVtPjx1cmxzPjxyZWxhdGVkLXVybHM+PHVybD4mbHQ7R28gdG8gSVNJJmd0Ozov
L1dPUzowMDAxODMxMzc1MDAwMTI8L3VybD48L3JlbGF0ZWQtdXJscz48L3VybHM+PGxhbmd1YWdl
PkVuZ2xpc2g8L2xhbmd1YWdlPjwvcmVjb3JkPjwvQ2l0ZT48Q2l0ZT48QXV0aG9yPnZhbiBIZWV6
aWs8L0F1dGhvcj48WWVhcj4yMDEyPC9ZZWFyPjxSZWNOdW0+MTE2PC9SZWNOdW0+PHJlY29yZD48
cmVjLW51bWJlcj4xMTY8L3JlYy1udW1iZXI+PGZvcmVpZ24ta2V5cz48a2V5IGFwcD0iRU4iIGRi
LWlkPSIyZnBzMnJwd2NwdHdheGVkejlvcHJ6dm1hd2Z4ZWY5cGZwYTIiIHRpbWVzdGFtcD0iMTYy
MTQ5NTE5MiI+MTE2PC9rZXk+PC9mb3JlaWduLWtleXM+PHJlZi10eXBlIG5hbWU9IkpvdXJuYWwg
QXJ0aWNsZSI+MTc8L3JlZi10eXBlPjxjb250cmlidXRvcnM+PGF1dGhvcnM+PGF1dGhvcj52YW4g
SGVlemlrLCBZLiBNLjwvYXV0aG9yPjxhdXRob3I+RGlja2luc29uLCBLLiBKLiBNLjwvYXV0aG9y
PjxhdXRob3I+RnJlZW1hbiwgQy48L2F1dGhvcj48L2F1dGhvcnM+PC9jb250cmlidXRvcnM+PGF1
dGgtYWRkcmVzcz5Vbml2IE90YWdvLCBDaHJpc3RjaHVyY2gsIE5ldyBaZWFsYW5kPC9hdXRoLWFk
ZHJlc3M+PHRpdGxlcz48dGl0bGU+Q2xvc2luZyB0aGUgR2FwOiBDb21tdW5pY2F0aW5nIHRvIENo
YW5nZSBHYXJkZW5pbmcgUHJhY3RpY2VzIGluIFN1cHBvcnQgb2YgTmF0aXZlIEJpb2RpdmVyc2l0
eSBpbiBVcmJhbiBQcml2YXRlIEdhcmRlbnM8L3RpdGxlPjxzZWNvbmRhcnktdGl0bGU+RWNvbG9n
eSBhbmQgU29jaWV0eTwvc2Vjb25kYXJ5LXRpdGxlPjxhbHQtdGl0bGU+RWNvbCBTb2M8L2FsdC10
aXRsZT48L3RpdGxlcz48cGVyaW9kaWNhbD48ZnVsbC10aXRsZT5FY29sb2d5IGFuZCBTb2NpZXR5
PC9mdWxsLXRpdGxlPjxhYmJyLTE+RWNvbCBTb2M8L2FiYnItMT48L3BlcmlvZGljYWw+PGFsdC1w
ZXJpb2RpY2FsPjxmdWxsLXRpdGxlPkVjb2xvZ3kgYW5kIFNvY2lldHk8L2Z1bGwtdGl0bGU+PGFi
YnItMT5FY29sIFNvYzwvYWJici0xPjwvYWx0LXBlcmlvZGljYWw+PHZvbHVtZT4xNzwvdm9sdW1l
PjxudW1iZXI+MTwvbnVtYmVyPjxrZXl3b3Jkcz48a2V5d29yZD5hdHRpdHVkZTwva2V5d29yZD48
a2V5d29yZD5iZWhhdmlvcjwva2V5d29yZD48a2V5d29yZD5jb21tdW5pY2F0aW9uPC9rZXl3b3Jk
PjxrZXl3b3JkPmdhcmRlbjwva2V5d29yZD48a2V5d29yZD5nYXJkZW5pbmc8L2tleXdvcmQ+PGtl
eXdvcmQ+bmF0aXZlPC9rZXl3b3JkPjxrZXl3b3JkPnVyYmFuPC9rZXl3b3JkPjxrZXl3b3JkPndp
bGRsaWZlIGdhcmRlbmluZzwva2V5d29yZD48a2V5d29yZD5jb25zZXJ2YXRpb248L2tleXdvcmQ+
PGtleXdvcmQ+c2NpZW5jZTwva2V5d29yZD48a2V5d29yZD5yaWNobmVzczwva2V5d29yZD48a2V5
d29yZD5yZXNvdXJjZTwva2V5d29yZD48a2V5d29yZD5leHRlbnQ8L2tleXdvcmQ+PGtleXdvcmQ+
YmlyZHM8L2tleXdvcmQ+PGtleXdvcmQ+ZmxvcmE8L2tleXdvcmQ+PC9rZXl3b3Jkcz48ZGF0ZXM+
PHllYXI+MjAxMjwveWVhcj48L2RhdGVzPjxpc2JuPjE3MDgtMzA4NzwvaXNibj48YWNjZXNzaW9u
LW51bT5XT1M6MDAwMzAyNzEzNzAwMDM0PC9hY2Nlc3Npb24tbnVtPjx1cmxzPjxyZWxhdGVkLXVy
bHM+PHVybD4mbHQ7R28gdG8gSVNJJmd0OzovL1dPUzowMDAzMDI3MTM3MDAwMzQ8L3VybD48L3Jl
bGF0ZWQtdXJscz48L3VybHM+PGVsZWN0cm9uaWMtcmVzb3VyY2UtbnVtPkFydG4gMzQmI3hEOzEw
LjU3NTEvRXMtMDQ3MTItMTcwMTM0PC9lbGVjdHJvbmljLXJlc291cmNlLW51bT48bGFuZ3VhZ2U+
RW5nbGlzaDwvbGFuZ3VhZ2U+PC9yZWNvcmQ+PC9DaXRlPjxDaXRlPjxBdXRob3I+Sm9uZXMgSnI8
L0F1dGhvcj48WWVhcj4xOTkxPC9ZZWFyPjxSZWNOdW0+MTE1PC9SZWNOdW0+PHJlY29yZD48cmVj
LW51bWJlcj4xMTU8L3JlYy1udW1iZXI+PGZvcmVpZ24ta2V5cz48a2V5IGFwcD0iRU4iIGRiLWlk
PSIyZnBzMnJwd2NwdHdheGVkejlvcHJ6dm1hd2Z4ZWY5cGZwYTIiIHRpbWVzdGFtcD0iMTYyMTQ5
NTEzMiI+MTE1PC9rZXk+PC9mb3JlaWduLWtleXM+PHJlZi10eXBlIG5hbWU9IkJvb2siPjY8L3Jl
Zi10eXBlPjxjb250cmlidXRvcnM+PGF1dGhvcnM+PGF1dGhvcj5Kb25lcyBKciwgU2FtdWVsIEI8
L2F1dGhvcj48YXV0aG9yPkZvb3RlLCBMZW9uYXJkIEU8L2F1dGhvcj48L2F1dGhvcnM+PC9jb250
cmlidXRvcnM+PHRpdGxlcz48dGl0bGU+R2FyZGVuaW5nIHdpdGggbmF0aXZlIHdpbGQgZmxvd2Vy
czwvdGl0bGU+PC90aXRsZXM+PGRhdGVzPjx5ZWFyPjE5OTE8L3llYXI+PC9kYXRlcz48cHVibGlz
aGVyPlRpbWJlciBQcmVzczwvcHVibGlzaGVyPjxpc2JuPjA4ODE5MjE3NTA8L2lzYm4+PHVybHM+
PC91cmxzPjwvcmVjb3JkPjwvQ2l0ZT48L0VuZE5vdGU+
</w:fldData>
        </w:fldChar>
      </w:r>
      <w:r w:rsidR="007419F9" w:rsidRPr="00A9434B">
        <w:rPr>
          <w:b w:val="0"/>
          <w:bCs/>
        </w:rPr>
        <w:instrText xml:space="preserve"> ADDIN EN.CITE </w:instrText>
      </w:r>
      <w:r w:rsidR="007419F9" w:rsidRPr="00A9434B">
        <w:rPr>
          <w:b w:val="0"/>
          <w:bCs/>
          <w:i/>
          <w:iCs/>
        </w:rPr>
        <w:fldChar w:fldCharType="begin">
          <w:fldData xml:space="preserve">PEVuZE5vdGU+PENpdGU+PEF1dGhvcj5QZXJlejwvQXV0aG9yPjxZZWFyPjIwMDM8L1llYXI+PFJl
Y051bT4xMTM8L1JlY051bT48RGlzcGxheVRleHQ+KEpvbmVzIEpyIGFuZCBGb290ZSAxOTkxLCBQ
ZXJleiwgQWxmb25zaSBldCBhbC4gMjAwMywgdmFuIEhlZXppaywgRGlja2luc29uIGV0IGFsLiAy
MDEyKTwvRGlzcGxheVRleHQ+PHJlY29yZD48cmVjLW51bWJlcj4xMTM8L3JlYy1udW1iZXI+PGZv
cmVpZ24ta2V5cz48a2V5IGFwcD0iRU4iIGRiLWlkPSIyZnBzMnJwd2NwdHdheGVkejlvcHJ6dm1h
d2Z4ZWY5cGZwYTIiIHRpbWVzdGFtcD0iMTYyMTQ5NDQ3NSI+MTEzPC9rZXk+PC9mb3JlaWduLWtl
eXM+PHJlZi10eXBlIG5hbWU9IkpvdXJuYWwgQXJ0aWNsZSI+MTc8L3JlZi10eXBlPjxjb250cmli
dXRvcnM+PGF1dGhvcnM+PGF1dGhvcj5QZXJleiwgSi4gRS48L2F1dGhvcj48YXV0aG9yPkFsZm9u
c2ksIEMuPC9hdXRob3I+PGF1dGhvcj5OaXJjaGlvLCBNLjwvYXV0aG9yPjxhdXRob3I+TXVub3os
IEMuPC9hdXRob3I+PGF1dGhvcj5Hb21leiwgSi4gQS48L2F1dGhvcj48L2F1dGhvcnM+PC9jb250
cmlidXRvcnM+PGF1dGgtYWRkcmVzcz5Vbml2IEthbnNhcywgTGF3cmVuY2UsIEtTIDY2MDQ1IFVT
QSYjeEQ7VW5pdiBTb3V0aGFtcHRvbiwgU291dGhhbXB0b24gU085IDVOSCwgSGFudHMsIEVuZ2xh
bmQmI3hEO1VETywgRXNjdWVsYSBDaWVuY2lhcyBBcGxpY2FkYXMgTWFyLCBOdWNsZW8gTnVldmEg
RXNwYXJ0YSwgQ3VtYW5hLCBWZW5lenVlbGEmI3hEO1VuaXYgQXJ0dXJvIFByYXQsIERlcHQgQ2ll
bmNpYXMgTWFyLCBJcXVpcXVlLCBDaGlsZSYjeEQ7VW5pdiBQYW5hbWEsIEN0ciBJbnZlc3QgTWFy
aW5hcyAmYW1wOyBMaW1ub2wsIFBhbmFtYSBDaXR5LCBQYW5hbWE8L2F1dGgtYWRkcmVzcz48dGl0
bGVzPjx0aXRsZT5UaGUgaW50cm9kdWN0aW9uIG9mIGV4b3RpYyBzcGVjaWVzIGluIGFxdWFjdWx0
dXJlOiBBIHNvbHV0aW9uIG9yIHBhcnQgb2YgdGhlIHByb2JsZW0/PC90aXRsZT48c2Vjb25kYXJ5
LXRpdGxlPkludGVyY2llbmNpYTwvc2Vjb25kYXJ5LXRpdGxlPjxhbHQtdGl0bGU+SW50ZXJjaWVu
Y2lhPC9hbHQtdGl0bGU+PC90aXRsZXM+PHBlcmlvZGljYWw+PGZ1bGwtdGl0bGU+SW50ZXJjaWVu
Y2lhPC9mdWxsLXRpdGxlPjxhYmJyLTE+SW50ZXJjaWVuY2lhPC9hYmJyLTE+PC9wZXJpb2RpY2Fs
PjxhbHQtcGVyaW9kaWNhbD48ZnVsbC10aXRsZT5JbnRlcmNpZW5jaWE8L2Z1bGwtdGl0bGU+PGFi
YnItMT5JbnRlcmNpZW5jaWE8L2FiYnItMT48L2FsdC1wZXJpb2RpY2FsPjxwYWdlcz4yMzQtMjM4
PC9wYWdlcz48dm9sdW1lPjI4PC92b2x1bWU+PG51bWJlcj40PC9udW1iZXI+PGtleXdvcmRzPjxr
ZXl3b3JkPmFxdWFjdWx0dXJlPC9rZXl3b3JkPjxrZXl3b3JkPmV4b3RpYyBzcGVjaWVzPC9rZXl3
b3JkPjxrZXl3b3JkPmludGVybmF0aW9uYWwgZnVuZGluZyBhZ2VuY2llczwva2V5d29yZD48a2V5
d29yZD5zYWxtb24gc2FsbW8tc2FsYXI8L2tleXdvcmQ+PGtleXdvcmQ+b25jb3JoeW5jaHVzLW15
a2lzczwva2V5d29yZD48a2V5d29yZD5oeWJyaWRpemF0aW9uPC9rZXl3b3JkPjxrZXl3b3JkPnRy
YW5zZ2VuZXM8L2tleXdvcmQ+PGtleXdvcmQ+aW52YXNpb248L2tleXdvcmQ+PGtleXdvcmQ+cmVs
ZWFzZTwva2V5d29yZD48a2V5d29yZD50cnV0dGE8L2tleXdvcmQ+PGtleXdvcmQ+cmlza3M8L2tl
eXdvcmQ+PGtleXdvcmQ+dHJvdXQ8L2tleXdvcmQ+PC9rZXl3b3Jkcz48ZGF0ZXM+PHllYXI+MjAw
MzwveWVhcj48cHViLWRhdGVzPjxkYXRlPkFwcjwvZGF0ZT48L3B1Yi1kYXRlcz48L2RhdGVzPjxp
c2JuPjAzNzgtMTg0NDwvaXNibj48YWNjZXNzaW9uLW51bT5XT1M6MDAwMTgzMTM3NTAwMDEyPC9h
Y2Nlc3Npb24tbnVtPjx1cmxzPjxyZWxhdGVkLXVybHM+PHVybD4mbHQ7R28gdG8gSVNJJmd0Ozov
L1dPUzowMDAxODMxMzc1MDAwMTI8L3VybD48L3JlbGF0ZWQtdXJscz48L3VybHM+PGxhbmd1YWdl
PkVuZ2xpc2g8L2xhbmd1YWdlPjwvcmVjb3JkPjwvQ2l0ZT48Q2l0ZT48QXV0aG9yPnZhbiBIZWV6
aWs8L0F1dGhvcj48WWVhcj4yMDEyPC9ZZWFyPjxSZWNOdW0+MTE2PC9SZWNOdW0+PHJlY29yZD48
cmVjLW51bWJlcj4xMTY8L3JlYy1udW1iZXI+PGZvcmVpZ24ta2V5cz48a2V5IGFwcD0iRU4iIGRi
LWlkPSIyZnBzMnJwd2NwdHdheGVkejlvcHJ6dm1hd2Z4ZWY5cGZwYTIiIHRpbWVzdGFtcD0iMTYy
MTQ5NTE5MiI+MTE2PC9rZXk+PC9mb3JlaWduLWtleXM+PHJlZi10eXBlIG5hbWU9IkpvdXJuYWwg
QXJ0aWNsZSI+MTc8L3JlZi10eXBlPjxjb250cmlidXRvcnM+PGF1dGhvcnM+PGF1dGhvcj52YW4g
SGVlemlrLCBZLiBNLjwvYXV0aG9yPjxhdXRob3I+RGlja2luc29uLCBLLiBKLiBNLjwvYXV0aG9y
PjxhdXRob3I+RnJlZW1hbiwgQy48L2F1dGhvcj48L2F1dGhvcnM+PC9jb250cmlidXRvcnM+PGF1
dGgtYWRkcmVzcz5Vbml2IE90YWdvLCBDaHJpc3RjaHVyY2gsIE5ldyBaZWFsYW5kPC9hdXRoLWFk
ZHJlc3M+PHRpdGxlcz48dGl0bGU+Q2xvc2luZyB0aGUgR2FwOiBDb21tdW5pY2F0aW5nIHRvIENo
YW5nZSBHYXJkZW5pbmcgUHJhY3RpY2VzIGluIFN1cHBvcnQgb2YgTmF0aXZlIEJpb2RpdmVyc2l0
eSBpbiBVcmJhbiBQcml2YXRlIEdhcmRlbnM8L3RpdGxlPjxzZWNvbmRhcnktdGl0bGU+RWNvbG9n
eSBhbmQgU29jaWV0eTwvc2Vjb25kYXJ5LXRpdGxlPjxhbHQtdGl0bGU+RWNvbCBTb2M8L2FsdC10
aXRsZT48L3RpdGxlcz48cGVyaW9kaWNhbD48ZnVsbC10aXRsZT5FY29sb2d5IGFuZCBTb2NpZXR5
PC9mdWxsLXRpdGxlPjxhYmJyLTE+RWNvbCBTb2M8L2FiYnItMT48L3BlcmlvZGljYWw+PGFsdC1w
ZXJpb2RpY2FsPjxmdWxsLXRpdGxlPkVjb2xvZ3kgYW5kIFNvY2lldHk8L2Z1bGwtdGl0bGU+PGFi
YnItMT5FY29sIFNvYzwvYWJici0xPjwvYWx0LXBlcmlvZGljYWw+PHZvbHVtZT4xNzwvdm9sdW1l
PjxudW1iZXI+MTwvbnVtYmVyPjxrZXl3b3Jkcz48a2V5d29yZD5hdHRpdHVkZTwva2V5d29yZD48
a2V5d29yZD5iZWhhdmlvcjwva2V5d29yZD48a2V5d29yZD5jb21tdW5pY2F0aW9uPC9rZXl3b3Jk
PjxrZXl3b3JkPmdhcmRlbjwva2V5d29yZD48a2V5d29yZD5nYXJkZW5pbmc8L2tleXdvcmQ+PGtl
eXdvcmQ+bmF0aXZlPC9rZXl3b3JkPjxrZXl3b3JkPnVyYmFuPC9rZXl3b3JkPjxrZXl3b3JkPndp
bGRsaWZlIGdhcmRlbmluZzwva2V5d29yZD48a2V5d29yZD5jb25zZXJ2YXRpb248L2tleXdvcmQ+
PGtleXdvcmQ+c2NpZW5jZTwva2V5d29yZD48a2V5d29yZD5yaWNobmVzczwva2V5d29yZD48a2V5
d29yZD5yZXNvdXJjZTwva2V5d29yZD48a2V5d29yZD5leHRlbnQ8L2tleXdvcmQ+PGtleXdvcmQ+
YmlyZHM8L2tleXdvcmQ+PGtleXdvcmQ+ZmxvcmE8L2tleXdvcmQ+PC9rZXl3b3Jkcz48ZGF0ZXM+
PHllYXI+MjAxMjwveWVhcj48L2RhdGVzPjxpc2JuPjE3MDgtMzA4NzwvaXNibj48YWNjZXNzaW9u
LW51bT5XT1M6MDAwMzAyNzEzNzAwMDM0PC9hY2Nlc3Npb24tbnVtPjx1cmxzPjxyZWxhdGVkLXVy
bHM+PHVybD4mbHQ7R28gdG8gSVNJJmd0OzovL1dPUzowMDAzMDI3MTM3MDAwMzQ8L3VybD48L3Jl
bGF0ZWQtdXJscz48L3VybHM+PGVsZWN0cm9uaWMtcmVzb3VyY2UtbnVtPkFydG4gMzQmI3hEOzEw
LjU3NTEvRXMtMDQ3MTItMTcwMTM0PC9lbGVjdHJvbmljLXJlc291cmNlLW51bT48bGFuZ3VhZ2U+
RW5nbGlzaDwvbGFuZ3VhZ2U+PC9yZWNvcmQ+PC9DaXRlPjxDaXRlPjxBdXRob3I+Sm9uZXMgSnI8
L0F1dGhvcj48WWVhcj4xOTkxPC9ZZWFyPjxSZWNOdW0+MTE1PC9SZWNOdW0+PHJlY29yZD48cmVj
LW51bWJlcj4xMTU8L3JlYy1udW1iZXI+PGZvcmVpZ24ta2V5cz48a2V5IGFwcD0iRU4iIGRiLWlk
PSIyZnBzMnJwd2NwdHdheGVkejlvcHJ6dm1hd2Z4ZWY5cGZwYTIiIHRpbWVzdGFtcD0iMTYyMTQ5
NTEzMiI+MTE1PC9rZXk+PC9mb3JlaWduLWtleXM+PHJlZi10eXBlIG5hbWU9IkJvb2siPjY8L3Jl
Zi10eXBlPjxjb250cmlidXRvcnM+PGF1dGhvcnM+PGF1dGhvcj5Kb25lcyBKciwgU2FtdWVsIEI8
L2F1dGhvcj48YXV0aG9yPkZvb3RlLCBMZW9uYXJkIEU8L2F1dGhvcj48L2F1dGhvcnM+PC9jb250
cmlidXRvcnM+PHRpdGxlcz48dGl0bGU+R2FyZGVuaW5nIHdpdGggbmF0aXZlIHdpbGQgZmxvd2Vy
czwvdGl0bGU+PC90aXRsZXM+PGRhdGVzPjx5ZWFyPjE5OTE8L3llYXI+PC9kYXRlcz48cHVibGlz
aGVyPlRpbWJlciBQcmVzczwvcHVibGlzaGVyPjxpc2JuPjA4ODE5MjE3NTA8L2lzYm4+PHVybHM+
PC91cmxzPjwvcmVjb3JkPjwvQ2l0ZT48L0VuZE5vdGU+
</w:fldData>
        </w:fldChar>
      </w:r>
      <w:r w:rsidR="007419F9" w:rsidRPr="00A9434B">
        <w:rPr>
          <w:b w:val="0"/>
          <w:bCs/>
        </w:rPr>
        <w:instrText xml:space="preserve"> ADDIN EN.CITE.DATA </w:instrText>
      </w:r>
      <w:r w:rsidR="007419F9" w:rsidRPr="00A9434B">
        <w:rPr>
          <w:b w:val="0"/>
          <w:bCs/>
          <w:i/>
          <w:iCs/>
        </w:rPr>
      </w:r>
      <w:r w:rsidR="007419F9" w:rsidRPr="00A9434B">
        <w:rPr>
          <w:b w:val="0"/>
          <w:bCs/>
          <w:i/>
          <w:iCs/>
        </w:rPr>
        <w:fldChar w:fldCharType="end"/>
      </w:r>
      <w:r w:rsidR="007419F9" w:rsidRPr="00A9434B">
        <w:rPr>
          <w:b w:val="0"/>
          <w:bCs/>
          <w:i/>
          <w:iCs/>
        </w:rPr>
      </w:r>
      <w:r w:rsidR="007419F9" w:rsidRPr="00A9434B">
        <w:rPr>
          <w:b w:val="0"/>
          <w:bCs/>
          <w:i/>
          <w:iCs/>
        </w:rPr>
        <w:fldChar w:fldCharType="separate"/>
      </w:r>
      <w:r w:rsidR="002C4048" w:rsidRPr="00A9434B">
        <w:rPr>
          <w:b w:val="0"/>
          <w:bCs/>
          <w:i/>
          <w:iCs/>
        </w:rPr>
        <w:fldChar w:fldCharType="begin"/>
      </w:r>
      <w:r w:rsidR="0006613E">
        <w:rPr>
          <w:b w:val="0"/>
          <w:bCs/>
        </w:rPr>
        <w:instrText xml:space="preserve"> ADDIN ZOTERO_ITEM CSL_CITATION {"citationID":"allrbrqofv","properties":{"formattedCitation":"(Jones Jr &amp; Foote, 1991; P\\uc0\\u233{}rez et al., 2003; van Heezik et al., 2012)","plainCitation":"(Jones Jr &amp; Foote, 1991; Pérez et al., 2003; van Heezik et al., 2012)","dontUpdate":true,"noteIndex":0},"citationItems":[{"id":53186,"uris":["http://zotero.org/groups/2352922/items/MKHPXN2W"],"itemData":{"id":53186,"type":"book","ISBN":"0-88192-175-0","publisher":"Timber Press","title":"Gardening with native wild flowers","author":[{"family":"Jones","given":"Samuel B."},{"family":"Foote","given":"Leonard E."}],"issued":{"date-parts":[["1991"]]}},"label":"page"},{"id":16668,"uris":["http://zotero.org/groups/2352922/items/PTUYNJQE"],"itemData":{"id":16668,"type":"article-journal","abstract":"The role of some governments and international organizations in the introduction of alien species in new environments is examined, using the case of aquaculture. Most introductions in Latin America have been made for purely economic reasons, without proper concern for biological, ecological, genetic and socio-economic consequences. Examples include the introduction of Litopenaeus vannamei and...","container-title":"Interciencia","ISSN":"0378-1844","issue":"4","language":"English","page":"234-238","source":"www.cabdirect.org","title":"The introduction of exotic species in aquaculture: a solution or part of the problem?","title-short":"The introduction of exotic species in aquaculture","URL":"https://www.researchgate.net/publication/233808881_The_introduction_of_exotic_species_in_aquaculture_A_solution_or_part_of_the_problem","volume":"28","author":[{"family":"Pérez","given":"Julio E"},{"family":"Alfonsi","given":"Carmen"},{"family":"Nirchio","given":"Mauro"},{"family":"Muñoz","given":"Carlos"},{"family":"Gómez","given":"Juan A"}],"accessed":{"date-parts":[["2019",12,4]]},"issued":{"date-parts":[["2003"]]}},"label":"page"},{"id":53421,"uris":["http://zotero.org/groups/2352922/items/HWHN7NTC","http://zotero.org/groups/2352922/items/B96CYCCS"],"itemData":{"id":53421,"type":"article-journal","container-title":"Ecology and Society","DOI":"10.5751/Es-04712-170134","ISSN":"1708-3087","issue":"1","language":"English","note":"number: 1","page":"34","title":"Closing the Gap: Communicating to Change Gardening Practices in Support of Native Biodiversity in Urban Private Gardens","volume":"17","author":[{"family":"Heezik","given":"Y. M.","non-dropping-particle":"van"},{"family":"Dickinson","given":"K. J. M."},{"family":"Freeman","given":"C."}],"issued":{"date-parts":[["2012"]]}},"label":"page"}],"schema":"https://github.com/citation-style-language/schema/raw/master/csl-citation.json"} </w:instrText>
      </w:r>
      <w:r w:rsidR="002C4048" w:rsidRPr="00A9434B">
        <w:rPr>
          <w:b w:val="0"/>
          <w:bCs/>
          <w:i/>
          <w:iCs/>
        </w:rPr>
        <w:fldChar w:fldCharType="separate"/>
      </w:r>
      <w:r w:rsidR="00C71E80" w:rsidRPr="00A9434B">
        <w:rPr>
          <w:b w:val="0"/>
          <w:bCs/>
        </w:rPr>
        <w:t>Jones Jr &amp; Foote, 1991; Pérez et al., 2003; van Heezik et al., 2012)</w:t>
      </w:r>
      <w:r w:rsidR="002C4048" w:rsidRPr="00A9434B">
        <w:rPr>
          <w:b w:val="0"/>
          <w:bCs/>
          <w:i/>
          <w:iCs/>
        </w:rPr>
        <w:fldChar w:fldCharType="end"/>
      </w:r>
      <w:r w:rsidR="007419F9" w:rsidRPr="00A9434B">
        <w:rPr>
          <w:b w:val="0"/>
          <w:bCs/>
          <w:i/>
          <w:iCs/>
        </w:rPr>
        <w:fldChar w:fldCharType="end"/>
      </w:r>
      <w:r w:rsidR="00DF1AF7" w:rsidRPr="00A9434B">
        <w:rPr>
          <w:b w:val="0"/>
          <w:bCs/>
        </w:rPr>
        <w:t>. Mainstreaming this perspective can be done through technical and policy developments that promote potential candidate native species that are preferred by the</w:t>
      </w:r>
      <w:r w:rsidR="006404A8" w:rsidRPr="00A9434B">
        <w:rPr>
          <w:b w:val="0"/>
          <w:bCs/>
        </w:rPr>
        <w:t>ir</w:t>
      </w:r>
      <w:r w:rsidR="00DF1AF7" w:rsidRPr="00A9434B">
        <w:rPr>
          <w:b w:val="0"/>
          <w:bCs/>
        </w:rPr>
        <w:t xml:space="preserve"> respective communities</w:t>
      </w:r>
      <w:r w:rsidR="006404A8" w:rsidRPr="00A9434B">
        <w:rPr>
          <w:b w:val="0"/>
          <w:bCs/>
        </w:rPr>
        <w:t xml:space="preserve"> and local consumers.</w:t>
      </w:r>
      <w:r w:rsidR="00DF1AF7" w:rsidRPr="00A9434B">
        <w:rPr>
          <w:b w:val="0"/>
          <w:bCs/>
        </w:rPr>
        <w:t xml:space="preserve"> Nonetheless, it is important to highlight that alien species constitute as much as 75</w:t>
      </w:r>
      <w:r w:rsidR="007033BA" w:rsidRPr="00A9434B">
        <w:rPr>
          <w:b w:val="0"/>
          <w:bCs/>
        </w:rPr>
        <w:t xml:space="preserve"> per cent</w:t>
      </w:r>
      <w:r w:rsidR="00DF1AF7" w:rsidRPr="00A9434B">
        <w:rPr>
          <w:b w:val="0"/>
          <w:bCs/>
        </w:rPr>
        <w:t xml:space="preserve"> of the species used for consumption </w:t>
      </w:r>
      <w:r w:rsidR="00E6777C" w:rsidRPr="00A9434B">
        <w:rPr>
          <w:b w:val="0"/>
          <w:bCs/>
          <w:i/>
          <w:iCs/>
        </w:rPr>
        <w:fldChar w:fldCharType="begin"/>
      </w:r>
      <w:r w:rsidR="0006613E">
        <w:rPr>
          <w:b w:val="0"/>
          <w:bCs/>
        </w:rPr>
        <w:instrText xml:space="preserve"> ADDIN ZOTERO_ITEM CSL_CITATION {"citationID":"adot2ioo4i","properties":{"formattedCitation":"(Palacios, 1997)","plainCitation":"(Palacios, 1997)","noteIndex":0},"citationItems":[{"id":53225,"uris":["http://zotero.org/groups/2352922/items/EEYDFGIX"],"itemData":{"id":53225,"type":"paper-conference","container-title":"Comision de Recursos Geneticos para la Alimentacion y la Agricultura. Reunion Extraordinaria. 4, Rome (Italy), 1-5 Dec 1997","publisher":"Food and Agricultural Organization of the United Nations","title":"Contribution to the estimation of countries' interdependence in the area of plant genetic resources","author":[{"family":"Palacios","given":"Ximena Flores"}],"issued":{"date-parts":[["1997"]]}},"label":"page"}],"schema":"https://github.com/citation-style-language/schema/raw/master/csl-citation.json"} </w:instrText>
      </w:r>
      <w:r w:rsidR="00E6777C" w:rsidRPr="00A9434B">
        <w:rPr>
          <w:b w:val="0"/>
          <w:bCs/>
          <w:i/>
          <w:iCs/>
        </w:rPr>
        <w:fldChar w:fldCharType="separate"/>
      </w:r>
      <w:r w:rsidR="00C71E80" w:rsidRPr="00A9434B">
        <w:rPr>
          <w:b w:val="0"/>
          <w:bCs/>
        </w:rPr>
        <w:t>(Palacios, 1997)</w:t>
      </w:r>
      <w:r w:rsidR="00E6777C" w:rsidRPr="00A9434B">
        <w:rPr>
          <w:b w:val="0"/>
          <w:bCs/>
          <w:i/>
          <w:iCs/>
        </w:rPr>
        <w:fldChar w:fldCharType="end"/>
      </w:r>
      <w:r w:rsidR="00DF1AF7" w:rsidRPr="00A9434B">
        <w:rPr>
          <w:b w:val="0"/>
          <w:bCs/>
        </w:rPr>
        <w:t xml:space="preserve">, and that these constitute the cornerstone for the economic activities of multiple communities. Therefore, such transition needs to consider the possibility of alien species replacement to </w:t>
      </w:r>
      <w:r w:rsidR="00AA66C4" w:rsidRPr="00A9434B">
        <w:rPr>
          <w:b w:val="0"/>
          <w:bCs/>
        </w:rPr>
        <w:t>fulfil</w:t>
      </w:r>
      <w:r w:rsidR="00DF1AF7" w:rsidRPr="00A9434B">
        <w:rPr>
          <w:b w:val="0"/>
          <w:bCs/>
        </w:rPr>
        <w:t xml:space="preserve"> food security and economic needs</w:t>
      </w:r>
      <w:r w:rsidR="003918CE" w:rsidRPr="00A9434B">
        <w:rPr>
          <w:b w:val="0"/>
          <w:bCs/>
        </w:rPr>
        <w:t>, with fisheries and forestry species more frequently invasive than terrestrial food crops</w:t>
      </w:r>
      <w:r w:rsidR="003918CE" w:rsidRPr="00CC523A">
        <w:rPr>
          <w:b w:val="0"/>
          <w:bCs/>
        </w:rPr>
        <w:t xml:space="preserve"> </w:t>
      </w:r>
      <w:r w:rsidR="000E0C89" w:rsidRPr="00CC523A">
        <w:rPr>
          <w:b w:val="0"/>
          <w:bCs/>
        </w:rPr>
        <w:fldChar w:fldCharType="begin"/>
      </w:r>
      <w:r w:rsidR="0006613E">
        <w:rPr>
          <w:b w:val="0"/>
          <w:bCs/>
        </w:rPr>
        <w:instrText xml:space="preserve"> ADDIN ZOTERO_ITEM CSL_CITATION {"citationID":"a14a9uca461","properties":{"formattedCitation":"(De Silva et al., 2009; FAO, 2019)","plainCitation":"(De Silva et al., 2009; FAO, 2019)","noteIndex":0},"citationItems":[{"id":31158,"uris":["http://zotero.org/groups/2352922/items/NJJF9G4P"],"itemData":{"id":31158,"type":"article-journal","abstract":"The ﬁsheries sector in the course of the last three decades have been transformed from a developed country to a developing country dominance. Aquaculture, the farming of waters, though a millennia old tradition during this period has become a signiﬁcant contributor to food ﬁsh production, currently accounting for nearly 50 % of global food ﬁsh consumption; in effect transforming our dependence from a hunted to a farmed supply as for all our staple food types. Aquaculture and indeed the ﬁsheries sector as a whole is predominated in the developing countries, and accordingly the development strategies adopted by the sector are inﬂuenced by this. Aquaculture also being a newly emerged food production sector has being subjected to an increased level of public scrutiny, and one of the most contentious aspects has been its impacts on biodiversity. In this synthesis an attempt is made to assess the impacts of aquaculture on biodiversity. Instances of major impacts on biodiversity conservation arising from aquaculture, such as land use, efﬂuent discharge, effects on wild populations, alien species among others are highlighted and critically examined. The inﬂuence of paradigm changes in development strategies and modern day market forces have begun to impact on aquaculture developments. Consequently, improvements in practices and adoption of more environmentally friendly approaches that have a decreasing negative inﬂuence on biodiversity conservation are highlighted. An attempt is also made to demonstrate direct and or indirect beneﬁts of aquaculture, such as through being a substitute to meet human needs for food, particularly over-exploited and vulnerable ﬁsh stocks, and for other purposes (e.g. medicinal ingredients), on biodiversity conservation, often a neglected entity.","container-title":"AMBIO: A Journal of the Human Environment","DOI":"10.1579/0044-7447-38.1.24","ISSN":"0044-7447","issue":"1","journalAbbreviation":"AMBIO: A Journal of the Human Environment","language":"en","page":"24-28","source":"DOI.org (Crossref)","title":"Alien Species in Aquaculture and Biodiversity: A Paradox in Food Production","title-short":"Alien Species in Aquaculture and Biodiversity","URL":"http://www.bioone.org/doi/abs/10.1579/0044-7447-38.1.24","volume":"38","author":[{"family":"De Silva","given":"Sena S."},{"family":"Nguyen","given":"Thuy T. T."},{"family":"Turchini","given":"Giovanni M."},{"family":"Amarasinghe","given":"Upali S."},{"family":"Abery","given":"Nigel W."}],"accessed":{"date-parts":[["2021",10,31]]},"issued":{"date-parts":[["2009",2]]}},"label":"page"},{"id":54664,"uris":["http://zotero.org/groups/2352922/items/FKI2LPLR"],"itemData":{"id":54664,"type":"book","collection-title":"FAO Commission on Genetic Resources for Food and Agriculture Assessments","event-place":"Rome, Italy","ISBN":"978-92-5-131270-4","language":"en","note":"DOI: 10.4060/CA3129EN","publisher":"Food and Agriculture Organization of the United Nations","publisher-place":"Rome, Italy","source":"DOI.org (Crossref)","title":"The State of the World's Biodiversity for Food and Agriculture","URL":"http://www.fao.org/documents/card/en/c/ca3129en","editor":[{"family":"Pilling","given":"D"},{"family":"Bélanger","given":"J"}],"author":[{"literal":"FAO"}],"accessed":{"date-parts":[["2023",3,7]]},"issued":{"date-parts":[["2019"]]}},"label":"page"}],"schema":"https://github.com/citation-style-language/schema/raw/master/csl-citation.json"} </w:instrText>
      </w:r>
      <w:r w:rsidR="000E0C89" w:rsidRPr="00CC523A">
        <w:rPr>
          <w:b w:val="0"/>
          <w:bCs/>
        </w:rPr>
        <w:fldChar w:fldCharType="separate"/>
      </w:r>
      <w:r w:rsidR="00017441" w:rsidRPr="00673554">
        <w:rPr>
          <w:b w:val="0"/>
        </w:rPr>
        <w:t>(De Silva et al., 2009; FAO, 2019)</w:t>
      </w:r>
      <w:r w:rsidR="000E0C89" w:rsidRPr="00CC523A">
        <w:rPr>
          <w:b w:val="0"/>
          <w:bCs/>
        </w:rPr>
        <w:fldChar w:fldCharType="end"/>
      </w:r>
      <w:r w:rsidR="000E0C89" w:rsidRPr="00A9434B">
        <w:rPr>
          <w:b w:val="0"/>
          <w:bCs/>
        </w:rPr>
        <w:t>.</w:t>
      </w:r>
    </w:p>
    <w:p w14:paraId="7F21016F" w14:textId="5706784D" w:rsidR="007419F9" w:rsidRPr="00A9434B" w:rsidRDefault="00941D55" w:rsidP="006B3143">
      <w:r w:rsidRPr="00A9434B">
        <w:t>Some</w:t>
      </w:r>
      <w:r w:rsidR="003918CE" w:rsidRPr="00A9434B">
        <w:t xml:space="preserve"> </w:t>
      </w:r>
      <w:r w:rsidR="007419F9" w:rsidRPr="00A9434B">
        <w:t xml:space="preserve">alien species used in many production systems are </w:t>
      </w:r>
      <w:r w:rsidR="008C6671">
        <w:t>causing</w:t>
      </w:r>
      <w:r w:rsidR="007419F9" w:rsidRPr="00A9434B">
        <w:t xml:space="preserve"> significant losses in performance, primarily from inbreeding </w:t>
      </w:r>
      <w:r w:rsidR="007419F9" w:rsidRPr="00A9434B">
        <w:rPr>
          <w:highlight w:val="yellow"/>
        </w:rPr>
        <w:fldChar w:fldCharType="begin"/>
      </w:r>
      <w:r w:rsidR="007419F9" w:rsidRPr="00A9434B">
        <w:rPr>
          <w:highlight w:val="yellow"/>
        </w:rPr>
        <w:instrText xml:space="preserve"> ADDIN EN.CITE &lt;EndNote&gt;&lt;Cite&gt;&lt;Author&gt;Wilson&lt;/Author&gt;&lt;Year&gt;1999&lt;/Year&gt;&lt;RecNum&gt;117&lt;/RecNum&gt;&lt;DisplayText&gt;(Wilson 1999)&lt;/DisplayText&gt;&lt;record&gt;&lt;rec-number&gt;117&lt;/rec-number&gt;&lt;foreign-keys&gt;&lt;key app="EN" db-id="2fps2rpwcptwaxedz9oprzvmawfxef9pfpa2" timestamp="1621496112"&gt;117&lt;/key&gt;&lt;/foreign-keys&gt;&lt;ref-type name="Book"&gt;6&lt;/ref-type&gt;&lt;contributors&gt;&lt;authors&gt;&lt;author&gt;Wilson, Edward O&lt;/author&gt;&lt;/authors&gt;&lt;/contributors&gt;&lt;titles&gt;&lt;title&gt;The diversity of life&lt;/title&gt;&lt;/titles&gt;&lt;dates&gt;&lt;year&gt;1999&lt;/year&gt;&lt;/dates&gt;&lt;publisher&gt;WW Norton &amp;amp; Company&lt;/publisher&gt;&lt;isbn&gt;0393319407&lt;/isbn&gt;&lt;urls&gt;&lt;/urls&gt;&lt;/record&gt;&lt;/Cite&gt;&lt;/EndNote&gt;</w:instrText>
      </w:r>
      <w:r w:rsidR="007419F9" w:rsidRPr="00A9434B">
        <w:rPr>
          <w:highlight w:val="yellow"/>
        </w:rPr>
        <w:fldChar w:fldCharType="separate"/>
      </w:r>
      <w:r w:rsidR="00A605E4" w:rsidRPr="00A9434B">
        <w:rPr>
          <w:highlight w:val="yellow"/>
        </w:rPr>
        <w:fldChar w:fldCharType="begin"/>
      </w:r>
      <w:r w:rsidR="0006613E">
        <w:rPr>
          <w:highlight w:val="yellow"/>
        </w:rPr>
        <w:instrText xml:space="preserve"> ADDIN ZOTERO_ITEM CSL_CITATION {"citationID":"a2870tpjs7a","properties":{"formattedCitation":"(E. O. Wilson, 1999)","plainCitation":"(E. O. Wilson, 1999)","noteIndex":0},"citationItems":[{"id":53415,"uris":["http://zotero.org/groups/2352922/items/4K7WNE3D"],"itemData":{"id":53415,"type":"book","ISBN":"0-393-31940-7","publisher":"WW Norton &amp; Company","title":"The diversity of life","author":[{"family":"Wilson","given":"Edward O."}],"issued":{"date-parts":[["1999"]]}},"label":"page"}],"schema":"https://github.com/citation-style-language/schema/raw/master/csl-citation.json"} </w:instrText>
      </w:r>
      <w:r w:rsidR="00A605E4" w:rsidRPr="00A9434B">
        <w:rPr>
          <w:highlight w:val="yellow"/>
        </w:rPr>
        <w:fldChar w:fldCharType="separate"/>
      </w:r>
      <w:r w:rsidR="00C71E80" w:rsidRPr="00A9434B">
        <w:t>(E. O. Wilson, 1999)</w:t>
      </w:r>
      <w:r w:rsidR="00A605E4" w:rsidRPr="00A9434B">
        <w:rPr>
          <w:highlight w:val="yellow"/>
        </w:rPr>
        <w:fldChar w:fldCharType="end"/>
      </w:r>
      <w:r w:rsidR="007419F9" w:rsidRPr="00A9434B">
        <w:rPr>
          <w:highlight w:val="yellow"/>
        </w:rPr>
        <w:fldChar w:fldCharType="end"/>
      </w:r>
      <w:r w:rsidR="00DF1AF7" w:rsidRPr="00A9434B">
        <w:t xml:space="preserve">. </w:t>
      </w:r>
      <w:r w:rsidR="003918CE" w:rsidRPr="00A9434B">
        <w:t>R</w:t>
      </w:r>
      <w:r w:rsidR="00DF1AF7" w:rsidRPr="00A9434B">
        <w:t xml:space="preserve">ather than replenishing the stocks of these alien species with fresh germplasm obtained from their natural range, policy and voluntary codes of </w:t>
      </w:r>
      <w:r w:rsidR="00EB22AA" w:rsidRPr="00A9434B">
        <w:t>practice</w:t>
      </w:r>
      <w:r w:rsidR="00DF1AF7" w:rsidRPr="00A9434B">
        <w:t xml:space="preserve"> could promote the development of viable and profitable culture techniques for suitably selected native species. The pangasid fish culture (</w:t>
      </w:r>
      <w:r w:rsidR="00DF1AF7" w:rsidRPr="00A9434B">
        <w:rPr>
          <w:i/>
          <w:iCs/>
        </w:rPr>
        <w:t>Pangasianodon hypophthalmus</w:t>
      </w:r>
      <w:r w:rsidR="00DF1AF7" w:rsidRPr="00A9434B">
        <w:t xml:space="preserve"> </w:t>
      </w:r>
      <w:r w:rsidR="00DB3A09" w:rsidRPr="00A9434B">
        <w:t>(</w:t>
      </w:r>
      <w:r w:rsidR="009029C8" w:rsidRPr="00A9434B">
        <w:t>sutchi catfish</w:t>
      </w:r>
      <w:r w:rsidR="00DB3A09" w:rsidRPr="00A9434B">
        <w:t>)</w:t>
      </w:r>
      <w:r w:rsidR="00DF1AF7" w:rsidRPr="00A9434B">
        <w:t xml:space="preserve">) in the Mekong Delta is a successful example of the viability of gradually reducing the dependence on alien species via the replacement by native species </w:t>
      </w:r>
      <w:r w:rsidR="007419F9" w:rsidRPr="00A9434B">
        <w:fldChar w:fldCharType="begin">
          <w:fldData xml:space="preserve">PEVuZE5vdGU+PENpdGU+PEF1dGhvcj5EZSBTaWx2YTwvQXV0aG9yPjxZZWFyPjIwMDk8L1llYXI+
PFJlY051bT4xMTQ8L1JlY051bT48RGlzcGxheVRleHQ+KE5ndXllbiAyMDA3LCBEZSBTaWx2YSwg
Tmd1eWVuIGV0IGFsLiAyMDA5KTwvRGlzcGxheVRleHQ+PHJlY29yZD48cmVjLW51bWJlcj4xMTQ8
L3JlYy1udW1iZXI+PGZvcmVpZ24ta2V5cz48a2V5IGFwcD0iRU4iIGRiLWlkPSIyZnBzMnJwd2Nw
dHdheGVkejlvcHJ6dm1hd2Z4ZWY5cGZwYTIiIHRpbWVzdGFtcD0iMTYyMTQ5NDczNCI+MTE0PC9r
ZXk+PC9mb3JlaWduLWtleXM+PHJlZi10eXBlIG5hbWU9IkpvdXJuYWwgQXJ0aWNsZSI+MTc8L3Jl
Zi10eXBlPjxjb250cmlidXRvcnM+PGF1dGhvcnM+PGF1dGhvcj5EZSBTaWx2YSwgUy4gUy48L2F1
dGhvcj48YXV0aG9yPk5ndXllbiwgVC4gVC4gVC48L2F1dGhvcj48YXV0aG9yPlR1cmNoaW5pLCBH
LiBNLjwvYXV0aG9yPjxhdXRob3I+QW1hcmFzaW5naGUsIFUuIFMuPC9hdXRob3I+PGF1dGhvcj5B
YmVyeSwgTi4gVy48L2F1dGhvcj48L2F1dGhvcnM+PC9jb250cmlidXRvcnM+PGF1dGgtYWRkcmVz
cz5EZWFraW4gVW5pdiwgU2NoIExpZmUgJmFtcDsgRW52aXJvbm0gU2NpLCBHZWVsb25nLCBWaWMg
MzIxNywgQXVzdHJhbGlhJiN4RDtEZWFraW4gVW5pdiwgU2NoIExpZmUgJmFtcDsgRW52aXJvbm0g
U2NpLCBXYXJybmFtYm9vbCwgVmljIDMyODAsIEF1c3RyYWxpYSYjeEQ7VW5pdiBLZWxhbml5YSwg
RGVwdCBab29sLCBLZWxhbml5YSwgU3JpIExhbmthJiN4RDtGaXNoZXJpZXMgVmljdG9yaWEsIERl
cHQgUHJpbWFyeSBJbmQsIFNub2JzIENyZWVrLCBWaWMsIEF1c3RyYWxpYTwvYXV0aC1hZGRyZXNz
Pjx0aXRsZXM+PHRpdGxlPkFsaWVuIFNwZWNpZXMgaW4gQXF1YWN1bHR1cmUgYW5kIEJpb2RpdmVy
c2l0eTogQSBQYXJhZG94IGluIEZvb2QgUHJvZHVjdGlvbjwvdGl0bGU+PHNlY29uZGFyeS10aXRs
ZT5BbWJpbzwvc2Vjb25kYXJ5LXRpdGxlPjxhbHQtdGl0bGU+QW1iaW88L2FsdC10aXRsZT48L3Rp
dGxlcz48cGVyaW9kaWNhbD48ZnVsbC10aXRsZT5BbWJpbzwvZnVsbC10aXRsZT48YWJici0xPkFt
YmlvPC9hYmJyLTE+PC9wZXJpb2RpY2FsPjxhbHQtcGVyaW9kaWNhbD48ZnVsbC10aXRsZT5BbWJp
bzwvZnVsbC10aXRsZT48YWJici0xPkFtYmlvPC9hYmJyLTE+PC9hbHQtcGVyaW9kaWNhbD48cGFn
ZXM+MjQtMjg8L3BhZ2VzPjx2b2x1bWU+Mzg8L3ZvbHVtZT48bnVtYmVyPjE8L251bWJlcj48a2V5
d29yZHM+PGtleXdvcmQ+Y2xhcmlhcy1tYWNyb2NlcGhhbHVzPC9rZXl3b3JkPjxrZXl3b3JkPmNy
YXlmaXNoIHBsYWd1ZTwva2V5d29yZD48a2V5d29yZD5maXNoZXJpZXM8L2tleXdvcmQ+PGtleXdv
cmQ+c2FsbW9uaWRzPC9rZXl3b3JkPjxrZXl3b3JkPmltcGFjdHM8L2tleXdvcmQ+PGtleXdvcmQ+
dHJvdXQ8L2tleXdvcmQ+PGtleXdvcmQ+cG9wdWxhdGlvbnM8L2tleXdvcmQ+PGtleXdvcmQ+Z2Fy
aWVwaW51czwva2V5d29yZD48a2V5d29yZD5kaXZlcnNpdHk8L2tleXdvcmQ+PGtleXdvcmQ+aGF0
Y2hlcnk8L2tleXdvcmQ+PC9rZXl3b3Jkcz48ZGF0ZXM+PHllYXI+MjAwOTwveWVhcj48cHViLWRh
dGVzPjxkYXRlPkZlYjwvZGF0ZT48L3B1Yi1kYXRlcz48L2RhdGVzPjxpc2JuPjAwNDQtNzQ0Nzwv
aXNibj48YWNjZXNzaW9uLW51bT5XT1M6MDAwMjYzMDgzNTAwMDA1PC9hY2Nlc3Npb24tbnVtPjx1
cmxzPjxyZWxhdGVkLXVybHM+PHVybD4mbHQ7R28gdG8gSVNJJmd0OzovL1dPUzowMDAyNjMwODM1
MDAwMDU8L3VybD48L3JlbGF0ZWQtdXJscz48L3VybHM+PGxhbmd1YWdlPkVuZ2xpc2g8L2xhbmd1
YWdlPjwvcmVjb3JkPjwvQ2l0ZT48Q2l0ZT48QXV0aG9yPk5ndXllbjwvQXV0aG9yPjxZZWFyPjIw
MDc8L1llYXI+PFJlY051bT4xMTg8L1JlY051bT48cmVjb3JkPjxyZWMtbnVtYmVyPjExODwvcmVj
LW51bWJlcj48Zm9yZWlnbi1rZXlzPjxrZXkgYXBwPSJFTiIgZGItaWQ9IjJmcHMycnB3Y3B0d2F4
ZWR6OW9wcnp2bWF3ZnhlZjlwZnBhMiIgdGltZXN0YW1wPSIxNjIxNDk2ODEzIj4xMTg8L2tleT48
L2ZvcmVpZ24ta2V5cz48cmVmLXR5cGUgbmFtZT0iSm91cm5hbCBBcnRpY2xlIj4xNzwvcmVmLXR5
cGU+PGNvbnRyaWJ1dG9ycz48YXV0aG9ycz48YXV0aG9yPk5ndXllbiwgVkg8L2F1dGhvcj48L2F1
dGhvcnM+PC9jb250cmlidXRvcnM+PHRpdGxlcz48dGl0bGU+VmlldCBOYW3igJlzIGNhdGZpc2gg
YW5kIG1hcmluZSBzaHJpbXAgcHJvZHVjdGlvbjogYW4gZXhhbXBsZSBvZiBncm93dGggYW5kIHN1
c3RhaW5hYmlsaXR5IGlzc3VlczwvdGl0bGU+PHNlY29uZGFyeS10aXRsZT5BUVVBIEN1bHR1cmUg
QXNpYVBhY2lmaWMgTWFnYXppbmU8L3NlY29uZGFyeS10aXRsZT48L3RpdGxlcz48cGVyaW9kaWNh
bD48ZnVsbC10aXRsZT5BUVVBIEN1bHR1cmUgQXNpYVBhY2lmaWMgTWFnYXppbmU8L2Z1bGwtdGl0
bGU+PC9wZXJpb2RpY2FsPjxwYWdlcz4zNi0zODwvcGFnZXM+PHZvbHVtZT4zPC92b2x1bWU+PG51
bWJlcj40PC9udW1iZXI+PGRhdGVzPjx5ZWFyPjIwMDc8L3llYXI+PC9kYXRlcz48dXJscz48L3Vy
bHM+PC9yZWNvcmQ+PC9DaXRlPjwvRW5kTm90ZT5=
</w:fldData>
        </w:fldChar>
      </w:r>
      <w:r w:rsidR="007419F9" w:rsidRPr="00A9434B">
        <w:instrText xml:space="preserve"> ADDIN EN.CITE </w:instrText>
      </w:r>
      <w:r w:rsidR="007419F9" w:rsidRPr="00A9434B">
        <w:fldChar w:fldCharType="begin">
          <w:fldData xml:space="preserve">PEVuZE5vdGU+PENpdGU+PEF1dGhvcj5EZSBTaWx2YTwvQXV0aG9yPjxZZWFyPjIwMDk8L1llYXI+
PFJlY051bT4xMTQ8L1JlY051bT48RGlzcGxheVRleHQ+KE5ndXllbiAyMDA3LCBEZSBTaWx2YSwg
Tmd1eWVuIGV0IGFsLiAyMDA5KTwvRGlzcGxheVRleHQ+PHJlY29yZD48cmVjLW51bWJlcj4xMTQ8
L3JlYy1udW1iZXI+PGZvcmVpZ24ta2V5cz48a2V5IGFwcD0iRU4iIGRiLWlkPSIyZnBzMnJwd2Nw
dHdheGVkejlvcHJ6dm1hd2Z4ZWY5cGZwYTIiIHRpbWVzdGFtcD0iMTYyMTQ5NDczNCI+MTE0PC9r
ZXk+PC9mb3JlaWduLWtleXM+PHJlZi10eXBlIG5hbWU9IkpvdXJuYWwgQXJ0aWNsZSI+MTc8L3Jl
Zi10eXBlPjxjb250cmlidXRvcnM+PGF1dGhvcnM+PGF1dGhvcj5EZSBTaWx2YSwgUy4gUy48L2F1
dGhvcj48YXV0aG9yPk5ndXllbiwgVC4gVC4gVC48L2F1dGhvcj48YXV0aG9yPlR1cmNoaW5pLCBH
LiBNLjwvYXV0aG9yPjxhdXRob3I+QW1hcmFzaW5naGUsIFUuIFMuPC9hdXRob3I+PGF1dGhvcj5B
YmVyeSwgTi4gVy48L2F1dGhvcj48L2F1dGhvcnM+PC9jb250cmlidXRvcnM+PGF1dGgtYWRkcmVz
cz5EZWFraW4gVW5pdiwgU2NoIExpZmUgJmFtcDsgRW52aXJvbm0gU2NpLCBHZWVsb25nLCBWaWMg
MzIxNywgQXVzdHJhbGlhJiN4RDtEZWFraW4gVW5pdiwgU2NoIExpZmUgJmFtcDsgRW52aXJvbm0g
U2NpLCBXYXJybmFtYm9vbCwgVmljIDMyODAsIEF1c3RyYWxpYSYjeEQ7VW5pdiBLZWxhbml5YSwg
RGVwdCBab29sLCBLZWxhbml5YSwgU3JpIExhbmthJiN4RDtGaXNoZXJpZXMgVmljdG9yaWEsIERl
cHQgUHJpbWFyeSBJbmQsIFNub2JzIENyZWVrLCBWaWMsIEF1c3RyYWxpYTwvYXV0aC1hZGRyZXNz
Pjx0aXRsZXM+PHRpdGxlPkFsaWVuIFNwZWNpZXMgaW4gQXF1YWN1bHR1cmUgYW5kIEJpb2RpdmVy
c2l0eTogQSBQYXJhZG94IGluIEZvb2QgUHJvZHVjdGlvbjwvdGl0bGU+PHNlY29uZGFyeS10aXRs
ZT5BbWJpbzwvc2Vjb25kYXJ5LXRpdGxlPjxhbHQtdGl0bGU+QW1iaW88L2FsdC10aXRsZT48L3Rp
dGxlcz48cGVyaW9kaWNhbD48ZnVsbC10aXRsZT5BbWJpbzwvZnVsbC10aXRsZT48YWJici0xPkFt
YmlvPC9hYmJyLTE+PC9wZXJpb2RpY2FsPjxhbHQtcGVyaW9kaWNhbD48ZnVsbC10aXRsZT5BbWJp
bzwvZnVsbC10aXRsZT48YWJici0xPkFtYmlvPC9hYmJyLTE+PC9hbHQtcGVyaW9kaWNhbD48cGFn
ZXM+MjQtMjg8L3BhZ2VzPjx2b2x1bWU+Mzg8L3ZvbHVtZT48bnVtYmVyPjE8L251bWJlcj48a2V5
d29yZHM+PGtleXdvcmQ+Y2xhcmlhcy1tYWNyb2NlcGhhbHVzPC9rZXl3b3JkPjxrZXl3b3JkPmNy
YXlmaXNoIHBsYWd1ZTwva2V5d29yZD48a2V5d29yZD5maXNoZXJpZXM8L2tleXdvcmQ+PGtleXdv
cmQ+c2FsbW9uaWRzPC9rZXl3b3JkPjxrZXl3b3JkPmltcGFjdHM8L2tleXdvcmQ+PGtleXdvcmQ+
dHJvdXQ8L2tleXdvcmQ+PGtleXdvcmQ+cG9wdWxhdGlvbnM8L2tleXdvcmQ+PGtleXdvcmQ+Z2Fy
aWVwaW51czwva2V5d29yZD48a2V5d29yZD5kaXZlcnNpdHk8L2tleXdvcmQ+PGtleXdvcmQ+aGF0
Y2hlcnk8L2tleXdvcmQ+PC9rZXl3b3Jkcz48ZGF0ZXM+PHllYXI+MjAwOTwveWVhcj48cHViLWRh
dGVzPjxkYXRlPkZlYjwvZGF0ZT48L3B1Yi1kYXRlcz48L2RhdGVzPjxpc2JuPjAwNDQtNzQ0Nzwv
aXNibj48YWNjZXNzaW9uLW51bT5XT1M6MDAwMjYzMDgzNTAwMDA1PC9hY2Nlc3Npb24tbnVtPjx1
cmxzPjxyZWxhdGVkLXVybHM+PHVybD4mbHQ7R28gdG8gSVNJJmd0OzovL1dPUzowMDAyNjMwODM1
MDAwMDU8L3VybD48L3JlbGF0ZWQtdXJscz48L3VybHM+PGxhbmd1YWdlPkVuZ2xpc2g8L2xhbmd1
YWdlPjwvcmVjb3JkPjwvQ2l0ZT48Q2l0ZT48QXV0aG9yPk5ndXllbjwvQXV0aG9yPjxZZWFyPjIw
MDc8L1llYXI+PFJlY051bT4xMTg8L1JlY051bT48cmVjb3JkPjxyZWMtbnVtYmVyPjExODwvcmVj
LW51bWJlcj48Zm9yZWlnbi1rZXlzPjxrZXkgYXBwPSJFTiIgZGItaWQ9IjJmcHMycnB3Y3B0d2F4
ZWR6OW9wcnp2bWF3ZnhlZjlwZnBhMiIgdGltZXN0YW1wPSIxNjIxNDk2ODEzIj4xMTg8L2tleT48
L2ZvcmVpZ24ta2V5cz48cmVmLXR5cGUgbmFtZT0iSm91cm5hbCBBcnRpY2xlIj4xNzwvcmVmLXR5
cGU+PGNvbnRyaWJ1dG9ycz48YXV0aG9ycz48YXV0aG9yPk5ndXllbiwgVkg8L2F1dGhvcj48L2F1
dGhvcnM+PC9jb250cmlidXRvcnM+PHRpdGxlcz48dGl0bGU+VmlldCBOYW3igJlzIGNhdGZpc2gg
YW5kIG1hcmluZSBzaHJpbXAgcHJvZHVjdGlvbjogYW4gZXhhbXBsZSBvZiBncm93dGggYW5kIHN1
c3RhaW5hYmlsaXR5IGlzc3VlczwvdGl0bGU+PHNlY29uZGFyeS10aXRsZT5BUVVBIEN1bHR1cmUg
QXNpYVBhY2lmaWMgTWFnYXppbmU8L3NlY29uZGFyeS10aXRsZT48L3RpdGxlcz48cGVyaW9kaWNh
bD48ZnVsbC10aXRsZT5BUVVBIEN1bHR1cmUgQXNpYVBhY2lmaWMgTWFnYXppbmU8L2Z1bGwtdGl0
bGU+PC9wZXJpb2RpY2FsPjxwYWdlcz4zNi0zODwvcGFnZXM+PHZvbHVtZT4zPC92b2x1bWU+PG51
bWJlcj40PC9udW1iZXI+PGRhdGVzPjx5ZWFyPjIwMDc8L3llYXI+PC9kYXRlcz48dXJscz48L3Vy
bHM+PC9yZWNvcmQ+PC9DaXRlPjwvRW5kTm90ZT5=
</w:fldData>
        </w:fldChar>
      </w:r>
      <w:r w:rsidR="007419F9" w:rsidRPr="00A9434B">
        <w:instrText xml:space="preserve"> ADDIN EN.CITE.DATA </w:instrText>
      </w:r>
      <w:r w:rsidR="007419F9" w:rsidRPr="00A9434B">
        <w:fldChar w:fldCharType="end"/>
      </w:r>
      <w:r w:rsidR="007419F9" w:rsidRPr="00A9434B">
        <w:fldChar w:fldCharType="separate"/>
      </w:r>
      <w:r w:rsidR="00A605E4" w:rsidRPr="00A9434B">
        <w:fldChar w:fldCharType="begin"/>
      </w:r>
      <w:r w:rsidR="0006613E">
        <w:instrText xml:space="preserve"> ADDIN ZOTERO_ITEM CSL_CITATION {"citationID":"alpuc2r3tc","properties":{"formattedCitation":"(De Silva et al., 2009; Nguyen, 2007)","plainCitation":"(De Silva et al., 2009; Nguyen, 2007)","noteIndex":0},"citationItems":[{"id":31158,"uris":["http://zotero.org/groups/2352922/items/NJJF9G4P"],"itemData":{"id":31158,"type":"article-journal","abstract":"The ﬁsheries sector in the course of the last three decades have been transformed from a developed country to a developing country dominance. Aquaculture, the farming of waters, though a millennia old tradition during this period has become a signiﬁcant contributor to food ﬁsh production, currently accounting for nearly 50 % of global food ﬁsh consumption; in effect transforming our dependence from a hunted to a farmed supply as for all our staple food types. Aquaculture and indeed the ﬁsheries sector as a whole is predominated in the developing countries, and accordingly the development strategies adopted by the sector are inﬂuenced by this. Aquaculture also being a newly emerged food production sector has being subjected to an increased level of public scrutiny, and one of the most contentious aspects has been its impacts on biodiversity. In this synthesis an attempt is made to assess the impacts of aquaculture on biodiversity. Instances of major impacts on biodiversity conservation arising from aquaculture, such as land use, efﬂuent discharge, effects on wild populations, alien species among others are highlighted and critically examined. The inﬂuence of paradigm changes in development strategies and modern day market forces have begun to impact on aquaculture developments. Consequently, improvements in practices and adoption of more environmentally friendly approaches that have a decreasing negative inﬂuence on biodiversity conservation are highlighted. An attempt is also made to demonstrate direct and or indirect beneﬁts of aquaculture, such as through being a substitute to meet human needs for food, particularly over-exploited and vulnerable ﬁsh stocks, and for other purposes (e.g. medicinal ingredients), on biodiversity conservation, often a neglected entity.","container-title":"AMBIO: A Journal of the Human Environment","DOI":"10.1579/0044-7447-38.1.24","ISSN":"0044-7447","issue":"1","journalAbbreviation":"AMBIO: A Journal of the Human Environment","language":"en","page":"24-28","source":"DOI.org (Crossref)","title":"Alien Species in Aquaculture and Biodiversity: A Paradox in Food Production","title-short":"Alien Species in Aquaculture and Biodiversity","URL":"http://www.bioone.org/doi/abs/10.1579/0044-7447-38.1.24","volume":"38","author":[{"family":"De Silva","given":"Sena S."},{"family":"Nguyen","given":"Thuy T. T."},{"family":"Turchini","given":"Giovanni M."},{"family":"Amarasinghe","given":"Upali S."},{"family":"Abery","given":"Nigel W."}],"accessed":{"date-parts":[["2021",10,31]]},"issued":{"date-parts":[["2009",2]]}}},{"id":53478,"uris":["http://zotero.org/groups/2352922/items/2YHAFZH8"],"itemData":{"id":53478,"type":"article-journal","container-title":"AQUA Culture Asia Pacific Magazine","issue":"4","note":"ISBN: 1793-0561","page":"36-38","title":"Vietnam’s catfish and marine shrimp  production: an example of growth and sustainability issues","URL":"https://aquaasiapac.com/issue/july-aug-2007/","volume":"3","author":[{"family":"Nguyen","given":"V. H."}],"issued":{"date-parts":[["2007"]]}},"label":"page"}],"schema":"https://github.com/citation-style-language/schema/raw/master/csl-citation.json"} </w:instrText>
      </w:r>
      <w:r w:rsidR="00A605E4" w:rsidRPr="00A9434B">
        <w:fldChar w:fldCharType="separate"/>
      </w:r>
      <w:r w:rsidR="00017441" w:rsidRPr="00017441">
        <w:t>(De Silva et al., 2009; Nguyen, 2007)</w:t>
      </w:r>
      <w:r w:rsidR="00A605E4" w:rsidRPr="00A9434B">
        <w:fldChar w:fldCharType="end"/>
      </w:r>
      <w:r w:rsidR="007419F9" w:rsidRPr="00A9434B">
        <w:fldChar w:fldCharType="end"/>
      </w:r>
      <w:r w:rsidR="007419F9" w:rsidRPr="00A9434B">
        <w:t xml:space="preserve">. The aquaculture production of </w:t>
      </w:r>
      <w:r w:rsidR="00105057" w:rsidRPr="00A9434B">
        <w:rPr>
          <w:i/>
          <w:iCs/>
        </w:rPr>
        <w:t>Piaractus mesopotamicus</w:t>
      </w:r>
      <w:r w:rsidR="00105057" w:rsidRPr="00A9434B">
        <w:t xml:space="preserve"> </w:t>
      </w:r>
      <w:r w:rsidR="007419F9" w:rsidRPr="00A9434B">
        <w:t>(</w:t>
      </w:r>
      <w:r w:rsidR="009029C8" w:rsidRPr="00A9434B">
        <w:t>small-scales pacu</w:t>
      </w:r>
      <w:r w:rsidR="007419F9" w:rsidRPr="00A9434B">
        <w:t xml:space="preserve">) in Argentina is another example of the successful use of native species to address decreases in capture fisheries </w:t>
      </w:r>
      <w:r w:rsidR="003F75A3" w:rsidRPr="00A9434B">
        <w:fldChar w:fldCharType="begin"/>
      </w:r>
      <w:r w:rsidR="0006613E">
        <w:instrText xml:space="preserve"> ADDIN ZOTERO_ITEM CSL_CITATION {"citationID":"a2ifof36jue","properties":{"formattedCitation":"(Quir\\uc0\\u243{}s, 1990)","plainCitation":"(Quirós, 1990)","noteIndex":0},"citationItems":[{"id":30972,"uris":["http://zotero.org/groups/2352922/items/9FW7I4JZ"],"itemData":{"id":30972,"type":"article-journal","container-title":"Interciencia","issue":"6","note":"publisher: Pergamon Press, Caracas. VE","page":"442-451","title":"The Paraná river basin development and the changes in the lower basin fisheries","URL":"https://scholar.google.com/scholar_lookup?title=The+Paran%C3%A1+river+basin+development+and+the+changes+in+the+lower+basin+fisheries&amp;author=Quir%C3%B3s,+R.&amp;publication_year=1990&amp;journal=Interciencia&amp;volume=15&amp;pages=442%E2%80%93451","volume":"15","author":[{"family":"Quirós","given":"ROLANDO"}],"issued":{"date-parts":[["1990"]]}},"label":"page"}],"schema":"https://github.com/citation-style-language/schema/raw/master/csl-citation.json"} </w:instrText>
      </w:r>
      <w:r w:rsidR="003F75A3" w:rsidRPr="00A9434B">
        <w:fldChar w:fldCharType="separate"/>
      </w:r>
      <w:r w:rsidR="00C71E80" w:rsidRPr="00A9434B">
        <w:t>(Quirós, 1990)</w:t>
      </w:r>
      <w:r w:rsidR="003F75A3" w:rsidRPr="00A9434B">
        <w:fldChar w:fldCharType="end"/>
      </w:r>
      <w:r w:rsidR="003918CE" w:rsidRPr="00A9434B">
        <w:t xml:space="preserve">. </w:t>
      </w:r>
      <w:r w:rsidR="003369B1" w:rsidRPr="00A9434B">
        <w:rPr>
          <w:i/>
          <w:iCs/>
        </w:rPr>
        <w:t>Piaractus mesopotamicus</w:t>
      </w:r>
      <w:r w:rsidR="003369B1" w:rsidRPr="00A9434B">
        <w:t xml:space="preserve"> </w:t>
      </w:r>
      <w:r w:rsidR="007419F9" w:rsidRPr="00A9434B">
        <w:t xml:space="preserve">production is now the second </w:t>
      </w:r>
      <w:r w:rsidR="003918CE" w:rsidRPr="00A9434B">
        <w:t xml:space="preserve">largest </w:t>
      </w:r>
      <w:r w:rsidR="007419F9" w:rsidRPr="00A9434B">
        <w:t>aquaculture species</w:t>
      </w:r>
      <w:r w:rsidR="003918CE" w:rsidRPr="00A9434B">
        <w:t>-based production</w:t>
      </w:r>
      <w:r w:rsidR="007419F9" w:rsidRPr="00A9434B">
        <w:t xml:space="preserve"> in Argentina</w:t>
      </w:r>
      <w:r w:rsidR="0035614B" w:rsidRPr="00A9434B">
        <w:t xml:space="preserve"> </w:t>
      </w:r>
      <w:r w:rsidR="00607B50" w:rsidRPr="00A9434B">
        <w:fldChar w:fldCharType="begin"/>
      </w:r>
      <w:r w:rsidR="0006613E">
        <w:instrText xml:space="preserve"> ADDIN ZOTERO_ITEM CSL_CITATION {"citationID":"a3702kvvio","properties":{"formattedCitation":"(FAO, 2016)","plainCitation":"(FAO, 2016)","noteIndex":0},"citationItems":[{"id":32135,"uris":["http://zotero.org/groups/2352922/items/DSMIPWYA"],"itemData":{"id":32135,"type":"book","collection-title":"Fisheries and Aquaculture Division","event-place":"Rome","publisher":"National aquaculture sector overview fact sheets. Food and Agriculture …","publisher-place":"Rome","title":"National Aquaculture Sector Overview–Argentina","URL":"https://www.fao.org/fishery/en/countrysector/naso_argentina","author":[{"literal":"FAO"}],"contributor":[{"family":"Wicki","given":"G. A."}],"issued":{"date-parts":[["2016"]]}},"label":"page"}],"schema":"https://github.com/citation-style-language/schema/raw/master/csl-citation.json"} </w:instrText>
      </w:r>
      <w:r w:rsidR="00607B50" w:rsidRPr="00A9434B">
        <w:fldChar w:fldCharType="separate"/>
      </w:r>
      <w:r w:rsidR="00065870" w:rsidRPr="00065870">
        <w:t>(FAO, 2016)</w:t>
      </w:r>
      <w:r w:rsidR="00607B50" w:rsidRPr="00A9434B">
        <w:fldChar w:fldCharType="end"/>
      </w:r>
      <w:r w:rsidR="007419F9" w:rsidRPr="00A9434B">
        <w:t xml:space="preserve">. However, </w:t>
      </w:r>
      <w:r w:rsidR="003918CE" w:rsidRPr="00A9434B">
        <w:t xml:space="preserve">success is mixed across </w:t>
      </w:r>
      <w:r w:rsidR="007419F9" w:rsidRPr="00A9434B">
        <w:t xml:space="preserve">examples of shifts to native species in production systems, </w:t>
      </w:r>
      <w:r w:rsidR="00DD14C7" w:rsidRPr="00A9434B">
        <w:t>with shifts not being feasible</w:t>
      </w:r>
      <w:r w:rsidR="007419F9" w:rsidRPr="00A9434B">
        <w:t xml:space="preserve"> </w:t>
      </w:r>
      <w:r w:rsidR="003918CE" w:rsidRPr="00A9434B">
        <w:t>in</w:t>
      </w:r>
      <w:r w:rsidR="007419F9" w:rsidRPr="00A9434B">
        <w:t xml:space="preserve"> aquaculture in Indonesia, Malaysia</w:t>
      </w:r>
      <w:r w:rsidR="005D0083">
        <w:t xml:space="preserve"> and</w:t>
      </w:r>
      <w:r w:rsidR="007419F9" w:rsidRPr="00A9434B">
        <w:t xml:space="preserve"> Thailand</w:t>
      </w:r>
      <w:r w:rsidR="003918CE" w:rsidRPr="00A9434B">
        <w:t xml:space="preserve">, </w:t>
      </w:r>
      <w:r w:rsidR="00DD14C7" w:rsidRPr="00A9434B">
        <w:t xml:space="preserve">but underway </w:t>
      </w:r>
      <w:r w:rsidR="007419F9" w:rsidRPr="00A9434B">
        <w:t>in</w:t>
      </w:r>
      <w:r w:rsidR="00DD14C7" w:rsidRPr="00A9434B">
        <w:t xml:space="preserve"> some cases in</w:t>
      </w:r>
      <w:r w:rsidR="007419F9" w:rsidRPr="00A9434B">
        <w:t xml:space="preserve"> India and Bangladesh </w:t>
      </w:r>
      <w:r w:rsidR="007419F9" w:rsidRPr="00A9434B">
        <w:rPr>
          <w:highlight w:val="yellow"/>
        </w:rPr>
        <w:fldChar w:fldCharType="begin">
          <w:fldData xml:space="preserve">PEVuZE5vdGU+PENpdGU+PEF1dGhvcj5EZSBTaWx2YTwvQXV0aG9yPjxZZWFyPjIwMDY8L1llYXI+
PFJlY051bT4xMTk8L1JlY051bT48RGlzcGxheVRleHQ+KERlIFNpbHZhLCBOZ3V5ZW4gZXQgYWwu
IDIwMDYsIERlIFNpbHZhLCBOZ3V5ZW4gZXQgYWwuIDIwMDkpPC9EaXNwbGF5VGV4dD48cmVjb3Jk
PjxyZWMtbnVtYmVyPjExOTwvcmVjLW51bWJlcj48Zm9yZWlnbi1rZXlzPjxrZXkgYXBwPSJFTiIg
ZGItaWQ9IjJmcHMycnB3Y3B0d2F4ZWR6OW9wcnp2bWF3ZnhlZjlwZnBhMiIgdGltZXN0YW1wPSIx
NjIxNDk3NzQ3Ij4xMTk8L2tleT48L2ZvcmVpZ24ta2V5cz48cmVmLXR5cGUgbmFtZT0iSm91cm5h
bCBBcnRpY2xlIj4xNzwvcmVmLXR5cGU+PGNvbnRyaWJ1dG9ycz48YXV0aG9ycz48YXV0aG9yPkRl
IFNpbHZhLCBTLiBTLjwvYXV0aG9yPjxhdXRob3I+Tmd1eWVuLCBULiBULiBULjwvYXV0aG9yPjxh
dXRob3I+QWJlcnksIE4uIFcuPC9hdXRob3I+PGF1dGhvcj5BbWFyYXNpbmdoZSwgVS4gUy48L2F1
dGhvcj48L2F1dGhvcnM+PC9jb250cmlidXRvcnM+PGF1dGgtYWRkcmVzcz5EZWFraW4gVW5pdiwg
U2NoIEVjb2wgJmFtcDsgRW52aXJvbm0sIFdhcnJuYW1ib29sLCBWaWMsIEF1c3RyYWxpYSYjeEQ7
TmV0d29yayBBcXVhY3VsdHVyZSBDdHIgQXNpYSBQYWNpZmljLCBCYW5na29rLCBUaGFpbGFuZCYj
eEQ7VW5pdiBLZWxhbml5YSwgRGVwdCBab29sLCBLZWxhbml5YSwgU3JpIExhbmthPC9hdXRoLWFk
ZHJlc3M+PHRpdGxlcz48dGl0bGU+QW4gZXZhbHVhdGlvbiBvZiB0aGUgcm9sZSBhbmQgaW1wYWN0
cyBvZiBhbGllbiBmaW5maXNoIGluIEFzaWFuIGlubGFuZCBhcXVhY3VsdHVyZTwvdGl0bGU+PHNl
Y29uZGFyeS10aXRsZT5BcXVhY3VsdHVyZSBSZXNlYXJjaDwvc2Vjb25kYXJ5LXRpdGxlPjxhbHQt
dGl0bGU+QXF1YWMgUmVzPC9hbHQtdGl0bGU+PC90aXRsZXM+PHBlcmlvZGljYWw+PGZ1bGwtdGl0
bGU+QXF1YWN1bHR1cmUgUmVzZWFyY2g8L2Z1bGwtdGl0bGU+PGFiYnItMT5BcXVhYyBSZXM8L2Fi
YnItMT48L3BlcmlvZGljYWw+PGFsdC1wZXJpb2RpY2FsPjxmdWxsLXRpdGxlPkFxdWFjdWx0dXJl
IFJlc2VhcmNoPC9mdWxsLXRpdGxlPjxhYmJyLTE+QXF1YWMgUmVzPC9hYmJyLTE+PC9hbHQtcGVy
aW9kaWNhbD48cGFnZXM+MS0xNzwvcGFnZXM+PHZvbHVtZT4zNzwvdm9sdW1lPjxudW1iZXI+MTwv
bnVtYmVyPjxrZXl3b3Jkcz48a2V5d29yZD5hc2lhbiBhcXVhY3VsdHVyZTwva2V5d29yZD48a2V5
d29yZD5hbGllbiBzcGVjaWVzPC9rZXl3b3JkPjxrZXl3b3JkPnByb2R1Y3Rpb248L2tleXdvcmQ+
PGtleXdvcmQ+bWFqb3IgY2FycHM8L2tleXdvcmQ+PGtleXdvcmQ+dGlsYXBpYXM8L2tleXdvcmQ+
PGtleXdvcmQ+YmlvZGl2ZXJzaXR5PC9rZXl3b3JkPjxrZXl3b3JkPmdlbmV0aWMgZGl2ZXJzaXR5
PC9rZXl3b3JkPjxrZXl3b3JkPmludmFzaXZlPC9rZXl3b3JkPjxrZXl3b3JkPmNsYXJpYXMtbWFj
cm9jZXBoYWx1czwva2V5d29yZD48a2V5d29yZD5sYWtlcyB2aWN0b3JpYTwva2V5d29yZD48a2V5
d29yZD5uaWxlIHBlcmNoPC9rZXl3b3JkPjxrZXl3b3JkPmZpc2hlcmllczwva2V5d29yZD48a2V5
d29yZD5oeWJyaWRpemF0aW9uPC9rZXl3b3JkPjxrZXl3b3JkPnRyb3V0PC9rZXl3b3JkPjxrZXl3
b3JkPmdhcmllcGludXM8L2tleXdvcmQ+PGtleXdvcmQ+cmVzb3VyY2VzPC9rZXl3b3JkPjxrZXl3
b3JkPmVjb2xvZ3k8L2tleXdvcmQ+PGtleXdvcmQ+Y2F0ZmlzaDwva2V5d29yZD48L2tleXdvcmRz
PjxkYXRlcz48eWVhcj4yMDA2PC95ZWFyPjxwdWItZGF0ZXM+PGRhdGU+SmFuPC9kYXRlPjwvcHVi
LWRhdGVzPjwvZGF0ZXM+PGlzYm4+MTM1NS01NTd4PC9pc2JuPjxhY2Nlc3Npb24tbnVtPldPUzow
MDAyMzQ0MDI5MDAwMDE8L2FjY2Vzc2lvbi1udW0+PHVybHM+PHJlbGF0ZWQtdXJscz48dXJsPiZs
dDtHbyB0byBJU0kmZ3Q7Oi8vV09TOjAwMDIzNDQwMjkwMDAwMTwvdXJsPjwvcmVsYXRlZC11cmxz
PjwvdXJscz48ZWxlY3Ryb25pYy1yZXNvdXJjZS1udW0+MTAuMTExMS9qLjEzNjUtMjEwOS4yMDA1
LjAxMzY5Lng8L2VsZWN0cm9uaWMtcmVzb3VyY2UtbnVtPjxsYW5ndWFnZT5FbmdsaXNoPC9sYW5n
dWFnZT48L3JlY29yZD48L0NpdGU+PENpdGU+PEF1dGhvcj5EZSBTaWx2YTwvQXV0aG9yPjxZZWFy
PjIwMDk8L1llYXI+PFJlY051bT4xMTQ8L1JlY051bT48cmVjb3JkPjxyZWMtbnVtYmVyPjExNDwv
cmVjLW51bWJlcj48Zm9yZWlnbi1rZXlzPjxrZXkgYXBwPSJFTiIgZGItaWQ9IjJmcHMycnB3Y3B0
d2F4ZWR6OW9wcnp2bWF3ZnhlZjlwZnBhMiIgdGltZXN0YW1wPSIxNjIxNDk0NzM0Ij4xMTQ8L2tl
eT48L2ZvcmVpZ24ta2V5cz48cmVmLXR5cGUgbmFtZT0iSm91cm5hbCBBcnRpY2xlIj4xNzwvcmVm
LXR5cGU+PGNvbnRyaWJ1dG9ycz48YXV0aG9ycz48YXV0aG9yPkRlIFNpbHZhLCBTLiBTLjwvYXV0
aG9yPjxhdXRob3I+Tmd1eWVuLCBULiBULiBULjwvYXV0aG9yPjxhdXRob3I+VHVyY2hpbmksIEcu
IE0uPC9hdXRob3I+PGF1dGhvcj5BbWFyYXNpbmdoZSwgVS4gUy48L2F1dGhvcj48YXV0aG9yPkFi
ZXJ5LCBOLiBXLjwvYXV0aG9yPjwvYXV0aG9ycz48L2NvbnRyaWJ1dG9ycz48YXV0aC1hZGRyZXNz
PkRlYWtpbiBVbml2LCBTY2ggTGlmZSAmYW1wOyBFbnZpcm9ubSBTY2ksIEdlZWxvbmcsIFZpYyAz
MjE3LCBBdXN0cmFsaWEmI3hEO0RlYWtpbiBVbml2LCBTY2ggTGlmZSAmYW1wOyBFbnZpcm9ubSBT
Y2ksIFdhcnJuYW1ib29sLCBWaWMgMzI4MCwgQXVzdHJhbGlhJiN4RDtVbml2IEtlbGFuaXlhLCBE
ZXB0IFpvb2wsIEtlbGFuaXlhLCBTcmkgTGFua2EmI3hEO0Zpc2hlcmllcyBWaWN0b3JpYSwgRGVw
dCBQcmltYXJ5IEluZCwgU25vYnMgQ3JlZWssIFZpYywgQXVzdHJhbGlhPC9hdXRoLWFkZHJlc3M+
PHRpdGxlcz48dGl0bGU+QWxpZW4gU3BlY2llcyBpbiBBcXVhY3VsdHVyZSBhbmQgQmlvZGl2ZXJz
aXR5OiBBIFBhcmFkb3ggaW4gRm9vZCBQcm9kdWN0aW9uPC90aXRsZT48c2Vjb25kYXJ5LXRpdGxl
PkFtYmlvPC9zZWNvbmRhcnktdGl0bGU+PGFsdC10aXRsZT5BbWJpbzwvYWx0LXRpdGxlPjwvdGl0
bGVzPjxwZXJpb2RpY2FsPjxmdWxsLXRpdGxlPkFtYmlvPC9mdWxsLXRpdGxlPjxhYmJyLTE+QW1i
aW88L2FiYnItMT48L3BlcmlvZGljYWw+PGFsdC1wZXJpb2RpY2FsPjxmdWxsLXRpdGxlPkFtYmlv
PC9mdWxsLXRpdGxlPjxhYmJyLTE+QW1iaW88L2FiYnItMT48L2FsdC1wZXJpb2RpY2FsPjxwYWdl
cz4yNC0yODwvcGFnZXM+PHZvbHVtZT4zODwvdm9sdW1lPjxudW1iZXI+MTwvbnVtYmVyPjxrZXl3
b3Jkcz48a2V5d29yZD5jbGFyaWFzLW1hY3JvY2VwaGFsdXM8L2tleXdvcmQ+PGtleXdvcmQ+Y3Jh
eWZpc2ggcGxhZ3VlPC9rZXl3b3JkPjxrZXl3b3JkPmZpc2hlcmllczwva2V5d29yZD48a2V5d29y
ZD5zYWxtb25pZHM8L2tleXdvcmQ+PGtleXdvcmQ+aW1wYWN0czwva2V5d29yZD48a2V5d29yZD50
cm91dDwva2V5d29yZD48a2V5d29yZD5wb3B1bGF0aW9uczwva2V5d29yZD48a2V5d29yZD5nYXJp
ZXBpbnVzPC9rZXl3b3JkPjxrZXl3b3JkPmRpdmVyc2l0eTwva2V5d29yZD48a2V5d29yZD5oYXRj
aGVyeTwva2V5d29yZD48L2tleXdvcmRzPjxkYXRlcz48eWVhcj4yMDA5PC95ZWFyPjxwdWItZGF0
ZXM+PGRhdGU+RmViPC9kYXRlPjwvcHViLWRhdGVzPjwvZGF0ZXM+PGlzYm4+MDA0NC03NDQ3PC9p
c2JuPjxhY2Nlc3Npb24tbnVtPldPUzowMDAyNjMwODM1MDAwMDU8L2FjY2Vzc2lvbi1udW0+PHVy
bHM+PHJlbGF0ZWQtdXJscz48dXJsPiZsdDtHbyB0byBJU0kmZ3Q7Oi8vV09TOjAwMDI2MzA4MzUw
MDAwNTwvdXJsPjwvcmVsYXRlZC11cmxzPjwvdXJscz48bGFuZ3VhZ2U+RW5nbGlzaDwvbGFuZ3Vh
Z2U+PC9yZWNvcmQ+PC9DaXRlPjwvRW5kTm90ZT4A
</w:fldData>
        </w:fldChar>
      </w:r>
      <w:r w:rsidR="007419F9" w:rsidRPr="00A9434B">
        <w:rPr>
          <w:highlight w:val="yellow"/>
        </w:rPr>
        <w:instrText xml:space="preserve"> ADDIN EN.CITE </w:instrText>
      </w:r>
      <w:r w:rsidR="007419F9" w:rsidRPr="00A9434B">
        <w:rPr>
          <w:highlight w:val="yellow"/>
        </w:rPr>
        <w:fldChar w:fldCharType="begin">
          <w:fldData xml:space="preserve">PEVuZE5vdGU+PENpdGU+PEF1dGhvcj5EZSBTaWx2YTwvQXV0aG9yPjxZZWFyPjIwMDY8L1llYXI+
PFJlY051bT4xMTk8L1JlY051bT48RGlzcGxheVRleHQ+KERlIFNpbHZhLCBOZ3V5ZW4gZXQgYWwu
IDIwMDYsIERlIFNpbHZhLCBOZ3V5ZW4gZXQgYWwuIDIwMDkpPC9EaXNwbGF5VGV4dD48cmVjb3Jk
PjxyZWMtbnVtYmVyPjExOTwvcmVjLW51bWJlcj48Zm9yZWlnbi1rZXlzPjxrZXkgYXBwPSJFTiIg
ZGItaWQ9IjJmcHMycnB3Y3B0d2F4ZWR6OW9wcnp2bWF3ZnhlZjlwZnBhMiIgdGltZXN0YW1wPSIx
NjIxNDk3NzQ3Ij4xMTk8L2tleT48L2ZvcmVpZ24ta2V5cz48cmVmLXR5cGUgbmFtZT0iSm91cm5h
bCBBcnRpY2xlIj4xNzwvcmVmLXR5cGU+PGNvbnRyaWJ1dG9ycz48YXV0aG9ycz48YXV0aG9yPkRl
IFNpbHZhLCBTLiBTLjwvYXV0aG9yPjxhdXRob3I+Tmd1eWVuLCBULiBULiBULjwvYXV0aG9yPjxh
dXRob3I+QWJlcnksIE4uIFcuPC9hdXRob3I+PGF1dGhvcj5BbWFyYXNpbmdoZSwgVS4gUy48L2F1
dGhvcj48L2F1dGhvcnM+PC9jb250cmlidXRvcnM+PGF1dGgtYWRkcmVzcz5EZWFraW4gVW5pdiwg
U2NoIEVjb2wgJmFtcDsgRW52aXJvbm0sIFdhcnJuYW1ib29sLCBWaWMsIEF1c3RyYWxpYSYjeEQ7
TmV0d29yayBBcXVhY3VsdHVyZSBDdHIgQXNpYSBQYWNpZmljLCBCYW5na29rLCBUaGFpbGFuZCYj
eEQ7VW5pdiBLZWxhbml5YSwgRGVwdCBab29sLCBLZWxhbml5YSwgU3JpIExhbmthPC9hdXRoLWFk
ZHJlc3M+PHRpdGxlcz48dGl0bGU+QW4gZXZhbHVhdGlvbiBvZiB0aGUgcm9sZSBhbmQgaW1wYWN0
cyBvZiBhbGllbiBmaW5maXNoIGluIEFzaWFuIGlubGFuZCBhcXVhY3VsdHVyZTwvdGl0bGU+PHNl
Y29uZGFyeS10aXRsZT5BcXVhY3VsdHVyZSBSZXNlYXJjaDwvc2Vjb25kYXJ5LXRpdGxlPjxhbHQt
dGl0bGU+QXF1YWMgUmVzPC9hbHQtdGl0bGU+PC90aXRsZXM+PHBlcmlvZGljYWw+PGZ1bGwtdGl0
bGU+QXF1YWN1bHR1cmUgUmVzZWFyY2g8L2Z1bGwtdGl0bGU+PGFiYnItMT5BcXVhYyBSZXM8L2Fi
YnItMT48L3BlcmlvZGljYWw+PGFsdC1wZXJpb2RpY2FsPjxmdWxsLXRpdGxlPkFxdWFjdWx0dXJl
IFJlc2VhcmNoPC9mdWxsLXRpdGxlPjxhYmJyLTE+QXF1YWMgUmVzPC9hYmJyLTE+PC9hbHQtcGVy
aW9kaWNhbD48cGFnZXM+MS0xNzwvcGFnZXM+PHZvbHVtZT4zNzwvdm9sdW1lPjxudW1iZXI+MTwv
bnVtYmVyPjxrZXl3b3Jkcz48a2V5d29yZD5hc2lhbiBhcXVhY3VsdHVyZTwva2V5d29yZD48a2V5
d29yZD5hbGllbiBzcGVjaWVzPC9rZXl3b3JkPjxrZXl3b3JkPnByb2R1Y3Rpb248L2tleXdvcmQ+
PGtleXdvcmQ+bWFqb3IgY2FycHM8L2tleXdvcmQ+PGtleXdvcmQ+dGlsYXBpYXM8L2tleXdvcmQ+
PGtleXdvcmQ+YmlvZGl2ZXJzaXR5PC9rZXl3b3JkPjxrZXl3b3JkPmdlbmV0aWMgZGl2ZXJzaXR5
PC9rZXl3b3JkPjxrZXl3b3JkPmludmFzaXZlPC9rZXl3b3JkPjxrZXl3b3JkPmNsYXJpYXMtbWFj
cm9jZXBoYWx1czwva2V5d29yZD48a2V5d29yZD5sYWtlcyB2aWN0b3JpYTwva2V5d29yZD48a2V5
d29yZD5uaWxlIHBlcmNoPC9rZXl3b3JkPjxrZXl3b3JkPmZpc2hlcmllczwva2V5d29yZD48a2V5
d29yZD5oeWJyaWRpemF0aW9uPC9rZXl3b3JkPjxrZXl3b3JkPnRyb3V0PC9rZXl3b3JkPjxrZXl3
b3JkPmdhcmllcGludXM8L2tleXdvcmQ+PGtleXdvcmQ+cmVzb3VyY2VzPC9rZXl3b3JkPjxrZXl3
b3JkPmVjb2xvZ3k8L2tleXdvcmQ+PGtleXdvcmQ+Y2F0ZmlzaDwva2V5d29yZD48L2tleXdvcmRz
PjxkYXRlcz48eWVhcj4yMDA2PC95ZWFyPjxwdWItZGF0ZXM+PGRhdGU+SmFuPC9kYXRlPjwvcHVi
LWRhdGVzPjwvZGF0ZXM+PGlzYm4+MTM1NS01NTd4PC9pc2JuPjxhY2Nlc3Npb24tbnVtPldPUzow
MDAyMzQ0MDI5MDAwMDE8L2FjY2Vzc2lvbi1udW0+PHVybHM+PHJlbGF0ZWQtdXJscz48dXJsPiZs
dDtHbyB0byBJU0kmZ3Q7Oi8vV09TOjAwMDIzNDQwMjkwMDAwMTwvdXJsPjwvcmVsYXRlZC11cmxz
PjwvdXJscz48ZWxlY3Ryb25pYy1yZXNvdXJjZS1udW0+MTAuMTExMS9qLjEzNjUtMjEwOS4yMDA1
LjAxMzY5Lng8L2VsZWN0cm9uaWMtcmVzb3VyY2UtbnVtPjxsYW5ndWFnZT5FbmdsaXNoPC9sYW5n
dWFnZT48L3JlY29yZD48L0NpdGU+PENpdGU+PEF1dGhvcj5EZSBTaWx2YTwvQXV0aG9yPjxZZWFy
PjIwMDk8L1llYXI+PFJlY051bT4xMTQ8L1JlY051bT48cmVjb3JkPjxyZWMtbnVtYmVyPjExNDwv
cmVjLW51bWJlcj48Zm9yZWlnbi1rZXlzPjxrZXkgYXBwPSJFTiIgZGItaWQ9IjJmcHMycnB3Y3B0
d2F4ZWR6OW9wcnp2bWF3ZnhlZjlwZnBhMiIgdGltZXN0YW1wPSIxNjIxNDk0NzM0Ij4xMTQ8L2tl
eT48L2ZvcmVpZ24ta2V5cz48cmVmLXR5cGUgbmFtZT0iSm91cm5hbCBBcnRpY2xlIj4xNzwvcmVm
LXR5cGU+PGNvbnRyaWJ1dG9ycz48YXV0aG9ycz48YXV0aG9yPkRlIFNpbHZhLCBTLiBTLjwvYXV0
aG9yPjxhdXRob3I+Tmd1eWVuLCBULiBULiBULjwvYXV0aG9yPjxhdXRob3I+VHVyY2hpbmksIEcu
IE0uPC9hdXRob3I+PGF1dGhvcj5BbWFyYXNpbmdoZSwgVS4gUy48L2F1dGhvcj48YXV0aG9yPkFi
ZXJ5LCBOLiBXLjwvYXV0aG9yPjwvYXV0aG9ycz48L2NvbnRyaWJ1dG9ycz48YXV0aC1hZGRyZXNz
PkRlYWtpbiBVbml2LCBTY2ggTGlmZSAmYW1wOyBFbnZpcm9ubSBTY2ksIEdlZWxvbmcsIFZpYyAz
MjE3LCBBdXN0cmFsaWEmI3hEO0RlYWtpbiBVbml2LCBTY2ggTGlmZSAmYW1wOyBFbnZpcm9ubSBT
Y2ksIFdhcnJuYW1ib29sLCBWaWMgMzI4MCwgQXVzdHJhbGlhJiN4RDtVbml2IEtlbGFuaXlhLCBE
ZXB0IFpvb2wsIEtlbGFuaXlhLCBTcmkgTGFua2EmI3hEO0Zpc2hlcmllcyBWaWN0b3JpYSwgRGVw
dCBQcmltYXJ5IEluZCwgU25vYnMgQ3JlZWssIFZpYywgQXVzdHJhbGlhPC9hdXRoLWFkZHJlc3M+
PHRpdGxlcz48dGl0bGU+QWxpZW4gU3BlY2llcyBpbiBBcXVhY3VsdHVyZSBhbmQgQmlvZGl2ZXJz
aXR5OiBBIFBhcmFkb3ggaW4gRm9vZCBQcm9kdWN0aW9uPC90aXRsZT48c2Vjb25kYXJ5LXRpdGxl
PkFtYmlvPC9zZWNvbmRhcnktdGl0bGU+PGFsdC10aXRsZT5BbWJpbzwvYWx0LXRpdGxlPjwvdGl0
bGVzPjxwZXJpb2RpY2FsPjxmdWxsLXRpdGxlPkFtYmlvPC9mdWxsLXRpdGxlPjxhYmJyLTE+QW1i
aW88L2FiYnItMT48L3BlcmlvZGljYWw+PGFsdC1wZXJpb2RpY2FsPjxmdWxsLXRpdGxlPkFtYmlv
PC9mdWxsLXRpdGxlPjxhYmJyLTE+QW1iaW88L2FiYnItMT48L2FsdC1wZXJpb2RpY2FsPjxwYWdl
cz4yNC0yODwvcGFnZXM+PHZvbHVtZT4zODwvdm9sdW1lPjxudW1iZXI+MTwvbnVtYmVyPjxrZXl3
b3Jkcz48a2V5d29yZD5jbGFyaWFzLW1hY3JvY2VwaGFsdXM8L2tleXdvcmQ+PGtleXdvcmQ+Y3Jh
eWZpc2ggcGxhZ3VlPC9rZXl3b3JkPjxrZXl3b3JkPmZpc2hlcmllczwva2V5d29yZD48a2V5d29y
ZD5zYWxtb25pZHM8L2tleXdvcmQ+PGtleXdvcmQ+aW1wYWN0czwva2V5d29yZD48a2V5d29yZD50
cm91dDwva2V5d29yZD48a2V5d29yZD5wb3B1bGF0aW9uczwva2V5d29yZD48a2V5d29yZD5nYXJp
ZXBpbnVzPC9rZXl3b3JkPjxrZXl3b3JkPmRpdmVyc2l0eTwva2V5d29yZD48a2V5d29yZD5oYXRj
aGVyeTwva2V5d29yZD48L2tleXdvcmRzPjxkYXRlcz48eWVhcj4yMDA5PC95ZWFyPjxwdWItZGF0
ZXM+PGRhdGU+RmViPC9kYXRlPjwvcHViLWRhdGVzPjwvZGF0ZXM+PGlzYm4+MDA0NC03NDQ3PC9p
c2JuPjxhY2Nlc3Npb24tbnVtPldPUzowMDAyNjMwODM1MDAwMDU8L2FjY2Vzc2lvbi1udW0+PHVy
bHM+PHJlbGF0ZWQtdXJscz48dXJsPiZsdDtHbyB0byBJU0kmZ3Q7Oi8vV09TOjAwMDI2MzA4MzUw
MDAwNTwvdXJsPjwvcmVsYXRlZC11cmxzPjwvdXJscz48bGFuZ3VhZ2U+RW5nbGlzaDwvbGFuZ3Vh
Z2U+PC9yZWNvcmQ+PC9DaXRlPjwvRW5kTm90ZT4A
</w:fldData>
        </w:fldChar>
      </w:r>
      <w:r w:rsidR="007419F9" w:rsidRPr="00A9434B">
        <w:rPr>
          <w:highlight w:val="yellow"/>
        </w:rPr>
        <w:instrText xml:space="preserve"> ADDIN EN.CITE.DATA </w:instrText>
      </w:r>
      <w:r w:rsidR="007419F9" w:rsidRPr="00A9434B">
        <w:rPr>
          <w:highlight w:val="yellow"/>
        </w:rPr>
      </w:r>
      <w:r w:rsidR="007419F9" w:rsidRPr="00A9434B">
        <w:rPr>
          <w:highlight w:val="yellow"/>
        </w:rPr>
        <w:fldChar w:fldCharType="end"/>
      </w:r>
      <w:r w:rsidR="007419F9" w:rsidRPr="00A9434B">
        <w:rPr>
          <w:highlight w:val="yellow"/>
        </w:rPr>
      </w:r>
      <w:r w:rsidR="007419F9" w:rsidRPr="00A9434B">
        <w:rPr>
          <w:highlight w:val="yellow"/>
        </w:rPr>
        <w:fldChar w:fldCharType="separate"/>
      </w:r>
      <w:r w:rsidR="003D408C" w:rsidRPr="00A9434B">
        <w:fldChar w:fldCharType="begin">
          <w:fldData xml:space="preserve">PEVuZE5vdGU+PENpdGU+PEF1dGhvcj5EZSBTaWx2YTwvQXV0aG9yPjxZZWFyPjIwMDQ8L1llYXI+
PFJlY051bT4xMjI8L1JlY051bT48RGlzcGxheVRleHQ+KERlIFNpbHZhIDIwMDQsIERlIFNpbHZh
LCBOZ3V5ZW4gZXQgYWwuIDIwMDkpPC9EaXNwbGF5VGV4dD48cmVjb3JkPjxyZWMtbnVtYmVyPjEy
MjwvcmVjLW51bWJlcj48Zm9yZWlnbi1rZXlzPjxrZXkgYXBwPSJFTiIgZGItaWQ9IjJmcHMycnB3
Y3B0d2F4ZWR6OW9wcnp2bWF3ZnhlZjlwZnBhMiIgdGltZXN0YW1wPSIxNjIxNTE1NDkyIj4xMjI8
L2tleT48L2ZvcmVpZ24ta2V5cz48cmVmLXR5cGUgbmFtZT0iSm91cm5hbCBBcnRpY2xlIj4xNzwv
cmVmLXR5cGU+PGNvbnRyaWJ1dG9ycz48YXV0aG9ycz48YXV0aG9yPkRlIFNpbHZhLCBTZW5hIFM8
L2F1dGhvcj48L2F1dGhvcnM+PC9jb250cmlidXRvcnM+PHRpdGxlcz48dGl0bGU+VGlsYXBpYXMg
YXMgYWxpZW4gYXF1YXRpY3MgaW4gQXNpYSBhbmQgdGhlIFBhY2lmaWM6IGEgcmV2aWV3PC90aXRs
ZT48L3RpdGxlcz48ZGF0ZXM+PHllYXI+MjAwNDwveWVhcj48L2RhdGVzPjxpc2JuPjkyNTEwNTIy
NzE8L2lzYm4+PHVybHM+PC91cmxzPjwvcmVjb3JkPjwvQ2l0ZT48Q2l0ZT48QXV0aG9yPkRlIFNp
bHZhPC9BdXRob3I+PFllYXI+MjAwOTwvWWVhcj48UmVjTnVtPjExNDwvUmVjTnVtPjxyZWNvcmQ+
PHJlYy1udW1iZXI+MTE0PC9yZWMtbnVtYmVyPjxmb3JlaWduLWtleXM+PGtleSBhcHA9IkVOIiBk
Yi1pZD0iMmZwczJycHdjcHR3YXhlZHo5b3ByenZtYXdmeGVmOXBmcGEyIiB0aW1lc3RhbXA9IjE2
MjE0OTQ3MzQiPjExNDwva2V5PjwvZm9yZWlnbi1rZXlzPjxyZWYtdHlwZSBuYW1lPSJKb3VybmFs
IEFydGljbGUiPjE3PC9yZWYtdHlwZT48Y29udHJpYnV0b3JzPjxhdXRob3JzPjxhdXRob3I+RGUg
U2lsdmEsIFMuIFMuPC9hdXRob3I+PGF1dGhvcj5OZ3V5ZW4sIFQuIFQuIFQuPC9hdXRob3I+PGF1
dGhvcj5UdXJjaGluaSwgRy4gTS48L2F1dGhvcj48YXV0aG9yPkFtYXJhc2luZ2hlLCBVLiBTLjwv
YXV0aG9yPjxhdXRob3I+QWJlcnksIE4uIFcuPC9hdXRob3I+PC9hdXRob3JzPjwvY29udHJpYnV0
b3JzPjxhdXRoLWFkZHJlc3M+RGVha2luIFVuaXYsIFNjaCBMaWZlICZhbXA7IEVudmlyb25tIFNj
aSwgR2VlbG9uZywgVmljIDMyMTcsIEF1c3RyYWxpYSYjeEQ7RGVha2luIFVuaXYsIFNjaCBMaWZl
ICZhbXA7IEVudmlyb25tIFNjaSwgV2Fycm5hbWJvb2wsIFZpYyAzMjgwLCBBdXN0cmFsaWEmI3hE
O1VuaXYgS2VsYW5peWEsIERlcHQgWm9vbCwgS2VsYW5peWEsIFNyaSBMYW5rYSYjeEQ7RmlzaGVy
aWVzIFZpY3RvcmlhLCBEZXB0IFByaW1hcnkgSW5kLCBTbm9icyBDcmVlaywgVmljLCBBdXN0cmFs
aWE8L2F1dGgtYWRkcmVzcz48dGl0bGVzPjx0aXRsZT5BbGllbiBTcGVjaWVzIGluIEFxdWFjdWx0
dXJlIGFuZCBCaW9kaXZlcnNpdHk6IEEgUGFyYWRveCBpbiBGb29kIFByb2R1Y3Rpb248L3RpdGxl
PjxzZWNvbmRhcnktdGl0bGU+QW1iaW88L3NlY29uZGFyeS10aXRsZT48YWx0LXRpdGxlPkFtYmlv
PC9hbHQtdGl0bGU+PC90aXRsZXM+PHBlcmlvZGljYWw+PGZ1bGwtdGl0bGU+QW1iaW88L2Z1bGwt
dGl0bGU+PGFiYnItMT5BbWJpbzwvYWJici0xPjwvcGVyaW9kaWNhbD48YWx0LXBlcmlvZGljYWw+
PGZ1bGwtdGl0bGU+QW1iaW88L2Z1bGwtdGl0bGU+PGFiYnItMT5BbWJpbzwvYWJici0xPjwvYWx0
LXBlcmlvZGljYWw+PHBhZ2VzPjI0LTI4PC9wYWdlcz48dm9sdW1lPjM4PC92b2x1bWU+PG51bWJl
cj4xPC9udW1iZXI+PGtleXdvcmRzPjxrZXl3b3JkPmNsYXJpYXMtbWFjcm9jZXBoYWx1czwva2V5
d29yZD48a2V5d29yZD5jcmF5ZmlzaCBwbGFndWU8L2tleXdvcmQ+PGtleXdvcmQ+ZmlzaGVyaWVz
PC9rZXl3b3JkPjxrZXl3b3JkPnNhbG1vbmlkczwva2V5d29yZD48a2V5d29yZD5pbXBhY3RzPC9r
ZXl3b3JkPjxrZXl3b3JkPnRyb3V0PC9rZXl3b3JkPjxrZXl3b3JkPnBvcHVsYXRpb25zPC9rZXl3
b3JkPjxrZXl3b3JkPmdhcmllcGludXM8L2tleXdvcmQ+PGtleXdvcmQ+ZGl2ZXJzaXR5PC9rZXl3
b3JkPjxrZXl3b3JkPmhhdGNoZXJ5PC9rZXl3b3JkPjwva2V5d29yZHM+PGRhdGVzPjx5ZWFyPjIw
MDk8L3llYXI+PHB1Yi1kYXRlcz48ZGF0ZT5GZWI8L2RhdGU+PC9wdWItZGF0ZXM+PC9kYXRlcz48
aXNibj4wMDQ0LTc0NDc8L2lzYm4+PGFjY2Vzc2lvbi1udW0+V09TOjAwMDI2MzA4MzUwMDAwNTwv
YWNjZXNzaW9uLW51bT48dXJscz48cmVsYXRlZC11cmxzPjx1cmw+Jmx0O0dvIHRvIElTSSZndDs6
Ly9XT1M6MDAwMjYzMDgzNTAwMDA1PC91cmw+PC9yZWxhdGVkLXVybHM+PC91cmxzPjxsYW5ndWFn
ZT5FbmdsaXNoPC9sYW5ndWFnZT48L3JlY29yZD48L0NpdGU+PC9FbmROb3RlPgB=
</w:fldData>
        </w:fldChar>
      </w:r>
      <w:r w:rsidR="003D408C" w:rsidRPr="00A9434B">
        <w:instrText xml:space="preserve"> ADDIN EN.CITE </w:instrText>
      </w:r>
      <w:r w:rsidR="003D408C" w:rsidRPr="00A9434B">
        <w:fldChar w:fldCharType="begin">
          <w:fldData xml:space="preserve">PEVuZE5vdGU+PENpdGU+PEF1dGhvcj5EZSBTaWx2YTwvQXV0aG9yPjxZZWFyPjIwMDQ8L1llYXI+
PFJlY051bT4xMjI8L1JlY051bT48RGlzcGxheVRleHQ+KERlIFNpbHZhIDIwMDQsIERlIFNpbHZh
LCBOZ3V5ZW4gZXQgYWwuIDIwMDkpPC9EaXNwbGF5VGV4dD48cmVjb3JkPjxyZWMtbnVtYmVyPjEy
MjwvcmVjLW51bWJlcj48Zm9yZWlnbi1rZXlzPjxrZXkgYXBwPSJFTiIgZGItaWQ9IjJmcHMycnB3
Y3B0d2F4ZWR6OW9wcnp2bWF3ZnhlZjlwZnBhMiIgdGltZXN0YW1wPSIxNjIxNTE1NDkyIj4xMjI8
L2tleT48L2ZvcmVpZ24ta2V5cz48cmVmLXR5cGUgbmFtZT0iSm91cm5hbCBBcnRpY2xlIj4xNzwv
cmVmLXR5cGU+PGNvbnRyaWJ1dG9ycz48YXV0aG9ycz48YXV0aG9yPkRlIFNpbHZhLCBTZW5hIFM8
L2F1dGhvcj48L2F1dGhvcnM+PC9jb250cmlidXRvcnM+PHRpdGxlcz48dGl0bGU+VGlsYXBpYXMg
YXMgYWxpZW4gYXF1YXRpY3MgaW4gQXNpYSBhbmQgdGhlIFBhY2lmaWM6IGEgcmV2aWV3PC90aXRs
ZT48L3RpdGxlcz48ZGF0ZXM+PHllYXI+MjAwNDwveWVhcj48L2RhdGVzPjxpc2JuPjkyNTEwNTIy
NzE8L2lzYm4+PHVybHM+PC91cmxzPjwvcmVjb3JkPjwvQ2l0ZT48Q2l0ZT48QXV0aG9yPkRlIFNp
bHZhPC9BdXRob3I+PFllYXI+MjAwOTwvWWVhcj48UmVjTnVtPjExNDwvUmVjTnVtPjxyZWNvcmQ+
PHJlYy1udW1iZXI+MTE0PC9yZWMtbnVtYmVyPjxmb3JlaWduLWtleXM+PGtleSBhcHA9IkVOIiBk
Yi1pZD0iMmZwczJycHdjcHR3YXhlZHo5b3ByenZtYXdmeGVmOXBmcGEyIiB0aW1lc3RhbXA9IjE2
MjE0OTQ3MzQiPjExNDwva2V5PjwvZm9yZWlnbi1rZXlzPjxyZWYtdHlwZSBuYW1lPSJKb3VybmFs
IEFydGljbGUiPjE3PC9yZWYtdHlwZT48Y29udHJpYnV0b3JzPjxhdXRob3JzPjxhdXRob3I+RGUg
U2lsdmEsIFMuIFMuPC9hdXRob3I+PGF1dGhvcj5OZ3V5ZW4sIFQuIFQuIFQuPC9hdXRob3I+PGF1
dGhvcj5UdXJjaGluaSwgRy4gTS48L2F1dGhvcj48YXV0aG9yPkFtYXJhc2luZ2hlLCBVLiBTLjwv
YXV0aG9yPjxhdXRob3I+QWJlcnksIE4uIFcuPC9hdXRob3I+PC9hdXRob3JzPjwvY29udHJpYnV0
b3JzPjxhdXRoLWFkZHJlc3M+RGVha2luIFVuaXYsIFNjaCBMaWZlICZhbXA7IEVudmlyb25tIFNj
aSwgR2VlbG9uZywgVmljIDMyMTcsIEF1c3RyYWxpYSYjeEQ7RGVha2luIFVuaXYsIFNjaCBMaWZl
ICZhbXA7IEVudmlyb25tIFNjaSwgV2Fycm5hbWJvb2wsIFZpYyAzMjgwLCBBdXN0cmFsaWEmI3hE
O1VuaXYgS2VsYW5peWEsIERlcHQgWm9vbCwgS2VsYW5peWEsIFNyaSBMYW5rYSYjeEQ7RmlzaGVy
aWVzIFZpY3RvcmlhLCBEZXB0IFByaW1hcnkgSW5kLCBTbm9icyBDcmVlaywgVmljLCBBdXN0cmFs
aWE8L2F1dGgtYWRkcmVzcz48dGl0bGVzPjx0aXRsZT5BbGllbiBTcGVjaWVzIGluIEFxdWFjdWx0
dXJlIGFuZCBCaW9kaXZlcnNpdHk6IEEgUGFyYWRveCBpbiBGb29kIFByb2R1Y3Rpb248L3RpdGxl
PjxzZWNvbmRhcnktdGl0bGU+QW1iaW88L3NlY29uZGFyeS10aXRsZT48YWx0LXRpdGxlPkFtYmlv
PC9hbHQtdGl0bGU+PC90aXRsZXM+PHBlcmlvZGljYWw+PGZ1bGwtdGl0bGU+QW1iaW88L2Z1bGwt
dGl0bGU+PGFiYnItMT5BbWJpbzwvYWJici0xPjwvcGVyaW9kaWNhbD48YWx0LXBlcmlvZGljYWw+
PGZ1bGwtdGl0bGU+QW1iaW88L2Z1bGwtdGl0bGU+PGFiYnItMT5BbWJpbzwvYWJici0xPjwvYWx0
LXBlcmlvZGljYWw+PHBhZ2VzPjI0LTI4PC9wYWdlcz48dm9sdW1lPjM4PC92b2x1bWU+PG51bWJl
cj4xPC9udW1iZXI+PGtleXdvcmRzPjxrZXl3b3JkPmNsYXJpYXMtbWFjcm9jZXBoYWx1czwva2V5
d29yZD48a2V5d29yZD5jcmF5ZmlzaCBwbGFndWU8L2tleXdvcmQ+PGtleXdvcmQ+ZmlzaGVyaWVz
PC9rZXl3b3JkPjxrZXl3b3JkPnNhbG1vbmlkczwva2V5d29yZD48a2V5d29yZD5pbXBhY3RzPC9r
ZXl3b3JkPjxrZXl3b3JkPnRyb3V0PC9rZXl3b3JkPjxrZXl3b3JkPnBvcHVsYXRpb25zPC9rZXl3
b3JkPjxrZXl3b3JkPmdhcmllcGludXM8L2tleXdvcmQ+PGtleXdvcmQ+ZGl2ZXJzaXR5PC9rZXl3
b3JkPjxrZXl3b3JkPmhhdGNoZXJ5PC9rZXl3b3JkPjwva2V5d29yZHM+PGRhdGVzPjx5ZWFyPjIw
MDk8L3llYXI+PHB1Yi1kYXRlcz48ZGF0ZT5GZWI8L2RhdGU+PC9wdWItZGF0ZXM+PC9kYXRlcz48
aXNibj4wMDQ0LTc0NDc8L2lzYm4+PGFjY2Vzc2lvbi1udW0+V09TOjAwMDI2MzA4MzUwMDAwNTwv
YWNjZXNzaW9uLW51bT48dXJscz48cmVsYXRlZC11cmxzPjx1cmw+Jmx0O0dvIHRvIElTSSZndDs6
Ly9XT1M6MDAwMjYzMDgzNTAwMDA1PC91cmw+PC9yZWxhdGVkLXVybHM+PC91cmxzPjxsYW5ndWFn
ZT5FbmdsaXNoPC9sYW5ndWFnZT48L3JlY29yZD48L0NpdGU+PC9FbmROb3RlPgB=
</w:fldData>
        </w:fldChar>
      </w:r>
      <w:r w:rsidR="003D408C" w:rsidRPr="00A9434B">
        <w:instrText xml:space="preserve"> ADDIN EN.CITE.DATA </w:instrText>
      </w:r>
      <w:r w:rsidR="003D408C" w:rsidRPr="00A9434B">
        <w:fldChar w:fldCharType="end"/>
      </w:r>
      <w:r w:rsidR="003D408C" w:rsidRPr="00A9434B">
        <w:fldChar w:fldCharType="separate"/>
      </w:r>
      <w:r w:rsidR="003D408C" w:rsidRPr="00A9434B">
        <w:fldChar w:fldCharType="begin"/>
      </w:r>
      <w:r w:rsidR="0006613E">
        <w:instrText xml:space="preserve"> ADDIN ZOTERO_ITEM CSL_CITATION {"citationID":"a1d1ij9cbhv","properties":{"formattedCitation":"(De Silva et al., 2006, 2009)","plainCitation":"(De Silva et al., 2006, 2009)","noteIndex":0},"citationItems":[{"id":53776,"uris":["http://zotero.org/groups/2352922/items/F7UG6ZHU","http://zotero.org/groups/2352922/items/E8Z659SH"],"itemData":{"id":53776,"type":"article-journal","abstract":"Asia dominates global aquaculture production accounting for over 80% of the total and the mainstay in Asian aquaculture is </w:instrText>
      </w:r>
      <w:r w:rsidR="0006613E">
        <w:rPr>
          <w:rFonts w:hint="eastAsia"/>
        </w:rPr>
        <w:instrText>¢</w:instrText>
      </w:r>
      <w:r w:rsidR="0006613E">
        <w:instrText xml:space="preserve">n¢sh. Over the years, Asia has experienced a number of inter-continental and intra-continental transfers/introductions/translocation of ¢n¢sh species, between nations and watersheds, beyond their natural range of distribution, primarily for aquaculture development. In this article all such species are referred to as alien species. An attempt is made to evaluate the importance of the production of alien species in selected Asian nations, using statistics of the Food and Agriculture Organization. Also, negative e¡ects, if any, based on literature surveys, of alien species in relation to displacement of indigenous species, and on biodiversity and/or genetic diversity together with associated pathogen transfers are evaluated. The major alien species, based on their signi¢cance to Asian inland aquaculture considered, are the tilapias, cat¢sh, Chinese and Indian major carps and common carp. It is estimated that currently alien species account for nearly 12% of the cultured ¢n¢sh production (2.6 million tonnes) in Asia, valued at US$ 2.59 billion, and the contribution exceeds 40% when Asian countries excluding China are taken into consideration. Inland ¢n¢sh aquaculture in some Asian nations, such as Indonesia and the Philippines, is predominated by alien species, and in some others, e.g. Bangladesh and India, the contribution from alien species has been increasing steadily. It is suggested that overall alien ¢n¢sh species have done little ecological harm to native £ora and fauna. However, in the wake of increasing anthropogenic development taking place in watersheds the resulting environments are often made unconducive to indigenous species but not to some alien species, thereby potentially and indirectly making the latter invasive.","container-title":"Aquaculture Research","DOI":"10.1111/j.1365-2109.2005.01369.x","ISSN":"1355-557X, 1365-2109","issue":"1","journalAbbreviation":"Aquaculture Res","language":"en","page":"1-17","source":"DOI.org (Crossref)","title":"An evaluation of the role and impacts of alien finfish in Asian inland aquaculture","URL":"https://onlinelibrary.wiley.com/doi/10.1111/j.1365-2109.2005.01369.x","volume":"37","author":[{"family":"De Silva","given":"Sena S."},{"family":"Nguyen","given":"Thuy T. T."},{"family":"Abery","given":"Nigel W"},{"family":"Amarasinghe","given":"Upali S"}],"accessed":{"date-parts":[["2022",10,12]]},"issued":{"date-parts":[["2006",1]]}},"label":"page"},{"id":31158,"uris":["http://zotero.org/groups/2352922/items/NJJF9G4P"],"itemData":{"id":31158,"type":"article-journal","abstract":"The ﬁsheries sector in the course of the last three decades have been transformed from a developed country to a developing country dominance. Aquaculture, the farming of waters, though a millennia old tradition during this period has become a signiﬁcant contributor to food ﬁsh production, currently accounting for nearly 50 % of global food ﬁsh consumption; in effect transforming our dependence from a hunted to a farmed supply as for all our staple food types. Aquaculture and indeed the ﬁsheries sector as a whole is predominated in the developing countries, and accordingly the development strategies adopted by the sector are inﬂuenced by this. Aquaculture also being a newly emerged food production sector has being subjected to an increased level of public scrutiny, and one of the most contentious aspects has been its impacts on biodiversity. In this synthesis an attempt is made to assess the impacts of aquaculture on biodiversity. Instances of major impacts on biodiversity conservation arising from aquaculture, such as land use, efﬂuent discharge, effects on wild populations, alien species among others are highlighted and critically examined. The inﬂuence of paradigm changes in development strategies and modern day market forces have begun to impact on aquaculture developments. Consequently, improvements in practices and adoption of more environmentally friendly approaches that have a decreasing negative inﬂuence on biodiversity conservation are highlighted. An attempt is also made to demonstrate direct and or indirect beneﬁts of aquaculture, such as through being a substitute to meet human needs for food, particularly over-exploited and vulnerable ﬁsh stocks, and for other purposes (e.g. medicinal ingredients), on biodiversity conservation, often a neglected entity.","container-title":"AMBIO: A Journal of the Human Environment","DOI":"10.1579/0044-7447-38.1.24","ISSN":"0044-7447","issue":"1","journalAbbreviation":"AMBIO: A Journal of the Human Environment","language":"en","page":"24-28","source":"DOI.org (Crossref)","title":"Alien Species in Aquaculture and Biodiversity: A Paradox in Food Production","title-short":"Alien Species in Aquaculture and Biodiversity","URL":"http://www.bioone.org/doi/abs/10.1579/0044-7447-38.1.24","volume":"38","author":[{"family":"De Silva","given":"Sena S."},{"family":"Nguyen","given":"Thuy T. T."},{"family":"Turchini","given":"Giovanni M."},{"family":"Amarasinghe","given":"Upali S."},{"family":"Abery","given":"Nigel W."}],"accessed":{"date-parts":[["2021",10,31]]},"issued":{"date-parts":[["2009",2]]}}}],"schema":"https://github.com/citation-style-language/schema/raw/master/csl-citation.json"} </w:instrText>
      </w:r>
      <w:r w:rsidR="003D408C" w:rsidRPr="00A9434B">
        <w:fldChar w:fldCharType="separate"/>
      </w:r>
      <w:r w:rsidR="00017441" w:rsidRPr="00017441">
        <w:t>(De Silva et al., 2006, 2009)</w:t>
      </w:r>
      <w:r w:rsidR="003D408C" w:rsidRPr="00A9434B">
        <w:fldChar w:fldCharType="end"/>
      </w:r>
      <w:r w:rsidR="003D408C" w:rsidRPr="00A9434B">
        <w:fldChar w:fldCharType="end"/>
      </w:r>
      <w:r w:rsidR="003D408C" w:rsidRPr="00A9434B">
        <w:t>.</w:t>
      </w:r>
      <w:r w:rsidR="007419F9" w:rsidRPr="00A9434B">
        <w:rPr>
          <w:highlight w:val="yellow"/>
        </w:rPr>
        <w:fldChar w:fldCharType="end"/>
      </w:r>
      <w:r w:rsidR="00DF1AF7" w:rsidRPr="00A9434B">
        <w:t xml:space="preserve"> </w:t>
      </w:r>
      <w:r w:rsidRPr="00A9434B">
        <w:t>S</w:t>
      </w:r>
      <w:r w:rsidR="00DF1AF7" w:rsidRPr="00A9434B">
        <w:t>imilar contrasting trends have been reported in aquaculture</w:t>
      </w:r>
      <w:r w:rsidRPr="00A9434B">
        <w:t xml:space="preserve"> in Europe</w:t>
      </w:r>
      <w:r w:rsidR="00DF1AF7" w:rsidRPr="00A9434B">
        <w:t xml:space="preserve"> </w:t>
      </w:r>
      <w:r w:rsidR="007419F9" w:rsidRPr="00A9434B">
        <w:fldChar w:fldCharType="begin"/>
      </w:r>
      <w:r w:rsidR="007419F9" w:rsidRPr="00A9434B">
        <w:instrText xml:space="preserve"> ADDIN EN.CITE &lt;EndNote&gt;&lt;Cite&gt;&lt;Author&gt;Turchini&lt;/Author&gt;&lt;Year&gt;2008&lt;/Year&gt;&lt;RecNum&gt;120&lt;/RecNum&gt;&lt;DisplayText&gt;(Turchini and De Silva 2008)&lt;/DisplayText&gt;&lt;record&gt;&lt;rec-number&gt;120&lt;/rec-number&gt;&lt;foreign-keys&gt;&lt;key app="EN" db-id="2fps2rpwcptwaxedz9oprzvmawfxef9pfpa2" timestamp="1621497992"&gt;120&lt;/key&gt;&lt;/foreign-keys&gt;&lt;ref-type name="Journal Article"&gt;17&lt;/ref-type&gt;&lt;contributors&gt;&lt;authors&gt;&lt;author&gt;Turchini, G. M.&lt;/author&gt;&lt;author&gt;De Silva, S. S.&lt;/author&gt;&lt;/authors&gt;&lt;/contributors&gt;&lt;auth-address&gt;Deakin Univ, Sch Life &amp;amp; Environm Sci, Warranbool, Vic 3280, Australia&amp;#xD;Network Aquaculture Ctr Asia Pacific, Bangkok 10903, Thailand&lt;/auth-address&gt;&lt;titles&gt;&lt;title&gt;Bio-economical and ethical impacts of alien finfish culture in European inland waters&lt;/title&gt;&lt;secondary-title&gt;Aquaculture International&lt;/secondary-title&gt;&lt;alt-title&gt;Aquacult Int&lt;/alt-title&gt;&lt;/titles&gt;&lt;periodical&gt;&lt;full-title&gt;Aquaculture International&lt;/full-title&gt;&lt;abbr-1&gt;Aquacult Int&lt;/abbr-1&gt;&lt;/periodical&gt;&lt;alt-periodical&gt;&lt;full-title&gt;Aquaculture International&lt;/full-title&gt;&lt;abbr-1&gt;Aquacult Int&lt;/abbr-1&gt;&lt;/alt-periodical&gt;&lt;pages&gt;243-272&lt;/pages&gt;&lt;volume&gt;16&lt;/volume&gt;&lt;number&gt;3&lt;/number&gt;&lt;keywords&gt;&lt;keyword&gt;alien species&lt;/keyword&gt;&lt;keyword&gt;biodiversity&lt;/keyword&gt;&lt;keyword&gt;ethical quality&lt;/keyword&gt;&lt;keyword&gt;european aquaculture&lt;/keyword&gt;&lt;keyword&gt;organic aquaculture&lt;/keyword&gt;&lt;keyword&gt;sustainability&lt;/keyword&gt;&lt;keyword&gt;food quality&lt;/keyword&gt;&lt;keyword&gt;aquaculture&lt;/keyword&gt;&lt;keyword&gt;issues&lt;/keyword&gt;&lt;keyword&gt;fish&lt;/keyword&gt;&lt;keyword&gt;perception&lt;/keyword&gt;&lt;keyword&gt;fisheries&lt;/keyword&gt;&lt;keyword&gt;consumers&lt;/keyword&gt;&lt;keyword&gt;safety&lt;/keyword&gt;&lt;keyword&gt;trout&lt;/keyword&gt;&lt;/keywords&gt;&lt;dates&gt;&lt;year&gt;2008&lt;/year&gt;&lt;pub-dates&gt;&lt;date&gt;Jun&lt;/date&gt;&lt;/pub-dates&gt;&lt;/dates&gt;&lt;isbn&gt;0967-6120&lt;/isbn&gt;&lt;accession-num&gt;WOS:000256024300005&lt;/accession-num&gt;&lt;urls&gt;&lt;related-urls&gt;&lt;url&gt;&amp;lt;Go to ISI&amp;gt;://WOS:000256024300005&lt;/url&gt;&lt;/related-urls&gt;&lt;/urls&gt;&lt;electronic-resource-num&gt;10.1007/s10499-007-9141-y&lt;/electronic-resource-num&gt;&lt;language&gt;English&lt;/language&gt;&lt;/record&gt;&lt;/Cite&gt;&lt;/EndNote&gt;</w:instrText>
      </w:r>
      <w:r w:rsidR="007419F9" w:rsidRPr="00A9434B">
        <w:fldChar w:fldCharType="separate"/>
      </w:r>
      <w:r w:rsidR="00A605E4" w:rsidRPr="00A9434B">
        <w:fldChar w:fldCharType="begin"/>
      </w:r>
      <w:r w:rsidR="0006613E">
        <w:instrText xml:space="preserve"> ADDIN ZOTERO_ITEM CSL_CITATION {"citationID":"a1qth44r0sa","properties":{"formattedCitation":"(Turchini &amp; De Silva, 2008)","plainCitation":"(Turchini &amp; De Silva, 2008)","noteIndex":0},"citationItems":[{"id":53424,"uris":["http://zotero.org/groups/2352922/items/S38NLMVN","http://zotero.org/groups/2352922/items/58LNEES7"],"itemData":{"id":53424,"type":"article-journal","container-title":"Aquaculture International","DOI":"10.1007/s10499-007-9141-y","ISSN":"0967-6120","issue":"3","journalAbbreviation":"Aquacult Int","language":"English","page":"243-272","title":"Bio-economical and ethical impacts of alien finfish culture in European inland waters","volume":"16","author":[{"family":"Turchini","given":"G. M."},{"family":"De Silva","given":"S. S."}],"issued":{"date-parts":[["2008",6]]}},"label":"page"}],"schema":"https://github.com/citation-style-language/schema/raw/master/csl-citation.json"} </w:instrText>
      </w:r>
      <w:r w:rsidR="00A605E4" w:rsidRPr="00A9434B">
        <w:fldChar w:fldCharType="separate"/>
      </w:r>
      <w:r w:rsidR="00C71E80" w:rsidRPr="00A9434B">
        <w:t>(Turchini &amp; De Silva, 2008)</w:t>
      </w:r>
      <w:r w:rsidR="00A605E4" w:rsidRPr="00A9434B">
        <w:fldChar w:fldCharType="end"/>
      </w:r>
      <w:r w:rsidR="007419F9" w:rsidRPr="00A9434B">
        <w:fldChar w:fldCharType="end"/>
      </w:r>
      <w:r w:rsidR="007419F9" w:rsidRPr="00A9434B">
        <w:t>.</w:t>
      </w:r>
    </w:p>
    <w:p w14:paraId="0AF125C9" w14:textId="2E420554" w:rsidR="00017C04" w:rsidRDefault="00F50AF9">
      <w:bookmarkStart w:id="257" w:name="_heading=h.34g0dwd" w:colFirst="0" w:colLast="0"/>
      <w:bookmarkStart w:id="258" w:name="_heading=h.1jlao46" w:colFirst="0" w:colLast="0"/>
      <w:bookmarkStart w:id="259" w:name="_heading=h.43ky6rz" w:colFirst="0" w:colLast="0"/>
      <w:bookmarkEnd w:id="257"/>
      <w:bookmarkEnd w:id="258"/>
      <w:bookmarkEnd w:id="259"/>
      <w:r>
        <w:t xml:space="preserve">In the case of silviculture, options for the replacement of invasive alien with native species seem limited in commercial forestry with the most productive forestry species being alien </w:t>
      </w:r>
      <w:r w:rsidR="007419F9" w:rsidRPr="00A9434B">
        <w:fldChar w:fldCharType="begin">
          <w:fldData xml:space="preserve">PEVuZE5vdGU+PENpdGU+PEF1dGhvcj5SaWNoYXJkc29uPC9BdXRob3I+PFllYXI+MTk5ODwvWWVh
cj48UmVjTnVtPjE1MjwvUmVjTnVtPjxEaXNwbGF5VGV4dD4oUmljaGFyZHNvbiAxOTk4LCBSaWNo
YXJkc29uIDE5OTgpPC9EaXNwbGF5VGV4dD48cmVjb3JkPjxyZWMtbnVtYmVyPjE1MjwvcmVjLW51
bWJlcj48Zm9yZWlnbi1rZXlzPjxrZXkgYXBwPSJFTiIgZGItaWQ9IjJmcHMycnB3Y3B0d2F4ZWR6
OW9wcnp2bWF3ZnhlZjlwZnBhMiIgdGltZXN0YW1wPSIxNjIxNTg2MTU3Ij4xNTI8L2tleT48L2Zv
cmVpZ24ta2V5cz48cmVmLXR5cGUgbmFtZT0iSm91cm5hbCBBcnRpY2xlIj4xNzwvcmVmLXR5cGU+
PGNvbnRyaWJ1dG9ycz48YXV0aG9ycz48YXV0aG9yPlJpY2hhcmRzb24sIERNPC9hdXRob3I+PC9h
dXRob3JzPjwvY29udHJpYnV0b3JzPjx0aXRsZXM+PHRpdGxlPlBpbmUgYXMgaW52YWRlcnMgaW4g
dGhlIHNvdXRoZXJuIGhlbWlzcGhlcmU8L3RpdGxlPjxzZWNvbmRhcnktdGl0bGU+RWNvbG9neSBh
bmQgYmlvZ2VvZ3JhcGh5IG9mIFBpbnVzPC9zZWNvbmRhcnktdGl0bGU+PC90aXRsZXM+PHBlcmlv
ZGljYWw+PGZ1bGwtdGl0bGU+RWNvbG9neSBhbmQgYmlvZ2VvZ3JhcGh5IG9mIFBpbnVzPC9mdWxs
LXRpdGxlPjwvcGVyaW9kaWNhbD48ZGF0ZXM+PHllYXI+MTk5ODwveWVhcj48L2RhdGVzPjx1cmxz
PjwvdXJscz48L3JlY29yZD48L0NpdGU+PENpdGU+PEF1dGhvcj5SaWNoYXJkc29uPC9BdXRob3I+
PFllYXI+MTk5ODwvWWVhcj48UmVjTnVtPjE1MTwvUmVjTnVtPjxyZWNvcmQ+PHJlYy1udW1iZXI+
MTUxPC9yZWMtbnVtYmVyPjxmb3JlaWduLWtleXM+PGtleSBhcHA9IkVOIiBkYi1pZD0iMmZwczJy
cHdjcHR3YXhlZHo5b3ByenZtYXdmeGVmOXBmcGEyIiB0aW1lc3RhbXA9IjE2MjE1ODYwNjAiPjE1
MTwva2V5PjwvZm9yZWlnbi1rZXlzPjxyZWYtdHlwZSBuYW1lPSJKb3VybmFsIEFydGljbGUiPjE3
PC9yZWYtdHlwZT48Y29udHJpYnV0b3JzPjxhdXRob3JzPjxhdXRob3I+UmljaGFyZHNvbiwgRC4g
TS48L2F1dGhvcj48L2F1dGhvcnM+PC9jb250cmlidXRvcnM+PGF1dGgtYWRkcmVzcz5Vbml2IENh
cGUgVG93biwgRGVwdCBCb3QsIEluc3QgUGxhbnQgQ29uc2VydmF0LCBaQS03NzAxIFJvbmRlYm9z
Y2gsIFNvdXRoIEFmcmljYTwvYXV0aC1hZGRyZXNzPjx0aXRsZXM+PHRpdGxlPkZvcmVzdHJ5IHRy
ZWVzIGFzIGludmFzaXZlIGFsaWVuczwvdGl0bGU+PHNlY29uZGFyeS10aXRsZT5Db25zZXJ2YXRp
b24gQmlvbG9neTwvc2Vjb25kYXJ5LXRpdGxlPjxhbHQtdGl0bGU+Q29uc2VydiBCaW9sPC9hbHQt
dGl0bGU+PC90aXRsZXM+PHBlcmlvZGljYWw+PGZ1bGwtdGl0bGU+Q29uc2VydmF0aW9uIEJpb2xv
Z3k8L2Z1bGwtdGl0bGU+PGFiYnItMT5Db25zZXJ2IEJpb2w8L2FiYnItMT48L3BlcmlvZGljYWw+
PGFsdC1wZXJpb2RpY2FsPjxmdWxsLXRpdGxlPkNvbnNlcnZhdGlvbiBCaW9sb2d5PC9mdWxsLXRp
dGxlPjxhYmJyLTE+Q29uc2VydiBCaW9sPC9hYmJyLTE+PC9hbHQtcGVyaW9kaWNhbD48cGFnZXM+
MTgtMjY8L3BhZ2VzPjx2b2x1bWU+MTI8L3ZvbHVtZT48bnVtYmVyPjE8L251bWJlcj48a2V5d29y
ZHM+PGtleXdvcmQ+d2VzdGVybi1jYXBlPC9rZXl3b3JkPjxrZXl3b3JkPnNvdXRoLWFmcmljYTwv
a2V5d29yZD48a2V5d29yZD5wbGFudHM8L2tleXdvcmQ+PGtleXdvcmQ+cHJvc29waXM8L2tleXdv
cmQ+PGtleXdvcmQ+ZnluYm9zPC9rZXl3b3JkPjwva2V5d29yZHM+PGRhdGVzPjx5ZWFyPjE5OTg8
L3llYXI+PHB1Yi1kYXRlcz48ZGF0ZT5GZWI8L2RhdGU+PC9wdWItZGF0ZXM+PC9kYXRlcz48aXNi
bj4wODg4LTg4OTI8L2lzYm4+PGFjY2Vzc2lvbi1udW0+V09TOjAwMDA3MjA5NDMwMDAwNDwvYWNj
ZXNzaW9uLW51bT48dXJscz48cmVsYXRlZC11cmxzPjx1cmw+Jmx0O0dvIHRvIElTSSZndDs6Ly9X
T1M6MDAwMDcyMDk0MzAwMDA0PC91cmw+PC9yZWxhdGVkLXVybHM+PC91cmxzPjxlbGVjdHJvbmlj
LXJlc291cmNlLW51bT5ET0kgMTAuMTA0Ni9qLjE1MjMtMTczOS4xOTk4Ljk2MzkyLng8L2VsZWN0
cm9uaWMtcmVzb3VyY2UtbnVtPjxsYW5ndWFnZT5FbmdsaXNoPC9sYW5ndWFnZT48L3JlY29yZD48
L0NpdGU+PC9FbmROb3RlPgB=
</w:fldData>
        </w:fldChar>
      </w:r>
      <w:r w:rsidR="007419F9" w:rsidRPr="00A9434B">
        <w:instrText xml:space="preserve"> ADDIN EN.CITE </w:instrText>
      </w:r>
      <w:r w:rsidR="007419F9" w:rsidRPr="00A9434B">
        <w:fldChar w:fldCharType="begin">
          <w:fldData xml:space="preserve">PEVuZE5vdGU+PENpdGU+PEF1dGhvcj5SaWNoYXJkc29uPC9BdXRob3I+PFllYXI+MTk5ODwvWWVh
cj48UmVjTnVtPjE1MjwvUmVjTnVtPjxEaXNwbGF5VGV4dD4oUmljaGFyZHNvbiAxOTk4LCBSaWNo
YXJkc29uIDE5OTgpPC9EaXNwbGF5VGV4dD48cmVjb3JkPjxyZWMtbnVtYmVyPjE1MjwvcmVjLW51
bWJlcj48Zm9yZWlnbi1rZXlzPjxrZXkgYXBwPSJFTiIgZGItaWQ9IjJmcHMycnB3Y3B0d2F4ZWR6
OW9wcnp2bWF3ZnhlZjlwZnBhMiIgdGltZXN0YW1wPSIxNjIxNTg2MTU3Ij4xNTI8L2tleT48L2Zv
cmVpZ24ta2V5cz48cmVmLXR5cGUgbmFtZT0iSm91cm5hbCBBcnRpY2xlIj4xNzwvcmVmLXR5cGU+
PGNvbnRyaWJ1dG9ycz48YXV0aG9ycz48YXV0aG9yPlJpY2hhcmRzb24sIERNPC9hdXRob3I+PC9h
dXRob3JzPjwvY29udHJpYnV0b3JzPjx0aXRsZXM+PHRpdGxlPlBpbmUgYXMgaW52YWRlcnMgaW4g
dGhlIHNvdXRoZXJuIGhlbWlzcGhlcmU8L3RpdGxlPjxzZWNvbmRhcnktdGl0bGU+RWNvbG9neSBh
bmQgYmlvZ2VvZ3JhcGh5IG9mIFBpbnVzPC9zZWNvbmRhcnktdGl0bGU+PC90aXRsZXM+PHBlcmlv
ZGljYWw+PGZ1bGwtdGl0bGU+RWNvbG9neSBhbmQgYmlvZ2VvZ3JhcGh5IG9mIFBpbnVzPC9mdWxs
LXRpdGxlPjwvcGVyaW9kaWNhbD48ZGF0ZXM+PHllYXI+MTk5ODwveWVhcj48L2RhdGVzPjx1cmxz
PjwvdXJscz48L3JlY29yZD48L0NpdGU+PENpdGU+PEF1dGhvcj5SaWNoYXJkc29uPC9BdXRob3I+
PFllYXI+MTk5ODwvWWVhcj48UmVjTnVtPjE1MTwvUmVjTnVtPjxyZWNvcmQ+PHJlYy1udW1iZXI+
MTUxPC9yZWMtbnVtYmVyPjxmb3JlaWduLWtleXM+PGtleSBhcHA9IkVOIiBkYi1pZD0iMmZwczJy
cHdjcHR3YXhlZHo5b3ByenZtYXdmeGVmOXBmcGEyIiB0aW1lc3RhbXA9IjE2MjE1ODYwNjAiPjE1
MTwva2V5PjwvZm9yZWlnbi1rZXlzPjxyZWYtdHlwZSBuYW1lPSJKb3VybmFsIEFydGljbGUiPjE3
PC9yZWYtdHlwZT48Y29udHJpYnV0b3JzPjxhdXRob3JzPjxhdXRob3I+UmljaGFyZHNvbiwgRC4g
TS48L2F1dGhvcj48L2F1dGhvcnM+PC9jb250cmlidXRvcnM+PGF1dGgtYWRkcmVzcz5Vbml2IENh
cGUgVG93biwgRGVwdCBCb3QsIEluc3QgUGxhbnQgQ29uc2VydmF0LCBaQS03NzAxIFJvbmRlYm9z
Y2gsIFNvdXRoIEFmcmljYTwvYXV0aC1hZGRyZXNzPjx0aXRsZXM+PHRpdGxlPkZvcmVzdHJ5IHRy
ZWVzIGFzIGludmFzaXZlIGFsaWVuczwvdGl0bGU+PHNlY29uZGFyeS10aXRsZT5Db25zZXJ2YXRp
b24gQmlvbG9neTwvc2Vjb25kYXJ5LXRpdGxlPjxhbHQtdGl0bGU+Q29uc2VydiBCaW9sPC9hbHQt
dGl0bGU+PC90aXRsZXM+PHBlcmlvZGljYWw+PGZ1bGwtdGl0bGU+Q29uc2VydmF0aW9uIEJpb2xv
Z3k8L2Z1bGwtdGl0bGU+PGFiYnItMT5Db25zZXJ2IEJpb2w8L2FiYnItMT48L3BlcmlvZGljYWw+
PGFsdC1wZXJpb2RpY2FsPjxmdWxsLXRpdGxlPkNvbnNlcnZhdGlvbiBCaW9sb2d5PC9mdWxsLXRp
dGxlPjxhYmJyLTE+Q29uc2VydiBCaW9sPC9hYmJyLTE+PC9hbHQtcGVyaW9kaWNhbD48cGFnZXM+
MTgtMjY8L3BhZ2VzPjx2b2x1bWU+MTI8L3ZvbHVtZT48bnVtYmVyPjE8L251bWJlcj48a2V5d29y
ZHM+PGtleXdvcmQ+d2VzdGVybi1jYXBlPC9rZXl3b3JkPjxrZXl3b3JkPnNvdXRoLWFmcmljYTwv
a2V5d29yZD48a2V5d29yZD5wbGFudHM8L2tleXdvcmQ+PGtleXdvcmQ+cHJvc29waXM8L2tleXdv
cmQ+PGtleXdvcmQ+ZnluYm9zPC9rZXl3b3JkPjwva2V5d29yZHM+PGRhdGVzPjx5ZWFyPjE5OTg8
L3llYXI+PHB1Yi1kYXRlcz48ZGF0ZT5GZWI8L2RhdGU+PC9wdWItZGF0ZXM+PC9kYXRlcz48aXNi
bj4wODg4LTg4OTI8L2lzYm4+PGFjY2Vzc2lvbi1udW0+V09TOjAwMDA3MjA5NDMwMDAwNDwvYWNj
ZXNzaW9uLW51bT48dXJscz48cmVsYXRlZC11cmxzPjx1cmw+Jmx0O0dvIHRvIElTSSZndDs6Ly9X
T1M6MDAwMDcyMDk0MzAwMDA0PC91cmw+PC9yZWxhdGVkLXVybHM+PC91cmxzPjxlbGVjdHJvbmlj
LXJlc291cmNlLW51bT5ET0kgMTAuMTA0Ni9qLjE1MjMtMTczOS4xOTk4Ljk2MzkyLng8L2VsZWN0
cm9uaWMtcmVzb3VyY2UtbnVtPjxsYW5ndWFnZT5FbmdsaXNoPC9sYW5ndWFnZT48L3JlY29yZD48
L0NpdGU+PC9FbmROb3RlPgB=
</w:fldData>
        </w:fldChar>
      </w:r>
      <w:r w:rsidR="007419F9" w:rsidRPr="00A9434B">
        <w:instrText xml:space="preserve"> ADDIN EN.CITE.DATA </w:instrText>
      </w:r>
      <w:r w:rsidR="007419F9" w:rsidRPr="00A9434B">
        <w:fldChar w:fldCharType="end"/>
      </w:r>
      <w:r w:rsidR="007419F9" w:rsidRPr="00A9434B">
        <w:fldChar w:fldCharType="separate"/>
      </w:r>
      <w:r w:rsidR="00105057" w:rsidRPr="00A9434B">
        <w:fldChar w:fldCharType="begin"/>
      </w:r>
      <w:r w:rsidR="0006613E">
        <w:instrText xml:space="preserve"> ADDIN ZOTERO_ITEM CSL_CITATION {"citationID":"a2kh6c92e0r","properties":{"formattedCitation":"(D. M. Richardson, 1998; D. M. Richardson &amp; Higgins, 1998)","plainCitation":"(D. M. Richardson, 1998; D. M. Richardson &amp; Higgins, 1998)","noteIndex":0},"citationItems":[{"id":56605,"uris":["http://zotero.org/groups/2352922/items/TDHVB5KG","http://zotero.org/groups/2352922/items/XKNMZCCZ"],"itemData":{"id":56605,"type":"article-journal","container-title":"Conservation Biology","DOI":"10.1046/j.1523-1739.1998.96392.x","ISSN":"0888-8892, 1523-1739","issue":"1","journalAbbreviation":"Conservation Biology","language":"en","page":"18-26","source":"DOI.org (Crossref)","title":"Forestry Trees as Invasive Aliens","URL":"https://www.jstor.org/stable/2387458","volume":"12","author":[{"family":"Richardson","given":"David M."}],"accessed":{"date-parts":[["2023",6,8]]},"issued":{"date-parts":[["1998",2,11]]}},"label":"page"},{"id":25718,"uris":["http://zotero.org/groups/2352922/items/W28YLSPB"],"itemData":{"id":25718,"type":"chapter","call-number":"QK494.5.P66 E27 1998","container-title":"Ecology and biogeography of Pinus","event-place":"Cambridge ; New York, NY, USA","ISBN":"978-0-521-55176-2","publisher":"Cambridge University Press","publisher-place":"Cambridge ; New York, NY, USA","source":"Library of Congress ISBN","title":"Pines as invaders in the southern hemisphere","author":[{"family":"Richardson","given":"David M."},{"family":"Higgins","given":"S. I."}],"editor":[{"family":"Richardson","given":"D.M."},{"family":"Higgins","given":"S. I."}],"issued":{"date-parts":[["1998"]]}},"label":"page"}],"schema":"https://github.com/citation-style-language/schema/raw/master/csl-citation.json"} </w:instrText>
      </w:r>
      <w:r w:rsidR="00105057" w:rsidRPr="00A9434B">
        <w:fldChar w:fldCharType="separate"/>
      </w:r>
      <w:r w:rsidR="009020A3" w:rsidRPr="009020A3">
        <w:t>(D. M. Richardson, 1998; D. M. Richardson &amp; Higgins, 1998)</w:t>
      </w:r>
      <w:r w:rsidR="00105057" w:rsidRPr="00A9434B">
        <w:fldChar w:fldCharType="end"/>
      </w:r>
      <w:r w:rsidR="007419F9" w:rsidRPr="00A9434B">
        <w:fldChar w:fldCharType="end"/>
      </w:r>
      <w:r w:rsidR="00DF1AF7" w:rsidRPr="00A9434B">
        <w:t>.</w:t>
      </w:r>
      <w:r>
        <w:t xml:space="preserve"> In the Galapagos, where other invasive alien species (</w:t>
      </w:r>
      <w:r>
        <w:rPr>
          <w:i/>
        </w:rPr>
        <w:t>Centrolobium paraense</w:t>
      </w:r>
      <w:r>
        <w:t xml:space="preserve">, </w:t>
      </w:r>
      <w:r>
        <w:rPr>
          <w:i/>
        </w:rPr>
        <w:t xml:space="preserve">Juglans neotropica </w:t>
      </w:r>
      <w:r>
        <w:t xml:space="preserve">(andean walnut), </w:t>
      </w:r>
      <w:r>
        <w:rPr>
          <w:i/>
        </w:rPr>
        <w:t xml:space="preserve">Swietenia macrophylla </w:t>
      </w:r>
      <w:r>
        <w:t>(</w:t>
      </w:r>
      <w:r w:rsidRPr="00B301D7">
        <w:rPr>
          <w:rStyle w:val="vernacular"/>
          <w:shd w:val="clear" w:color="auto" w:fill="FFFFFF"/>
        </w:rPr>
        <w:t>big leaved mahogany</w:t>
      </w:r>
      <w:r>
        <w:t>)</w:t>
      </w:r>
      <w:r w:rsidR="005D0083">
        <w:t xml:space="preserve"> and</w:t>
      </w:r>
      <w:r>
        <w:t xml:space="preserve"> </w:t>
      </w:r>
      <w:r>
        <w:rPr>
          <w:i/>
        </w:rPr>
        <w:t xml:space="preserve">Tectona grandis </w:t>
      </w:r>
      <w:r>
        <w:t>(teak)) are established, conservation authorities are encouraging the replacement of invasive alien timber species with non-invasive alien timber species (</w:t>
      </w:r>
      <w:r>
        <w:rPr>
          <w:i/>
        </w:rPr>
        <w:t>Cedrela odorata</w:t>
      </w:r>
      <w:r>
        <w:t xml:space="preserve"> (Spanish cedar) and </w:t>
      </w:r>
      <w:r>
        <w:rPr>
          <w:i/>
        </w:rPr>
        <w:t xml:space="preserve">Cordia alliodora </w:t>
      </w:r>
      <w:r>
        <w:t>(Ecuador laurel)) and horticultural species (</w:t>
      </w:r>
      <w:r>
        <w:rPr>
          <w:i/>
        </w:rPr>
        <w:t xml:space="preserve">Psidium guajava </w:t>
      </w:r>
      <w:r>
        <w:t>(guava),</w:t>
      </w:r>
      <w:r>
        <w:rPr>
          <w:i/>
        </w:rPr>
        <w:t xml:space="preserve"> Cinchona pubescens </w:t>
      </w:r>
      <w:r>
        <w:t xml:space="preserve">(quinine tree); </w:t>
      </w:r>
      <w:r w:rsidR="007419F9" w:rsidRPr="00A9434B">
        <w:fldChar w:fldCharType="begin"/>
      </w:r>
      <w:r w:rsidR="007419F9" w:rsidRPr="00A9434B">
        <w:instrText xml:space="preserve"> ADDIN EN.CITE &lt;EndNote&gt;&lt;Cite&gt;&lt;Author&gt;Richardson&lt;/Author&gt;&lt;Year&gt;1998&lt;/Year&gt;&lt;RecNum&gt;151&lt;/RecNum&gt;&lt;DisplayText&gt;(Richardson 1998)&lt;/DisplayText&gt;&lt;record&gt;&lt;rec-number&gt;151&lt;/rec-number&gt;&lt;foreign-keys&gt;&lt;key app="EN" db-id="2fps2rpwcptwaxedz9oprzvmawfxef9pfpa2" timestamp="1621586060"&gt;151&lt;/key&gt;&lt;/foreign-keys&gt;&lt;ref-type name="Journal Article"&gt;17&lt;/ref-type&gt;&lt;contributors&gt;&lt;authors&gt;&lt;author&gt;Richardson, D. M.&lt;/author&gt;&lt;/authors&gt;&lt;/contributors&gt;&lt;auth-address&gt;Univ Cape Town, Dept Bot, Inst Plant Conservat, ZA-7701 Rondebosch, South Africa&lt;/auth-address&gt;&lt;titles&gt;&lt;title&gt;Forestry trees as invasive aliens&lt;/title&gt;&lt;secondary-title&gt;Conservation Biology&lt;/secondary-title&gt;&lt;alt-title&gt;Conserv Biol&lt;/alt-title&gt;&lt;/titles&gt;&lt;periodical&gt;&lt;full-title&gt;Conservation Biology&lt;/full-title&gt;&lt;abbr-1&gt;Conserv Biol&lt;/abbr-1&gt;&lt;/periodical&gt;&lt;alt-periodical&gt;&lt;full-title&gt;Conservation Biology&lt;/full-title&gt;&lt;abbr-1&gt;Conserv Biol&lt;/abbr-1&gt;&lt;/alt-periodical&gt;&lt;pages&gt;18-26&lt;/pages&gt;&lt;volume&gt;12&lt;/volume&gt;&lt;number&gt;1&lt;/number&gt;&lt;keywords&gt;&lt;keyword&gt;western-cape&lt;/keyword&gt;&lt;keyword&gt;south-africa&lt;/keyword&gt;&lt;keyword&gt;plants&lt;/keyword&gt;&lt;keyword&gt;prosopis&lt;/keyword&gt;&lt;keyword&gt;fynbos&lt;/keyword&gt;&lt;/keywords&gt;&lt;dates&gt;&lt;year&gt;1998&lt;/year&gt;&lt;pub-dates&gt;&lt;date&gt;Feb&lt;/date&gt;&lt;/pub-dates&gt;&lt;/dates&gt;&lt;isbn&gt;0888-8892&lt;/isbn&gt;&lt;accession-num&gt;WOS:000072094300004&lt;/accession-num&gt;&lt;urls&gt;&lt;related-urls&gt;&lt;url&gt;&amp;lt;Go to ISI&amp;gt;://WOS:000072094300004&lt;/url&gt;&lt;/related-urls&gt;&lt;/urls&gt;&lt;electronic-resource-num&gt;DOI 10.1046/j.1523-1739.1998.96392.x&lt;/electronic-resource-num&gt;&lt;language&gt;English&lt;/language&gt;&lt;/record&gt;&lt;/Cite&gt;&lt;/EndNote&gt;</w:instrText>
      </w:r>
      <w:r w:rsidR="007419F9" w:rsidRPr="00A9434B">
        <w:fldChar w:fldCharType="separate"/>
      </w:r>
      <w:r w:rsidR="00ED1B59" w:rsidRPr="00A9434B">
        <w:fldChar w:fldCharType="begin"/>
      </w:r>
      <w:r w:rsidR="0006613E">
        <w:instrText xml:space="preserve"> ADDIN ZOTERO_ITEM CSL_CITATION {"citationID":"af86ve886m","properties":{"formattedCitation":"\\uldash{(Richardson, 1998)}","plainCitation":"(Richardson, 1998)","dontUpdate":true,"noteIndex":0},"citationItems":[{"id":56605,"uris":["http://zotero.org/groups/2352922/items/TDHVB5KG","http://zotero.org/groups/2352922/items/XKNMZCCZ"],"itemData":{"id":56605,"type":"article-journal","container-title":"Conservation Biology","DOI":"10.1046/j.1523-1739.1998.96392.x","ISSN":"0888-8892, 1523-1739","issue":"1","journalAbbreviation":"Conservation Biology","language":"en","page":"18-26","source":"DOI.org (Crossref)","title":"Forestry Trees as Invasive Aliens","URL":"https://www.jstor.org/stable/2387458","volume":"12","author":[{"family":"Richardson","given":"David M."}],"accessed":{"date-parts":[["2023",6,8]]},"issued":{"date-parts":[["1998",2,11]]}}}],"schema":"https://github.com/citation-style-language/schema/raw/master/csl-citation.json"} </w:instrText>
      </w:r>
      <w:r w:rsidR="00ED1B59" w:rsidRPr="00A9434B">
        <w:fldChar w:fldCharType="separate"/>
      </w:r>
      <w:r w:rsidR="00673D94" w:rsidRPr="00A9434B">
        <w:t>Richardson, 1998)</w:t>
      </w:r>
      <w:r w:rsidR="00ED1B59" w:rsidRPr="00A9434B">
        <w:fldChar w:fldCharType="end"/>
      </w:r>
      <w:r w:rsidR="007419F9" w:rsidRPr="00A9434B">
        <w:fldChar w:fldCharType="end"/>
      </w:r>
      <w:r w:rsidR="007419F9" w:rsidRPr="00A9434B">
        <w:t>.</w:t>
      </w:r>
      <w:r>
        <w:t xml:space="preserve"> </w:t>
      </w:r>
    </w:p>
    <w:p w14:paraId="60435554" w14:textId="3D2FC760" w:rsidR="00017C04" w:rsidRDefault="00F50AF9">
      <w:pPr>
        <w:pStyle w:val="Heading5"/>
        <w:rPr>
          <w:b w:val="0"/>
        </w:rPr>
      </w:pPr>
      <w:bookmarkStart w:id="260" w:name="_heading=h.2iq8gzs" w:colFirst="0" w:colLast="0"/>
      <w:bookmarkStart w:id="261" w:name="_Toc85291862"/>
      <w:bookmarkEnd w:id="260"/>
      <w:r>
        <w:t>(3) Stop the promotion of alien species as a tool to reduce poverty and increase food security</w:t>
      </w:r>
      <w:bookmarkEnd w:id="261"/>
      <w:r>
        <w:br/>
      </w:r>
      <w:r>
        <w:rPr>
          <w:b w:val="0"/>
        </w:rPr>
        <w:t>Alien species are the cornerstone of many aquacultural practices aimed at improving food security. Examples are alien tilapia (</w:t>
      </w:r>
      <w:r>
        <w:rPr>
          <w:b w:val="0"/>
          <w:i/>
        </w:rPr>
        <w:t>Coptodon</w:t>
      </w:r>
      <w:r>
        <w:rPr>
          <w:b w:val="0"/>
        </w:rPr>
        <w:t xml:space="preserve"> spp., </w:t>
      </w:r>
      <w:r>
        <w:rPr>
          <w:b w:val="0"/>
          <w:i/>
        </w:rPr>
        <w:t>Oreochromis</w:t>
      </w:r>
      <w:r>
        <w:rPr>
          <w:b w:val="0"/>
        </w:rPr>
        <w:t xml:space="preserve"> spp.</w:t>
      </w:r>
      <w:r w:rsidR="005D0083">
        <w:rPr>
          <w:b w:val="0"/>
        </w:rPr>
        <w:t xml:space="preserve"> and</w:t>
      </w:r>
      <w:r>
        <w:rPr>
          <w:b w:val="0"/>
        </w:rPr>
        <w:t xml:space="preserve"> </w:t>
      </w:r>
      <w:r>
        <w:rPr>
          <w:b w:val="0"/>
          <w:i/>
        </w:rPr>
        <w:t>Sarotherodon</w:t>
      </w:r>
      <w:r>
        <w:rPr>
          <w:b w:val="0"/>
        </w:rPr>
        <w:t xml:space="preserve"> spp.), salmonids (</w:t>
      </w:r>
      <w:r>
        <w:rPr>
          <w:b w:val="0"/>
          <w:i/>
        </w:rPr>
        <w:t>Salmo trutta</w:t>
      </w:r>
      <w:r>
        <w:rPr>
          <w:b w:val="0"/>
        </w:rPr>
        <w:t> and </w:t>
      </w:r>
      <w:r>
        <w:rPr>
          <w:b w:val="0"/>
          <w:i/>
        </w:rPr>
        <w:t>Oncorhynchus mykiss</w:t>
      </w:r>
      <w:r>
        <w:rPr>
          <w:b w:val="0"/>
        </w:rPr>
        <w:t>) and oysters (</w:t>
      </w:r>
      <w:r>
        <w:rPr>
          <w:b w:val="0"/>
          <w:i/>
        </w:rPr>
        <w:t>Crassostrea</w:t>
      </w:r>
      <w:r>
        <w:rPr>
          <w:b w:val="0"/>
        </w:rPr>
        <w:t xml:space="preserve"> spp., </w:t>
      </w:r>
      <w:r>
        <w:rPr>
          <w:b w:val="0"/>
          <w:i/>
        </w:rPr>
        <w:t>Ostrea</w:t>
      </w:r>
      <w:r>
        <w:rPr>
          <w:b w:val="0"/>
        </w:rPr>
        <w:t xml:space="preserve"> spp. </w:t>
      </w:r>
      <w:r w:rsidR="00DF568D" w:rsidRPr="00A9434B">
        <w:rPr>
          <w:b w:val="0"/>
        </w:rPr>
        <w:t>(</w:t>
      </w:r>
      <w:r w:rsidR="00B301D7">
        <w:rPr>
          <w:b w:val="0"/>
        </w:rPr>
        <w:t>f</w:t>
      </w:r>
      <w:r w:rsidR="00DF568D" w:rsidRPr="00A9434B">
        <w:rPr>
          <w:b w:val="0"/>
        </w:rPr>
        <w:t>lat oyster)</w:t>
      </w:r>
      <w:r w:rsidR="00F921DB" w:rsidRPr="00A9434B">
        <w:rPr>
          <w:b w:val="0"/>
        </w:rPr>
        <w:t xml:space="preserve">, </w:t>
      </w:r>
      <w:r w:rsidR="00F921DB" w:rsidRPr="00A9434B">
        <w:rPr>
          <w:b w:val="0"/>
          <w:i/>
        </w:rPr>
        <w:t>Argopecten</w:t>
      </w:r>
      <w:r w:rsidR="00F921DB" w:rsidRPr="00A9434B">
        <w:rPr>
          <w:b w:val="0"/>
        </w:rPr>
        <w:t xml:space="preserve"> spp.</w:t>
      </w:r>
      <w:r w:rsidR="00982C0D" w:rsidRPr="00A9434B">
        <w:rPr>
          <w:b w:val="0"/>
        </w:rPr>
        <w:t>;</w:t>
      </w:r>
      <w:r w:rsidR="00F921DB" w:rsidRPr="00A9434B">
        <w:rPr>
          <w:b w:val="0"/>
        </w:rPr>
        <w:t xml:space="preserve"> </w:t>
      </w:r>
      <w:r w:rsidR="007419F9" w:rsidRPr="00A9434B">
        <w:rPr>
          <w:b w:val="0"/>
          <w:i/>
          <w:iCs/>
        </w:rPr>
        <w:fldChar w:fldCharType="begin"/>
      </w:r>
      <w:r w:rsidR="0006613E">
        <w:rPr>
          <w:b w:val="0"/>
        </w:rPr>
        <w:instrText xml:space="preserve"> ADDIN ZOTERO_ITEM CSL_CITATION {"citationID":"ata3kq7mnr","properties":{"unsorted":true,"formattedCitation":"\\uldash{(De Silva, 2012; Paini et al., 2016; McBeath &amp; McBeath, 2010)}","plainCitation":"(De Silva, 2012; Paini et al., 2016; McBeath &amp; McBeath, 2010)","dontUpdate":true,"noteIndex":0},"citationItems":[{"id":32686,"uris":["http://zotero.org/groups/2352922/items/772W7J55"],"itemData":{"id":32686,"type":"article-journal","abstract":"The fisheries sector in the course of the last three decades have been transformed from a developed country to a developing country dominance. Aquaculture, the farming of waters, though a millennia old tradition during this period has become a significant contributor to food fish production, currently accounting for nearly 50 % of global food fish consumption; in effect transforming our dependence from a hunted to a farmed supply as for all our staple food types. Aquaculture and indeed the fisheries sector as a whole is predominated in the developing countries, and accordingly the development strategies adopted by the sector are influenced by this. Aquaculture also being a newly emerged food production sector has being subjected to an increased level of public scrutiny, and one of the most contentious aspects has been its impacts on biodiversity. In this synthesis an attempt is made to assess the impacts of aquaculture on biodiversity. Instances of major impacts on biodiversity conservation arising from aquaculture, such as land use, effluent discharge, effects on wild populations, alien species among others are highlighted and critically examined. The influence of paradigm changes in development strategies and modern day market forces have begun to impact on aquaculture developments. Consequently, improvements in practices and adoption of more environmentally friendly approaches that have a decreasing negative influence on biodiversity conservation are highlighted. An attempt is also made to demonstrate direct and or indirect benefits of aquaculture, such as through being a substitute to meet human needs for food, particularly over-exploited and vulnerable fish stocks, and for other purposes (e.g. medicinal ingredients), on biodiversity conservation, often a neglected entity.","container-title":"Biodiversity and Conservation","DOI":"10.1007/s10531-012-0360-9","ISSN":"0960-3115, 1572-9710","issue":"12","journalAbbreviation":"Biodivers Conserv","language":"en","page":"3187-3220","source":"DOI.org (Crossref)","title":"Aquaculture: a newly emergent food production sector—and perspectives of its impacts on biodiversity and conservation","title-short":"Aquaculture","URL":"http://link.springer.com/10.1007/s10531-012-0360-9","volume":"21","author":[{"family":"De Silva","given":"Sena S."}],"accessed":{"date-parts":[["2021",4,14]]},"issued":{"date-parts":[["2012",11]]}},"label":"page"},{"id":32747,"uris":["http://zotero.org/groups/2352922/items/RNT897GG"],"itemData":{"id":32747,"type":"article-journal","abstract":"Invasive species present significant threats to global agriculture, although how the magnitude and distribution of the threats vary between countries and regions remains unclear. Here, we present an analysis of almost 1,300 known invasive insect pests and pathogens, calculating the total potential cost of these species invading each of 124 countries of the world, as well as determining which countries present the greatest threat to the rest of the world given their trading partners and incumbent pool of invasive species. We find that countries vary in terms of potential threat from invasive species and also their role as potential sources, with apparently similar countries sometimes varying markedly depending on specifics of agricultural commodities and trade patterns. Overall, the biggest agricultural producers (China and the United States) could experience the greatest absolute cost from further species invasions. However, developing countries, in particular, Sub-Saharan African countries, appear most vulnerable in relative terms. Furthermore, China and the United States represent the greatest potential sources of invasive species for the rest of the world. The analysis reveals considerable scope for ongoing redistribution of known invasive pests and highlights the need for international cooperation to slow their spread.","container-title":"Proceedings of the National Academy of Sciences of the United States of America","DOI":"10.1073/pnas.1602205113","ISSN":"0027-8424","issue":"27","language":"en","note":"WOS:000379021700076","page":"7575-7579","title":"Global threat to agriculture from invasive species","URL":"https://www.scopus.com/inward/record.uri?eid=2-s2.0-84977268919&amp;doi=10.1073%2fpnas.1602205113&amp;partnerID=40&amp;md5=2d6cdb43a462b78052f067589196fd2d","volume":"113","author":[{"family":"Paini","given":"Dean R."},{"family":"Sheppard","given":"Andy W."},{"family":"Cook","given":"David C."},{"family":"De Barro","given":"Paul J."},{"family":"Worner","given":"Susan P."},{"family":"Thomas","given":"Matthew B."}],"issued":{"date-parts":[["2016",7,5]]}},"label":"page"},{"id":31940,"uris":["http://zotero.org/groups/2352922/items/F2Z8KYWD"],"itemData":{"id":31940,"type":"chapter","collection-title":"Advances in Global Change Research","container-title":"Environmental Change and Food Security in China","event-place":"Dordrecht","ISBN":"978-1-4020-9180-3","note":"DOI: 10.1007/978-1-4020-9180-3_6","page":"157-176","publisher":"Springer","publisher-place":"Dordrecht","title":"Invasive Species and Food Security","URL":"https://doi.org/10.1007/978-1-4020-9180-3_6","volume":"35","author":[{"family":"McBeath","given":"Jenifer Huang"},{"family":"McBeath","given":"Jerry"}],"issued":{"date-parts":[["2010"]]}},"label":"page"}],"schema":"https://github.com/citation-style-language/schema/raw/master/csl-citation.json"} </w:instrText>
      </w:r>
      <w:r w:rsidR="007419F9" w:rsidRPr="00A9434B">
        <w:rPr>
          <w:b w:val="0"/>
          <w:i/>
          <w:iCs/>
        </w:rPr>
        <w:fldChar w:fldCharType="separate"/>
      </w:r>
      <w:r w:rsidR="00673D94" w:rsidRPr="00A9434B">
        <w:rPr>
          <w:b w:val="0"/>
        </w:rPr>
        <w:t>De Silva, 2012; Paini et al., 2016; McBeath &amp; McBeath, 2010)</w:t>
      </w:r>
      <w:r w:rsidR="007419F9" w:rsidRPr="00A9434B">
        <w:rPr>
          <w:b w:val="0"/>
          <w:i/>
          <w:iCs/>
        </w:rPr>
        <w:fldChar w:fldCharType="end"/>
      </w:r>
      <w:r w:rsidR="00F921DB" w:rsidRPr="00A9434B">
        <w:rPr>
          <w:b w:val="0"/>
        </w:rPr>
        <w:t>.</w:t>
      </w:r>
      <w:r>
        <w:rPr>
          <w:b w:val="0"/>
        </w:rPr>
        <w:t xml:space="preserve"> This also been the case for silvi/agro-cultural initiatives aimed at reducing poverty, where species such as eucalypts and </w:t>
      </w:r>
      <w:r>
        <w:rPr>
          <w:b w:val="0"/>
          <w:i/>
        </w:rPr>
        <w:t>Leucaena leucocephala</w:t>
      </w:r>
      <w:r>
        <w:rPr>
          <w:b w:val="0"/>
        </w:rPr>
        <w:t xml:space="preserve"> have been introduced in Southeast Asia. Grasses and legumes from Australia, South Africa and North America have been introduced in experimental farms near Santa Cruz (Bolivia)</w:t>
      </w:r>
      <w:r w:rsidR="005D0083">
        <w:rPr>
          <w:b w:val="0"/>
        </w:rPr>
        <w:t xml:space="preserve"> and</w:t>
      </w:r>
      <w:r>
        <w:rPr>
          <w:b w:val="0"/>
        </w:rPr>
        <w:t xml:space="preserve"> </w:t>
      </w:r>
      <w:r>
        <w:rPr>
          <w:b w:val="0"/>
          <w:i/>
        </w:rPr>
        <w:t>Prosopis juliflora</w:t>
      </w:r>
      <w:r>
        <w:rPr>
          <w:b w:val="0"/>
        </w:rPr>
        <w:t xml:space="preserve"> (mesquite) has been introduced in Africa (</w:t>
      </w:r>
      <w:r w:rsidR="00B053EF" w:rsidRPr="00673554">
        <w:rPr>
          <w:iCs/>
        </w:rPr>
        <w:t>Figure 6.11</w:t>
      </w:r>
      <w:r w:rsidR="00B053EF" w:rsidRPr="00A9434B">
        <w:rPr>
          <w:b w:val="0"/>
        </w:rPr>
        <w:t xml:space="preserve">) </w:t>
      </w:r>
      <w:r w:rsidR="00B646F6" w:rsidRPr="00A9434B">
        <w:rPr>
          <w:b w:val="0"/>
        </w:rPr>
        <w:t xml:space="preserve">for </w:t>
      </w:r>
      <w:r w:rsidR="00C201E4" w:rsidRPr="00A9434B">
        <w:rPr>
          <w:b w:val="0"/>
        </w:rPr>
        <w:t xml:space="preserve">fuel-wood </w:t>
      </w:r>
      <w:r w:rsidR="00B646F6" w:rsidRPr="00A9434B">
        <w:rPr>
          <w:b w:val="0"/>
        </w:rPr>
        <w:t>for</w:t>
      </w:r>
      <w:r w:rsidR="00C201E4" w:rsidRPr="00A9434B">
        <w:rPr>
          <w:b w:val="0"/>
        </w:rPr>
        <w:t xml:space="preserve"> the rural poor </w:t>
      </w:r>
      <w:r w:rsidR="00B053EF" w:rsidRPr="00A9434B">
        <w:rPr>
          <w:b w:val="0"/>
          <w:i/>
          <w:iCs/>
        </w:rPr>
        <w:fldChar w:fldCharType="begin"/>
      </w:r>
      <w:r w:rsidR="0006613E">
        <w:rPr>
          <w:b w:val="0"/>
        </w:rPr>
        <w:instrText xml:space="preserve"> ADDIN ZOTERO_ITEM CSL_CITATION {"citationID":"aukqik9b16","properties":{"formattedCitation":"\\uldash{(Murphy &amp; Cheesman, 2006)}","plainCitation":"(Murphy &amp; Cheesman, 2006)","dontUpdate":true,"noteIndex":0},"citationItems":[{"id":32859,"uris":["http://zotero.org/groups/2352922/items/WACB9G3T"],"itemData":{"id":32859,"type":"report","collection-title":"Biodiversity Series","event-place":"Washington, DC, USA","genre":"A Preliminary Report","language":"en","page":"50","publisher":"World Bank Environmental Department","publisher-place":"Washington, DC, USA","source":"Zotero","title":"The Aid Trade - International Assistance Programs as Pathways for the Introduction of Invasive Alien Species","author":[{"family":"Murphy","given":"Sean T"},{"family":"Cheesman","given":"Oliver D"}],"issued":{"date-parts":[["2006"]]}},"label":"page"}],"schema":"https://github.com/citation-style-language/schema/raw/master/csl-citation.json"} </w:instrText>
      </w:r>
      <w:r w:rsidR="00B053EF" w:rsidRPr="00A9434B">
        <w:rPr>
          <w:b w:val="0"/>
          <w:i/>
          <w:iCs/>
        </w:rPr>
        <w:fldChar w:fldCharType="separate"/>
      </w:r>
      <w:r w:rsidR="00673D94" w:rsidRPr="00A9434B">
        <w:rPr>
          <w:b w:val="0"/>
        </w:rPr>
        <w:t>(Murphy &amp; Cheesman, 2006</w:t>
      </w:r>
      <w:r w:rsidR="00B053EF" w:rsidRPr="00A9434B">
        <w:rPr>
          <w:b w:val="0"/>
          <w:i/>
          <w:iCs/>
        </w:rPr>
        <w:fldChar w:fldCharType="end"/>
      </w:r>
      <w:r w:rsidR="00ED1B59" w:rsidRPr="00A9434B">
        <w:rPr>
          <w:b w:val="0"/>
        </w:rPr>
        <w:t xml:space="preserve">; </w:t>
      </w:r>
      <w:r w:rsidR="00571A0C">
        <w:rPr>
          <w:iCs/>
        </w:rPr>
        <w:t>C</w:t>
      </w:r>
      <w:r w:rsidR="00ED1B59" w:rsidRPr="00673554">
        <w:rPr>
          <w:iCs/>
        </w:rPr>
        <w:t>hapter 4</w:t>
      </w:r>
      <w:r w:rsidR="00ED1B59" w:rsidRPr="00673554">
        <w:rPr>
          <w:b w:val="0"/>
          <w:iCs/>
        </w:rPr>
        <w:t>,</w:t>
      </w:r>
      <w:r w:rsidR="00ED1B59" w:rsidRPr="00673554">
        <w:rPr>
          <w:iCs/>
        </w:rPr>
        <w:t xml:space="preserve"> Box 4.</w:t>
      </w:r>
      <w:r w:rsidR="006B2B4A" w:rsidRPr="00673554">
        <w:rPr>
          <w:iCs/>
        </w:rPr>
        <w:t>9</w:t>
      </w:r>
      <w:r w:rsidR="00ED1B59" w:rsidRPr="00A9434B">
        <w:rPr>
          <w:b w:val="0"/>
        </w:rPr>
        <w:t>)</w:t>
      </w:r>
      <w:r w:rsidR="00995DE9" w:rsidRPr="00A9434B">
        <w:rPr>
          <w:b w:val="0"/>
        </w:rPr>
        <w:t>.</w:t>
      </w:r>
      <w:r>
        <w:rPr>
          <w:b w:val="0"/>
        </w:rPr>
        <w:t xml:space="preserve"> These species can </w:t>
      </w:r>
      <w:r>
        <w:rPr>
          <w:b w:val="0"/>
        </w:rPr>
        <w:lastRenderedPageBreak/>
        <w:t>escape production environments and have adverse impacts on biodiversity and ecosystems (</w:t>
      </w:r>
      <w:r>
        <w:t>Chapter 3</w:t>
      </w:r>
      <w:r>
        <w:rPr>
          <w:b w:val="0"/>
        </w:rPr>
        <w:t xml:space="preserve">, </w:t>
      </w:r>
      <w:r>
        <w:t>section</w:t>
      </w:r>
      <w:r w:rsidR="00351A46">
        <w:t>s</w:t>
      </w:r>
      <w:r>
        <w:t xml:space="preserve"> 3.2.5 </w:t>
      </w:r>
      <w:r>
        <w:rPr>
          <w:b w:val="0"/>
        </w:rPr>
        <w:t>and</w:t>
      </w:r>
      <w:r>
        <w:t xml:space="preserve"> 3.3.1.1</w:t>
      </w:r>
      <w:r>
        <w:rPr>
          <w:b w:val="0"/>
        </w:rPr>
        <w:t xml:space="preserve">). A first step to avoid this problem could be a strategy shift by development assistance organizations to embed the preferred use of native species into their codes of practices. Exploring viable native alternatives as primary species for human consumption or as animal feed is an option for such organizations. This shift will benefit from being coupled with national policy that promotes a culture of native species cultivation valued by Indigenous Peoples and local communities. </w:t>
      </w:r>
    </w:p>
    <w:p w14:paraId="122D5208" w14:textId="1C4E6B60" w:rsidR="00017C04" w:rsidRDefault="00F50AF9">
      <w:r>
        <w:t xml:space="preserve">However, the implementation of a “native species”-centred approach would require careful consideration in each case. For example, it is critical to consider if native species can provide viable alternatives to assure food security for ever increasing human populations, especially in rural populations of developing countries </w:t>
      </w:r>
      <w:r w:rsidR="00673D94" w:rsidRPr="00A9434B">
        <w:fldChar w:fldCharType="begin"/>
      </w:r>
      <w:r w:rsidR="0006613E">
        <w:instrText xml:space="preserve"> ADDIN ZOTERO_ITEM CSL_CITATION {"citationID":"a8esleogaf","properties":{"formattedCitation":"(De Silva et al., 2009; Murphy &amp; Cheesman, 2006; Shackleton, Richardson, et al., 2019)","plainCitation":"(De Silva et al., 2009; Murphy &amp; Cheesman, 2006; Shackleton, Richardson, et al., 2019)","noteIndex":0},"citationItems":[{"id":31158,"uris":["http://zotero.org/groups/2352922/items/NJJF9G4P"],"itemData":{"id":31158,"type":"article-journal","abstract":"The ﬁsheries sector in the course of the last three decades have been transformed from a developed country to a developing country dominance. Aquaculture, the farming of waters, though a millennia old tradition during this period has become a signiﬁcant contributor to food ﬁsh production, currently accounting for nearly 50 % of global food ﬁsh consumption; in effect transforming our dependence from a hunted to a farmed supply as for all our staple food types. Aquaculture and indeed the ﬁsheries sector as a whole is predominated in the developing countries, and accordingly the development strategies adopted by the sector are inﬂuenced by this. Aquaculture also being a newly emerged food production sector has being subjected to an increased level of public scrutiny, and one of the most contentious aspects has been its impacts on biodiversity. In this synthesis an attempt is made to assess the impacts of aquaculture on biodiversity. Instances of major impacts on biodiversity conservation arising from aquaculture, such as land use, efﬂuent discharge, effects on wild populations, alien species among others are highlighted and critically examined. The inﬂuence of paradigm changes in development strategies and modern day market forces have begun to impact on aquaculture developments. Consequently, improvements in practices and adoption of more environmentally friendly approaches that have a decreasing negative inﬂuence on biodiversity conservation are highlighted. An attempt is also made to demonstrate direct and or indirect beneﬁts of aquaculture, such as through being a substitute to meet human needs for food, particularly over-exploited and vulnerable ﬁsh stocks, and for other purposes (e.g. medicinal ingredients), on biodiversity conservation, often a neglected entity.","container-title":"AMBIO: A Journal of the Human Environment","DOI":"10.1579/0044-7447-38.1.24","ISSN":"0044-7447","issue":"1","journalAbbreviation":"AMBIO: A Journal of the Human Environment","language":"en","page":"24-28","source":"DOI.org (Crossref)","title":"Alien Species in Aquaculture and Biodiversity: A Paradox in Food Production","title-short":"Alien Species in Aquaculture and Biodiversity","URL":"http://www.bioone.org/doi/abs/10.1579/0044-7447-38.1.24","volume":"38","author":[{"family":"De Silva","given":"Sena S."},{"family":"Nguyen","given":"Thuy T. T."},{"family":"Turchini","given":"Giovanni M."},{"family":"Amarasinghe","given":"Upali S."},{"family":"Abery","given":"Nigel W."}],"accessed":{"date-parts":[["2021",10,31]]},"issued":{"date-parts":[["2009",2]]}},"label":"page"},{"id":32859,"uris":["http://zotero.org/groups/2352922/items/WACB9G3T"],"itemData":{"id":32859,"type":"report","collection-title":"Biodiversity Series","event-place":"Washington, DC, USA","genre":"A Preliminary Report","language":"en","page":"50","publisher":"World Bank Environmental Department","publisher-place":"Washington, DC, USA","source":"Zotero","title":"The Aid Trade - International Assistance Programs as Pathways for the Introduction of Invasive Alien Species","author":[{"family":"Murphy","given":"Sean T"},{"family":"Cheesman","given":"Oliver D"}],"issued":{"date-parts":[["2006"]]}},"label":"page"},{"id":56685,"uris":["http://zotero.org/groups/2352922/items/VMEJ4YLE","http://zotero.org/groups/2352922/items/4BWBLIBN"],"itemData":{"id":56685,"type":"article-journal","container-title":"Journal of Environmental Management","DOI":"10.1016/j.jenvman.2018.04.045","ISSN":"03014797","journalAbbreviation":"Journal of Environmental Management","language":"en","page":"10-26","source":"DOI.org (Crossref)","title":"Explaining people's perceptions of invasive alien species: A conceptual framework","title-short":"Explaining people's perceptions of invasive alien species","URL":"https://linkinghub.elsevier.com/retrieve/pii/S0301479718304274","volume":"229","author":[{"family":"Shackleton","given":"Ross T."},{"family":"Richardson","given":"David M."},{"family":"Shackleton","given":"Charlie M."},{"family":"Bennett","given":"Brett"},{"family":"Crowley","given":"Sarah L."},{"family":"Dehnen-Schmutz","given":"Katharina"},{"family":"Est</w:instrText>
      </w:r>
      <w:r w:rsidR="0006613E">
        <w:rPr>
          <w:rFonts w:hint="eastAsia"/>
        </w:rPr>
        <w:instrText>é</w:instrText>
      </w:r>
      <w:r w:rsidR="0006613E">
        <w:instrText xml:space="preserve">vez","given":"Rodrigo A."},{"family":"Fischer","given":"Anke"},{"family":"Kueffer","given":"Christoph"},{"family":"Kull","given":"Christian A."},{"family":"Marchante","given":"Elizabete"},{"family":"Novoa","given":"Ana"},{"family":"Potgieter","given":"Luke J."},{"family":"Vaas","given":"Jetske"},{"family":"Vaz","given":"Ana S."},{"family":"Larson","given":"Brendon M.H."}],"accessed":{"date-parts":[["2023",6,8]]},"issued":{"date-parts":[["2019",1]]}},"label":"page"}],"schema":"https://github.com/citation-style-language/schema/raw/master/csl-citation.json"} </w:instrText>
      </w:r>
      <w:r w:rsidR="00673D94" w:rsidRPr="00A9434B">
        <w:fldChar w:fldCharType="separate"/>
      </w:r>
      <w:r w:rsidR="00F0011F" w:rsidRPr="00F0011F">
        <w:t>(De Silva et al., 2009; Murphy &amp; Cheesman, 2006; Shackleton, Richardson, et al., 2019)</w:t>
      </w:r>
      <w:r w:rsidR="00673D94" w:rsidRPr="00A9434B">
        <w:fldChar w:fldCharType="end"/>
      </w:r>
      <w:r w:rsidR="00673D94" w:rsidRPr="00A9434B">
        <w:t xml:space="preserve">. </w:t>
      </w:r>
      <w:r w:rsidR="007419F9" w:rsidRPr="00A9434B">
        <w:t xml:space="preserve">It </w:t>
      </w:r>
      <w:r w:rsidR="00C67913" w:rsidRPr="00A9434B">
        <w:t xml:space="preserve">would </w:t>
      </w:r>
      <w:r w:rsidR="000428E5" w:rsidRPr="00A9434B">
        <w:t>be important to</w:t>
      </w:r>
      <w:r w:rsidR="007419F9" w:rsidRPr="00A9434B">
        <w:t xml:space="preserve"> consider socioeconomic conditions</w:t>
      </w:r>
      <w:r w:rsidR="00B61318" w:rsidRPr="00A9434B">
        <w:t>, as well as the views and needs of</w:t>
      </w:r>
      <w:r w:rsidR="007419F9" w:rsidRPr="00A9434B">
        <w:t xml:space="preserve"> </w:t>
      </w:r>
      <w:r w:rsidR="001E7B2B" w:rsidRPr="00A9434B">
        <w:t>Indigenous Peoples</w:t>
      </w:r>
      <w:r w:rsidR="00B9117C" w:rsidRPr="00A9434B">
        <w:t xml:space="preserve"> and local communities</w:t>
      </w:r>
      <w:r w:rsidR="007419F9" w:rsidRPr="00A9434B">
        <w:t xml:space="preserve">, so that </w:t>
      </w:r>
      <w:r w:rsidR="00B9117C" w:rsidRPr="00A9434B">
        <w:t xml:space="preserve">good quality of life </w:t>
      </w:r>
      <w:r w:rsidR="007419F9" w:rsidRPr="00A9434B">
        <w:t>is not adversely affected. This is clearly the case for alien tilapias (</w:t>
      </w:r>
      <w:r w:rsidR="007419F9" w:rsidRPr="00A9434B">
        <w:rPr>
          <w:i/>
          <w:iCs/>
        </w:rPr>
        <w:t>Coptodon</w:t>
      </w:r>
      <w:r w:rsidR="007419F9" w:rsidRPr="00A9434B">
        <w:t xml:space="preserve"> spp., </w:t>
      </w:r>
      <w:r w:rsidR="007419F9" w:rsidRPr="00A9434B">
        <w:rPr>
          <w:i/>
          <w:iCs/>
        </w:rPr>
        <w:t>Oreochromis</w:t>
      </w:r>
      <w:r w:rsidR="007419F9" w:rsidRPr="00A9434B">
        <w:t xml:space="preserve"> spp.</w:t>
      </w:r>
      <w:r w:rsidR="005D0083">
        <w:t xml:space="preserve"> and</w:t>
      </w:r>
      <w:r w:rsidR="007419F9" w:rsidRPr="00A9434B">
        <w:t xml:space="preserve"> </w:t>
      </w:r>
      <w:r w:rsidR="007419F9" w:rsidRPr="00A9434B">
        <w:rPr>
          <w:i/>
          <w:iCs/>
        </w:rPr>
        <w:t>Sarotherodon</w:t>
      </w:r>
      <w:r w:rsidR="007419F9" w:rsidRPr="00A9434B">
        <w:t xml:space="preserve"> spp.) </w:t>
      </w:r>
      <w:r w:rsidR="00DF1AF7" w:rsidRPr="00A9434B">
        <w:t>in China, Indonesia, the Philippines</w:t>
      </w:r>
      <w:r w:rsidR="005D0083">
        <w:t xml:space="preserve"> and</w:t>
      </w:r>
      <w:r w:rsidR="00DF1AF7" w:rsidRPr="00A9434B">
        <w:t xml:space="preserve"> Sri Lanka</w:t>
      </w:r>
      <w:r w:rsidR="003830EA" w:rsidRPr="00A9434B">
        <w:t>,</w:t>
      </w:r>
      <w:r w:rsidR="00DF1AF7" w:rsidRPr="00A9434B">
        <w:t xml:space="preserve"> where they play a major role in subsistence aquaculture systems by providing a relatively cheap source of animal protein, as well as considerable export income </w:t>
      </w:r>
      <w:r w:rsidR="007419F9" w:rsidRPr="00A9434B">
        <w:fldChar w:fldCharType="begin">
          <w:fldData xml:space="preserve">PEVuZE5vdGU+PENpdGU+PEF1dGhvcj5EZSBTaWx2YTwvQXV0aG9yPjxZZWFyPjIwMDQ8L1llYXI+
PFJlY051bT4xMjI8L1JlY051bT48RGlzcGxheVRleHQ+KERlIFNpbHZhIDIwMDQsIERlIFNpbHZh
LCBOZ3V5ZW4gZXQgYWwuIDIwMDkpPC9EaXNwbGF5VGV4dD48cmVjb3JkPjxyZWMtbnVtYmVyPjEy
MjwvcmVjLW51bWJlcj48Zm9yZWlnbi1rZXlzPjxrZXkgYXBwPSJFTiIgZGItaWQ9IjJmcHMycnB3
Y3B0d2F4ZWR6OW9wcnp2bWF3ZnhlZjlwZnBhMiIgdGltZXN0YW1wPSIxNjIxNTE1NDkyIj4xMjI8
L2tleT48L2ZvcmVpZ24ta2V5cz48cmVmLXR5cGUgbmFtZT0iSm91cm5hbCBBcnRpY2xlIj4xNzwv
cmVmLXR5cGU+PGNvbnRyaWJ1dG9ycz48YXV0aG9ycz48YXV0aG9yPkRlIFNpbHZhLCBTZW5hIFM8
L2F1dGhvcj48L2F1dGhvcnM+PC9jb250cmlidXRvcnM+PHRpdGxlcz48dGl0bGU+VGlsYXBpYXMg
YXMgYWxpZW4gYXF1YXRpY3MgaW4gQXNpYSBhbmQgdGhlIFBhY2lmaWM6IGEgcmV2aWV3PC90aXRs
ZT48L3RpdGxlcz48ZGF0ZXM+PHllYXI+MjAwNDwveWVhcj48L2RhdGVzPjxpc2JuPjkyNTEwNTIy
NzE8L2lzYm4+PHVybHM+PC91cmxzPjwvcmVjb3JkPjwvQ2l0ZT48Q2l0ZT48QXV0aG9yPkRlIFNp
bHZhPC9BdXRob3I+PFllYXI+MjAwOTwvWWVhcj48UmVjTnVtPjExNDwvUmVjTnVtPjxyZWNvcmQ+
PHJlYy1udW1iZXI+MTE0PC9yZWMtbnVtYmVyPjxmb3JlaWduLWtleXM+PGtleSBhcHA9IkVOIiBk
Yi1pZD0iMmZwczJycHdjcHR3YXhlZHo5b3ByenZtYXdmeGVmOXBmcGEyIiB0aW1lc3RhbXA9IjE2
MjE0OTQ3MzQiPjExNDwva2V5PjwvZm9yZWlnbi1rZXlzPjxyZWYtdHlwZSBuYW1lPSJKb3VybmFs
IEFydGljbGUiPjE3PC9yZWYtdHlwZT48Y29udHJpYnV0b3JzPjxhdXRob3JzPjxhdXRob3I+RGUg
U2lsdmEsIFMuIFMuPC9hdXRob3I+PGF1dGhvcj5OZ3V5ZW4sIFQuIFQuIFQuPC9hdXRob3I+PGF1
dGhvcj5UdXJjaGluaSwgRy4gTS48L2F1dGhvcj48YXV0aG9yPkFtYXJhc2luZ2hlLCBVLiBTLjwv
YXV0aG9yPjxhdXRob3I+QWJlcnksIE4uIFcuPC9hdXRob3I+PC9hdXRob3JzPjwvY29udHJpYnV0
b3JzPjxhdXRoLWFkZHJlc3M+RGVha2luIFVuaXYsIFNjaCBMaWZlICZhbXA7IEVudmlyb25tIFNj
aSwgR2VlbG9uZywgVmljIDMyMTcsIEF1c3RyYWxpYSYjeEQ7RGVha2luIFVuaXYsIFNjaCBMaWZl
ICZhbXA7IEVudmlyb25tIFNjaSwgV2Fycm5hbWJvb2wsIFZpYyAzMjgwLCBBdXN0cmFsaWEmI3hE
O1VuaXYgS2VsYW5peWEsIERlcHQgWm9vbCwgS2VsYW5peWEsIFNyaSBMYW5rYSYjeEQ7RmlzaGVy
aWVzIFZpY3RvcmlhLCBEZXB0IFByaW1hcnkgSW5kLCBTbm9icyBDcmVlaywgVmljLCBBdXN0cmFs
aWE8L2F1dGgtYWRkcmVzcz48dGl0bGVzPjx0aXRsZT5BbGllbiBTcGVjaWVzIGluIEFxdWFjdWx0
dXJlIGFuZCBCaW9kaXZlcnNpdHk6IEEgUGFyYWRveCBpbiBGb29kIFByb2R1Y3Rpb248L3RpdGxl
PjxzZWNvbmRhcnktdGl0bGU+QW1iaW88L3NlY29uZGFyeS10aXRsZT48YWx0LXRpdGxlPkFtYmlv
PC9hbHQtdGl0bGU+PC90aXRsZXM+PHBlcmlvZGljYWw+PGZ1bGwtdGl0bGU+QW1iaW88L2Z1bGwt
dGl0bGU+PGFiYnItMT5BbWJpbzwvYWJici0xPjwvcGVyaW9kaWNhbD48YWx0LXBlcmlvZGljYWw+
PGZ1bGwtdGl0bGU+QW1iaW88L2Z1bGwtdGl0bGU+PGFiYnItMT5BbWJpbzwvYWJici0xPjwvYWx0
LXBlcmlvZGljYWw+PHBhZ2VzPjI0LTI4PC9wYWdlcz48dm9sdW1lPjM4PC92b2x1bWU+PG51bWJl
cj4xPC9udW1iZXI+PGtleXdvcmRzPjxrZXl3b3JkPmNsYXJpYXMtbWFjcm9jZXBoYWx1czwva2V5
d29yZD48a2V5d29yZD5jcmF5ZmlzaCBwbGFndWU8L2tleXdvcmQ+PGtleXdvcmQ+ZmlzaGVyaWVz
PC9rZXl3b3JkPjxrZXl3b3JkPnNhbG1vbmlkczwva2V5d29yZD48a2V5d29yZD5pbXBhY3RzPC9r
ZXl3b3JkPjxrZXl3b3JkPnRyb3V0PC9rZXl3b3JkPjxrZXl3b3JkPnBvcHVsYXRpb25zPC9rZXl3
b3JkPjxrZXl3b3JkPmdhcmllcGludXM8L2tleXdvcmQ+PGtleXdvcmQ+ZGl2ZXJzaXR5PC9rZXl3
b3JkPjxrZXl3b3JkPmhhdGNoZXJ5PC9rZXl3b3JkPjwva2V5d29yZHM+PGRhdGVzPjx5ZWFyPjIw
MDk8L3llYXI+PHB1Yi1kYXRlcz48ZGF0ZT5GZWI8L2RhdGU+PC9wdWItZGF0ZXM+PC9kYXRlcz48
aXNibj4wMDQ0LTc0NDc8L2lzYm4+PGFjY2Vzc2lvbi1udW0+V09TOjAwMDI2MzA4MzUwMDAwNTwv
YWNjZXNzaW9uLW51bT48dXJscz48cmVsYXRlZC11cmxzPjx1cmw+Jmx0O0dvIHRvIElTSSZndDs6
Ly9XT1M6MDAwMjYzMDgzNTAwMDA1PC91cmw+PC9yZWxhdGVkLXVybHM+PC91cmxzPjxsYW5ndWFn
ZT5FbmdsaXNoPC9sYW5ndWFnZT48L3JlY29yZD48L0NpdGU+PC9FbmROb3RlPgB=
</w:fldData>
        </w:fldChar>
      </w:r>
      <w:r w:rsidR="007419F9" w:rsidRPr="00A9434B">
        <w:instrText xml:space="preserve"> ADDIN EN.CITE </w:instrText>
      </w:r>
      <w:r w:rsidR="007419F9" w:rsidRPr="00A9434B">
        <w:fldChar w:fldCharType="begin">
          <w:fldData xml:space="preserve">PEVuZE5vdGU+PENpdGU+PEF1dGhvcj5EZSBTaWx2YTwvQXV0aG9yPjxZZWFyPjIwMDQ8L1llYXI+
PFJlY051bT4xMjI8L1JlY051bT48RGlzcGxheVRleHQ+KERlIFNpbHZhIDIwMDQsIERlIFNpbHZh
LCBOZ3V5ZW4gZXQgYWwuIDIwMDkpPC9EaXNwbGF5VGV4dD48cmVjb3JkPjxyZWMtbnVtYmVyPjEy
MjwvcmVjLW51bWJlcj48Zm9yZWlnbi1rZXlzPjxrZXkgYXBwPSJFTiIgZGItaWQ9IjJmcHMycnB3
Y3B0d2F4ZWR6OW9wcnp2bWF3ZnhlZjlwZnBhMiIgdGltZXN0YW1wPSIxNjIxNTE1NDkyIj4xMjI8
L2tleT48L2ZvcmVpZ24ta2V5cz48cmVmLXR5cGUgbmFtZT0iSm91cm5hbCBBcnRpY2xlIj4xNzwv
cmVmLXR5cGU+PGNvbnRyaWJ1dG9ycz48YXV0aG9ycz48YXV0aG9yPkRlIFNpbHZhLCBTZW5hIFM8
L2F1dGhvcj48L2F1dGhvcnM+PC9jb250cmlidXRvcnM+PHRpdGxlcz48dGl0bGU+VGlsYXBpYXMg
YXMgYWxpZW4gYXF1YXRpY3MgaW4gQXNpYSBhbmQgdGhlIFBhY2lmaWM6IGEgcmV2aWV3PC90aXRs
ZT48L3RpdGxlcz48ZGF0ZXM+PHllYXI+MjAwNDwveWVhcj48L2RhdGVzPjxpc2JuPjkyNTEwNTIy
NzE8L2lzYm4+PHVybHM+PC91cmxzPjwvcmVjb3JkPjwvQ2l0ZT48Q2l0ZT48QXV0aG9yPkRlIFNp
bHZhPC9BdXRob3I+PFllYXI+MjAwOTwvWWVhcj48UmVjTnVtPjExNDwvUmVjTnVtPjxyZWNvcmQ+
PHJlYy1udW1iZXI+MTE0PC9yZWMtbnVtYmVyPjxmb3JlaWduLWtleXM+PGtleSBhcHA9IkVOIiBk
Yi1pZD0iMmZwczJycHdjcHR3YXhlZHo5b3ByenZtYXdmeGVmOXBmcGEyIiB0aW1lc3RhbXA9IjE2
MjE0OTQ3MzQiPjExNDwva2V5PjwvZm9yZWlnbi1rZXlzPjxyZWYtdHlwZSBuYW1lPSJKb3VybmFs
IEFydGljbGUiPjE3PC9yZWYtdHlwZT48Y29udHJpYnV0b3JzPjxhdXRob3JzPjxhdXRob3I+RGUg
U2lsdmEsIFMuIFMuPC9hdXRob3I+PGF1dGhvcj5OZ3V5ZW4sIFQuIFQuIFQuPC9hdXRob3I+PGF1
dGhvcj5UdXJjaGluaSwgRy4gTS48L2F1dGhvcj48YXV0aG9yPkFtYXJhc2luZ2hlLCBVLiBTLjwv
YXV0aG9yPjxhdXRob3I+QWJlcnksIE4uIFcuPC9hdXRob3I+PC9hdXRob3JzPjwvY29udHJpYnV0
b3JzPjxhdXRoLWFkZHJlc3M+RGVha2luIFVuaXYsIFNjaCBMaWZlICZhbXA7IEVudmlyb25tIFNj
aSwgR2VlbG9uZywgVmljIDMyMTcsIEF1c3RyYWxpYSYjeEQ7RGVha2luIFVuaXYsIFNjaCBMaWZl
ICZhbXA7IEVudmlyb25tIFNjaSwgV2Fycm5hbWJvb2wsIFZpYyAzMjgwLCBBdXN0cmFsaWEmI3hE
O1VuaXYgS2VsYW5peWEsIERlcHQgWm9vbCwgS2VsYW5peWEsIFNyaSBMYW5rYSYjeEQ7RmlzaGVy
aWVzIFZpY3RvcmlhLCBEZXB0IFByaW1hcnkgSW5kLCBTbm9icyBDcmVlaywgVmljLCBBdXN0cmFs
aWE8L2F1dGgtYWRkcmVzcz48dGl0bGVzPjx0aXRsZT5BbGllbiBTcGVjaWVzIGluIEFxdWFjdWx0
dXJlIGFuZCBCaW9kaXZlcnNpdHk6IEEgUGFyYWRveCBpbiBGb29kIFByb2R1Y3Rpb248L3RpdGxl
PjxzZWNvbmRhcnktdGl0bGU+QW1iaW88L3NlY29uZGFyeS10aXRsZT48YWx0LXRpdGxlPkFtYmlv
PC9hbHQtdGl0bGU+PC90aXRsZXM+PHBlcmlvZGljYWw+PGZ1bGwtdGl0bGU+QW1iaW88L2Z1bGwt
dGl0bGU+PGFiYnItMT5BbWJpbzwvYWJici0xPjwvcGVyaW9kaWNhbD48YWx0LXBlcmlvZGljYWw+
PGZ1bGwtdGl0bGU+QW1iaW88L2Z1bGwtdGl0bGU+PGFiYnItMT5BbWJpbzwvYWJici0xPjwvYWx0
LXBlcmlvZGljYWw+PHBhZ2VzPjI0LTI4PC9wYWdlcz48dm9sdW1lPjM4PC92b2x1bWU+PG51bWJl
cj4xPC9udW1iZXI+PGtleXdvcmRzPjxrZXl3b3JkPmNsYXJpYXMtbWFjcm9jZXBoYWx1czwva2V5
d29yZD48a2V5d29yZD5jcmF5ZmlzaCBwbGFndWU8L2tleXdvcmQ+PGtleXdvcmQ+ZmlzaGVyaWVz
PC9rZXl3b3JkPjxrZXl3b3JkPnNhbG1vbmlkczwva2V5d29yZD48a2V5d29yZD5pbXBhY3RzPC9r
ZXl3b3JkPjxrZXl3b3JkPnRyb3V0PC9rZXl3b3JkPjxrZXl3b3JkPnBvcHVsYXRpb25zPC9rZXl3
b3JkPjxrZXl3b3JkPmdhcmllcGludXM8L2tleXdvcmQ+PGtleXdvcmQ+ZGl2ZXJzaXR5PC9rZXl3
b3JkPjxrZXl3b3JkPmhhdGNoZXJ5PC9rZXl3b3JkPjwva2V5d29yZHM+PGRhdGVzPjx5ZWFyPjIw
MDk8L3llYXI+PHB1Yi1kYXRlcz48ZGF0ZT5GZWI8L2RhdGU+PC9wdWItZGF0ZXM+PC9kYXRlcz48
aXNibj4wMDQ0LTc0NDc8L2lzYm4+PGFjY2Vzc2lvbi1udW0+V09TOjAwMDI2MzA4MzUwMDAwNTwv
YWNjZXNzaW9uLW51bT48dXJscz48cmVsYXRlZC11cmxzPjx1cmw+Jmx0O0dvIHRvIElTSSZndDs6
Ly9XT1M6MDAwMjYzMDgzNTAwMDA1PC91cmw+PC9yZWxhdGVkLXVybHM+PC91cmxzPjxsYW5ndWFn
ZT5FbmdsaXNoPC9sYW5ndWFnZT48L3JlY29yZD48L0NpdGU+PC9FbmROb3RlPgB=
</w:fldData>
        </w:fldChar>
      </w:r>
      <w:r w:rsidR="007419F9" w:rsidRPr="00A9434B">
        <w:instrText xml:space="preserve"> ADDIN EN.CITE.DATA </w:instrText>
      </w:r>
      <w:r w:rsidR="007419F9" w:rsidRPr="00A9434B">
        <w:fldChar w:fldCharType="end"/>
      </w:r>
      <w:r w:rsidR="007419F9" w:rsidRPr="00A9434B">
        <w:fldChar w:fldCharType="separate"/>
      </w:r>
      <w:r w:rsidR="00ED1B59" w:rsidRPr="00A9434B">
        <w:fldChar w:fldCharType="begin"/>
      </w:r>
      <w:r w:rsidR="0006613E">
        <w:instrText xml:space="preserve"> ADDIN ZOTERO_ITEM CSL_CITATION {"citationID":"a1o27ed2qmi","properties":{"formattedCitation":"(De Silva et al., 2004, 2009)","plainCitation":"(De Silva et al., 2004, 2009)","noteIndex":0},"citationItems":[{"id":53183,"uris":["http://zotero.org/groups/2352922/items/PCDZURKN"],"itemData":{"id":53183,"type":"report","event-place":"Rome","genre":"FAO Fisheries Technical Paper","note":"ISBN: 9251052271\npublisher: Food &amp; Agriculture Org.","number":"No. 453","publisher":"Food and Agriculture Organization","publisher-place":"Rome","title":"Tilapias as alien aquatics in Asia and the Pacific: a review","author":[{"family":"De Silva","given":"Sena S."},{"family":"Subasinghe","given":"Rohana"},{"family":"Bartley","given":"Devin M."},{"family":"Lowther","given":"Alan"}],"issued":{"date-parts":[["2004"]]}},"label":"page"},{"id":31158,"uris":["http://zotero.org/groups/2352922/items/NJJF9G4P"],"itemData":{"id":31158,"type":"article-journal","abstract":"The ﬁsheries sector in the course of the last three decades have been transformed from a developed country to a developing country dominance. Aquaculture, the farming of waters, though a millennia old tradition during this period has become a signiﬁcant contributor to food ﬁsh production, currently accounting for nearly 50 % of global food ﬁsh consumption; in effect transforming our dependence from a hunted to a farmed supply as for all our staple food types. Aquaculture and indeed the ﬁsheries sector as a whole is predominated in the developing countries, and accordingly the development strategies adopted by the sector are inﬂuenced by this. Aquaculture also being a newly emerged food production sector has being subjected to an increased level of public scrutiny, and one of the most contentious aspects has been its impacts on biodiversity. In this synthesis an attempt is made to assess the impacts of aquaculture on biodiversity. Instances of major impacts on biodiversity conservation arising from aquaculture, such as land use, efﬂuent discharge, effects on wild populations, alien species among others are highlighted and critically examined. The inﬂuence of paradigm changes in development strategies and modern day market forces have begun to impact on aquaculture developments. Consequently, improvements in practices and adoption of more environmentally friendly approaches that have a decreasing negative inﬂuence on biodiversity conservation are highlighted. An attempt is also made to demonstrate direct and or indirect beneﬁts of aquaculture, such as through being a substitute to meet human needs for food, particularly over-exploited and vulnerable ﬁsh stocks, and for other purposes (e.g. medicinal ingredients), on biodiversity conservation, often a neglected entity.","container-title":"AMBIO: A Journal of the Human Environment","DOI":"10.1579/0044-7447-38.1.24","ISSN":"0044-7447","issue":"1","journalAbbreviation":"AMBIO: A Journal of the Human Environment","language":"en","page":"24-28","source":"DOI.org (Crossref)","title":"Alien Species in Aquaculture and Biodiversity: A Paradox in Food Production","title-short":"Alien Species in Aquaculture and Biodiversity","URL":"http://www.bioone.org/doi/abs/10.1579/0044-7447-38.1.24","volume":"38","author":[{"family":"De Silva","given":"Sena S."},{"family":"Nguyen","given":"Thuy T. T."},{"family":"Turchini","given":"Giovanni M."},{"family":"Amarasinghe","given":"Upali S."},{"family":"Abery","given":"Nigel W."}],"accessed":{"date-parts":[["2021",10,31]]},"issued":{"date-parts":[["2009",2]]}},"label":"page"}],"schema":"https://github.com/citation-style-language/schema/raw/master/csl-citation.json"} </w:instrText>
      </w:r>
      <w:r w:rsidR="00ED1B59" w:rsidRPr="00A9434B">
        <w:fldChar w:fldCharType="separate"/>
      </w:r>
      <w:r w:rsidR="00017441" w:rsidRPr="00017441">
        <w:t>(De Silva et al., 2004, 2009)</w:t>
      </w:r>
      <w:r w:rsidR="00ED1B59" w:rsidRPr="00A9434B">
        <w:fldChar w:fldCharType="end"/>
      </w:r>
      <w:r w:rsidR="007419F9" w:rsidRPr="00A9434B">
        <w:fldChar w:fldCharType="end"/>
      </w:r>
      <w:r w:rsidR="00D9180C" w:rsidRPr="00A9434B">
        <w:t>;</w:t>
      </w:r>
      <w:r>
        <w:t xml:space="preserve"> simply put, shifting to a less productive native species may not be feasible.</w:t>
      </w:r>
    </w:p>
    <w:p w14:paraId="6FB0C090" w14:textId="077A05B0" w:rsidR="00017C04" w:rsidRDefault="00F50AF9">
      <w:pPr>
        <w:pStyle w:val="Heading5"/>
      </w:pPr>
      <w:bookmarkStart w:id="262" w:name="_heading=h.xvir7l"/>
      <w:bookmarkStart w:id="263" w:name="_Toc85291863"/>
      <w:bookmarkEnd w:id="262"/>
      <w:r>
        <w:t xml:space="preserve">(4) Develop guidance documents and codes of practice to reduce pathway risks for disaster relief and assistance </w:t>
      </w:r>
      <w:bookmarkEnd w:id="263"/>
      <w:r>
        <w:t>programmes</w:t>
      </w:r>
      <w:r>
        <w:br/>
      </w:r>
      <w:r>
        <w:rPr>
          <w:b w:val="0"/>
        </w:rPr>
        <w:t xml:space="preserve">The lack of awareness of the possible problems caused by </w:t>
      </w:r>
      <w:r w:rsidR="00B301D7">
        <w:rPr>
          <w:b w:val="0"/>
        </w:rPr>
        <w:t xml:space="preserve">invasive alien species </w:t>
      </w:r>
      <w:r w:rsidR="001A28C8" w:rsidRPr="00A9434B">
        <w:rPr>
          <w:b w:val="0"/>
          <w:bCs/>
        </w:rPr>
        <w:t>in</w:t>
      </w:r>
      <w:r w:rsidR="007419F9" w:rsidRPr="00A9434B">
        <w:rPr>
          <w:b w:val="0"/>
          <w:bCs/>
        </w:rPr>
        <w:t xml:space="preserve"> international development program</w:t>
      </w:r>
      <w:r w:rsidR="002268F3" w:rsidRPr="00A9434B">
        <w:rPr>
          <w:b w:val="0"/>
          <w:bCs/>
        </w:rPr>
        <w:t>me</w:t>
      </w:r>
      <w:r w:rsidR="007419F9" w:rsidRPr="00A9434B">
        <w:rPr>
          <w:b w:val="0"/>
          <w:bCs/>
        </w:rPr>
        <w:t xml:space="preserve">s has made disaster relief and assistance an </w:t>
      </w:r>
      <w:r w:rsidR="009A5E0E">
        <w:rPr>
          <w:b w:val="0"/>
          <w:bCs/>
        </w:rPr>
        <w:t>major</w:t>
      </w:r>
      <w:r w:rsidR="009A5E0E" w:rsidRPr="00A9434B">
        <w:rPr>
          <w:b w:val="0"/>
          <w:bCs/>
        </w:rPr>
        <w:t xml:space="preserve"> </w:t>
      </w:r>
      <w:r w:rsidR="007419F9" w:rsidRPr="00A9434B">
        <w:rPr>
          <w:b w:val="0"/>
          <w:bCs/>
        </w:rPr>
        <w:t xml:space="preserve">invasion pathway </w:t>
      </w:r>
      <w:r w:rsidR="007419F9" w:rsidRPr="00A9434B">
        <w:rPr>
          <w:b w:val="0"/>
          <w:bCs/>
          <w:i/>
          <w:iCs/>
        </w:rPr>
        <w:fldChar w:fldCharType="begin"/>
      </w:r>
      <w:r w:rsidR="007419F9" w:rsidRPr="00A9434B">
        <w:rPr>
          <w:b w:val="0"/>
          <w:bCs/>
        </w:rPr>
        <w:instrText xml:space="preserve"> ADDIN EN.CITE &lt;EndNote&gt;&lt;Cite&gt;&lt;Author&gt;Murphy&lt;/Author&gt;&lt;Year&gt;2006&lt;/Year&gt;&lt;RecNum&gt;193&lt;/RecNum&gt;&lt;DisplayText&gt;(Murphy and Cheesman 2006)&lt;/DisplayText&gt;&lt;record&gt;&lt;rec-number&gt;193&lt;/rec-number&gt;&lt;foreign-keys&gt;&lt;key app="EN" db-id="2fps2rpwcptwaxedz9oprzvmawfxef9pfpa2" timestamp="1628074255"&gt;193&lt;/key&gt;&lt;/foreign-keys&gt;&lt;ref-type name="Journal Article"&gt;17&lt;/ref-type&gt;&lt;contributors&gt;&lt;authors&gt;&lt;author&gt;Murphy, ST&lt;/author&gt;&lt;author&gt;Cheesman, OD&lt;/author&gt;&lt;/authors&gt;&lt;/contributors&gt;&lt;titles&gt;&lt;title&gt;The aid trade: international assistance programs as pathways for the introduction of invasive alien species&lt;/title&gt;&lt;secondary-title&gt;World Bank Environment Department Papers&lt;/secondary-title&gt;&lt;/titles&gt;&lt;periodical&gt;&lt;full-title&gt;World Bank Environment Department Papers&lt;/full-title&gt;&lt;/periodical&gt;&lt;number&gt;109&lt;/number&gt;&lt;dates&gt;&lt;year&gt;2006&lt;/year&gt;&lt;/dates&gt;&lt;urls&gt;&lt;/urls&gt;&lt;/record&gt;&lt;/Cite&gt;&lt;/EndNote&gt;</w:instrText>
      </w:r>
      <w:r w:rsidR="007419F9" w:rsidRPr="00A9434B">
        <w:rPr>
          <w:b w:val="0"/>
          <w:bCs/>
          <w:i/>
          <w:iCs/>
        </w:rPr>
        <w:fldChar w:fldCharType="separate"/>
      </w:r>
      <w:r w:rsidR="003D408C" w:rsidRPr="00A9434B">
        <w:rPr>
          <w:b w:val="0"/>
          <w:bCs/>
          <w:i/>
          <w:iCs/>
        </w:rPr>
        <w:fldChar w:fldCharType="begin"/>
      </w:r>
      <w:r w:rsidR="0006613E">
        <w:rPr>
          <w:b w:val="0"/>
          <w:bCs/>
        </w:rPr>
        <w:instrText xml:space="preserve"> ADDIN ZOTERO_ITEM CSL_CITATION {"citationID":"a1rudg40v5d","properties":{"formattedCitation":"\\uldash{(Murphy &amp; Cheesman, 2006)}","plainCitation":"(Murphy &amp; Cheesman, 2006)","dontUpdate":true,"noteIndex":0},"citationItems":[{"id":32859,"uris":["http://zotero.org/groups/2352922/items/WACB9G3T"],"itemData":{"id":32859,"type":"report","collection-title":"Biodiversity Series","event-place":"Washington, DC, USA","genre":"A Preliminary Report","language":"en","page":"50","publisher":"World Bank Environmental Department","publisher-place":"Washington, DC, USA","source":"Zotero","title":"The Aid Trade - International Assistance Programs as Pathways for the Introduction of Invasive Alien Species","author":[{"family":"Murphy","given":"Sean T"},{"family":"Cheesman","given":"Oliver D"}],"issued":{"date-parts":[["2006"]]}}}],"schema":"https://github.com/citation-style-language/schema/raw/master/csl-citation.json"} </w:instrText>
      </w:r>
      <w:r w:rsidR="003D408C" w:rsidRPr="00A9434B">
        <w:rPr>
          <w:b w:val="0"/>
          <w:bCs/>
          <w:i/>
          <w:iCs/>
        </w:rPr>
        <w:fldChar w:fldCharType="separate"/>
      </w:r>
      <w:r w:rsidR="00673D94" w:rsidRPr="00A9434B">
        <w:rPr>
          <w:b w:val="0"/>
        </w:rPr>
        <w:t>(Murphy &amp; Cheesman, 2006</w:t>
      </w:r>
      <w:r w:rsidR="003D408C" w:rsidRPr="00A9434B">
        <w:rPr>
          <w:b w:val="0"/>
          <w:bCs/>
          <w:i/>
          <w:iCs/>
        </w:rPr>
        <w:fldChar w:fldCharType="end"/>
      </w:r>
      <w:r w:rsidR="007419F9" w:rsidRPr="00A9434B">
        <w:rPr>
          <w:b w:val="0"/>
          <w:bCs/>
          <w:i/>
          <w:iCs/>
        </w:rPr>
        <w:fldChar w:fldCharType="end"/>
      </w:r>
      <w:r w:rsidR="00105F33">
        <w:rPr>
          <w:b w:val="0"/>
          <w:bCs/>
        </w:rPr>
        <w:t>;</w:t>
      </w:r>
      <w:r>
        <w:rPr>
          <w:b w:val="0"/>
        </w:rPr>
        <w:t xml:space="preserve"> </w:t>
      </w:r>
      <w:r>
        <w:t>Chapter 3</w:t>
      </w:r>
      <w:r>
        <w:rPr>
          <w:b w:val="0"/>
        </w:rPr>
        <w:t>,</w:t>
      </w:r>
      <w:r>
        <w:t xml:space="preserve"> section 3.2.2.2</w:t>
      </w:r>
      <w:r>
        <w:rPr>
          <w:b w:val="0"/>
        </w:rPr>
        <w:t xml:space="preserve">). Specifically, the invasive alien species problems created by international disaster relief and assistance programmes arise unintentionally from activities inspired by humanitarian motives. Many anecdotal reports (summarized by </w:t>
      </w:r>
      <w:r w:rsidR="00E46695" w:rsidRPr="00A9434B">
        <w:rPr>
          <w:b w:val="0"/>
          <w:bCs/>
          <w:i/>
          <w:iCs/>
        </w:rPr>
        <w:fldChar w:fldCharType="begin"/>
      </w:r>
      <w:r w:rsidR="00E46695" w:rsidRPr="00A9434B">
        <w:rPr>
          <w:b w:val="0"/>
          <w:bCs/>
        </w:rPr>
        <w:instrText xml:space="preserve"> ADDIN EN.CITE &lt;EndNote&gt;&lt;Cite&gt;&lt;Author&gt;Murphy&lt;/Author&gt;&lt;Year&gt;2006&lt;/Year&gt;&lt;RecNum&gt;193&lt;/RecNum&gt;&lt;DisplayText&gt;(Murphy and Cheesman 2006)&lt;/DisplayText&gt;&lt;record&gt;&lt;rec-number&gt;193&lt;/rec-number&gt;&lt;foreign-keys&gt;&lt;key app="EN" db-id="2fps2rpwcptwaxedz9oprzvmawfxef9pfpa2" timestamp="1628074255"&gt;193&lt;/key&gt;&lt;/foreign-keys&gt;&lt;ref-type name="Journal Article"&gt;17&lt;/ref-type&gt;&lt;contributors&gt;&lt;authors&gt;&lt;author&gt;Murphy, ST&lt;/author&gt;&lt;author&gt;Cheesman, OD&lt;/author&gt;&lt;/authors&gt;&lt;/contributors&gt;&lt;titles&gt;&lt;title&gt;The aid trade: international assistance programs as pathways for the introduction of invasive alien species&lt;/title&gt;&lt;secondary-title&gt;World Bank Environment Department Papers&lt;/secondary-title&gt;&lt;/titles&gt;&lt;periodical&gt;&lt;full-title&gt;World Bank Environment Department Papers&lt;/full-title&gt;&lt;/periodical&gt;&lt;number&gt;109&lt;/number&gt;&lt;dates&gt;&lt;year&gt;2006&lt;/year&gt;&lt;/dates&gt;&lt;urls&gt;&lt;/urls&gt;&lt;/record&gt;&lt;/Cite&gt;&lt;/EndNote&gt;</w:instrText>
      </w:r>
      <w:r w:rsidR="00E46695" w:rsidRPr="00A9434B">
        <w:rPr>
          <w:b w:val="0"/>
          <w:bCs/>
          <w:i/>
          <w:iCs/>
        </w:rPr>
        <w:fldChar w:fldCharType="separate"/>
      </w:r>
      <w:r w:rsidR="00E46695" w:rsidRPr="00A9434B">
        <w:rPr>
          <w:b w:val="0"/>
          <w:bCs/>
          <w:i/>
          <w:iCs/>
        </w:rPr>
        <w:fldChar w:fldCharType="begin"/>
      </w:r>
      <w:r w:rsidR="0006613E">
        <w:rPr>
          <w:b w:val="0"/>
          <w:bCs/>
        </w:rPr>
        <w:instrText xml:space="preserve"> ADDIN ZOTERO_ITEM CSL_CITATION {"citationID":"a2ipvcat60a","properties":{"formattedCitation":"\\uldash{(Murphy &amp; Cheesman, 2006)}","plainCitation":"(Murphy &amp; Cheesman, 2006)","dontUpdate":true,"noteIndex":0},"citationItems":[{"id":32859,"uris":["http://zotero.org/groups/2352922/items/WACB9G3T"],"itemData":{"id":32859,"type":"report","collection-title":"Biodiversity Series","event-place":"Washington, DC, USA","genre":"A Preliminary Report","language":"en","page":"50","publisher":"World Bank Environmental Department","publisher-place":"Washington, DC, USA","source":"Zotero","title":"The Aid Trade - International Assistance Programs as Pathways for the Introduction of Invasive Alien Species","author":[{"family":"Murphy","given":"Sean T"},{"family":"Cheesman","given":"Oliver D"}],"issued":{"date-parts":[["2006"]]}}}],"schema":"https://github.com/citation-style-language/schema/raw/master/csl-citation.json"} </w:instrText>
      </w:r>
      <w:r w:rsidR="00E46695" w:rsidRPr="00A9434B">
        <w:rPr>
          <w:b w:val="0"/>
          <w:bCs/>
          <w:i/>
          <w:iCs/>
        </w:rPr>
        <w:fldChar w:fldCharType="separate"/>
      </w:r>
      <w:r w:rsidR="00673D94" w:rsidRPr="00A9434B">
        <w:rPr>
          <w:b w:val="0"/>
        </w:rPr>
        <w:t>Murphy &amp; Cheesman, 2006)</w:t>
      </w:r>
      <w:r w:rsidR="00E46695" w:rsidRPr="00A9434B">
        <w:rPr>
          <w:b w:val="0"/>
          <w:bCs/>
          <w:i/>
          <w:iCs/>
        </w:rPr>
        <w:fldChar w:fldCharType="end"/>
      </w:r>
      <w:r w:rsidR="00E46695" w:rsidRPr="00A9434B">
        <w:rPr>
          <w:b w:val="0"/>
          <w:bCs/>
          <w:i/>
          <w:iCs/>
        </w:rPr>
        <w:fldChar w:fldCharType="end"/>
      </w:r>
      <w:r w:rsidR="007419F9" w:rsidRPr="00A9434B">
        <w:rPr>
          <w:b w:val="0"/>
          <w:bCs/>
        </w:rPr>
        <w:t xml:space="preserve"> link invasive alien species to these program</w:t>
      </w:r>
      <w:r w:rsidR="002268F3" w:rsidRPr="00A9434B">
        <w:rPr>
          <w:b w:val="0"/>
          <w:bCs/>
        </w:rPr>
        <w:t>me</w:t>
      </w:r>
      <w:r w:rsidR="007419F9" w:rsidRPr="00A9434B">
        <w:rPr>
          <w:b w:val="0"/>
          <w:bCs/>
        </w:rPr>
        <w:t xml:space="preserve">s </w:t>
      </w:r>
      <w:r w:rsidR="00F806B6" w:rsidRPr="00A9434B">
        <w:rPr>
          <w:b w:val="0"/>
          <w:bCs/>
        </w:rPr>
        <w:t>(</w:t>
      </w:r>
      <w:r w:rsidR="00571A0C">
        <w:rPr>
          <w:bCs/>
          <w:iCs/>
        </w:rPr>
        <w:t>C</w:t>
      </w:r>
      <w:r w:rsidR="007419F9" w:rsidRPr="00673554">
        <w:rPr>
          <w:bCs/>
          <w:iCs/>
        </w:rPr>
        <w:t>hapter 3</w:t>
      </w:r>
      <w:r w:rsidR="00423DEB" w:rsidRPr="00673554">
        <w:rPr>
          <w:b w:val="0"/>
          <w:bCs/>
          <w:iCs/>
        </w:rPr>
        <w:t>,</w:t>
      </w:r>
      <w:r w:rsidR="00423DEB" w:rsidRPr="00673554">
        <w:rPr>
          <w:bCs/>
          <w:iCs/>
        </w:rPr>
        <w:t xml:space="preserve"> section 3.2.2.</w:t>
      </w:r>
      <w:r w:rsidR="00E0788B" w:rsidRPr="00673554">
        <w:rPr>
          <w:bCs/>
          <w:iCs/>
        </w:rPr>
        <w:t>2</w:t>
      </w:r>
      <w:r w:rsidR="007419F9" w:rsidRPr="00A9434B">
        <w:rPr>
          <w:b w:val="0"/>
          <w:bCs/>
        </w:rPr>
        <w:t>).</w:t>
      </w:r>
      <w:r>
        <w:rPr>
          <w:b w:val="0"/>
        </w:rPr>
        <w:t xml:space="preserve"> As the negative effects of alien species (un)intentionally introduced via this pathway can be long lasting and outweigh positive impacts, increasing this awareness is important.</w:t>
      </w:r>
      <w:r>
        <w:t xml:space="preserve"> </w:t>
      </w:r>
    </w:p>
    <w:p w14:paraId="6AD85556" w14:textId="2C7F262E" w:rsidR="00017C04" w:rsidRDefault="00F50AF9">
      <w:r>
        <w:t>The most efficient line of defence to identify possible invasive alien species in aid packages might be developing biosecurity protocols, voluntary codes of practice</w:t>
      </w:r>
      <w:r w:rsidR="005D0083">
        <w:t xml:space="preserve"> and</w:t>
      </w:r>
      <w:r>
        <w:t xml:space="preserve"> risk assessment protocols focused on preventing (un)intentional introduction in these programmes. Addressing the problems that have resulted from invasive alien species (un)intentionally introduced by past international assistance and aid /relief activities could be a priority for all associated stakeholders. However, conflicts of interest may arise where an environmentally damaging species is contributing to local livelihoods (as reviewed in </w:t>
      </w:r>
      <w:r w:rsidR="0094098B" w:rsidRPr="00A9434B">
        <w:fldChar w:fldCharType="begin"/>
      </w:r>
      <w:r w:rsidR="0014002B">
        <w:instrText xml:space="preserve"> ADDIN ZOTERO_ITEM CSL_CITATION {"citationID":"i6rylQ5t","properties":{"formattedCitation":"(Shackleton, Shackleton, et al., 2019)","plainCitation":"(Shackleton, Shackleton, et al., 2019)","dontUpdate":true,"noteIndex":0},"citationItems":[{"id":56684,"uris":["http://zotero.org/groups/2352922/items/4PZGDY6S","http://zotero.org/groups/2352922/items/ZVLAJYMG"],"itemData":{"id":56684,"type":"article-journal","container-title":"Journal of Environmental Management","DOI":"10.1016/j.jenvman.2018.05.007","ISSN":"03014797","journalAbbreviation":"Journal of Environmental Management","language":"en","page":"145-157","source":"DOI.org (Crossref)","title":"The role of invasive alien species in shaping local livelihoods and human well-being: A review","title-short":"The role of invasive alien species in shaping local livelihoods and human well-being","URL":"https://linkinghub.elsevier.com/retrieve/pii/S0301479718305267","volume":"229","author":[{"family":"Shackleton","given":"Ross T."},{"family":"Shackleton","given":"Charlie M."},{"family":"Kull","given":"Christian A."}],"accessed":{"date-parts":[["2023",6,8]]},"issued":{"date-parts":[["2019",1]]}}}],"schema":"https://github.com/citation-style-language/schema/raw/master/csl-citation.json"} </w:instrText>
      </w:r>
      <w:r w:rsidR="0094098B" w:rsidRPr="00A9434B">
        <w:fldChar w:fldCharType="separate"/>
      </w:r>
      <w:r w:rsidR="001153D7" w:rsidRPr="001153D7">
        <w:t>Shackleton, Shackleton, et al., 2019</w:t>
      </w:r>
      <w:r w:rsidR="0094098B" w:rsidRPr="00A9434B">
        <w:fldChar w:fldCharType="end"/>
      </w:r>
      <w:r w:rsidR="00A31680">
        <w:t>;</w:t>
      </w:r>
      <w:r>
        <w:t xml:space="preserve"> </w:t>
      </w:r>
      <w:r>
        <w:rPr>
          <w:b/>
        </w:rPr>
        <w:t>Chapter 5</w:t>
      </w:r>
      <w:r>
        <w:t>,</w:t>
      </w:r>
      <w:r>
        <w:rPr>
          <w:b/>
        </w:rPr>
        <w:t xml:space="preserve"> section 5.6.1.2</w:t>
      </w:r>
      <w:r>
        <w:t xml:space="preserve">). Therefore, careful consideration is necessary of the trade-offs between reductions in nature and good quality of life benefits due to invasive alien species impacts and the immediate needs of vulnerable populations. </w:t>
      </w:r>
    </w:p>
    <w:p w14:paraId="084EBC5B" w14:textId="5D778F07" w:rsidR="00017C04" w:rsidRDefault="00F50AF9" w:rsidP="00B301D7">
      <w:pPr>
        <w:pStyle w:val="Heading3"/>
      </w:pPr>
      <w:bookmarkStart w:id="264" w:name="_heading=h.3hv69ve" w:colFirst="0" w:colLast="0"/>
      <w:bookmarkStart w:id="265" w:name="_Toc85291864"/>
      <w:bookmarkStart w:id="266" w:name="_Toc2009466770"/>
      <w:bookmarkStart w:id="267" w:name="_Toc133428310"/>
      <w:bookmarkStart w:id="268" w:name="_Toc74056295"/>
      <w:bookmarkEnd w:id="264"/>
      <w:r>
        <w:t xml:space="preserve">Addressing implementation </w:t>
      </w:r>
      <w:bookmarkEnd w:id="265"/>
      <w:r>
        <w:t>challenges in key areas</w:t>
      </w:r>
      <w:bookmarkEnd w:id="266"/>
      <w:bookmarkEnd w:id="267"/>
    </w:p>
    <w:bookmarkEnd w:id="268"/>
    <w:p w14:paraId="4F9CA921" w14:textId="0BFC74B2" w:rsidR="00017C04" w:rsidRDefault="2F958343" w:rsidP="0B8DB0CC">
      <w:r>
        <w:t xml:space="preserve">Effective management of </w:t>
      </w:r>
      <w:r w:rsidR="25CE5B70">
        <w:t xml:space="preserve">biological invasions </w:t>
      </w:r>
      <w:r>
        <w:t>can be promoted in multilateral and national legal and regulatory instruments by including early warning systems (</w:t>
      </w:r>
      <w:r w:rsidRPr="0B8DB0CC">
        <w:rPr>
          <w:b/>
          <w:bCs/>
        </w:rPr>
        <w:t>Chapter 5</w:t>
      </w:r>
      <w:r>
        <w:t>,</w:t>
      </w:r>
      <w:r w:rsidRPr="0B8DB0CC">
        <w:rPr>
          <w:b/>
          <w:bCs/>
        </w:rPr>
        <w:t xml:space="preserve"> section 5.5.2</w:t>
      </w:r>
      <w:r>
        <w:t>) in all environmental legal and regulatory instruments; considering all alien species as possible environmentally hazardous living organisms; developing strategies to regulate cross-border e-commerce (</w:t>
      </w:r>
      <w:r w:rsidR="00571A0C">
        <w:rPr>
          <w:b/>
          <w:iCs/>
        </w:rPr>
        <w:t>G</w:t>
      </w:r>
      <w:r w:rsidR="004515D8" w:rsidRPr="00673554">
        <w:rPr>
          <w:b/>
          <w:iCs/>
        </w:rPr>
        <w:t>lossary</w:t>
      </w:r>
      <w:r>
        <w:t xml:space="preserve">); increasing awareness of and improved compliance with (voluntary) codes of practices; and incorporating </w:t>
      </w:r>
      <w:r w:rsidR="4636F03E">
        <w:t xml:space="preserve">prevention and control of </w:t>
      </w:r>
      <w:r>
        <w:t>invasive alien species into protected areas</w:t>
      </w:r>
      <w:r w:rsidR="11BA0EEB">
        <w:t xml:space="preserve"> and island</w:t>
      </w:r>
      <w:r>
        <w:t xml:space="preserve"> management plans.</w:t>
      </w:r>
    </w:p>
    <w:p w14:paraId="4811280F" w14:textId="62F7986A" w:rsidR="00017C04" w:rsidRDefault="00F50AF9">
      <w:pPr>
        <w:pStyle w:val="Heading5"/>
        <w:rPr>
          <w:b w:val="0"/>
        </w:rPr>
      </w:pPr>
      <w:r>
        <w:lastRenderedPageBreak/>
        <w:t xml:space="preserve">(1) Include early warning systems for invasive alien species </w:t>
      </w:r>
      <w:r w:rsidR="006E0767">
        <w:t>into multilateral environmental agreements and nation</w:t>
      </w:r>
      <w:r>
        <w:t>al legal and regulatory instruments</w:t>
      </w:r>
      <w:r>
        <w:br/>
      </w:r>
      <w:r>
        <w:rPr>
          <w:b w:val="0"/>
        </w:rPr>
        <w:t xml:space="preserve">Although biodiversity-related policy instruments dealing with invasive alien species have generic surveillance provisions (e.g., the Nagoya Protocol on Access to Genetic Resources and the Fair and Equitable Sharing of Benefits Arising from their Utilization to the </w:t>
      </w:r>
      <w:r w:rsidR="00A67310">
        <w:rPr>
          <w:b w:val="0"/>
        </w:rPr>
        <w:t>CBD</w:t>
      </w:r>
      <w:r>
        <w:rPr>
          <w:b w:val="0"/>
        </w:rPr>
        <w:t xml:space="preserve">, Article 29 and subsequent decisions; Cartagena Protocol, Article 17; International Treaty on Plant Genetic Resources for Food and Agriculture Article 17.2, or the Ramsar Convention on Wetlands, Articles 3(2), 4(1), 4(3), 6(2) </w:t>
      </w:r>
      <w:r w:rsidR="000906FC" w:rsidRPr="00CF4F7B">
        <w:rPr>
          <w:b w:val="0"/>
          <w:bCs/>
          <w:i/>
          <w:iCs/>
        </w:rPr>
        <w:fldChar w:fldCharType="begin"/>
      </w:r>
      <w:r w:rsidR="0006613E">
        <w:rPr>
          <w:b w:val="0"/>
          <w:bCs/>
        </w:rPr>
        <w:instrText xml:space="preserve"> ADDIN ZOTERO_ITEM CSL_CITATION {"citationID":"a2fmpkrmm55","properties":{"formattedCitation":"(InforMEA, 2021)","plainCitation":"(InforMEA, 2021)","noteIndex":0},"citationItems":[{"id":31751,"uris":["http://zotero.org/groups/2352922/items/87855Y99"],"itemData":{"id":31751,"type":"webpage","container-title":"United Nations Information Portal on Multilateral Environmental Agreements","title":"early warning system | InforMEA","URL":"https://www.informea.org/en/terms/early-warning-system","author":[{"literal":"InforMEA"}],"accessed":{"date-parts":[["2021",5,20]]},"issued":{"date-parts":[["2021"]]}},"label":"page"}],"schema":"https://github.com/citation-style-language/schema/raw/master/csl-citation.json"} </w:instrText>
      </w:r>
      <w:r w:rsidR="000906FC" w:rsidRPr="00CF4F7B">
        <w:rPr>
          <w:b w:val="0"/>
          <w:bCs/>
          <w:i/>
          <w:iCs/>
        </w:rPr>
        <w:fldChar w:fldCharType="separate"/>
      </w:r>
      <w:r w:rsidR="00C71E80" w:rsidRPr="00CF4F7B">
        <w:rPr>
          <w:b w:val="0"/>
          <w:bCs/>
        </w:rPr>
        <w:t>(InforMEA, 2021)</w:t>
      </w:r>
      <w:r w:rsidR="000906FC" w:rsidRPr="00CF4F7B">
        <w:rPr>
          <w:b w:val="0"/>
          <w:bCs/>
          <w:i/>
          <w:iCs/>
        </w:rPr>
        <w:fldChar w:fldCharType="end"/>
      </w:r>
      <w:r w:rsidR="7537C5CD" w:rsidRPr="00CF4F7B">
        <w:rPr>
          <w:b w:val="0"/>
          <w:bCs/>
        </w:rPr>
        <w:t>),</w:t>
      </w:r>
      <w:r>
        <w:rPr>
          <w:b w:val="0"/>
        </w:rPr>
        <w:t xml:space="preserve"> no instrument has a direct requirement for monitoring or the development of early warning systems. The need to develop effective global early warning and rapid response systems has been stated as a priority action by the CBD COP (decision IX/4 “In-depth review of ongoing work on alien species that threaten ecosystems, habitats, or species” and by the “Charter of Syracuse” on biodiversity, adopted at the G8 Environment Ministers Meeting (22–24 April 2009, Syracuse, Italy). Early warning and rapid response systems for </w:t>
      </w:r>
      <w:r w:rsidR="24D9BB9D">
        <w:rPr>
          <w:b w:val="0"/>
        </w:rPr>
        <w:t xml:space="preserve">invasive alien species </w:t>
      </w:r>
      <w:r>
        <w:rPr>
          <w:b w:val="0"/>
        </w:rPr>
        <w:t xml:space="preserve">can detect the occurrence of new invasive alien species, supported by activities to identify new species correctly and acquire all related information </w:t>
      </w:r>
      <w:r w:rsidR="000906FC" w:rsidRPr="00A9434B">
        <w:rPr>
          <w:b w:val="0"/>
          <w:bCs/>
          <w:i/>
          <w:iCs/>
        </w:rPr>
        <w:fldChar w:fldCharType="begin"/>
      </w:r>
      <w:r w:rsidR="0006613E">
        <w:rPr>
          <w:b w:val="0"/>
          <w:bCs/>
        </w:rPr>
        <w:instrText xml:space="preserve"> ADDIN ZOTERO_ITEM CSL_CITATION {"citationID":"atq86decub","properties":{"formattedCitation":"(European Environment Agency, 2010b)","plainCitation":"(European Environment Agency, 2010b)","noteIndex":0},"citationItems":[{"id":53221,"uris":["http://zotero.org/groups/2352922/items/2RQ6CLTS"],"itemData":{"id":53221,"type":"report","event-place":"Copenhagen","genre":"EEA Technical report","note":"ISSN: 1725-2237\nDOI 10.2800/4167","number":"5","page":"47","publisher-place":"Copenhagen","title":"Towards an early warning and information system for invasive alien species (IAS) threatening biodiversity in Europe","author":[{"literal":"European Environment Agency"}],"issued":{"date-parts":[["2010"]]}},"label":"page"}],"schema":"https://github.com/citation-style-language/schema/raw/master/csl-citation.json"} </w:instrText>
      </w:r>
      <w:r w:rsidR="000906FC" w:rsidRPr="00A9434B">
        <w:rPr>
          <w:b w:val="0"/>
          <w:bCs/>
          <w:i/>
          <w:iCs/>
        </w:rPr>
        <w:fldChar w:fldCharType="separate"/>
      </w:r>
      <w:r w:rsidR="00C71E80" w:rsidRPr="00A9434B">
        <w:rPr>
          <w:b w:val="0"/>
          <w:bCs/>
        </w:rPr>
        <w:t>(European Environment Agency, 2010b)</w:t>
      </w:r>
      <w:r w:rsidR="000906FC" w:rsidRPr="00A9434B">
        <w:rPr>
          <w:b w:val="0"/>
          <w:bCs/>
          <w:i/>
          <w:iCs/>
        </w:rPr>
        <w:fldChar w:fldCharType="end"/>
      </w:r>
      <w:r w:rsidR="086BF4D1" w:rsidRPr="00A9434B">
        <w:rPr>
          <w:b w:val="0"/>
          <w:bCs/>
        </w:rPr>
        <w:t>.</w:t>
      </w:r>
    </w:p>
    <w:p w14:paraId="49276D2B" w14:textId="3A9EFEE6" w:rsidR="0022185D" w:rsidRPr="004D7189" w:rsidRDefault="00FA164C" w:rsidP="006B3143">
      <w:pPr>
        <w:rPr>
          <w:lang w:val="de-DE"/>
        </w:rPr>
      </w:pPr>
      <w:r>
        <w:t>T</w:t>
      </w:r>
      <w:r w:rsidR="00DF1AF7" w:rsidRPr="00A9434B">
        <w:t xml:space="preserve">he lack of clear provisions on early warning systems is </w:t>
      </w:r>
      <w:r>
        <w:t xml:space="preserve">due to the need for </w:t>
      </w:r>
      <w:r w:rsidR="009E45E8" w:rsidRPr="00A9434B">
        <w:t>cross-national integration of effort and standards</w:t>
      </w:r>
      <w:r w:rsidR="009E45E8">
        <w:t xml:space="preserve"> for</w:t>
      </w:r>
      <w:r w:rsidR="009E45E8" w:rsidRPr="00A9434B">
        <w:t xml:space="preserve"> </w:t>
      </w:r>
      <w:r w:rsidR="00370F7E" w:rsidRPr="00A9434B">
        <w:t xml:space="preserve">effective </w:t>
      </w:r>
      <w:r w:rsidR="00DF1AF7" w:rsidRPr="00A9434B">
        <w:t xml:space="preserve">surveillance, </w:t>
      </w:r>
      <w:r w:rsidR="009E45E8">
        <w:t>which</w:t>
      </w:r>
      <w:r w:rsidR="00DF1AF7" w:rsidRPr="00A9434B">
        <w:t xml:space="preserve"> has proven difficult for biodiversity</w:t>
      </w:r>
      <w:r w:rsidR="00370F7E" w:rsidRPr="00A9434B">
        <w:t xml:space="preserve"> policy</w:t>
      </w:r>
      <w:r w:rsidR="00DF1AF7" w:rsidRPr="00A9434B">
        <w:t xml:space="preserve"> instruments </w:t>
      </w:r>
      <w:r w:rsidR="00DF1AF7" w:rsidRPr="00A9434B">
        <w:fldChar w:fldCharType="begin"/>
      </w:r>
      <w:r w:rsidR="0014002B">
        <w:instrText xml:space="preserve"> ADDIN ZOTERO_ITEM CSL_CITATION {"citationID":"a2m4crvkni6","properties":{"formattedCitation":"(Hulme, 2021)","plainCitation":"(Hulme, 2021)","noteIndex":0},"citationItems":[{"id":56416,"uris":["http://zotero.org/groups/2352922/items/XXTWGTAR","http://zotero.org/groups/2352922/items/3QNB478G"],"itemData":{"id":56416,"type":"article-journal","container-title":"BioScience","DOI":"10.1093/biosci/biab019","ISSN":"0006-3568, 1525-3244","issue":"7","language":"en","page":"708-721","source":"DOI.org (Crossref)","title":"Advancing One Biosecurity to Address the Pandemic Risks of Biological Invasions","URL":"https://academic.oup.com/bioscience/article/71/7/708/6158362","volume":"71","author":[{"family":"Hulme","given":"Philip E"}],"accessed":{"date-parts":[["2023",6,8]]},"issued":{"date-parts":[["2021",7,1]]}},"label":"page"}],"schema":"https://github.com/citation-style-language/schema/raw/master/csl-citation.json"} </w:instrText>
      </w:r>
      <w:r w:rsidR="00DF1AF7" w:rsidRPr="00A9434B">
        <w:fldChar w:fldCharType="separate"/>
      </w:r>
      <w:r w:rsidR="00C71E80" w:rsidRPr="00A9434B">
        <w:t>(Hulme, 2021)</w:t>
      </w:r>
      <w:r w:rsidR="00DF1AF7" w:rsidRPr="00A9434B">
        <w:fldChar w:fldCharType="end"/>
      </w:r>
      <w:r w:rsidR="0022185D" w:rsidRPr="00A9434B">
        <w:t xml:space="preserve">. </w:t>
      </w:r>
      <w:r w:rsidR="00021FA9" w:rsidRPr="00A9434B">
        <w:t>A n</w:t>
      </w:r>
      <w:r w:rsidR="0022185D" w:rsidRPr="00A9434B">
        <w:t>otable exception that</w:t>
      </w:r>
      <w:r w:rsidR="00453C18" w:rsidRPr="00A9434B">
        <w:t xml:space="preserve"> </w:t>
      </w:r>
      <w:r w:rsidR="0022185D" w:rsidRPr="00A9434B">
        <w:t>incorporate</w:t>
      </w:r>
      <w:r w:rsidR="00453C18" w:rsidRPr="00A9434B">
        <w:t>s</w:t>
      </w:r>
      <w:r w:rsidR="0022185D" w:rsidRPr="00A9434B">
        <w:t xml:space="preserve"> monitoring provisions </w:t>
      </w:r>
      <w:r w:rsidR="00021FA9" w:rsidRPr="00A9434B">
        <w:t>is</w:t>
      </w:r>
      <w:r w:rsidR="0022185D" w:rsidRPr="00A9434B">
        <w:t xml:space="preserve"> the Bern Convention</w:t>
      </w:r>
      <w:r w:rsidR="00453C18" w:rsidRPr="00A9434B">
        <w:t xml:space="preserve">. </w:t>
      </w:r>
      <w:r w:rsidR="006E0767">
        <w:t>Monitoring and early warning system provisions</w:t>
      </w:r>
      <w:r w:rsidR="00453C18" w:rsidRPr="00A9434B">
        <w:t xml:space="preserve"> is also part of many management recommendation documents</w:t>
      </w:r>
      <w:r w:rsidR="00762E7C">
        <w:t>,</w:t>
      </w:r>
      <w:r w:rsidR="00453C18" w:rsidRPr="00A9434B">
        <w:t xml:space="preserve"> such as </w:t>
      </w:r>
      <w:r w:rsidR="0035771D" w:rsidRPr="00A9434B">
        <w:t xml:space="preserve">guidelines by the </w:t>
      </w:r>
      <w:r w:rsidR="0022185D" w:rsidRPr="00A9434B">
        <w:t xml:space="preserve">IUCN </w:t>
      </w:r>
      <w:r w:rsidR="0094098B" w:rsidRPr="00A9434B">
        <w:fldChar w:fldCharType="begin"/>
      </w:r>
      <w:r w:rsidR="0006613E">
        <w:instrText xml:space="preserve"> ADDIN ZOTERO_ITEM CSL_CITATION {"citationID":"avp8543nqp","properties":{"formattedCitation":"(IUCN, 2000; Tye, 2018)","plainCitation":"(IUCN, 2000; Tye, 2018)","noteIndex":0},"citationItems":[{"id":54670,"uris":["http://zotero.org/groups/2352922/items/Y5QVJAFJ"],"itemData":{"id":54670,"type":"book","event-place":"Gland Switzerland","language":"en","publisher":"IUCN Species Survival Commission (SSC), Invasive Species Specialist Group","publisher-place":"Gland Switzerland","source":"portals.iucn.org","title":"IUCN guidelines for the prevention of biodiversity loss caused by alien invasive species","URL":"https://portals.iucn.org/library/node/12413","author":[{"literal":"IUCN"}],"accessed":{"date-parts":[["2023",3,7]]},"issued":{"date-parts":[["2000"]]}},"label":"page"},{"id":26820,"uris":["http://zotero.org/groups/2352922/items/7MXBM9KS"],"itemData":{"id":26820,"type":"book","edition":"1","event-place":"Cambridge, UK, and Gland, Switzerland","ISBN":"978-2-8317-1918-4","note":"DOI: 10.2305/IUCN.CH.2018.15.en","publisher":"IUCN, International Union for Conservation of Nature","publisher-place":"Cambridge, UK, and Gland, Switzerland","source":"DOI.org (Crossref)","title":"Guidelines for invasive species planning and management on islands","URL":"https://portals.iucn.org/library/node/47764","editor":[{"family":"Tye","given":"Alan"}],"accessed":{"date-parts":[["2021",6,15]]},"issued":{"date-parts":[["2018",6,10]]}},"label":"page"}],"schema":"https://github.com/citation-style-language/schema/raw/master/csl-citation.json"} </w:instrText>
      </w:r>
      <w:r w:rsidR="0094098B" w:rsidRPr="00A9434B">
        <w:fldChar w:fldCharType="separate"/>
      </w:r>
      <w:r w:rsidR="00FD65B1" w:rsidRPr="00FD65B1">
        <w:t>(IUCN, 2000; Tye, 2018)</w:t>
      </w:r>
      <w:r w:rsidR="0094098B" w:rsidRPr="00A9434B">
        <w:fldChar w:fldCharType="end"/>
      </w:r>
      <w:r w:rsidR="00804432" w:rsidRPr="00A9434B">
        <w:t xml:space="preserve"> </w:t>
      </w:r>
      <w:r w:rsidR="00453C18" w:rsidRPr="00A9434B">
        <w:t xml:space="preserve">and </w:t>
      </w:r>
      <w:r w:rsidR="00762E7C">
        <w:t xml:space="preserve">the </w:t>
      </w:r>
      <w:r w:rsidR="00453C18" w:rsidRPr="00A9434B">
        <w:t xml:space="preserve">Council of Europe </w:t>
      </w:r>
      <w:r w:rsidR="00804432" w:rsidRPr="00A9434B">
        <w:fldChar w:fldCharType="begin"/>
      </w:r>
      <w:r w:rsidR="002D2756">
        <w:instrText xml:space="preserve"> ADDIN ZOTERO_ITEM CSL_CITATION {"citationID":"a20fe5tf36c","properties":{"formattedCitation":"(Genovesi &amp; Monaco, 2013)","plainCitation":"(Genovesi &amp; Monaco, 2013)","noteIndex":0},"citationItems":[{"id":27462,"uris":["http://zotero.org/groups/2352922/items/AFMTV9I8","http://zotero.org/groups/2352922/items/NBZQ6SXW"],"itemData":{"id":27462,"type":"chapter","abstract":"Biological invasions pose a severe and increasing threat to the world’s protected areas, and protected areas are being called upon to improve their management efficacy. Based on a review of best practice cases presented in this book and other sources, a set of guidelines to deal with invasive alien species is proposed, discussing the challenges and opportunities that protected areas face. These guidelines have a broader scope than the management of invasive alien plants within protected areas only, and include recommendations on all aspects related to invasive species, from raising awareness within the public and decision makers, to developing staff capacity, encouraging responsible behaviour, implementing prevention actions, improving the ability to react promptly to new incursions, developing surveillance and monitoring frameworks, integrating invasive species into management plans, and also for encouraging action at a broader scale than that of the protected area. These guidelines can help protected areas play a key role in preventing and mitigating the global effects of biological invasions, also catalysing more stringent action and policies at all scales.","container-title":"Plant Invasions in Protected Areas: Patterns, Problems and Challenges","event-place":"Dordrecht","ISBN":"978-94-007-7750-7","note":"DOI: 10.1007/978-94-007-7750-7_22","page":"487-506","publisher":"Springer Netherlands","publisher-place":"Dordrecht","title":"Guidelines for Addressing Invasive Species in Protected Areas","URL":"https://doi.org/10.1007/978-94-007-7750-7_22","author":[{"family":"Genovesi","given":"Piero"},{"family":"Monaco","given":"Andrea"}],"editor":[{"family":"Foxcroft","given":"Llewellyn C."},{"family":"Pyšek","given":"Petr"},{"family":"Richardson","given":"David M."},{"family":"Genovesi","given":"Piero"}],"issued":{"date-parts":[["2013"]]}},"label":"page"}],"schema":"https://github.com/citation-style-language/schema/raw/master/csl-citation.json"} </w:instrText>
      </w:r>
      <w:r w:rsidR="00804432" w:rsidRPr="00A9434B">
        <w:fldChar w:fldCharType="separate"/>
      </w:r>
      <w:r w:rsidR="00C71E80" w:rsidRPr="00A9434B">
        <w:t>(Genovesi &amp; Monaco, 2013)</w:t>
      </w:r>
      <w:r w:rsidR="00804432" w:rsidRPr="00A9434B">
        <w:fldChar w:fldCharType="end"/>
      </w:r>
      <w:r w:rsidR="000B44DE" w:rsidRPr="00A9434B">
        <w:t xml:space="preserve">. </w:t>
      </w:r>
      <w:r w:rsidR="0022185D" w:rsidRPr="00A9434B">
        <w:t>Monitoring and early warning syste</w:t>
      </w:r>
      <w:r w:rsidR="00CE72D2" w:rsidRPr="00A9434B">
        <w:t>m</w:t>
      </w:r>
      <w:r w:rsidR="0022185D" w:rsidRPr="00A9434B">
        <w:t xml:space="preserve"> provisions </w:t>
      </w:r>
      <w:r w:rsidR="00B9117C" w:rsidRPr="00A9434B">
        <w:t>c</w:t>
      </w:r>
      <w:r w:rsidR="0022185D" w:rsidRPr="00A9434B">
        <w:t xml:space="preserve">ould be incorporated </w:t>
      </w:r>
      <w:r w:rsidR="006E0767" w:rsidRPr="00A9434B">
        <w:t xml:space="preserve">into multilateral environmental agreements </w:t>
      </w:r>
      <w:r w:rsidR="0022185D" w:rsidRPr="00A9434B">
        <w:t xml:space="preserve">and national policy instruments. For these provisions to </w:t>
      </w:r>
      <w:r w:rsidR="00B9117C" w:rsidRPr="00A9434B">
        <w:t xml:space="preserve">be </w:t>
      </w:r>
      <w:r w:rsidR="0022185D" w:rsidRPr="00A9434B">
        <w:t xml:space="preserve">effective, they </w:t>
      </w:r>
      <w:r w:rsidR="00B9117C" w:rsidRPr="00A9434B">
        <w:t>c</w:t>
      </w:r>
      <w:r w:rsidR="0022185D" w:rsidRPr="00A9434B">
        <w:t xml:space="preserve">ould encourage participation </w:t>
      </w:r>
      <w:r w:rsidR="00786705" w:rsidRPr="00A9434B">
        <w:t xml:space="preserve">across </w:t>
      </w:r>
      <w:r w:rsidR="0022185D" w:rsidRPr="00A9434B">
        <w:t>government</w:t>
      </w:r>
      <w:r w:rsidR="00786705" w:rsidRPr="00A9434B">
        <w:t xml:space="preserve"> and</w:t>
      </w:r>
      <w:r w:rsidR="0022185D" w:rsidRPr="00A9434B">
        <w:t xml:space="preserve"> non-government agencies, the scientific </w:t>
      </w:r>
      <w:r w:rsidR="00141129" w:rsidRPr="00A9434B">
        <w:t>community</w:t>
      </w:r>
      <w:r w:rsidR="005D0083">
        <w:t xml:space="preserve"> and</w:t>
      </w:r>
      <w:r w:rsidR="0022185D" w:rsidRPr="00A9434B">
        <w:t xml:space="preserve"> the general public. </w:t>
      </w:r>
      <w:r w:rsidR="000542B9">
        <w:t>Such</w:t>
      </w:r>
      <w:r w:rsidR="0022185D" w:rsidRPr="00A9434B">
        <w:t xml:space="preserve"> engagement could</w:t>
      </w:r>
      <w:r w:rsidR="00786705" w:rsidRPr="00A9434B">
        <w:t>, for example,</w:t>
      </w:r>
      <w:r w:rsidR="0022185D" w:rsidRPr="00A9434B">
        <w:t xml:space="preserve"> be via a complaint system to a dedicated national authority</w:t>
      </w:r>
      <w:r w:rsidR="000542B9">
        <w:t xml:space="preserve">, which </w:t>
      </w:r>
      <w:r w:rsidR="0022185D" w:rsidRPr="00A9434B">
        <w:t xml:space="preserve">has proven to be a successful monitoring tool for the Bern Convention </w:t>
      </w:r>
      <w:r w:rsidR="00DF1AF7" w:rsidRPr="00A9434B">
        <w:fldChar w:fldCharType="begin"/>
      </w:r>
      <w:r w:rsidR="00DF1AF7" w:rsidRPr="00A9434B">
        <w:instrText xml:space="preserve"> ADDIN EN.CITE &lt;EndNote&gt;&lt;Cite&gt;&lt;Author&gt;Díaz&lt;/Author&gt;&lt;Year&gt;2010&lt;/Year&gt;&lt;RecNum&gt;140&lt;/RecNum&gt;&lt;DisplayText&gt;(Díaz 2010)&lt;/DisplayText&gt;&lt;record&gt;&lt;rec-number&gt;140&lt;/rec-number&gt;&lt;foreign-keys&gt;&lt;key app="EN" db-id="2fps2rpwcptwaxedz9oprzvmawfxef9pfpa2" timestamp="1621535061"&gt;140&lt;/key&gt;&lt;/foreign-keys&gt;&lt;ref-type name="Journal Article"&gt;17&lt;/ref-type&gt;&lt;contributors&gt;&lt;authors&gt;&lt;author&gt;Díaz, Carolina Lasén&lt;/author&gt;&lt;/authors&gt;&lt;/contributors&gt;&lt;titles&gt;&lt;title&gt;The Bern Convention: 30 years of nature conservation in Europe&lt;/title&gt;&lt;secondary-title&gt;Review of European Community &amp;amp; International Environmental Law&lt;/secondary-title&gt;&lt;/titles&gt;&lt;periodical&gt;&lt;full-title&gt;Review of European Community &amp;amp; International Environmental Law&lt;/full-title&gt;&lt;/periodical&gt;&lt;pages&gt;185-196&lt;/pages&gt;&lt;volume&gt;19&lt;/volume&gt;&lt;number&gt;2&lt;/number&gt;&lt;dates&gt;&lt;year&gt;2010&lt;/year&gt;&lt;/dates&gt;&lt;isbn&gt;0962-8797&lt;/isbn&gt;&lt;urls&gt;&lt;/urls&gt;&lt;/record&gt;&lt;/Cite&gt;&lt;/EndNote&gt;</w:instrText>
      </w:r>
      <w:r w:rsidR="00DF1AF7" w:rsidRPr="00A9434B">
        <w:fldChar w:fldCharType="separate"/>
      </w:r>
      <w:r w:rsidR="00DF1AF7" w:rsidRPr="00A9434B">
        <w:fldChar w:fldCharType="begin"/>
      </w:r>
      <w:r w:rsidR="0006613E">
        <w:instrText xml:space="preserve"> ADDIN ZOTERO_ITEM CSL_CITATION {"citationID":"a1u0bphsrht","properties":{"formattedCitation":"(C. L. D\\uc0\\u237{}az, 2010)","plainCitation":"(C. L. Díaz, 2010)","noteIndex":0},"citationItems":[{"id":22014,"uris":["http://zotero.org/groups/2352922/items/ICAWTA9P"],"itemData":{"id":22014,"type":"article-journal","abstract":"The Council of Europe's Convention on the Conservation of European Wildlife and Natural Habitats is a binding international treaty in the field of nature conservation aimed at the protection of the natural heritage in the European continent. The Bern Convention aims to conserve Europe's wild flora and fauna and their natural habitats. It was an innovative biodiversity convention at the time of its birth, over 30 years ago, through its approach to protect both species and habitats. The treaty also takes account of the impact that other policies may have on natural heritage and it recognizes the intrinsic value of wild flora and fauna, which needs to be preserved and passed to future generations. The convention has produced extensive guidance and standards, including species actions plans, strategies, and over 140 recommendations and resolutions to help countries improve their national policies on nature conservation. The Bern Convention has combined concrete and practical action on the conservation and management of key species and sites with more strategic and forward-looking instruments on complex issues, long before they were subject to legislation, like invasive alien species or biodiversity adaptation to climate change. This work on current and relevant issues, developed in partnership and cooperation with other biodiversity conventions, the scientific community and non-governmental organizations, is one of the convention's strengths that has continued to motivate European countries to join and support this multilateral environmental agreement. © 2010 Blackwell Publishing Ltd.","container-title":"Review of European Community and International Environmental Law","DOI":"10.1111/j.1467-9388.2010.00676.x","issue":"2","page":"185-196","title":"The Bern convention: 30 years of nature conservation in Europe","URL":"https://www.scopus.com/inward/record.uri?eid=2-s2.0-78650218656&amp;doi=10.1111%2fj.1467-9388.2010.00676.x&amp;partnerID=40&amp;md5=0eb4a244fffede7197c5c4b8ce841a36","volume":"19","author":[{"family":"Díaz","given":"Carolina Lasén"}],"issued":{"date-parts":[["2010"]]}},"label":"page"}],"schema":"https://github.com/citation-style-language/schema/raw/master/csl-citation.json"} </w:instrText>
      </w:r>
      <w:r w:rsidR="00DF1AF7" w:rsidRPr="00A9434B">
        <w:fldChar w:fldCharType="separate"/>
      </w:r>
      <w:r w:rsidR="00C71E80" w:rsidRPr="00A9434B">
        <w:t>(C. L. Díaz, 2010)</w:t>
      </w:r>
      <w:r w:rsidR="00DF1AF7" w:rsidRPr="00A9434B">
        <w:fldChar w:fldCharType="end"/>
      </w:r>
      <w:r w:rsidR="00DF1AF7" w:rsidRPr="00A9434B">
        <w:fldChar w:fldCharType="end"/>
      </w:r>
      <w:r w:rsidR="0022185D" w:rsidRPr="00A9434B">
        <w:t xml:space="preserve">. Also, </w:t>
      </w:r>
      <w:r w:rsidR="0084539E">
        <w:t>similarly to</w:t>
      </w:r>
      <w:r w:rsidR="0022185D" w:rsidRPr="00A9434B">
        <w:t xml:space="preserve"> the</w:t>
      </w:r>
      <w:r w:rsidR="004D7189">
        <w:t xml:space="preserve"> reporting mechanism under the</w:t>
      </w:r>
      <w:r w:rsidR="0022185D" w:rsidRPr="00A9434B">
        <w:t xml:space="preserve"> UNFC</w:t>
      </w:r>
      <w:r w:rsidR="007A541E" w:rsidRPr="00A9434B">
        <w:t>C</w:t>
      </w:r>
      <w:r w:rsidR="0022185D" w:rsidRPr="00A9434B">
        <w:t>C, periodic reporting on the numbers and identity of i</w:t>
      </w:r>
      <w:r w:rsidR="00EB70A7" w:rsidRPr="00A9434B">
        <w:t xml:space="preserve">nvasive alien species </w:t>
      </w:r>
      <w:r w:rsidR="0084539E">
        <w:t>by</w:t>
      </w:r>
      <w:r w:rsidR="00EB70A7" w:rsidRPr="00A9434B">
        <w:t xml:space="preserve"> member</w:t>
      </w:r>
      <w:r w:rsidR="0022185D" w:rsidRPr="00A9434B">
        <w:t xml:space="preserve"> states </w:t>
      </w:r>
      <w:r w:rsidR="00B9117C" w:rsidRPr="00A9434B">
        <w:t>c</w:t>
      </w:r>
      <w:r w:rsidR="0022185D" w:rsidRPr="00A9434B">
        <w:t>ould be part of the</w:t>
      </w:r>
      <w:r w:rsidR="00786705" w:rsidRPr="00A9434B">
        <w:t xml:space="preserve"> provisions of</w:t>
      </w:r>
      <w:r w:rsidR="0022185D" w:rsidRPr="00A9434B">
        <w:t xml:space="preserve"> multilateral environmental agreements.</w:t>
      </w:r>
      <w:r w:rsidR="007A44C8" w:rsidRPr="00A9434B">
        <w:t xml:space="preserve"> </w:t>
      </w:r>
      <w:r w:rsidR="00752EAE" w:rsidRPr="00A9434B">
        <w:t>An</w:t>
      </w:r>
      <w:r w:rsidR="0022185D" w:rsidRPr="00A9434B">
        <w:t xml:space="preserve"> </w:t>
      </w:r>
      <w:r w:rsidR="006E0767" w:rsidRPr="00A9434B">
        <w:t xml:space="preserve">international biosecurity convention </w:t>
      </w:r>
      <w:r w:rsidR="0022185D" w:rsidRPr="00A9434B">
        <w:t>organization</w:t>
      </w:r>
      <w:r w:rsidR="00752EAE" w:rsidRPr="00A9434B">
        <w:t xml:space="preserve"> (</w:t>
      </w:r>
      <w:r w:rsidR="00D9180C" w:rsidRPr="00A9434B">
        <w:t xml:space="preserve">similar to the secretariat of the </w:t>
      </w:r>
      <w:r w:rsidR="00840AA7" w:rsidRPr="00A9434B">
        <w:rPr>
          <w:iCs/>
        </w:rPr>
        <w:t>Convention on the Conservation of Migratory Species of Wild Animals (CMS)</w:t>
      </w:r>
      <w:r w:rsidR="00752EAE" w:rsidRPr="00A9434B">
        <w:t>), if established,</w:t>
      </w:r>
      <w:r w:rsidR="0022185D" w:rsidRPr="00A9434B">
        <w:t xml:space="preserve"> </w:t>
      </w:r>
      <w:r w:rsidR="00752EAE" w:rsidRPr="00A9434B">
        <w:t>could implement</w:t>
      </w:r>
      <w:r w:rsidR="0022185D" w:rsidRPr="00A9434B">
        <w:t xml:space="preserve"> a global surveillance and monitoring network to provide early warning of new threats </w:t>
      </w:r>
      <w:r w:rsidR="00DF1AF7" w:rsidRPr="00A9434B">
        <w:fldChar w:fldCharType="begin"/>
      </w:r>
      <w:r w:rsidR="0014002B">
        <w:instrText xml:space="preserve"> ADDIN ZOTERO_ITEM CSL_CITATION {"citationID":"a1e391hokjl","properties":{"formattedCitation":"(Hulme, 2021)","plainCitation":"(Hulme, 2021)","noteIndex":0},"citationItems":[{"id":56416,"uris":["http://zotero.org/groups/2352922/items/XXTWGTAR","http://zotero.org/groups/2352922/items/3QNB478G"],"itemData":{"id":56416,"type":"article-journal","container-title":"BioScience","DOI":"10.1093/biosci/biab019","ISSN":"0006-3568, 1525-3244","issue":"7","language":"en","page":"708-721","source":"DOI.org (Crossref)","title":"Advancing One Biosecurity to Address the Pandemic Risks of Biological Invasions","URL":"https://academic.oup.com/bioscience/article/71/7/708/6158362","volume":"71","author":[{"family":"Hulme","given":"Philip E"}],"accessed":{"date-parts":[["2023",6,8]]},"issued":{"date-parts":[["2021",7,1]]}},"label":"page"}],"schema":"https://github.com/citation-style-language/schema/raw/master/csl-citation.json"} </w:instrText>
      </w:r>
      <w:r w:rsidR="00DF1AF7" w:rsidRPr="00A9434B">
        <w:fldChar w:fldCharType="separate"/>
      </w:r>
      <w:r w:rsidR="00C71E80" w:rsidRPr="00A9434B">
        <w:t>(Hulme, 2021)</w:t>
      </w:r>
      <w:r w:rsidR="00DF1AF7" w:rsidRPr="00A9434B">
        <w:fldChar w:fldCharType="end"/>
      </w:r>
      <w:r w:rsidR="0022185D" w:rsidRPr="00A9434B">
        <w:t xml:space="preserve">. </w:t>
      </w:r>
      <w:r w:rsidR="0084539E">
        <w:t>C</w:t>
      </w:r>
      <w:r w:rsidR="00752EAE" w:rsidRPr="00A9434B">
        <w:t>reating an international warning system</w:t>
      </w:r>
      <w:r w:rsidR="0022185D" w:rsidRPr="00A9434B">
        <w:t xml:space="preserve"> </w:t>
      </w:r>
      <w:r w:rsidR="00CE72D2" w:rsidRPr="00A9434B">
        <w:t>is</w:t>
      </w:r>
      <w:r w:rsidR="0022185D" w:rsidRPr="00A9434B">
        <w:t xml:space="preserve"> </w:t>
      </w:r>
      <w:r w:rsidR="0084539E">
        <w:t xml:space="preserve">a </w:t>
      </w:r>
      <w:r w:rsidR="00AB0B5A" w:rsidRPr="00A9434B">
        <w:t>large</w:t>
      </w:r>
      <w:r w:rsidR="0084539E">
        <w:t xml:space="preserve"> task</w:t>
      </w:r>
      <w:r w:rsidR="00CE72D2" w:rsidRPr="00A9434B">
        <w:t>,</w:t>
      </w:r>
      <w:r w:rsidR="0022185D" w:rsidRPr="00A9434B">
        <w:t xml:space="preserve"> but there is already ongoing research in this direction </w:t>
      </w:r>
      <w:r w:rsidR="00DF1AF7" w:rsidRPr="00A9434B">
        <w:fldChar w:fldCharType="begin"/>
      </w:r>
      <w:r w:rsidR="0006613E">
        <w:instrText xml:space="preserve"> ADDIN ZOTERO_ITEM CSL_CITATION {"citationID":"a2niiom2aic","properties":{"unsorted":true,"formattedCitation":"(Latombe et al., 2017; Pagad et al., 2018; Essl, Lenzner, et al., 2020)","plainCitation":"(Latombe et al., 2017; Pagad et al., 2018; Essl, Lenzner, et al., 2020)","noteIndex":0},"citationItems":[{"id":28759,"uris":["http://zotero.org/groups/2352922/items/RDKZXX6M"],"itemData":{"id":28759,"type":"article-journal","abstract":"Managing biological invasions relies on good global coverage of species distributions. Accurate information on alien species distributions, obtained from international policy and cross-border co-operation, is required to evaluate trans-boundary and trading partnership risks. However, a standardized approach for systematically monitoring alien species and tracking biological invasions is still lacking. This Perspective presents a vision for global observation and monitoring of biological invasions. We show how the architecture for tracking biological invasions is provided by a minimum information set of Essential Variables, global collaboration on data sharing and infrastructure, and strategic contributions by countries. We show how this novel, synthetic approach to an observation system for alien species provides a tangible and attainable solution to delivering the information needed to slow the rate of new incursions and reduce the impacts of invaders. We identify three Essential Variables for Invasion Monitoring; alien species occurrence, species alien status and alien species impact. We outline how delivery of this minimum information set by joint, complementary contributions from countries and global community initiatives is possible. Country contributions are made feasible using a modular approach where all countries are able to participate and strategically build their contributions to a global information set over time. The vision we outline will deliver wide-ranging benefits to countries and international efforts to slow the rate of biological invasions and minimize their environmental impacts. These benefits will accrue over time as global coverage and information on alien species increases.","container-title":"Biological Conservation","DOI":"10.1016/j.biocon.2016.06.013","ISSN":"00063207","journalAbbreviation":"Biological Conservation","language":"en","page":"295-308","source":"DOI.org (Crossref)","title":"A vision for global monitoring of biological invasions","URL":"https://linkinghub.elsevier.com/retrieve/pii/S0006320716302373","volume":"213","author":[{"family":"Latombe","given":"Guillaume"},{"family":"Pyšek","given":"Petr"},{"family":"Jeschke","given":"Jonathan M."},{"family":"Blackburn","given":"Tim M."},{"family":"Bacher","given":"Sven"},{"family":"Capinha","given":"César"},{"family":"Costello","given":"Mark J."},{"family":"Fernández","given":"Miguel"},{"family":"Gregory","given":"Richard D."},{"family":"Hobern","given":"Donald"},{"family":"Hui","given":"Cang"},{"family":"Jetz","given":"Walter"},{"family":"Kumschick","given":"Sabrina"},{"family":"McGrannachan","given":"Chris"},{"family":"Pergl","given":"Jan"},{"family":"Roy","given":"Helen E."},{"family":"Scalera","given":"Riccardo"},{"family":"Squires","given":"Zoe E."},{"family":"Wilson","given":"John R.U."},{"family":"Winter","given":"Marten"},{"family":"Genovesi","given":"Piero"},{"family":"McGeoch","given":"Melodie A."}],"issued":{"date-parts":[["2017",9]]}},"label":"page"},{"id":29146,"uris":["http://zotero.org/groups/2352922/items/BZA84ANL"],"itemData":{"id":29146,"type":"article-journal","abstract":"Harmonised, representative data on the state of biological invasions remain inadequate at country and global scales, particularly for taxa that affect biodiversity and ecosystems. Information is not readily available in a form suitable for policy and reporting. The Global Register of Introduced and Invasive Species (GRIIS) provides the first country-wise checklists of introduced (naturalised) and invasive species. GRIIS was conceived to provide a sustainable platform for information delivery to support national governments. We outline the rationale and methods underpinning GRIIS, to facilitate transparent, repeatable analysis and reporting. Twenty country checklists are presented as exemplars; GRIIS Checklists for close to all countries globally will be submitted through the same process shortly. Over 11000 species records are currently in the 20 country exemplars alone, with environmental impact evidence for just over 20% of these. GRIIS provides significant support for countries to identify and prioritise invasive alien species, and establishes national and global baselines. In future this will enable a global system for sustainable monitoring of trends in biological invasions that affect the environment.","container-title":"Scientific Data","DOI":"10.1038/sdata.2017.202","ISSN":"2052-4463","issue":"1","language":"en","license":"2018 The Author(s)","page":"170202","source":"www.nature.com","title":"Introducing the Global Register of Introduced and Invasive Species","URL":"https://www.nature.com/articles/sdata2017202","volume":"5","author":[{"family":"Pagad","given":"Shyama"},{"family":"Genovesi","given":"Piero"},{"family":"Carnevali","given":"Lucilla"},{"family":"Schigel","given":"Dmitry"},{"family":"McGeoch","given":"Melodie A."}],"accessed":{"date-parts":[["2020",6,12]]},"issued":{"date-parts":[["2018",1,23]]}},"label":"page"},{"id":56279,"uris":["http://zotero.org/groups/2352922/items/CYTIP7PS","http://zotero.org/groups/2352922/items/BWX57BB7"],"itemData":{"id":56279,"type":"article-journal","container-title":"Global Change Biology","DOI":"10.1111/gcb.15199","ISSN":"1354-1013, 1365-2486","issue":"9","journalAbbreviation":"Glob Change Biol","language":"en","page":"4880-4893","source":"DOI.org (Crossref)","title":"Drivers of future alien species impacts:</w:instrText>
      </w:r>
      <w:r w:rsidR="0006613E">
        <w:rPr>
          <w:rFonts w:hint="eastAsia"/>
        </w:rPr>
        <w:instrText xml:space="preserve"> An expert</w:instrText>
      </w:r>
      <w:r w:rsidR="0006613E">
        <w:rPr>
          <w:rFonts w:hint="eastAsia"/>
        </w:rPr>
        <w:instrText>‐</w:instrText>
      </w:r>
      <w:r w:rsidR="0006613E">
        <w:rPr>
          <w:rFonts w:hint="eastAsia"/>
        </w:rPr>
        <w:instrText>based assessment","title-short":"Drivers of future alien species impacts","URL":"https://onlinelibrary.wiley.com/doi/10.1111/gcb.15199","volume":"26","author":[{"family":"Essl","given":"Franz"},{"family":"Lenzner","given":"Bernd"},{"family":"Ba</w:instrText>
      </w:r>
      <w:r w:rsidR="0006613E">
        <w:instrText>cher","given":"Sven"},{"family":"Bailey","given":"Sarah"},{"family":"Capinha","given":"Cesar"},{"family":"Daehler","given":"Curtis"},{"family":"Dullinger","given":"Stefan"},{"family":"Genovesi","given":"Piero"},{"family":"Hui","given":"Cang"},{"family":"Hulme","given":"Philip E."},{"family":"Jeschke","given":"Jonathan M."},{"family":"Katsanevakis","given":"Stelios"},{"family":"Kühn","given":"Ingolf"},{"family":"Leung","given":"Brian"},{"family":"Liebhold","given":"Andrew"},{"family":"Liu","given":"Chunlong"},{"family":"MacIsaac","given":"Hugh J."},{"family":"Meyerson","given":"Laura A."},{"family":"Nuñez","given":"Martin A."},{"family":"Pauchard","given":"Aníbal"},{"family":"Pyšek","given":"Petr"},{"family":"Rabitsch","given":"Wolfgang"},{"family":"Richardson","given":"David M."},{"family":"Roy","given":"Helen E."},{"family":"Ruiz","given":"Gregory M."},{"family":"Russell","given":"James C."},{"family":"Sanders","given":"Nathan J."},{"family":"Sax","given":"Dov F."},{"family":"Scalera","given":"Riccardo"},{"family":"Seebens","given":"Hanno"},{"family":"Springborn","given":"Michael"},{"family":"Turbelin","given":"Anna"},{"family":"Kleunen","given":"Mark"},{"family":"Holle","given":"Betsy"},{"family":"Winter","given":"Marten"},{"family":"Zenni","given":"Raf</w:instrText>
      </w:r>
      <w:r w:rsidR="0006613E">
        <w:rPr>
          <w:rFonts w:hint="eastAsia"/>
        </w:rPr>
        <w:instrText>ael D."},{"family":"Mattsson","given":"Brady J."},{"family":"Roura</w:instrText>
      </w:r>
      <w:r w:rsidR="0006613E">
        <w:rPr>
          <w:rFonts w:hint="eastAsia"/>
        </w:rPr>
        <w:instrText>‐</w:instrText>
      </w:r>
      <w:r w:rsidR="0006613E">
        <w:rPr>
          <w:rFonts w:hint="eastAsia"/>
        </w:rPr>
        <w:instrText>Pascual","given":"Nuria"}],"accessed":{"date-parts":[["2023",6,8]]},"issued":{"date-parts":[["2020",9]]}},"label":"page"}],"schema":"https://github.com/citation-style-language/schema/raw/m</w:instrText>
      </w:r>
      <w:r w:rsidR="0006613E">
        <w:instrText xml:space="preserve">aster/csl-citation.json"} </w:instrText>
      </w:r>
      <w:r w:rsidR="00DF1AF7" w:rsidRPr="00A9434B">
        <w:fldChar w:fldCharType="separate"/>
      </w:r>
      <w:r w:rsidR="00C71E80" w:rsidRPr="004D7189">
        <w:rPr>
          <w:lang w:val="de-DE"/>
        </w:rPr>
        <w:t>(Latombe et al., 2017; Pagad et al., 2018; Essl, Lenzner, et al., 2020)</w:t>
      </w:r>
      <w:r w:rsidR="00DF1AF7" w:rsidRPr="00A9434B">
        <w:fldChar w:fldCharType="end"/>
      </w:r>
      <w:r w:rsidR="00DF1AF7" w:rsidRPr="004D7189">
        <w:rPr>
          <w:lang w:val="de-DE"/>
        </w:rPr>
        <w:t>.</w:t>
      </w:r>
    </w:p>
    <w:p w14:paraId="485E021F" w14:textId="235DB453" w:rsidR="00017C04" w:rsidRDefault="00F50AF9">
      <w:pPr>
        <w:pStyle w:val="Heading5"/>
      </w:pPr>
      <w:bookmarkStart w:id="269" w:name="_heading=h.1x0gk37" w:colFirst="0" w:colLast="0"/>
      <w:bookmarkStart w:id="270" w:name="_Toc85291867"/>
      <w:bookmarkEnd w:id="269"/>
      <w:r>
        <w:t>(2) Inclusion of all invasive alien species as environmentally hazardous living organisms</w:t>
      </w:r>
      <w:bookmarkEnd w:id="270"/>
      <w:r>
        <w:br/>
      </w:r>
      <w:r>
        <w:rPr>
          <w:b w:val="0"/>
        </w:rPr>
        <w:t xml:space="preserve">Three areas central to biosecurity are: the management of risks associated with the accidental introduction of pests and diseases with food and agriculture, the introduction and release of genetically modified organisms and their products, and the deliberate introduction and management of invasive alien species and genotypes </w:t>
      </w:r>
      <w:r w:rsidR="000906FC" w:rsidRPr="00A9434B">
        <w:rPr>
          <w:b w:val="0"/>
          <w:bCs/>
          <w:i/>
          <w:iCs/>
        </w:rPr>
        <w:fldChar w:fldCharType="begin"/>
      </w:r>
      <w:r w:rsidR="000906FC" w:rsidRPr="00A9434B">
        <w:rPr>
          <w:b w:val="0"/>
          <w:bCs/>
        </w:rPr>
        <w:instrText xml:space="preserve"> ADDIN EN.CITE &lt;EndNote&gt;&lt;Cite&gt;&lt;Author&gt;FAO&lt;/Author&gt;&lt;Year&gt;2003&lt;/Year&gt;&lt;RecNum&gt;166&lt;/RecNum&gt;&lt;DisplayText&gt;(FAO 2003)&lt;/DisplayText&gt;&lt;record&gt;&lt;rec-number&gt;166&lt;/rec-number&gt;&lt;foreign-keys&gt;&lt;key app="EN" db-id="2fps2rpwcptwaxedz9oprzvmawfxef9pfpa2" timestamp="1622708570"&gt;166&lt;/key&gt;&lt;/foreign-keys&gt;&lt;ref-type name="Report"&gt;27&lt;/ref-type&gt;&lt;contributors&gt;&lt;authors&gt;&lt;author&gt;FAO, &lt;/author&gt;&lt;/authors&gt;&lt;/contributors&gt;&lt;titles&gt;&lt;title&gt;Report of the Fifth Interim Commission on Phytosanitary Measures, Rome, Italy, 7-11 April 2003&lt;/title&gt;&lt;/titles&gt;&lt;dates&gt;&lt;year&gt;2003&lt;/year&gt;&lt;/dates&gt;&lt;pub-location&gt;Rome, Italy&lt;/pub-location&gt;&lt;urls&gt;&lt;/urls&gt;&lt;/record&gt;&lt;/Cite&gt;&lt;/EndNote&gt;</w:instrText>
      </w:r>
      <w:r w:rsidR="000906FC" w:rsidRPr="00A9434B">
        <w:rPr>
          <w:b w:val="0"/>
          <w:bCs/>
          <w:i/>
          <w:iCs/>
        </w:rPr>
        <w:fldChar w:fldCharType="separate"/>
      </w:r>
      <w:r w:rsidR="000906FC" w:rsidRPr="00A9434B">
        <w:rPr>
          <w:b w:val="0"/>
          <w:bCs/>
          <w:i/>
          <w:iCs/>
        </w:rPr>
        <w:fldChar w:fldCharType="begin"/>
      </w:r>
      <w:r w:rsidR="0006613E">
        <w:rPr>
          <w:b w:val="0"/>
          <w:bCs/>
        </w:rPr>
        <w:instrText xml:space="preserve"> ADDIN ZOTERO_ITEM CSL_CITATION {"citationID":"a2nf384iphf","properties":{"formattedCitation":"\\uldash{(FAO, 2003)}","plainCitation":"(FAO, 2003)","dontUpdate":true,"noteIndex":0},"citationItems":[{"id":53181,"uris":["http://zotero.org/groups/2352922/items/84NKRKWP"],"itemData":{"id":53181,"type":"report","event-place":"Rome, Italy","number":"ICPM 03","publisher":"Food and Agriculture Organization of the United Nations","publisher-place":"Rome, Italy","title":"Report of the Fifth Interim Commission on Phytosanitary Measures, 7-11 April 2003.","URL":"https://assets.ippc.int/static/media/files/publication/en/2016/11/Report_ICPM-5_2003_Apr_2003-05-23_BneT8OP.pdf","author":[{"literal":"FAO"}],"issued":{"date-parts":[["2003"]]}},"label":"page"}],"schema":"https://github.com/citation-style-language/schema/raw/master/csl-citation.json"} </w:instrText>
      </w:r>
      <w:r w:rsidR="000906FC" w:rsidRPr="00A9434B">
        <w:rPr>
          <w:b w:val="0"/>
          <w:bCs/>
          <w:i/>
          <w:iCs/>
        </w:rPr>
        <w:fldChar w:fldCharType="separate"/>
      </w:r>
      <w:r w:rsidR="000B44DE" w:rsidRPr="00A9434B">
        <w:rPr>
          <w:b w:val="0"/>
        </w:rPr>
        <w:t>(FAO, 2003</w:t>
      </w:r>
      <w:r w:rsidR="000906FC" w:rsidRPr="00A9434B">
        <w:rPr>
          <w:b w:val="0"/>
          <w:bCs/>
          <w:i/>
          <w:iCs/>
        </w:rPr>
        <w:fldChar w:fldCharType="end"/>
      </w:r>
      <w:r w:rsidR="00105F33">
        <w:rPr>
          <w:b w:val="0"/>
          <w:bCs/>
        </w:rPr>
        <w:t xml:space="preserve">; </w:t>
      </w:r>
      <w:r w:rsidR="00571A0C">
        <w:rPr>
          <w:bCs/>
          <w:iCs/>
        </w:rPr>
        <w:t>C</w:t>
      </w:r>
      <w:r w:rsidR="40864BF6" w:rsidRPr="00673554">
        <w:rPr>
          <w:bCs/>
          <w:iCs/>
        </w:rPr>
        <w:t>hapter 3</w:t>
      </w:r>
      <w:r w:rsidR="40864BF6" w:rsidRPr="00673554">
        <w:rPr>
          <w:b w:val="0"/>
          <w:bCs/>
          <w:iCs/>
        </w:rPr>
        <w:t xml:space="preserve">, </w:t>
      </w:r>
      <w:r w:rsidR="40864BF6" w:rsidRPr="00673554">
        <w:rPr>
          <w:bCs/>
          <w:iCs/>
        </w:rPr>
        <w:t>section</w:t>
      </w:r>
      <w:r w:rsidR="00AB1F13" w:rsidRPr="00673554">
        <w:rPr>
          <w:bCs/>
          <w:iCs/>
        </w:rPr>
        <w:t>s</w:t>
      </w:r>
      <w:r w:rsidR="40864BF6" w:rsidRPr="00673554">
        <w:rPr>
          <w:bCs/>
          <w:iCs/>
        </w:rPr>
        <w:t xml:space="preserve"> 3.3.1</w:t>
      </w:r>
      <w:r w:rsidR="00AB1F13" w:rsidRPr="00673554">
        <w:rPr>
          <w:bCs/>
          <w:iCs/>
        </w:rPr>
        <w:t xml:space="preserve"> </w:t>
      </w:r>
      <w:r w:rsidR="00AB1F13" w:rsidRPr="00571A0C">
        <w:rPr>
          <w:b w:val="0"/>
          <w:bCs/>
        </w:rPr>
        <w:t xml:space="preserve">and </w:t>
      </w:r>
      <w:r w:rsidR="00AB1F13" w:rsidRPr="00673554">
        <w:rPr>
          <w:bCs/>
          <w:iCs/>
        </w:rPr>
        <w:t>3.3.5.2</w:t>
      </w:r>
      <w:r w:rsidR="7537C5CD" w:rsidRPr="00A9434B">
        <w:rPr>
          <w:b w:val="0"/>
          <w:bCs/>
        </w:rPr>
        <w:t>)</w:t>
      </w:r>
      <w:r w:rsidR="000906FC" w:rsidRPr="00A9434B">
        <w:rPr>
          <w:b w:val="0"/>
          <w:bCs/>
          <w:i/>
          <w:iCs/>
        </w:rPr>
        <w:fldChar w:fldCharType="end"/>
      </w:r>
      <w:r w:rsidR="086BF4D1" w:rsidRPr="00A9434B">
        <w:rPr>
          <w:b w:val="0"/>
          <w:bCs/>
        </w:rPr>
        <w:t>.</w:t>
      </w:r>
      <w:r>
        <w:rPr>
          <w:b w:val="0"/>
        </w:rPr>
        <w:t xml:space="preserve"> Many biosecurity protocols do not cover “hitchhikers” or contaminants (e.g., spiders in produce, ants in taro plants), making the case for a broader definition of hazardous organisms, one that includes possible alien species that may affect the environment, the economy</w:t>
      </w:r>
      <w:r w:rsidR="005D0083">
        <w:rPr>
          <w:b w:val="0"/>
        </w:rPr>
        <w:t xml:space="preserve"> and</w:t>
      </w:r>
      <w:r>
        <w:rPr>
          <w:b w:val="0"/>
        </w:rPr>
        <w:t>/or human health (such as the New Zealand Import Health Standards that include provisions for hitchhikers and contaminants).</w:t>
      </w:r>
    </w:p>
    <w:p w14:paraId="59842804" w14:textId="5768CDD2" w:rsidR="00017C04" w:rsidRDefault="00F50AF9">
      <w:r>
        <w:t xml:space="preserve">In addition to a broad definition of “hazardous organisms” in trade-related biosecurity protocols, clear and accurate labelling for consignments of all living organisms being transported is needed to prevent invasion. Labelling can be supported by regulated species lists with prohibited (strict approach) or permitted (lenient approach) species listed by jurisdiction and supported by import risk analyses. This protocol could be accompanied by handling protocols that promote environmental safety during transport. Adequate labelling needs to be developed and implemented </w:t>
      </w:r>
      <w:r>
        <w:lastRenderedPageBreak/>
        <w:t xml:space="preserve">through an efficient exchange of information between vendors and national authorities. </w:t>
      </w:r>
      <w:r w:rsidR="7537C5CD" w:rsidRPr="00A9434B">
        <w:t xml:space="preserve">The WCO has developed cross-border </w:t>
      </w:r>
      <w:r w:rsidR="651A92C8" w:rsidRPr="00A9434B">
        <w:t>e</w:t>
      </w:r>
      <w:r w:rsidR="7537C5CD" w:rsidRPr="00A9434B">
        <w:t>-</w:t>
      </w:r>
      <w:r w:rsidR="651A92C8" w:rsidRPr="00A9434B">
        <w:t>c</w:t>
      </w:r>
      <w:r w:rsidR="7537C5CD" w:rsidRPr="00A9434B">
        <w:t xml:space="preserve">ommerce frameworks </w:t>
      </w:r>
      <w:r w:rsidR="0022185D" w:rsidRPr="00A9434B">
        <w:fldChar w:fldCharType="begin"/>
      </w:r>
      <w:r w:rsidR="0022185D" w:rsidRPr="00A9434B">
        <w:instrText xml:space="preserve"> ADDIN EN.CITE &lt;EndNote&gt;&lt;Cite ExcludeYear="1"&gt;&lt;Author&gt;WCO&lt;/Author&gt;&lt;Year&gt;2018&lt;/Year&gt;&lt;RecNum&gt;98&lt;/RecNum&gt;&lt;DisplayText&gt;(WCO)&lt;/DisplayText&gt;&lt;record&gt;&lt;rec-number&gt;98&lt;/rec-number&gt;&lt;foreign-keys&gt;&lt;key app="EN" db-id="2fps2rpwcptwaxedz9oprzvmawfxef9pfpa2" timestamp="1620736148"&gt;98&lt;/key&gt;&lt;/foreign-keys&gt;&lt;ref-type name="Report"&gt;27&lt;/ref-type&gt;&lt;contributors&gt;&lt;authors&gt;&lt;author&gt;WCO&lt;/author&gt;&lt;/authors&gt;&lt;/contributors&gt;&lt;titles&gt;&lt;title&gt;Cross-Border E-Commerce Framework of Standards&lt;/title&gt;&lt;/titles&gt;&lt;dates&gt;&lt;year&gt;2018&lt;/year&gt;&lt;/dates&gt;&lt;pub-location&gt;Brussels&lt;/pub-location&gt;&lt;publisher&gt;World Customs Organization&lt;/publisher&gt;&lt;urls&gt;&lt;/urls&gt;&lt;/record&gt;&lt;/Cite&gt;&lt;/EndNote&gt;</w:instrText>
      </w:r>
      <w:r w:rsidR="0022185D" w:rsidRPr="00A9434B">
        <w:fldChar w:fldCharType="separate"/>
      </w:r>
      <w:r w:rsidR="00E46695" w:rsidRPr="00A9434B">
        <w:rPr>
          <w:highlight w:val="yellow"/>
        </w:rPr>
        <w:fldChar w:fldCharType="begin"/>
      </w:r>
      <w:r w:rsidR="0006613E">
        <w:rPr>
          <w:highlight w:val="yellow"/>
        </w:rPr>
        <w:instrText xml:space="preserve"> ADDIN ZOTERO_ITEM CSL_CITATION {"citationID":"a23at2iaa18","properties":{"formattedCitation":"(WCO, 2018)","plainCitation":"(WCO, 2018)","noteIndex":0},"citationItems":[{"id":31750,"uris":["http://zotero.org/groups/2352922/items/G269MCV2"],"itemData":{"id":31750,"type":"report","publisher":"World Customs Organization","title":"WCO Cross-border e-commerce framework of standards","URL":"http://www.wcoomd.org/-/media/wco/public/global/pdf/topics/facilitation/activities-and-programmes/ecommerce/wco-framework-of-standards-on-crossborder-ecommerce_en.pdf?la=en","author":[{"literal":"WCO"}],"accessed":{"date-parts":[["2021",11,26]]},"issued":{"date-parts":[["2018",6]]}},"label":"page"}],"schema":"https://github.com/citation-style-language/schema/raw/master/csl-citation.json"} </w:instrText>
      </w:r>
      <w:r w:rsidR="00E46695" w:rsidRPr="00A9434B">
        <w:rPr>
          <w:highlight w:val="yellow"/>
        </w:rPr>
        <w:fldChar w:fldCharType="separate"/>
      </w:r>
      <w:r w:rsidR="00C71E80" w:rsidRPr="00A9434B">
        <w:t>(WCO, 2018)</w:t>
      </w:r>
      <w:r w:rsidR="00E46695" w:rsidRPr="00A9434B">
        <w:rPr>
          <w:highlight w:val="yellow"/>
        </w:rPr>
        <w:fldChar w:fldCharType="end"/>
      </w:r>
      <w:r w:rsidR="0022185D" w:rsidRPr="00A9434B">
        <w:fldChar w:fldCharType="end"/>
      </w:r>
      <w:r w:rsidR="7537C5CD" w:rsidRPr="00A9434B">
        <w:t xml:space="preserve"> and technical standards </w:t>
      </w:r>
      <w:r w:rsidR="0022185D" w:rsidRPr="00A9434B">
        <w:fldChar w:fldCharType="begin"/>
      </w:r>
      <w:r w:rsidR="0022185D" w:rsidRPr="00A9434B">
        <w:instrText xml:space="preserve"> ADDIN EN.CITE &lt;EndNote&gt;&lt;Cite ExcludeYear="1"&gt;&lt;Author&gt;WCO&lt;/Author&gt;&lt;RecNum&gt;169&lt;/RecNum&gt;&lt;DisplayText&gt;(WCO)&lt;/DisplayText&gt;&lt;record&gt;&lt;rec-number&gt;169&lt;/rec-number&gt;&lt;foreign-keys&gt;&lt;key app="EN" db-id="2fps2rpwcptwaxedz9oprzvmawfxef9pfpa2" timestamp="1627981742"&gt;169&lt;/key&gt;&lt;/foreign-keys&gt;&lt;ref-type name="Report"&gt;27&lt;/ref-type&gt;&lt;contributors&gt;&lt;authors&gt;&lt;author&gt;WCO&lt;/author&gt;&lt;/authors&gt;&lt;/contributors&gt;&lt;titles&gt;&lt;title&gt;TECHNICAL SPECIFICATIONS FRAMEWORK OF STANDARDS ON CROSS-BORDER E-COMMERCE&lt;/title&gt;&lt;/titles&gt;&lt;dates&gt;&lt;/dates&gt;&lt;urls&gt;&lt;related-urls&gt;&lt;url&gt;http://www.wcoomd.org/-/media/wco/public/global/pdf/topics/facilitation/activities-and-programmes/ecommerce/1_technical-specifications_en.pdf?db=web&lt;/url&gt;&lt;/related-urls&gt;&lt;/urls&gt;&lt;/record&gt;&lt;/Cite&gt;&lt;/EndNote&gt;</w:instrText>
      </w:r>
      <w:r w:rsidR="0022185D" w:rsidRPr="00A9434B">
        <w:fldChar w:fldCharType="separate"/>
      </w:r>
      <w:r w:rsidR="00E46695" w:rsidRPr="00A9434B">
        <w:rPr>
          <w:highlight w:val="yellow"/>
        </w:rPr>
        <w:fldChar w:fldCharType="begin"/>
      </w:r>
      <w:r w:rsidR="0006613E">
        <w:rPr>
          <w:highlight w:val="yellow"/>
        </w:rPr>
        <w:instrText xml:space="preserve"> ADDIN ZOTERO_ITEM CSL_CITATION {"citationID":"ah7aqv76v7","properties":{"formattedCitation":"(WCO, 2019)","plainCitation":"(WCO, 2019)","noteIndex":0},"citationItems":[{"id":53408,"uris":["http://zotero.org/groups/2352922/items/JQY7AW24"],"itemData":{"id":53408,"type":"report","publisher":"World Customs Organization","title":"Technical Specifications Framework Of Standards On Cross-Border E-Commerce","URL":"https://img1.wsimg.com/blobby/go/3868ba55-a36a-45cf-a1be-6d257a2f1a32/downloads/Technical%20Specifications%20Framework%20of%20Standard.pdf?ver=1594066770640","author":[{"literal":"WCO"}],"issued":{"date-parts":[["2019"]]}},"label":"page"}],"schema":"https://github.com/citation-style-language/schema/raw/master/csl-citation.json"} </w:instrText>
      </w:r>
      <w:r w:rsidR="00E46695" w:rsidRPr="00A9434B">
        <w:rPr>
          <w:highlight w:val="yellow"/>
        </w:rPr>
        <w:fldChar w:fldCharType="separate"/>
      </w:r>
      <w:r w:rsidR="00C71E80" w:rsidRPr="00A9434B">
        <w:t>(WCO, 2019)</w:t>
      </w:r>
      <w:r w:rsidR="00E46695" w:rsidRPr="00A9434B">
        <w:rPr>
          <w:highlight w:val="yellow"/>
        </w:rPr>
        <w:fldChar w:fldCharType="end"/>
      </w:r>
      <w:r w:rsidR="0022185D" w:rsidRPr="00A9434B">
        <w:fldChar w:fldCharType="end"/>
      </w:r>
      <w:r w:rsidR="5B53FCA1" w:rsidRPr="00A9434B">
        <w:t xml:space="preserve"> </w:t>
      </w:r>
      <w:r w:rsidR="7D5CC4C0" w:rsidRPr="00A9434B">
        <w:t xml:space="preserve">for </w:t>
      </w:r>
      <w:r w:rsidR="7537C5CD" w:rsidRPr="00A9434B">
        <w:t>this purpose, focusing on the need for electronic data to manage the risks of cross border movements of goods</w:t>
      </w:r>
      <w:r w:rsidR="651A92C8" w:rsidRPr="00A9434B">
        <w:t xml:space="preserve">, and has been asked </w:t>
      </w:r>
      <w:r w:rsidR="006E0767">
        <w:t>at</w:t>
      </w:r>
      <w:r w:rsidR="651A92C8" w:rsidRPr="00A9434B">
        <w:t xml:space="preserve"> COP15 of the CBD to look specifically at the question of e</w:t>
      </w:r>
      <w:r w:rsidR="1067C893" w:rsidRPr="00A9434B">
        <w:t>-</w:t>
      </w:r>
      <w:r w:rsidR="651A92C8" w:rsidRPr="00A9434B">
        <w:t>commerce and invasive alien species</w:t>
      </w:r>
      <w:r w:rsidR="00D2220C" w:rsidRPr="00A9434B">
        <w:t xml:space="preserve"> </w:t>
      </w:r>
      <w:r w:rsidR="00FB3647" w:rsidRPr="00A9434B">
        <w:fldChar w:fldCharType="begin"/>
      </w:r>
      <w:r w:rsidR="0006613E">
        <w:instrText xml:space="preserve"> ADDIN ZOTERO_ITEM CSL_CITATION {"citationID":"DEXQU7DG","properties":{"formattedCitation":"(CBD, 2022c)","plainCitation":"(CBD, 2022c)","noteIndex":0},"citationItems":[{"id":54823,"uris":["http://zotero.org/groups/2352922/items/ALQHAEC3"],"itemData":{"id":54823,"type":"paper-conference","collection-title":"CBD/COP/DEC/15/27","container-title":"Decision adopted by the conference of the parties to the convention on biological diversity","event-place":"Montreal, Canada","event-title":"Fifteenth meeting of Conference of the parties to the Convention on Biological Diversity","language":"en","publisher":"Convention on Biodiversity, United Nations Environment Programme","publisher-place":"Montreal, Canada","source":"Zotero","title":"15/27. Invasive alien species","URL":"https://www.cbd.int/doc/decisions/cop-15/cop-15-dec-27-en.pdf","author":[{"literal":"CBD"}],"issued":{"date-parts":[["2022"]]}}}],"schema":"https://github.com/citation-style-language/schema/raw/master/csl-citation.json"} </w:instrText>
      </w:r>
      <w:r w:rsidR="00FB3647" w:rsidRPr="00A9434B">
        <w:fldChar w:fldCharType="separate"/>
      </w:r>
      <w:r w:rsidR="00EA1962" w:rsidRPr="00EA1962">
        <w:t>(CBD, 2022c)</w:t>
      </w:r>
      <w:r w:rsidR="00FB3647" w:rsidRPr="00A9434B">
        <w:fldChar w:fldCharType="end"/>
      </w:r>
      <w:r w:rsidR="651A92C8" w:rsidRPr="00A9434B">
        <w:t>.</w:t>
      </w:r>
      <w:r w:rsidR="7537C5CD" w:rsidRPr="00A9434B">
        <w:t xml:space="preserve"> Through the exchange of advanced electronic data, and considering all traded species as hazardous organisms, national authorities can ensure compliance with regulatory requirements. Furthermore, the use of detailed and </w:t>
      </w:r>
      <w:r w:rsidR="050294E7" w:rsidRPr="00A9434B">
        <w:t>accurate</w:t>
      </w:r>
      <w:r w:rsidR="7537C5CD" w:rsidRPr="00A9434B">
        <w:t xml:space="preserve"> labelling of consignments would make exporters active participants </w:t>
      </w:r>
      <w:r w:rsidR="69058D55" w:rsidRPr="00A9434B">
        <w:t>in biosecurity</w:t>
      </w:r>
      <w:r w:rsidR="7537C5CD" w:rsidRPr="00A9434B">
        <w:t xml:space="preserve"> and responsible for clean trade</w:t>
      </w:r>
      <w:r w:rsidR="376D1477" w:rsidRPr="00A9434B">
        <w:t xml:space="preserve"> </w:t>
      </w:r>
      <w:r w:rsidR="00F806B6" w:rsidRPr="00A9434B">
        <w:t>(</w:t>
      </w:r>
      <w:r w:rsidR="00571A0C">
        <w:rPr>
          <w:b/>
          <w:iCs/>
        </w:rPr>
        <w:t>G</w:t>
      </w:r>
      <w:r w:rsidR="003E64B8" w:rsidRPr="00673554">
        <w:rPr>
          <w:b/>
          <w:iCs/>
        </w:rPr>
        <w:t>lossary</w:t>
      </w:r>
      <w:r w:rsidR="003E64B8" w:rsidRPr="00A9434B">
        <w:rPr>
          <w:i/>
          <w:iCs/>
        </w:rPr>
        <w:t xml:space="preserve">, </w:t>
      </w:r>
      <w:r w:rsidR="006520F8" w:rsidRPr="00A9434B">
        <w:fldChar w:fldCharType="begin"/>
      </w:r>
      <w:r w:rsidR="0014002B">
        <w:instrText xml:space="preserve"> ADDIN ZOTERO_ITEM CSL_CITATION {"citationID":"a1fpghk5rej","properties":{"formattedCitation":"\\uldash{(Hulme, 2021)}","plainCitation":"(Hulme, 2021)","dontUpdate":true,"noteIndex":0},"citationItems":[{"id":56416,"uris":["http://zotero.org/groups/2352922/items/XXTWGTAR","http://zotero.org/groups/2352922/items/3QNB478G"],"itemData":{"id":56416,"type":"article-journal","container-title":"BioScience","DOI":"10.1093/biosci/biab019","ISSN":"0006-3568, 1525-3244","issue":"7","language":"en","page":"708-721","source":"DOI.org (Crossref)","title":"Advancing One Biosecurity to Address the Pandemic Risks of Biological Invasions","URL":"https://academic.oup.com/bioscience/article/71/7/708/6158362","volume":"71","author":[{"family":"Hulme","given":"Philip E"}],"accessed":{"date-parts":[["2023",6,8]]},"issued":{"date-parts":[["2021",7,1]]}},"label":"page"}],"schema":"https://github.com/citation-style-language/schema/raw/master/csl-citation.json"} </w:instrText>
      </w:r>
      <w:r w:rsidR="006520F8" w:rsidRPr="00A9434B">
        <w:fldChar w:fldCharType="separate"/>
      </w:r>
      <w:r w:rsidR="000B44DE" w:rsidRPr="00A9434B">
        <w:t>Hulme, 2021)</w:t>
      </w:r>
      <w:r w:rsidR="006520F8" w:rsidRPr="00A9434B">
        <w:fldChar w:fldCharType="end"/>
      </w:r>
      <w:r w:rsidR="050294E7" w:rsidRPr="00A9434B">
        <w:t>.</w:t>
      </w:r>
    </w:p>
    <w:p w14:paraId="3E00099B" w14:textId="77777777" w:rsidR="00017C04" w:rsidRDefault="00F50AF9">
      <w:r>
        <w:t>T</w:t>
      </w:r>
      <w:r w:rsidRPr="00B301D7">
        <w:rPr>
          <w:kern w:val="22"/>
        </w:rPr>
        <w:t xml:space="preserve">he UN Economic and Social Council’s Sub-Committee of Experts on the Transport of Dangerous Goods will consider including environmentally hazardous living organisms in chapter 2.9, class 9, of the United Nations </w:t>
      </w:r>
      <w:r w:rsidRPr="00B301D7">
        <w:rPr>
          <w:i/>
          <w:kern w:val="22"/>
        </w:rPr>
        <w:t>Recommendations on the Transport of Dangerous Goods - Model Regulations</w:t>
      </w:r>
      <w:r w:rsidRPr="00B301D7">
        <w:rPr>
          <w:kern w:val="22"/>
        </w:rPr>
        <w:t>,</w:t>
      </w:r>
      <w:r w:rsidRPr="00B301D7">
        <w:rPr>
          <w:rStyle w:val="FootnoteReference"/>
        </w:rPr>
        <w:footnoteReference w:id="8"/>
      </w:r>
      <w:r w:rsidRPr="00B301D7">
        <w:rPr>
          <w:kern w:val="22"/>
        </w:rPr>
        <w:t xml:space="preserve"> at its upcoming session in 2023, taking into account the risk of unintentional introduction of invasive alien species, including pathogens. This could be a significant step forward if governments are willing to accept it.</w:t>
      </w:r>
    </w:p>
    <w:p w14:paraId="227D4538" w14:textId="281E7074" w:rsidR="00017C04" w:rsidRDefault="00F50AF9">
      <w:pPr>
        <w:pStyle w:val="Heading5"/>
        <w:rPr>
          <w:i/>
        </w:rPr>
      </w:pPr>
      <w:bookmarkStart w:id="271" w:name="_heading=h.4h042r0" w:colFirst="0" w:colLast="0"/>
      <w:bookmarkStart w:id="272" w:name="_Toc85291868"/>
      <w:bookmarkEnd w:id="271"/>
      <w:r>
        <w:t>(3) Develop and raise awareness of codes of practices and standards and other mechanisms to regulate cross-border e-commerce</w:t>
      </w:r>
      <w:bookmarkEnd w:id="272"/>
      <w:r>
        <w:br/>
      </w:r>
      <w:r>
        <w:rPr>
          <w:b w:val="0"/>
        </w:rPr>
        <w:t>The rise of e-commerce contributes to invasive alien species spread (</w:t>
      </w:r>
      <w:r>
        <w:t>Chapter 3</w:t>
      </w:r>
      <w:r>
        <w:rPr>
          <w:b w:val="0"/>
        </w:rPr>
        <w:t>,</w:t>
      </w:r>
      <w:r>
        <w:t xml:space="preserve"> section 3.2.3.1</w:t>
      </w:r>
      <w:r>
        <w:rPr>
          <w:b w:val="0"/>
        </w:rPr>
        <w:t xml:space="preserve">), and is becoming an increasingly critical biosecurity concern </w:t>
      </w:r>
      <w:r w:rsidR="00F02F1A" w:rsidRPr="00A9434B">
        <w:rPr>
          <w:b w:val="0"/>
          <w:bCs/>
          <w:i/>
          <w:iCs/>
        </w:rPr>
        <w:fldChar w:fldCharType="begin">
          <w:fldData xml:space="preserve">PEVuZE5vdGU+PENpdGU+PEF1dGhvcj5SaWNjaWFyZGk8L0F1dGhvcj48WWVhcj4yMDE3PC9ZZWFy
PjxSZWNOdW0+Nzg8L1JlY051bT48RGlzcGxheVRleHQ+KFJpY2NpYXJkaSwgQmxhY2tidXJuIGV0
IGFsLiAyMDE3KTwvRGlzcGxheVRleHQ+PHJlY29yZD48cmVjLW51bWJlcj43ODwvcmVjLW51bWJl
cj48Zm9yZWlnbi1rZXlzPjxrZXkgYXBwPSJFTiIgZGItaWQ9IjJmcHMycnB3Y3B0d2F4ZWR6OW9w
cnp2bWF3ZnhlZjlwZnBhMiIgdGltZXN0YW1wPSIxNjIwNzI0NDM4Ij43ODwva2V5PjwvZm9yZWln
bi1rZXlzPjxyZWYtdHlwZSBuYW1lPSJKb3VybmFsIEFydGljbGUiPjE3PC9yZWYtdHlwZT48Y29u
dHJpYnV0b3JzPjxhdXRob3JzPjxhdXRob3I+UmljY2lhcmRpLCBBLjwvYXV0aG9yPjxhdXRob3I+
QmxhY2tidXJuLCBULiBNLjwvYXV0aG9yPjxhdXRob3I+Q2FybHRvbiwgSi4gVC48L2F1dGhvcj48
YXV0aG9yPkRpY2ssIEouIFQuIEEuPC9hdXRob3I+PGF1dGhvcj5IdWxtZSwgUC4gRS48L2F1dGhv
cj48YXV0aG9yPklhY2FyZWxsYSwgSi4gQy48L2F1dGhvcj48YXV0aG9yPkplc2Noa2UsIEouIE0u
PC9hdXRob3I+PGF1dGhvcj5MaWViaG9sZCwgQS4gTS48L2F1dGhvcj48YXV0aG9yPkxvY2t3b29k
LCBKLiBMLjwvYXV0aG9yPjxhdXRob3I+TWFjSXNhYWMsIEguIEouPC9hdXRob3I+PGF1dGhvcj5Q
eXNlaywgUC48L2F1dGhvcj48YXV0aG9yPlJpY2hhcmRzb24sIEQuIE0uPC9hdXRob3I+PGF1dGhv
cj5SdWl6LCBHLiBNLjwvYXV0aG9yPjxhdXRob3I+U2ltYmVybG9mZiwgRC48L2F1dGhvcj48YXV0
aG9yPlN1dGhlcmxhbmQsIFcuIEouPC9hdXRob3I+PGF1dGhvcj5XYXJkbGUsIEQuIEEuPC9hdXRo
b3I+PGF1dGhvcj5BbGRyaWRnZSwgRC4gQy48L2F1dGhvcj48L2F1dGhvcnM+PC9jb250cmlidXRv
cnM+PGF1dGgtYWRkcmVzcz5NY0dpbGwgVW5pdiwgUmVkcGF0aCBNdXNldW0sIE1vbnRyZWFsLCBQ
USBIM0EgMEM0LCBDYW5hZGEmI3hEO1VDTCwgRGVwdCBHZW5ldCBFdm9sdXQgJmFtcDsgRW52aXJv
bm0sIEN0ciBCaW9kaXZlcnMgJmFtcDsgRW52aXJvbm0gUmVzLCBHb3dlciBTdCwgTG9uZG9uIFdD
MUUgNkJULCBFbmdsYW5kJiN4RDtab29sIFNvYyBMb25kb24sIEluc3QgWm9vbCwgUmVnZW50cyBQ
aywgTG9uZG9uIE5XMSA0UlksIEVuZ2xhbmQmI3hEO1dpbGxpYW1zIENvbGwgTXlzdGljIFNlYXBv
cnQsIE1hcml0aW1lIFN0dWRpZXMgUHJvZ3JhbSwgNzUgR3JlZW5tYW52aWxsZSwgTXlzdGljLCBD
VCAwNjM1NSBVU0EmI3hEO1F1ZWVucyBVbml2IEJlbGZhc3QsIEluc3QgR2xvYmFsIEZvb2QgU2Vj
dXIsIFNjaCBCaW9sIFNjaSwgTUJDLCA5NyBMaXNidXJuIFJkLCBCZWxmYXN0IEJUOSA3QkwsIEFu
dHJpbSwgTm9ydGggSXJlbGFuZCYjeEQ7TGluY29sbiBVbml2LCBCaW9wcm90ZWN0IFJlcyBDdHIs
IFBPQiA4NTg0MCwgQ2FudGVyYnVyeSA3NjQ3LCBOZXcgWmVhbGFuZCYjeEQ7VW5pdiBWaWN0b3Jp
YSwgQmlvbCBEZXB0LCAzODAwIEZpbm5lcnR5IFJkLCBWaWN0b3JpYSwgQkMgVjhQIDVDMiwgQ2Fu
YWRhJiN4RDtMZWlibml6IEluc3QgRnJlc2h3YXRlciBFY29sICZhbXA7IElubGFuZCBGaXNoZXJp
ZXMsIEQtMTI1ODcgQmVybGluLCBHZXJtYW55JiN4RDtGcmVlIFVuaXYgQmVybGluLCBJbnN0IEJp
b2wsIEtvbmlnaW4gTHVpc2UgU3RyIDEtMywgRC0xNDE5NSBCZXJsaW4sIEdlcm1hbnkmI3hEO0Jl
cmxpbiBCcmFuZGVuYnVyZyBJbnN0IEFkdiBCaW9kaXZlcnMgUmVzLCBELTE0MTk1IEJlcmxpbiwg
R2VybWFueSYjeEQ7VVMgRm9yZXN0IFNlcnYsIE5vcnRoZXJuIFJlcyBTdG4sIDE4MCBDYW5maWVs
ZCBTdCwgTW9yZ2FudG93biwgV1YgVVNBJiN4RDtSdXRnZXJzIFN0YXRlIFVuaXYsIERlcHQgRWNv
bCBFdm9sdXQgJmFtcDsgTmF0IFJlc291cmNlcywgMTQgQ29sbCBGYXJtLCBOZXcgQnJ1bnN3aWNr
LCBOSiAwODkwMSBVU0EmI3hEO1VuaXYgV2luZHNvciwgR3JlYXQgTGFrZXMgSW5zdCBFbnZpcm9u
bSBSZXMsIFdpbmRzb3IsIE9OIE45QiAzUDQsIENhbmFkYSYjeEQ7Q3plY2ggQWNhZCBTY2ksIElu
c3QgQm90LCBDWi0yNTI0MyBQcnVob25pY2UsIEN6ZWNoIFJlcHVibGljJiN4RDtDaGFybGVzIFVu
aXYgUHJhZ3VlLCBGYWMgU2NpLCBEZXB0IEVjb2wsIFZpbmljbmEgNywgQ1otMTI4NDQgUHJhZ3Vl
IDIsIEN6ZWNoIFJlcHVibGljJiN4RDtTdGVsbGVuYm9zY2ggVW5pdiwgQ3RyIEludmFzIEJpb2ws
IERlcHQgQm90ICZhbXA7IFpvb2wsIFpBLTc2MDIgTWF0aWVsYW5kLCBTb3V0aCBBZnJpY2EmI3hE
O1NtaXRoc29uaWFuIEVudmlyb25tIFJlcyBDdHIsIEVkZ2V3YXRlciwgTUQgMjEwMzcgVVNBJiN4
RDtVbml2IFRlbm5lc3NlZSwgRGVwdCBFY29sICZhbXA7IEV2b2x1dGlvbmFyeSBCaW9sLCBLbm94
dmlsbGUsIFROIDM3OTk2IFVTQSYjeEQ7VW5pdiBDYW1icmlkZ2UsIERlcHQgWm9vbCwgUGVtYnJv
a2UgU3QsIENhbWJyaWRnZSBDQjIgM1FaLCBFbmdsYW5kJiN4RDtTd2VkaXNoIFVuaXYgQWdyIFNj
aSwgRGVwdCBGb3Jlc3QgRWNvbCAmYW1wOyBNYW5hZ2VtZW50LCBTRS05MDE4MyBVbWVhLCBTd2Vk
ZW4mI3hEO05hbnlhbmcgVGVjaG5vbCBVbml2LCBBc2lhbiBTY2ggRW52aXJvbm0sIDUwIE5hbnlh
bmcgQXZlLCBTaW5nYXBvcmUsIFNpbmdhcG9yZTwvYXV0aC1hZGRyZXNzPjx0aXRsZXM+PHRpdGxl
PkludmFzaW9uIFNjaWVuY2U6IEEgSG9yaXpvbiBTY2FuIG9mIEVtZXJnaW5nIENoYWxsZW5nZXMg
YW5kIE9wcG9ydHVuaXRpZXM8L3RpdGxlPjxzZWNvbmRhcnktdGl0bGU+VHJlbmRzIGluIEVjb2xv
Z3kgJmFtcDsgRXZvbHV0aW9uPC9zZWNvbmRhcnktdGl0bGU+PGFsdC10aXRsZT5UcmVuZHMgRWNv
bCBFdm9sPC9hbHQtdGl0bGU+PC90aXRsZXM+PHBlcmlvZGljYWw+PGZ1bGwtdGl0bGU+VHJlbmRz
IGluIEVjb2xvZ3kgJmFtcDsgRXZvbHV0aW9uPC9mdWxsLXRpdGxlPjxhYmJyLTE+VHJlbmRzIEVj
b2wgRXZvbDwvYWJici0xPjwvcGVyaW9kaWNhbD48YWx0LXBlcmlvZGljYWw+PGZ1bGwtdGl0bGU+
VHJlbmRzIGluIEVjb2xvZ3kgJmFtcDsgRXZvbHV0aW9uPC9mdWxsLXRpdGxlPjxhYmJyLTE+VHJl
bmRzIEVjb2wgRXZvbDwvYWJici0xPjwvYWx0LXBlcmlvZGljYWw+PHBhZ2VzPjQ2NC00NzQ8L3Bh
Z2VzPjx2b2x1bWU+MzI8L3ZvbHVtZT48bnVtYmVyPjY8L251bWJlcj48a2V5d29yZHM+PGtleXdv
cmQ+YmlvbG9naWNhbCBpbnZhc2lvbnM8L2tleXdvcmQ+PGtleXdvcmQ+Z2xvYmFsIGNvbnNlcnZh
dGlvbjwva2V5d29yZD48a2V5d29yZD53b3JsZHdpZGUgaW52YXNpb248L2tleXdvcmQ+PGtleXdv
cmQ+Y2l0aXplbiBzY2llbmNlPC9rZXl3b3JkPjxrZXl3b3JkPmdlbmV0aWMgcGFyYWRveDwva2V5
d29yZD48a2V5d29yZD5wbGFudDwva2V5d29yZD48a2V5d29yZD5yb3V0ZXM8L2tleXdvcmQ+PGtl
eXdvcmQ+d2lsbDwva2V5d29yZD48a2V5d29yZD5hc3NvY2lhdGlvbnM8L2tleXdvcmQ+PGtleXdv
cmQ+aW5vY3VsYXRpb248L2tleXdvcmQ+PC9rZXl3b3Jkcz48ZGF0ZXM+PHllYXI+MjAxNzwveWVh
cj48cHViLWRhdGVzPjxkYXRlPkp1bjwvZGF0ZT48L3B1Yi1kYXRlcz48L2RhdGVzPjxpc2JuPjAx
NjktNTM0NzwvaXNibj48YWNjZXNzaW9uLW51bT5XT1M6MDAwNDAxNTE0NjAwMDA4PC9hY2Nlc3Np
b24tbnVtPjx1cmxzPjxyZWxhdGVkLXVybHM+PHVybD4mbHQ7R28gdG8gSVNJJmd0OzovL1dPUzow
MDA0MDE1MTQ2MDAwMDg8L3VybD48L3JlbGF0ZWQtdXJscz48L3VybHM+PGVsZWN0cm9uaWMtcmVz
b3VyY2UtbnVtPjEwLjEwMTYvai50cmVlLjIwMTcuMDMuMDA3PC9lbGVjdHJvbmljLXJlc291cmNl
LW51bT48bGFuZ3VhZ2U+RW5nbGlzaDwvbGFuZ3VhZ2U+PC9yZWNvcmQ+PC9DaXRlPjwvRW5kTm90
ZT5=
</w:fldData>
        </w:fldChar>
      </w:r>
      <w:r w:rsidR="00F02F1A" w:rsidRPr="00A9434B">
        <w:rPr>
          <w:b w:val="0"/>
          <w:bCs/>
        </w:rPr>
        <w:instrText xml:space="preserve"> ADDIN EN.CITE </w:instrText>
      </w:r>
      <w:r w:rsidR="00F02F1A" w:rsidRPr="00A9434B">
        <w:rPr>
          <w:b w:val="0"/>
          <w:bCs/>
          <w:i/>
          <w:iCs/>
        </w:rPr>
        <w:fldChar w:fldCharType="begin">
          <w:fldData xml:space="preserve">PEVuZE5vdGU+PENpdGU+PEF1dGhvcj5SaWNjaWFyZGk8L0F1dGhvcj48WWVhcj4yMDE3PC9ZZWFy
PjxSZWNOdW0+Nzg8L1JlY051bT48RGlzcGxheVRleHQ+KFJpY2NpYXJkaSwgQmxhY2tidXJuIGV0
IGFsLiAyMDE3KTwvRGlzcGxheVRleHQ+PHJlY29yZD48cmVjLW51bWJlcj43ODwvcmVjLW51bWJl
cj48Zm9yZWlnbi1rZXlzPjxrZXkgYXBwPSJFTiIgZGItaWQ9IjJmcHMycnB3Y3B0d2F4ZWR6OW9w
cnp2bWF3ZnhlZjlwZnBhMiIgdGltZXN0YW1wPSIxNjIwNzI0NDM4Ij43ODwva2V5PjwvZm9yZWln
bi1rZXlzPjxyZWYtdHlwZSBuYW1lPSJKb3VybmFsIEFydGljbGUiPjE3PC9yZWYtdHlwZT48Y29u
dHJpYnV0b3JzPjxhdXRob3JzPjxhdXRob3I+UmljY2lhcmRpLCBBLjwvYXV0aG9yPjxhdXRob3I+
QmxhY2tidXJuLCBULiBNLjwvYXV0aG9yPjxhdXRob3I+Q2FybHRvbiwgSi4gVC48L2F1dGhvcj48
YXV0aG9yPkRpY2ssIEouIFQuIEEuPC9hdXRob3I+PGF1dGhvcj5IdWxtZSwgUC4gRS48L2F1dGhv
cj48YXV0aG9yPklhY2FyZWxsYSwgSi4gQy48L2F1dGhvcj48YXV0aG9yPkplc2Noa2UsIEouIE0u
PC9hdXRob3I+PGF1dGhvcj5MaWViaG9sZCwgQS4gTS48L2F1dGhvcj48YXV0aG9yPkxvY2t3b29k
LCBKLiBMLjwvYXV0aG9yPjxhdXRob3I+TWFjSXNhYWMsIEguIEouPC9hdXRob3I+PGF1dGhvcj5Q
eXNlaywgUC48L2F1dGhvcj48YXV0aG9yPlJpY2hhcmRzb24sIEQuIE0uPC9hdXRob3I+PGF1dGhv
cj5SdWl6LCBHLiBNLjwvYXV0aG9yPjxhdXRob3I+U2ltYmVybG9mZiwgRC48L2F1dGhvcj48YXV0
aG9yPlN1dGhlcmxhbmQsIFcuIEouPC9hdXRob3I+PGF1dGhvcj5XYXJkbGUsIEQuIEEuPC9hdXRo
b3I+PGF1dGhvcj5BbGRyaWRnZSwgRC4gQy48L2F1dGhvcj48L2F1dGhvcnM+PC9jb250cmlidXRv
cnM+PGF1dGgtYWRkcmVzcz5NY0dpbGwgVW5pdiwgUmVkcGF0aCBNdXNldW0sIE1vbnRyZWFsLCBQ
USBIM0EgMEM0LCBDYW5hZGEmI3hEO1VDTCwgRGVwdCBHZW5ldCBFdm9sdXQgJmFtcDsgRW52aXJv
bm0sIEN0ciBCaW9kaXZlcnMgJmFtcDsgRW52aXJvbm0gUmVzLCBHb3dlciBTdCwgTG9uZG9uIFdD
MUUgNkJULCBFbmdsYW5kJiN4RDtab29sIFNvYyBMb25kb24sIEluc3QgWm9vbCwgUmVnZW50cyBQ
aywgTG9uZG9uIE5XMSA0UlksIEVuZ2xhbmQmI3hEO1dpbGxpYW1zIENvbGwgTXlzdGljIFNlYXBv
cnQsIE1hcml0aW1lIFN0dWRpZXMgUHJvZ3JhbSwgNzUgR3JlZW5tYW52aWxsZSwgTXlzdGljLCBD
VCAwNjM1NSBVU0EmI3hEO1F1ZWVucyBVbml2IEJlbGZhc3QsIEluc3QgR2xvYmFsIEZvb2QgU2Vj
dXIsIFNjaCBCaW9sIFNjaSwgTUJDLCA5NyBMaXNidXJuIFJkLCBCZWxmYXN0IEJUOSA3QkwsIEFu
dHJpbSwgTm9ydGggSXJlbGFuZCYjeEQ7TGluY29sbiBVbml2LCBCaW9wcm90ZWN0IFJlcyBDdHIs
IFBPQiA4NTg0MCwgQ2FudGVyYnVyeSA3NjQ3LCBOZXcgWmVhbGFuZCYjeEQ7VW5pdiBWaWN0b3Jp
YSwgQmlvbCBEZXB0LCAzODAwIEZpbm5lcnR5IFJkLCBWaWN0b3JpYSwgQkMgVjhQIDVDMiwgQ2Fu
YWRhJiN4RDtMZWlibml6IEluc3QgRnJlc2h3YXRlciBFY29sICZhbXA7IElubGFuZCBGaXNoZXJp
ZXMsIEQtMTI1ODcgQmVybGluLCBHZXJtYW55JiN4RDtGcmVlIFVuaXYgQmVybGluLCBJbnN0IEJp
b2wsIEtvbmlnaW4gTHVpc2UgU3RyIDEtMywgRC0xNDE5NSBCZXJsaW4sIEdlcm1hbnkmI3hEO0Jl
cmxpbiBCcmFuZGVuYnVyZyBJbnN0IEFkdiBCaW9kaXZlcnMgUmVzLCBELTE0MTk1IEJlcmxpbiwg
R2VybWFueSYjeEQ7VVMgRm9yZXN0IFNlcnYsIE5vcnRoZXJuIFJlcyBTdG4sIDE4MCBDYW5maWVs
ZCBTdCwgTW9yZ2FudG93biwgV1YgVVNBJiN4RDtSdXRnZXJzIFN0YXRlIFVuaXYsIERlcHQgRWNv
bCBFdm9sdXQgJmFtcDsgTmF0IFJlc291cmNlcywgMTQgQ29sbCBGYXJtLCBOZXcgQnJ1bnN3aWNr
LCBOSiAwODkwMSBVU0EmI3hEO1VuaXYgV2luZHNvciwgR3JlYXQgTGFrZXMgSW5zdCBFbnZpcm9u
bSBSZXMsIFdpbmRzb3IsIE9OIE45QiAzUDQsIENhbmFkYSYjeEQ7Q3plY2ggQWNhZCBTY2ksIElu
c3QgQm90LCBDWi0yNTI0MyBQcnVob25pY2UsIEN6ZWNoIFJlcHVibGljJiN4RDtDaGFybGVzIFVu
aXYgUHJhZ3VlLCBGYWMgU2NpLCBEZXB0IEVjb2wsIFZpbmljbmEgNywgQ1otMTI4NDQgUHJhZ3Vl
IDIsIEN6ZWNoIFJlcHVibGljJiN4RDtTdGVsbGVuYm9zY2ggVW5pdiwgQ3RyIEludmFzIEJpb2ws
IERlcHQgQm90ICZhbXA7IFpvb2wsIFpBLTc2MDIgTWF0aWVsYW5kLCBTb3V0aCBBZnJpY2EmI3hE
O1NtaXRoc29uaWFuIEVudmlyb25tIFJlcyBDdHIsIEVkZ2V3YXRlciwgTUQgMjEwMzcgVVNBJiN4
RDtVbml2IFRlbm5lc3NlZSwgRGVwdCBFY29sICZhbXA7IEV2b2x1dGlvbmFyeSBCaW9sLCBLbm94
dmlsbGUsIFROIDM3OTk2IFVTQSYjeEQ7VW5pdiBDYW1icmlkZ2UsIERlcHQgWm9vbCwgUGVtYnJv
a2UgU3QsIENhbWJyaWRnZSBDQjIgM1FaLCBFbmdsYW5kJiN4RDtTd2VkaXNoIFVuaXYgQWdyIFNj
aSwgRGVwdCBGb3Jlc3QgRWNvbCAmYW1wOyBNYW5hZ2VtZW50LCBTRS05MDE4MyBVbWVhLCBTd2Vk
ZW4mI3hEO05hbnlhbmcgVGVjaG5vbCBVbml2LCBBc2lhbiBTY2ggRW52aXJvbm0sIDUwIE5hbnlh
bmcgQXZlLCBTaW5nYXBvcmUsIFNpbmdhcG9yZTwvYXV0aC1hZGRyZXNzPjx0aXRsZXM+PHRpdGxl
PkludmFzaW9uIFNjaWVuY2U6IEEgSG9yaXpvbiBTY2FuIG9mIEVtZXJnaW5nIENoYWxsZW5nZXMg
YW5kIE9wcG9ydHVuaXRpZXM8L3RpdGxlPjxzZWNvbmRhcnktdGl0bGU+VHJlbmRzIGluIEVjb2xv
Z3kgJmFtcDsgRXZvbHV0aW9uPC9zZWNvbmRhcnktdGl0bGU+PGFsdC10aXRsZT5UcmVuZHMgRWNv
bCBFdm9sPC9hbHQtdGl0bGU+PC90aXRsZXM+PHBlcmlvZGljYWw+PGZ1bGwtdGl0bGU+VHJlbmRz
IGluIEVjb2xvZ3kgJmFtcDsgRXZvbHV0aW9uPC9mdWxsLXRpdGxlPjxhYmJyLTE+VHJlbmRzIEVj
b2wgRXZvbDwvYWJici0xPjwvcGVyaW9kaWNhbD48YWx0LXBlcmlvZGljYWw+PGZ1bGwtdGl0bGU+
VHJlbmRzIGluIEVjb2xvZ3kgJmFtcDsgRXZvbHV0aW9uPC9mdWxsLXRpdGxlPjxhYmJyLTE+VHJl
bmRzIEVjb2wgRXZvbDwvYWJici0xPjwvYWx0LXBlcmlvZGljYWw+PHBhZ2VzPjQ2NC00NzQ8L3Bh
Z2VzPjx2b2x1bWU+MzI8L3ZvbHVtZT48bnVtYmVyPjY8L251bWJlcj48a2V5d29yZHM+PGtleXdv
cmQ+YmlvbG9naWNhbCBpbnZhc2lvbnM8L2tleXdvcmQ+PGtleXdvcmQ+Z2xvYmFsIGNvbnNlcnZh
dGlvbjwva2V5d29yZD48a2V5d29yZD53b3JsZHdpZGUgaW52YXNpb248L2tleXdvcmQ+PGtleXdv
cmQ+Y2l0aXplbiBzY2llbmNlPC9rZXl3b3JkPjxrZXl3b3JkPmdlbmV0aWMgcGFyYWRveDwva2V5
d29yZD48a2V5d29yZD5wbGFudDwva2V5d29yZD48a2V5d29yZD5yb3V0ZXM8L2tleXdvcmQ+PGtl
eXdvcmQ+d2lsbDwva2V5d29yZD48a2V5d29yZD5hc3NvY2lhdGlvbnM8L2tleXdvcmQ+PGtleXdv
cmQ+aW5vY3VsYXRpb248L2tleXdvcmQ+PC9rZXl3b3Jkcz48ZGF0ZXM+PHllYXI+MjAxNzwveWVh
cj48cHViLWRhdGVzPjxkYXRlPkp1bjwvZGF0ZT48L3B1Yi1kYXRlcz48L2RhdGVzPjxpc2JuPjAx
NjktNTM0NzwvaXNibj48YWNjZXNzaW9uLW51bT5XT1M6MDAwNDAxNTE0NjAwMDA4PC9hY2Nlc3Np
b24tbnVtPjx1cmxzPjxyZWxhdGVkLXVybHM+PHVybD4mbHQ7R28gdG8gSVNJJmd0OzovL1dPUzow
MDA0MDE1MTQ2MDAwMDg8L3VybD48L3JlbGF0ZWQtdXJscz48L3VybHM+PGVsZWN0cm9uaWMtcmVz
b3VyY2UtbnVtPjEwLjEwMTYvai50cmVlLjIwMTcuMDMuMDA3PC9lbGVjdHJvbmljLXJlc291cmNl
LW51bT48bGFuZ3VhZ2U+RW5nbGlzaDwvbGFuZ3VhZ2U+PC9yZWNvcmQ+PC9DaXRlPjwvRW5kTm90
ZT5=
</w:fldData>
        </w:fldChar>
      </w:r>
      <w:r w:rsidR="00F02F1A" w:rsidRPr="00A9434B">
        <w:rPr>
          <w:b w:val="0"/>
          <w:bCs/>
        </w:rPr>
        <w:instrText xml:space="preserve"> ADDIN EN.CITE.DATA </w:instrText>
      </w:r>
      <w:r w:rsidR="00F02F1A" w:rsidRPr="00A9434B">
        <w:rPr>
          <w:b w:val="0"/>
          <w:bCs/>
          <w:i/>
          <w:iCs/>
        </w:rPr>
      </w:r>
      <w:r w:rsidR="00F02F1A" w:rsidRPr="00A9434B">
        <w:rPr>
          <w:b w:val="0"/>
          <w:bCs/>
          <w:i/>
          <w:iCs/>
        </w:rPr>
        <w:fldChar w:fldCharType="end"/>
      </w:r>
      <w:r w:rsidR="00F02F1A" w:rsidRPr="00A9434B">
        <w:rPr>
          <w:b w:val="0"/>
          <w:bCs/>
          <w:i/>
          <w:iCs/>
        </w:rPr>
      </w:r>
      <w:r w:rsidR="00F02F1A" w:rsidRPr="00A9434B">
        <w:rPr>
          <w:b w:val="0"/>
          <w:bCs/>
          <w:i/>
          <w:iCs/>
        </w:rPr>
        <w:fldChar w:fldCharType="separate"/>
      </w:r>
      <w:r w:rsidR="00F02F1A" w:rsidRPr="00A9434B">
        <w:rPr>
          <w:b w:val="0"/>
          <w:bCs/>
          <w:i/>
          <w:iCs/>
        </w:rPr>
        <w:fldChar w:fldCharType="begin"/>
      </w:r>
      <w:r w:rsidR="0006613E">
        <w:rPr>
          <w:b w:val="0"/>
          <w:bCs/>
        </w:rPr>
        <w:instrText xml:space="preserve"> ADDIN ZOTERO_ITEM CSL_CITATION {"citationID":"a1jd9s5m5u9","properties":{"formattedCitation":"\\uldash{(Ricciardi et al., 2017)}","plainCitation":"(Ricciardi et al., 2017)","dontUpdate":true,"noteIndex":0},"citationItems":[{"id":29130,"uris":["http://zotero.org/groups/2352922/items/RFIVYNSF"],"itemData":{"id":29130,"type":"article-journal","abstract":"We identified emerging scientific, technological, and sociopolitical issues likely to affect how biological invasions are studied and managed over the next two decades. Issues were ranked according to their probability of emergence, pervasiveness, potential impact, and novelty. Top-ranked issues include the application of genomic modification tools to control invasions, effects of Arctic globalization on invasion risk in the Northern Hemisphere, commercial use of microbes to facilitate crop production, the emergence of invasive microbial pathogens, and the fate of intercontinental trade agreements. These diverse issues suggest an expanding interdisciplinary role for invasion science in biosecurity and ecosystem management, burgeoning applications of biotechnology in alien species detection and control, and new frontiers in the microbial ecology of invasions.","container-title":"Trends in Ecology &amp; Evolution","DOI":"10.1016/j.tree.2017.03.007","ISSN":"0169-5347","issue":"6","journalAbbreviation":"Trends in Ecology &amp; Evolution","language":"en","page":"464-474","source":"ScienceDirect","title":"Invasion Science: A Horizon Scan of Emerging Challenges and Opportunities","title-short":"Invasion Science","URL":"http://www.sciencedirect.com/science/article/pii/S0169534717300794","volume":"32","author":[{"family":"Ricciardi","given":"Anthony"},{"family":"Blackburn","given":"Tim M."},{"family":"Carlton","given":"James T."},{"family":"Dick","given":"Jaimie T. A."},{"family":"Hulme","given":"Philip E."},{"family":"Iacarella","given":"Josephine C."},{"family":"Jeschke","given":"Jonathan M."},{"family":"Liebhold","given":"Andrew M."},{"family":"Lockwood","given":"Julie L."},{"family":"MacIsaac","given":"Hugh J."},{"family":"Pyšek","given":"Petr"},{"family":"Richardson","given":"David M."},{"family":"Ruiz","given":"Gregory M."},{"family":"Simberloff","given":"Daniel"},{"family":"Sutherland","given":"William J."},{"family":"Wardle","given":"David A."},{"family":"Aldridge","given":"David C."}],"accessed":{"date-parts":[["2019",10,21]]},"issued":{"date-parts":[["2017",6,1]]}},"label":"page"}],"schema":"https://github.com/citation-style-language/schema/raw/master/csl-citation.json"} </w:instrText>
      </w:r>
      <w:r w:rsidR="00F02F1A" w:rsidRPr="00A9434B">
        <w:rPr>
          <w:b w:val="0"/>
          <w:bCs/>
          <w:i/>
          <w:iCs/>
        </w:rPr>
        <w:fldChar w:fldCharType="separate"/>
      </w:r>
      <w:r w:rsidR="000B44DE" w:rsidRPr="00A9434B">
        <w:rPr>
          <w:b w:val="0"/>
        </w:rPr>
        <w:t>(Ricciardi et al., 2017</w:t>
      </w:r>
      <w:r w:rsidR="00F02F1A" w:rsidRPr="00A9434B">
        <w:rPr>
          <w:b w:val="0"/>
          <w:bCs/>
          <w:i/>
          <w:iCs/>
        </w:rPr>
        <w:fldChar w:fldCharType="end"/>
      </w:r>
      <w:r w:rsidR="00F02F1A" w:rsidRPr="00A9434B">
        <w:rPr>
          <w:b w:val="0"/>
          <w:bCs/>
          <w:i/>
          <w:iCs/>
        </w:rPr>
        <w:fldChar w:fldCharType="end"/>
      </w:r>
      <w:r w:rsidR="00A31680">
        <w:rPr>
          <w:b w:val="0"/>
          <w:bCs/>
        </w:rPr>
        <w:t>;</w:t>
      </w:r>
      <w:r w:rsidR="11BBE495" w:rsidRPr="00A9434B">
        <w:rPr>
          <w:b w:val="0"/>
          <w:bCs/>
        </w:rPr>
        <w:t xml:space="preserve"> </w:t>
      </w:r>
      <w:r w:rsidR="00571A0C">
        <w:rPr>
          <w:bCs/>
          <w:iCs/>
        </w:rPr>
        <w:t>C</w:t>
      </w:r>
      <w:r w:rsidR="11BBE495" w:rsidRPr="00673554">
        <w:rPr>
          <w:bCs/>
          <w:iCs/>
        </w:rPr>
        <w:t>hapter 5</w:t>
      </w:r>
      <w:r w:rsidR="11BBE495" w:rsidRPr="00673554">
        <w:rPr>
          <w:b w:val="0"/>
          <w:bCs/>
          <w:iCs/>
        </w:rPr>
        <w:t>,</w:t>
      </w:r>
      <w:r w:rsidR="11BBE495" w:rsidRPr="00673554">
        <w:rPr>
          <w:bCs/>
          <w:iCs/>
        </w:rPr>
        <w:t xml:space="preserve"> section 5.3.1.1</w:t>
      </w:r>
      <w:r w:rsidR="11BBE495" w:rsidRPr="00A9434B">
        <w:rPr>
          <w:b w:val="0"/>
          <w:bCs/>
        </w:rPr>
        <w:t xml:space="preserve">). </w:t>
      </w:r>
      <w:r w:rsidR="7537C5CD" w:rsidRPr="00A9434B">
        <w:rPr>
          <w:b w:val="0"/>
          <w:bCs/>
        </w:rPr>
        <w:t xml:space="preserve">However, the online trade of living organisms is poorly regulated </w:t>
      </w:r>
      <w:r w:rsidR="0022185D" w:rsidRPr="00A9434B">
        <w:rPr>
          <w:b w:val="0"/>
          <w:bCs/>
          <w:i/>
          <w:iCs/>
        </w:rPr>
        <w:fldChar w:fldCharType="begin">
          <w:fldData xml:space="preserve">PEVuZE5vdGU+PENpdGU+PEF1dGhvcj5NYXp6YTwvQXV0aG9yPjxZZWFyPjIwMTU8L1llYXI+PFJl
Y051bT43OTwvUmVjTnVtPjxEaXNwbGF5VGV4dD4oTGVuZGEsIFNrb3JrYSBldCBhbC4gMjAxNCwg
TWF6emEsIEFxdWlsb25pIGV0IGFsLiAyMDE1KTwvRGlzcGxheVRleHQ+PHJlY29yZD48cmVjLW51
bWJlcj43OTwvcmVjLW51bWJlcj48Zm9yZWlnbi1rZXlzPjxrZXkgYXBwPSJFTiIgZGItaWQ9IjJm
cHMycnB3Y3B0d2F4ZWR6OW9wcnp2bWF3ZnhlZjlwZnBhMiIgdGltZXN0YW1wPSIxNjIwNzI0NDcw
Ij43OTwva2V5PjwvZm9yZWlnbi1rZXlzPjxyZWYtdHlwZSBuYW1lPSJKb3VybmFsIEFydGljbGUi
PjE3PC9yZWYtdHlwZT48Y29udHJpYnV0b3JzPjxhdXRob3JzPjxhdXRob3I+TWF6emEsIEcuPC9h
dXRob3I+PGF1dGhvcj5BcXVpbG9uaSwgTC48L2F1dGhvcj48YXV0aG9yPkluZ2hpbGVzaSwgQS4g
Ri48L2F1dGhvcj48YXV0aG9yPkdpdWxpYW5pLCBDLjwvYXV0aG9yPjxhdXRob3I+TGF6emFybywg
TC48L2F1dGhvcj48YXV0aG9yPkZlcnJldHRpLCBHLjwvYXV0aG9yPjxhdXRob3I+TGFzdHJ1Y2Np
LCBMLjwvYXV0aG9yPjxhdXRob3I+Rm9nZ2ksIEIuPC9hdXRob3I+PGF1dGhvcj5UcmljYXJpY28s
IEUuPC9hdXRob3I+PC9hdXRob3JzPjwvY29udHJpYnV0b3JzPjxhdXRoLWFkZHJlc3M+VW5pdiBG
aXJlbnplLCBEaXBhcnRpbWVudG8gQmlvbCwgVmlhIFJvbWFuYSAxNywgSS01MDEyNSBGbG9yZW5j
ZSwgSXRhbHkmI3hEO0N0ciBSaWMgQWdyb2Jpb2wgJmFtcDsgUGVkb2wgQ1JBIEFCUCwgQ29uc2ln
bGlvIFJpYyBBZ3IgJmFtcDsgQW5hbCBFY29uIEFnciwgSS01MDEyNSBGbG9yZW5jZSwgSXRhbHkm
I3hEO1VuaXYgRmlyZW56ZSwgRGlwYXJ0aW1lbnRvIEJpb2wsIEktNTAxMjEgRmxvcmVuY2UsIEl0
YWx5PC9hdXRoLWFkZHJlc3M+PHRpdGxlcz48dGl0bGU+QWxpZW5zIGp1c3QgYSBjbGljayBhd2F5
OiB0aGUgb25saW5lIGFxdWFyaXVtIHRyYWRlIGluIEl0YWx5PC90aXRsZT48c2Vjb25kYXJ5LXRp
dGxlPk1hbmFnZW1lbnQgb2YgQmlvbG9naWNhbCBJbnZhc2lvbnM8L3NlY29uZGFyeS10aXRsZT48
YWx0LXRpdGxlPk1hbmFnIEJpb2wgSW52YXNpb248L2FsdC10aXRsZT48L3RpdGxlcz48cGVyaW9k
aWNhbD48ZnVsbC10aXRsZT5NYW5hZ2VtZW50IG9mIEJpb2xvZ2ljYWwgSW52YXNpb25zPC9mdWxs
LXRpdGxlPjwvcGVyaW9kaWNhbD48cGFnZXM+MjUzLTI2MTwvcGFnZXM+PHZvbHVtZT42PC92b2x1
bWU+PG51bWJlcj4zPC9udW1iZXI+PGtleXdvcmRzPjxrZXl3b3JkPm9ubGluZSBhcXVhcml1bSB0
cmFkZTwva2V5d29yZD48a2V5d29yZD5pbnRyb2R1Y3Rpb24gcGF0aHdheTwva2V5d29yZD48a2V5
d29yZD5iaW9sb2dpY2FsIGludmFzaW9uPC9rZXl3b3JkPjxrZXl3b3JkPml0YWx5PC9rZXl3b3Jk
Pjwva2V5d29yZHM+PGRhdGVzPjx5ZWFyPjIwMTU8L3llYXI+PHB1Yi1kYXRlcz48ZGF0ZT5TZXA8
L2RhdGU+PC9wdWItZGF0ZXM+PC9kYXRlcz48aXNibj4xOTg5LTg2NDk8L2lzYm4+PGFjY2Vzc2lv
bi1udW0+V09TOjAwMDQyMjYzNDkwMDAwNDwvYWNjZXNzaW9uLW51bT48dXJscz48cmVsYXRlZC11
cmxzPjx1cmw+Jmx0O0dvIHRvIElTSSZndDs6Ly9XT1M6MDAwNDIyNjM0OTAwMDA0PC91cmw+PC9y
ZWxhdGVkLXVybHM+PC91cmxzPjxlbGVjdHJvbmljLXJlc291cmNlLW51bT4xMC4zMzkxL21iaS4y
MDE1LjYuMy4wNDwvZWxlY3Ryb25pYy1yZXNvdXJjZS1udW0+PGxhbmd1YWdlPkVuZ2xpc2g8L2xh
bmd1YWdlPjwvcmVjb3JkPjwvQ2l0ZT48Q2l0ZT48QXV0aG9yPkxlbmRhPC9BdXRob3I+PFllYXI+
MjAxNDwvWWVhcj48UmVjTnVtPjgwPC9SZWNOdW0+PHJlY29yZD48cmVjLW51bWJlcj44MDwvcmVj
LW51bWJlcj48Zm9yZWlnbi1rZXlzPjxrZXkgYXBwPSJFTiIgZGItaWQ9IjJmcHMycnB3Y3B0d2F4
ZWR6OW9wcnp2bWF3ZnhlZjlwZnBhMiIgdGltZXN0YW1wPSIxNjIwNzI0NDk3Ij44MDwva2V5Pjwv
Zm9yZWlnbi1rZXlzPjxyZWYtdHlwZSBuYW1lPSJKb3VybmFsIEFydGljbGUiPjE3PC9yZWYtdHlw
ZT48Y29udHJpYnV0b3JzPjxhdXRob3JzPjxhdXRob3I+TGVuZGEsIE0uPC9hdXRob3I+PGF1dGhv
cj5Ta29ya2EsIFAuPC9hdXRob3I+PGF1dGhvcj5Lbm9wcywgSi4gTS4gSC48L2F1dGhvcj48YXV0
aG9yPk1vcm9uLCBELjwvYXV0aG9yPjxhdXRob3I+U3V0aGVybGFuZCwgVy4gSi48L2F1dGhvcj48
YXV0aG9yPkt1c3pld3NrYSwgSy48L2F1dGhvcj48YXV0aG9yPldveWNpZWNob3dza2ksIE0uPC9h
dXRob3I+PC9hdXRob3JzPjwvY29udHJpYnV0b3JzPjxhdXRoLWFkZHJlc3M+SmFnaWVsbG9uaWFu
IFVuaXYsIEluc3QgRW52aXJvbm0gU2NpLCBLcmFrb3csIFBvbGFuZCYjeEQ7UG96bmFuIFVuaXYg
TGlmZSBTY2ksIEluc3QgWm9vbCwgUG96bmFuLCBQb2xhbmQmI3hEO1VuaXYgTmVicmFza2EsIFNj
aCBCaW9sIFNjaSwgTGluY29sbiwgTkUgVVNBJiN4RDtQb2xpc2ggQWNhZCBTY2ksIEluc3QgU3lz
dGVtYXQgJmFtcDsgRXZvbHV0IEFuaW0sIEtyYWtvdywgUG9sYW5kJiN4RDtVbml2IENhbWJyaWRn
ZSwgRGVwdCBab29sLCBDb25zZXJ2YXQgU2NpIEdycCwgQ2FtYnJpZGdlLCBFbmdsYW5kPC9hdXRo
LWFkZHJlc3M+PHRpdGxlcz48dGl0bGU+RWZmZWN0IG9mIHRoZSBJbnRlcm5ldCBDb21tZXJjZSBv
biBEaXNwZXJzYWwgTW9kZXMgb2YgSW52YXNpdmUgQWxpZW4gU3BlY2llczwvdGl0bGU+PHNlY29u
ZGFyeS10aXRsZT5QbG9zIE9uZTwvc2Vjb25kYXJ5LXRpdGxlPjxhbHQtdGl0bGU+UGxvcyBPbmU8
L2FsdC10aXRsZT48L3RpdGxlcz48cGVyaW9kaWNhbD48ZnVsbC10aXRsZT5QbG9zIE9uZTwvZnVs
bC10aXRsZT48YWJici0xPlBsb3MgT25lPC9hYmJyLTE+PC9wZXJpb2RpY2FsPjxhbHQtcGVyaW9k
aWNhbD48ZnVsbC10aXRsZT5QbG9zIE9uZTwvZnVsbC10aXRsZT48YWJici0xPlBsb3MgT25lPC9h
YmJyLTE+PC9hbHQtcGVyaW9kaWNhbD48dm9sdW1lPjk8L3ZvbHVtZT48bnVtYmVyPjY8L251bWJl
cj48a2V5d29yZHM+PGtleXdvcmQ+bG9uZy1kaXN0YW5jZSBkaXNwZXJzYWw8L2tleXdvcmQ+PGtl
eXdvcmQ+YmlvbG9naWNhbCBpbnZhc2lvbnM8L2tleXdvcmQ+PGtleXdvcmQ+cHJvcGFndWxlIHBy
ZXNzdXJlPC9rZXl3b3JkPjxrZXl3b3JkPnBsYW50IGludmFzaW9uczwva2V5d29yZD48a2V5d29y
ZD50cmFkZTwva2V5d29yZD48a2V5d29yZD5lc3RhYmxpc2htZW50PC9rZXl3b3JkPjxrZXl3b3Jk
PmVjb3N5c3RlbXM8L2tleXdvcmQ+PGtleXdvcmQ+bWFuYWdlbWVudDwva2V5d29yZD48a2V5d29y
ZD5lY29sb2d5PC9rZXl3b3JkPjxrZXl3b3JkPm9yaWdpbjwva2V5d29yZD48L2tleXdvcmRzPjxk
YXRlcz48eWVhcj4yMDE0PC95ZWFyPjxwdWItZGF0ZXM+PGRhdGU+SnVuIDE2PC9kYXRlPjwvcHVi
LWRhdGVzPjwvZGF0ZXM+PGlzYm4+MTkzMi02MjAzPC9pc2JuPjxhY2Nlc3Npb24tbnVtPldPUzow
MDAzMzc3Mzg2MDAwNjM8L2FjY2Vzc2lvbi1udW0+PHVybHM+PHJlbGF0ZWQtdXJscz48dXJsPiZs
dDtHbyB0byBJU0kmZ3Q7Oi8vV09TOjAwMDMzNzczODYwMDA2MzwvdXJsPjwvcmVsYXRlZC11cmxz
PjwvdXJscz48ZWxlY3Ryb25pYy1yZXNvdXJjZS1udW0+QVJUTiBlOTk3ODYmI3hEOzEwLjEzNzEv
am91cm5hbC5wb25lLjAwOTk3ODY8L2VsZWN0cm9uaWMtcmVzb3VyY2UtbnVtPjxsYW5ndWFnZT5F
bmdsaXNoPC9sYW5ndWFnZT48L3JlY29yZD48L0NpdGU+PC9FbmROb3RlPn==
</w:fldData>
        </w:fldChar>
      </w:r>
      <w:r w:rsidR="0022185D" w:rsidRPr="00A9434B">
        <w:rPr>
          <w:b w:val="0"/>
          <w:bCs/>
        </w:rPr>
        <w:instrText xml:space="preserve"> ADDIN EN.CITE </w:instrText>
      </w:r>
      <w:r w:rsidR="0022185D" w:rsidRPr="00A9434B">
        <w:rPr>
          <w:b w:val="0"/>
          <w:bCs/>
          <w:i/>
          <w:iCs/>
        </w:rPr>
        <w:fldChar w:fldCharType="begin">
          <w:fldData xml:space="preserve">PEVuZE5vdGU+PENpdGU+PEF1dGhvcj5NYXp6YTwvQXV0aG9yPjxZZWFyPjIwMTU8L1llYXI+PFJl
Y051bT43OTwvUmVjTnVtPjxEaXNwbGF5VGV4dD4oTGVuZGEsIFNrb3JrYSBldCBhbC4gMjAxNCwg
TWF6emEsIEFxdWlsb25pIGV0IGFsLiAyMDE1KTwvRGlzcGxheVRleHQ+PHJlY29yZD48cmVjLW51
bWJlcj43OTwvcmVjLW51bWJlcj48Zm9yZWlnbi1rZXlzPjxrZXkgYXBwPSJFTiIgZGItaWQ9IjJm
cHMycnB3Y3B0d2F4ZWR6OW9wcnp2bWF3ZnhlZjlwZnBhMiIgdGltZXN0YW1wPSIxNjIwNzI0NDcw
Ij43OTwva2V5PjwvZm9yZWlnbi1rZXlzPjxyZWYtdHlwZSBuYW1lPSJKb3VybmFsIEFydGljbGUi
PjE3PC9yZWYtdHlwZT48Y29udHJpYnV0b3JzPjxhdXRob3JzPjxhdXRob3I+TWF6emEsIEcuPC9h
dXRob3I+PGF1dGhvcj5BcXVpbG9uaSwgTC48L2F1dGhvcj48YXV0aG9yPkluZ2hpbGVzaSwgQS4g
Ri48L2F1dGhvcj48YXV0aG9yPkdpdWxpYW5pLCBDLjwvYXV0aG9yPjxhdXRob3I+TGF6emFybywg
TC48L2F1dGhvcj48YXV0aG9yPkZlcnJldHRpLCBHLjwvYXV0aG9yPjxhdXRob3I+TGFzdHJ1Y2Np
LCBMLjwvYXV0aG9yPjxhdXRob3I+Rm9nZ2ksIEIuPC9hdXRob3I+PGF1dGhvcj5UcmljYXJpY28s
IEUuPC9hdXRob3I+PC9hdXRob3JzPjwvY29udHJpYnV0b3JzPjxhdXRoLWFkZHJlc3M+VW5pdiBG
aXJlbnplLCBEaXBhcnRpbWVudG8gQmlvbCwgVmlhIFJvbWFuYSAxNywgSS01MDEyNSBGbG9yZW5j
ZSwgSXRhbHkmI3hEO0N0ciBSaWMgQWdyb2Jpb2wgJmFtcDsgUGVkb2wgQ1JBIEFCUCwgQ29uc2ln
bGlvIFJpYyBBZ3IgJmFtcDsgQW5hbCBFY29uIEFnciwgSS01MDEyNSBGbG9yZW5jZSwgSXRhbHkm
I3hEO1VuaXYgRmlyZW56ZSwgRGlwYXJ0aW1lbnRvIEJpb2wsIEktNTAxMjEgRmxvcmVuY2UsIEl0
YWx5PC9hdXRoLWFkZHJlc3M+PHRpdGxlcz48dGl0bGU+QWxpZW5zIGp1c3QgYSBjbGljayBhd2F5
OiB0aGUgb25saW5lIGFxdWFyaXVtIHRyYWRlIGluIEl0YWx5PC90aXRsZT48c2Vjb25kYXJ5LXRp
dGxlPk1hbmFnZW1lbnQgb2YgQmlvbG9naWNhbCBJbnZhc2lvbnM8L3NlY29uZGFyeS10aXRsZT48
YWx0LXRpdGxlPk1hbmFnIEJpb2wgSW52YXNpb248L2FsdC10aXRsZT48L3RpdGxlcz48cGVyaW9k
aWNhbD48ZnVsbC10aXRsZT5NYW5hZ2VtZW50IG9mIEJpb2xvZ2ljYWwgSW52YXNpb25zPC9mdWxs
LXRpdGxlPjwvcGVyaW9kaWNhbD48cGFnZXM+MjUzLTI2MTwvcGFnZXM+PHZvbHVtZT42PC92b2x1
bWU+PG51bWJlcj4zPC9udW1iZXI+PGtleXdvcmRzPjxrZXl3b3JkPm9ubGluZSBhcXVhcml1bSB0
cmFkZTwva2V5d29yZD48a2V5d29yZD5pbnRyb2R1Y3Rpb24gcGF0aHdheTwva2V5d29yZD48a2V5
d29yZD5iaW9sb2dpY2FsIGludmFzaW9uPC9rZXl3b3JkPjxrZXl3b3JkPml0YWx5PC9rZXl3b3Jk
Pjwva2V5d29yZHM+PGRhdGVzPjx5ZWFyPjIwMTU8L3llYXI+PHB1Yi1kYXRlcz48ZGF0ZT5TZXA8
L2RhdGU+PC9wdWItZGF0ZXM+PC9kYXRlcz48aXNibj4xOTg5LTg2NDk8L2lzYm4+PGFjY2Vzc2lv
bi1udW0+V09TOjAwMDQyMjYzNDkwMDAwNDwvYWNjZXNzaW9uLW51bT48dXJscz48cmVsYXRlZC11
cmxzPjx1cmw+Jmx0O0dvIHRvIElTSSZndDs6Ly9XT1M6MDAwNDIyNjM0OTAwMDA0PC91cmw+PC9y
ZWxhdGVkLXVybHM+PC91cmxzPjxlbGVjdHJvbmljLXJlc291cmNlLW51bT4xMC4zMzkxL21iaS4y
MDE1LjYuMy4wNDwvZWxlY3Ryb25pYy1yZXNvdXJjZS1udW0+PGxhbmd1YWdlPkVuZ2xpc2g8L2xh
bmd1YWdlPjwvcmVjb3JkPjwvQ2l0ZT48Q2l0ZT48QXV0aG9yPkxlbmRhPC9BdXRob3I+PFllYXI+
MjAxNDwvWWVhcj48UmVjTnVtPjgwPC9SZWNOdW0+PHJlY29yZD48cmVjLW51bWJlcj44MDwvcmVj
LW51bWJlcj48Zm9yZWlnbi1rZXlzPjxrZXkgYXBwPSJFTiIgZGItaWQ9IjJmcHMycnB3Y3B0d2F4
ZWR6OW9wcnp2bWF3ZnhlZjlwZnBhMiIgdGltZXN0YW1wPSIxNjIwNzI0NDk3Ij44MDwva2V5Pjwv
Zm9yZWlnbi1rZXlzPjxyZWYtdHlwZSBuYW1lPSJKb3VybmFsIEFydGljbGUiPjE3PC9yZWYtdHlw
ZT48Y29udHJpYnV0b3JzPjxhdXRob3JzPjxhdXRob3I+TGVuZGEsIE0uPC9hdXRob3I+PGF1dGhv
cj5Ta29ya2EsIFAuPC9hdXRob3I+PGF1dGhvcj5Lbm9wcywgSi4gTS4gSC48L2F1dGhvcj48YXV0
aG9yPk1vcm9uLCBELjwvYXV0aG9yPjxhdXRob3I+U3V0aGVybGFuZCwgVy4gSi48L2F1dGhvcj48
YXV0aG9yPkt1c3pld3NrYSwgSy48L2F1dGhvcj48YXV0aG9yPldveWNpZWNob3dza2ksIE0uPC9h
dXRob3I+PC9hdXRob3JzPjwvY29udHJpYnV0b3JzPjxhdXRoLWFkZHJlc3M+SmFnaWVsbG9uaWFu
IFVuaXYsIEluc3QgRW52aXJvbm0gU2NpLCBLcmFrb3csIFBvbGFuZCYjeEQ7UG96bmFuIFVuaXYg
TGlmZSBTY2ksIEluc3QgWm9vbCwgUG96bmFuLCBQb2xhbmQmI3hEO1VuaXYgTmVicmFza2EsIFNj
aCBCaW9sIFNjaSwgTGluY29sbiwgTkUgVVNBJiN4RDtQb2xpc2ggQWNhZCBTY2ksIEluc3QgU3lz
dGVtYXQgJmFtcDsgRXZvbHV0IEFuaW0sIEtyYWtvdywgUG9sYW5kJiN4RDtVbml2IENhbWJyaWRn
ZSwgRGVwdCBab29sLCBDb25zZXJ2YXQgU2NpIEdycCwgQ2FtYnJpZGdlLCBFbmdsYW5kPC9hdXRo
LWFkZHJlc3M+PHRpdGxlcz48dGl0bGU+RWZmZWN0IG9mIHRoZSBJbnRlcm5ldCBDb21tZXJjZSBv
biBEaXNwZXJzYWwgTW9kZXMgb2YgSW52YXNpdmUgQWxpZW4gU3BlY2llczwvdGl0bGU+PHNlY29u
ZGFyeS10aXRsZT5QbG9zIE9uZTwvc2Vjb25kYXJ5LXRpdGxlPjxhbHQtdGl0bGU+UGxvcyBPbmU8
L2FsdC10aXRsZT48L3RpdGxlcz48cGVyaW9kaWNhbD48ZnVsbC10aXRsZT5QbG9zIE9uZTwvZnVs
bC10aXRsZT48YWJici0xPlBsb3MgT25lPC9hYmJyLTE+PC9wZXJpb2RpY2FsPjxhbHQtcGVyaW9k
aWNhbD48ZnVsbC10aXRsZT5QbG9zIE9uZTwvZnVsbC10aXRsZT48YWJici0xPlBsb3MgT25lPC9h
YmJyLTE+PC9hbHQtcGVyaW9kaWNhbD48dm9sdW1lPjk8L3ZvbHVtZT48bnVtYmVyPjY8L251bWJl
cj48a2V5d29yZHM+PGtleXdvcmQ+bG9uZy1kaXN0YW5jZSBkaXNwZXJzYWw8L2tleXdvcmQ+PGtl
eXdvcmQ+YmlvbG9naWNhbCBpbnZhc2lvbnM8L2tleXdvcmQ+PGtleXdvcmQ+cHJvcGFndWxlIHBy
ZXNzdXJlPC9rZXl3b3JkPjxrZXl3b3JkPnBsYW50IGludmFzaW9uczwva2V5d29yZD48a2V5d29y
ZD50cmFkZTwva2V5d29yZD48a2V5d29yZD5lc3RhYmxpc2htZW50PC9rZXl3b3JkPjxrZXl3b3Jk
PmVjb3N5c3RlbXM8L2tleXdvcmQ+PGtleXdvcmQ+bWFuYWdlbWVudDwva2V5d29yZD48a2V5d29y
ZD5lY29sb2d5PC9rZXl3b3JkPjxrZXl3b3JkPm9yaWdpbjwva2V5d29yZD48L2tleXdvcmRzPjxk
YXRlcz48eWVhcj4yMDE0PC95ZWFyPjxwdWItZGF0ZXM+PGRhdGU+SnVuIDE2PC9kYXRlPjwvcHVi
LWRhdGVzPjwvZGF0ZXM+PGlzYm4+MTkzMi02MjAzPC9pc2JuPjxhY2Nlc3Npb24tbnVtPldPUzow
MDAzMzc3Mzg2MDAwNjM8L2FjY2Vzc2lvbi1udW0+PHVybHM+PHJlbGF0ZWQtdXJscz48dXJsPiZs
dDtHbyB0byBJU0kmZ3Q7Oi8vV09TOjAwMDMzNzczODYwMDA2MzwvdXJsPjwvcmVsYXRlZC11cmxz
PjwvdXJscz48ZWxlY3Ryb25pYy1yZXNvdXJjZS1udW0+QVJUTiBlOTk3ODYmI3hEOzEwLjEzNzEv
am91cm5hbC5wb25lLjAwOTk3ODY8L2VsZWN0cm9uaWMtcmVzb3VyY2UtbnVtPjxsYW5ndWFnZT5F
bmdsaXNoPC9sYW5ndWFnZT48L3JlY29yZD48L0NpdGU+PC9FbmROb3RlPn==
</w:fldData>
        </w:fldChar>
      </w:r>
      <w:r w:rsidR="0022185D" w:rsidRPr="00A9434B">
        <w:rPr>
          <w:b w:val="0"/>
          <w:bCs/>
        </w:rPr>
        <w:instrText xml:space="preserve"> ADDIN EN.CITE.DATA </w:instrText>
      </w:r>
      <w:r w:rsidR="0022185D" w:rsidRPr="00A9434B">
        <w:rPr>
          <w:b w:val="0"/>
          <w:bCs/>
          <w:i/>
          <w:iCs/>
        </w:rPr>
      </w:r>
      <w:r w:rsidR="0022185D" w:rsidRPr="00A9434B">
        <w:rPr>
          <w:b w:val="0"/>
          <w:bCs/>
          <w:i/>
          <w:iCs/>
        </w:rPr>
        <w:fldChar w:fldCharType="end"/>
      </w:r>
      <w:r w:rsidR="0022185D" w:rsidRPr="00A9434B">
        <w:rPr>
          <w:b w:val="0"/>
          <w:bCs/>
          <w:i/>
          <w:iCs/>
        </w:rPr>
      </w:r>
      <w:r w:rsidR="0022185D" w:rsidRPr="00A9434B">
        <w:rPr>
          <w:b w:val="0"/>
          <w:bCs/>
          <w:i/>
          <w:iCs/>
        </w:rPr>
        <w:fldChar w:fldCharType="separate"/>
      </w:r>
      <w:r w:rsidR="00E46695" w:rsidRPr="00A9434B">
        <w:rPr>
          <w:b w:val="0"/>
          <w:bCs/>
          <w:i/>
          <w:iCs/>
        </w:rPr>
        <w:fldChar w:fldCharType="begin"/>
      </w:r>
      <w:r w:rsidR="0006613E">
        <w:rPr>
          <w:b w:val="0"/>
          <w:bCs/>
        </w:rPr>
        <w:instrText xml:space="preserve"> ADDIN ZOTERO_ITEM CSL_CITATION {"citationID":"a1saj9kn388","properties":{"formattedCitation":"(Lenda et al., 2014; Mazza et al., 2015)","plainCitation":"(Lenda et al., 2014; Mazza et al., 2015)","noteIndex":0},"citationItems":[{"id":28895,"uris":["http://zotero.org/groups/2352922/items/ZPU39BBV"],"itemData":{"id":28895,"type":"article-journal","abstract":"The spread of invasive alien plants has considerable environmental and economic consequences, and is one of the most challenging ecological problems. The spread of invasive alien plant species depends largely on long-distance dispersal, which is typically linked with human activity. The increasing domination of the internet will have impacts upon almost all components of our lives, including potential consequences for the spread of invasive species. To determine whether the rise of Internet commerce has any consequences for the spread of invasive alien plant species, we studied the sale of thirteen of some of the most harmful Europe invasive alien plant species sold as decorative plants from twenty-eight large, well known gardening shops in Poland that sold both via the Internet and through traditional customer sales. We also analyzed temporal changes in the number of invasive plants sold in the largest Polish internet auction portal. When sold through the Internet invasive alien plant species were transported considerably longer distances than for traditional sales. For internet sales, seeds of invasive alien plant species were transported further than were live plants saplings; this was not the case for traditional sales. Also, with e-commerce the shape of distance distribution were flattened with low skewness comparing with traditional sale where the distributions were peaked and right-skewed. Thus, e-commerce created novel modes of long-distance dispersal, while traditional sale resembled more natural dispersal modes. Moreover, analysis of sale in the biggest Polish internet auction portal showed that the number of alien specimens sold via the internet has increased markedly over recent years. Therefore internet commerce is likely to increase the rate at which ecological communities become homogenized and increase spread of invasive species by increasing the rate of long distance dispersal.","container-title":"PLoS ONE","DOI":"10.1371/journal.pone.0099786","ISSN":"1932-6203","issue":"6","journalAbbreviation":"PLoS ONE","language":"en","note":"WOS:000337738600063","page":"e99786","source":"DOI.org (Crossref)","title":"Effect of the Internet Commerce on Dispersal Modes of Invasive Alien Species","URL":"https://dx.plos.org/10.1371/journal.pone.0099786","volume":"9","author":[{"family":"Lenda","given":"Magdalena"},{"family":"Skórka","given":"Piotr"},{"family":"Knops","given":"Johannes M. H."},{"family":"Moroń","given":"Dawid"},{"family":"Sutherland","given":"William J."},{"family":"Kuszewska","given":"Karolina"},{"family":"Woyciechowski","given":"Michal"}],"issued":{"date-parts":[["2014",6,16]]}},"label":"page"},{"id":16719,"uris":["http://zotero.org/groups/2352922/items/F76ZKSB9"],"itemData":{"id":16719,"type":"article-journal","abstract":"The aquarium trade moves thousands of species around the globe, opening the door to unwanted organisms being released into fresh and marine waters, with subsequent adverse ecological and economic impacts. Unlike ballast waters, the commerce of ornamental pets and the aquarium trade have only recently been recognized as major pathways for the introduction of fish, invertebrates and plants, with online commerce in particular being a thriving business. Here, we report the results of the first study on the online aquarium trade in Italy. We examined 54 online aquarium shops and collected data about the animals and plants sold. For each species, information about its native range, reproduction, feeding habits, pathways, impacts, status in Italy and price were gathered, in order to identify previously recorded or potentially invasive species for Italy. Freshwater fish and plants represent the most sold taxa, and mainly come from the Americas. Most animals are omnivorous, and the plants can reproduce through both reproduction modalities (asexual/sexual). Half of the traded plants have already been introduced outside their native range; however, the majority of the species sold have not yet been recorded in the wild in Italy. As expected, a high percentage of the sold species are reportedly introduced due to escape/release for ornamental purposes. Data on their impact is scanty and mainly concerns the already known invasive species and their ecological damage. Although the multilevel impact exerted by invasive species is recognized worldwide, in Italy the average price of invaders is quite low, thus favoring their purchase. In addition, considering the nation's growing number of aquarists, the probability of releasing potentially invasive species through the online trade is very high: more information, accurately presented information for buyers and stakeholders, and appropriate regulations may change this trade in order to reduce the risk of new invasions.","container-title":"Management of Biological Invasions","DOI":"10.3391/mbi.2015.6.3.04","ISSN":"1989-8649","issue":"3","journalAbbreviation":"MBI","language":"en","note":"WOS:000422634900004","page":"253-261","source":"DOI.org (Crossref)","title":"Aliens just a click away: the online aquarium trade in Italy","title-short":"Aliens just a click away","URL":"http://www.reabic.net/journals/mbi/2015/Issue3.aspx","volume":"6","author":[{"family":"Mazza","given":"Giuseppe"},{"family":"Aquiloni","given":"Laura"},{"family":"Inghilesi","given":"Alberto Francesco"},{"family":"Giuliani","given":"Claudia"},{"family":"Lazzaro","given":"Lorenzo"},{"family":"Ferretti","given":"Giulio"},{"family":"Lastrucci","given":"Lorenzo"},{"family":"Foggi","given":"Bruno"},{"family":"Tricarico","given":"Elena"}],"issued":{"date-parts":[["2015",9]]}},"label":"page"}],"schema":"https://github.com/citation-style-language/schema/raw/master/csl-citation.json"} </w:instrText>
      </w:r>
      <w:r w:rsidR="00E46695" w:rsidRPr="00A9434B">
        <w:rPr>
          <w:b w:val="0"/>
          <w:bCs/>
          <w:i/>
          <w:iCs/>
        </w:rPr>
        <w:fldChar w:fldCharType="separate"/>
      </w:r>
      <w:r w:rsidR="00C71E80" w:rsidRPr="00A9434B">
        <w:rPr>
          <w:b w:val="0"/>
          <w:bCs/>
        </w:rPr>
        <w:t>(Lenda et al., 2014; Mazza et al., 2015)</w:t>
      </w:r>
      <w:r w:rsidR="00E46695" w:rsidRPr="00A9434B">
        <w:rPr>
          <w:b w:val="0"/>
          <w:bCs/>
          <w:i/>
          <w:iCs/>
        </w:rPr>
        <w:fldChar w:fldCharType="end"/>
      </w:r>
      <w:r w:rsidR="0022185D" w:rsidRPr="00A9434B">
        <w:rPr>
          <w:b w:val="0"/>
          <w:bCs/>
          <w:i/>
          <w:iCs/>
        </w:rPr>
        <w:fldChar w:fldCharType="end"/>
      </w:r>
      <w:r w:rsidR="7537C5CD" w:rsidRPr="00A9434B">
        <w:rPr>
          <w:b w:val="0"/>
          <w:bCs/>
        </w:rPr>
        <w:t xml:space="preserve">. Also, </w:t>
      </w:r>
      <w:r w:rsidR="11BBE495" w:rsidRPr="00A9434B">
        <w:rPr>
          <w:b w:val="0"/>
          <w:bCs/>
        </w:rPr>
        <w:t>the</w:t>
      </w:r>
      <w:r w:rsidR="7537C5CD" w:rsidRPr="00A9434B">
        <w:rPr>
          <w:b w:val="0"/>
          <w:bCs/>
        </w:rPr>
        <w:t xml:space="preserve"> high level of anonymity </w:t>
      </w:r>
      <w:r w:rsidR="11BBE495" w:rsidRPr="00A9434B">
        <w:rPr>
          <w:b w:val="0"/>
          <w:bCs/>
        </w:rPr>
        <w:t>i</w:t>
      </w:r>
      <w:r w:rsidR="7537C5CD" w:rsidRPr="00A9434B">
        <w:rPr>
          <w:b w:val="0"/>
          <w:bCs/>
        </w:rPr>
        <w:t xml:space="preserve">n online trade </w:t>
      </w:r>
      <w:r w:rsidR="11BBE495" w:rsidRPr="00A9434B">
        <w:rPr>
          <w:b w:val="0"/>
          <w:bCs/>
        </w:rPr>
        <w:t xml:space="preserve">can </w:t>
      </w:r>
      <w:r w:rsidR="7537C5CD" w:rsidRPr="00A9434B">
        <w:rPr>
          <w:b w:val="0"/>
          <w:bCs/>
        </w:rPr>
        <w:t xml:space="preserve">circumvent accountability and taxes. Individuals and small companies that sell through the internet may not be legally registered and often do not disclose their specific location of operation. As a result, consignments of regulated articles can be imported into a country without any effort to meet the phytosanitary requirements of the </w:t>
      </w:r>
      <w:r w:rsidR="11BBE495" w:rsidRPr="00A9434B">
        <w:rPr>
          <w:b w:val="0"/>
          <w:bCs/>
        </w:rPr>
        <w:t>receiving</w:t>
      </w:r>
      <w:r w:rsidR="7537C5CD" w:rsidRPr="00A9434B">
        <w:rPr>
          <w:b w:val="0"/>
          <w:bCs/>
        </w:rPr>
        <w:t xml:space="preserve"> country </w:t>
      </w:r>
      <w:r w:rsidR="0022185D" w:rsidRPr="00A9434B">
        <w:rPr>
          <w:b w:val="0"/>
          <w:bCs/>
          <w:i/>
          <w:iCs/>
        </w:rPr>
        <w:fldChar w:fldCharType="begin">
          <w:fldData xml:space="preserve">PEVuZE5vdGU+PENpdGU+PEF1dGhvcj5EZXJyYWlrPC9BdXRob3I+PFllYXI+MjAxMDwvWWVhcj48
UmVjTnVtPjgxPC9SZWNOdW0+PERpc3BsYXlUZXh0PihLZWxsZXIgYW5kIExvZGdlIDIwMDcsIERl
cnJhaWsgYW5kIFBoaWxsaXBzIDIwMTAsIE1vcnJpc2V5LCBJbmdsaXMgZXQgYWwuIDIwMTEpPC9E
aXNwbGF5VGV4dD48cmVjb3JkPjxyZWMtbnVtYmVyPjgxPC9yZWMtbnVtYmVyPjxmb3JlaWduLWtl
eXM+PGtleSBhcHA9IkVOIiBkYi1pZD0iMmZwczJycHdjcHR3YXhlZHo5b3ByenZtYXdmeGVmOXBm
cGEyIiB0aW1lc3RhbXA9IjE2MjA3MjQ2MDQiPjgxPC9rZXk+PC9mb3JlaWduLWtleXM+PHJlZi10
eXBlIG5hbWU9IkpvdXJuYWwgQXJ0aWNsZSI+MTc8L3JlZi10eXBlPjxjb250cmlidXRvcnM+PGF1
dGhvcnM+PGF1dGhvcj5EZXJyYWlrLCBKLiBHLiBCLjwvYXV0aG9yPjxhdXRob3I+UGhpbGxpcHMs
IFMuPC9hdXRob3I+PC9hdXRob3JzPjwvY29udHJpYnV0b3JzPjxhdXRoLWFkZHJlc3M+TWFzc2V5
IFVuaXYsIERpcyAmYW1wOyBWZWN0b3IgUmVzIEdycCwgSW5zdCBOYXQgU2NpLCBOU01DLCBBdWNr
bGFuZCwgTmV3IFplYWxhbmQmI3hEO01BRiBCaW9zZWN1ciBOZXcgWmVhbGFuZCwgV2VsbGluZ3Rv
biwgTmV3IFplYWxhbmQ8L2F1dGgtYWRkcmVzcz48dGl0bGVzPjx0aXRsZT5PbmxpbmUgdHJhZGUg
cG9zZXMgYSB0aHJlYXQgdG8gYmlvc2VjdXJpdHkgaW4gTmV3IFplYWxhbmQ8L3RpdGxlPjxzZWNv
bmRhcnktdGl0bGU+QmlvbG9naWNhbCBJbnZhc2lvbnM8L3NlY29uZGFyeS10aXRsZT48YWx0LXRp
dGxlPkJpb2wgSW52YXNpb25zPC9hbHQtdGl0bGU+PC90aXRsZXM+PHBlcmlvZGljYWw+PGZ1bGwt
dGl0bGU+QmlvbG9naWNhbCBJbnZhc2lvbnM8L2Z1bGwtdGl0bGU+PGFiYnItMT5CaW9sIEludmFz
aW9uczwvYWJici0xPjwvcGVyaW9kaWNhbD48YWx0LXBlcmlvZGljYWw+PGZ1bGwtdGl0bGU+Qmlv
bG9naWNhbCBJbnZhc2lvbnM8L2Z1bGwtdGl0bGU+PGFiYnItMT5CaW9sIEludmFzaW9uczwvYWJi
ci0xPjwvYWx0LXBlcmlvZGljYWw+PHBhZ2VzPjE0NzctMTQ4MDwvcGFnZXM+PHZvbHVtZT4xMjwv
dm9sdW1lPjxudW1iZXI+NjwvbnVtYmVyPjxrZXl3b3Jkcz48a2V5d29yZD5pbnRlcm5ldDwva2V5
d29yZD48a2V5d29yZD5vbmxpbmUgdHJhZGU8L2tleXdvcmQ+PGtleXdvcmQ+Ymlvc2VjdXJpdHk8
L2tleXdvcmQ+PGtleXdvcmQ+aW52YXNpdmUgc3BlY2llczwva2V5d29yZD48a2V5d29yZD5uZXcg
emVhbGFuZDwva2V5d29yZD48a2V5d29yZD5zYWxtb25lbGxvc2lzPC9rZXl3b3JkPjwva2V5d29y
ZHM+PGRhdGVzPjx5ZWFyPjIwMTA8L3llYXI+PHB1Yi1kYXRlcz48ZGF0ZT5KdW48L2RhdGU+PC9w
dWItZGF0ZXM+PC9kYXRlcz48aXNibj4xMzg3LTM1NDc8L2lzYm4+PGFjY2Vzc2lvbi1udW0+V09T
OjAwMDI3NzQxMDgwMDAwNjwvYWNjZXNzaW9uLW51bT48dXJscz48cmVsYXRlZC11cmxzPjx1cmw+
Jmx0O0dvIHRvIElTSSZndDs6Ly9XT1M6MDAwMjc3NDEwODAwMDA2PC91cmw+PC9yZWxhdGVkLXVy
bHM+PC91cmxzPjxlbGVjdHJvbmljLXJlc291cmNlLW51bT4xMC4xMDA3L3MxMDUzMC0wMDktOTU5
NS0wPC9lbGVjdHJvbmljLXJlc291cmNlLW51bT48bGFuZ3VhZ2U+RW5nbGlzaDwvbGFuZ3VhZ2U+
PC9yZWNvcmQ+PC9DaXRlPjxDaXRlPjxBdXRob3I+S2VsbGVyPC9BdXRob3I+PFllYXI+MjAwNzwv
WWVhcj48UmVjTnVtPjgyPC9SZWNOdW0+PHJlY29yZD48cmVjLW51bWJlcj44MjwvcmVjLW51bWJl
cj48Zm9yZWlnbi1rZXlzPjxrZXkgYXBwPSJFTiIgZGItaWQ9IjJmcHMycnB3Y3B0d2F4ZWR6OW9w
cnp2bWF3ZnhlZjlwZnBhMiIgdGltZXN0YW1wPSIxNjIwNzI0NjI3Ij44Mjwva2V5PjwvZm9yZWln
bi1rZXlzPjxyZWYtdHlwZSBuYW1lPSJKb3VybmFsIEFydGljbGUiPjE3PC9yZWYtdHlwZT48Y29u
dHJpYnV0b3JzPjxhdXRob3JzPjxhdXRob3I+S2VsbGVyLCBSLiBQLjwvYXV0aG9yPjxhdXRob3I+
TG9kZ2UsIEQuIE0uPC9hdXRob3I+PC9hdXRob3JzPjwvY29udHJpYnV0b3JzPjxhdXRoLWFkZHJl
c3M+VW5pdiBOb3RyZSBEYW1lLCBDdHIgQXF1YXQgQ29uc2VydmF0LCBOb3RyZSBEYW1lLCBJTiA0
NjU1NiBVU0E8L2F1dGgtYWRkcmVzcz48dGl0bGVzPjx0aXRsZT5TcGVjaWVzIGludmFzaW9ucyBm
cm9tIGNvbW1lcmNlIGluIGxpdmUgYXF1YXRpYyBvcmdhbmlzbXM6IFByb2JsZW1zIGFuZCBwb3Nz
aWJsZSBzb2x1dGlvbnM8L3RpdGxlPjxzZWNvbmRhcnktdGl0bGU+Qmlvc2NpZW5jZTwvc2Vjb25k
YXJ5LXRpdGxlPjxhbHQtdGl0bGU+Qmlvc2NpZW5jZTwvYWx0LXRpdGxlPjwvdGl0bGVzPjxwZXJp
b2RpY2FsPjxmdWxsLXRpdGxlPkJpb3NjaWVuY2U8L2Z1bGwtdGl0bGU+PGFiYnItMT5CaW9zY2ll
bmNlPC9hYmJyLTE+PC9wZXJpb2RpY2FsPjxhbHQtcGVyaW9kaWNhbD48ZnVsbC10aXRsZT5CaW9z
Y2llbmNlPC9mdWxsLXRpdGxlPjxhYmJyLTE+Qmlvc2NpZW5jZTwvYWJici0xPjwvYWx0LXBlcmlv
ZGljYWw+PHBhZ2VzPjQyOC00MzY8L3BhZ2VzPjx2b2x1bWU+NTc8L3ZvbHVtZT48bnVtYmVyPjU8
L251bWJlcj48a2V5d29yZHM+PGtleXdvcmQ+YXF1YXRpYyBpbnZhc2l2ZSBzcGVjaWVzPC9rZXl3
b3JkPjxrZXl3b3JkPnZlY3RvcnM8L2tleXdvcmQ+PGtleXdvcmQ+dHJhZGU8L2tleXdvcmQ+PGtl
eXdvcmQ+Y29udGFtaW5hbnQgb3JnYW5pc21zPC9rZXl3b3JkPjxrZXl3b3JkPmdyZWF0IGxha2Vz
PC9rZXl3b3JkPjxrZXl3b3JkPmxhdXJlbnRpYW4gZ3JlYXQtbGFrZXM8L2tleXdvcmQ+PGtleXdv
cmQ+cmlzay1hc3Nlc3NtZW50PC9rZXl3b3JkPjxrZXl3b3JkPm5vcnRoLWFtZXJpY2E8L2tleXdv
cmQ+PGtleXdvcmQ+YmlvbG9naWNhbCBpbnZhc2lvbnM8L2tleXdvcmQ+PGtleXdvcmQ+cGxhbnQg
aW50cm9kdWN0aW9uczwva2V5d29yZD48a2V5d29yZD51bml0ZWQtc3RhdGVzPC9rZXl3b3JkPjxr
ZXl3b3JkPnRyYWRlPC9rZXl3b3JkPjxrZXl3b3JkPm1hbmFnZW1lbnQ8L2tleXdvcmQ+PGtleXdv
cmQ+c3VjY2Vzczwva2V5d29yZD48a2V5d29yZD5ldXJvcGU8L2tleXdvcmQ+PC9rZXl3b3Jkcz48
ZGF0ZXM+PHllYXI+MjAwNzwveWVhcj48cHViLWRhdGVzPjxkYXRlPk1heTwvZGF0ZT48L3B1Yi1k
YXRlcz48L2RhdGVzPjxpc2JuPjAwMDYtMzU2ODwvaXNibj48YWNjZXNzaW9uLW51bT5XT1M6MDAw
MjQ2MzE3ODAwMDEwPC9hY2Nlc3Npb24tbnVtPjx1cmxzPjxyZWxhdGVkLXVybHM+PHVybD4mbHQ7
R28gdG8gSVNJJmd0OzovL1dPUzowMDAyNDYzMTc4MDAwMTA8L3VybD48L3JlbGF0ZWQtdXJscz48
L3VybHM+PGVsZWN0cm9uaWMtcmVzb3VyY2UtbnVtPjEwLjE2NDEvQjU3MDUwOTwvZWxlY3Ryb25p
Yy1yZXNvdXJjZS1udW0+PGxhbmd1YWdlPkVuZ2xpc2g8L2xhbmd1YWdlPjwvcmVjb3JkPjwvQ2l0
ZT48Q2l0ZT48QXV0aG9yPk1vcnJpc2V5PC9BdXRob3I+PFllYXI+MjAxMTwvWWVhcj48UmVjTnVt
PjgzPC9SZWNOdW0+PHJlY29yZD48cmVjLW51bWJlcj44MzwvcmVjLW51bWJlcj48Zm9yZWlnbi1r
ZXlzPjxrZXkgYXBwPSJFTiIgZGItaWQ9IjJmcHMycnB3Y3B0d2F4ZWR6OW9wcnp2bWF3ZnhlZjlw
ZnBhMiIgdGltZXN0YW1wPSIxNjIwNzI0NjYwIj44Mzwva2V5PjwvZm9yZWlnbi1rZXlzPjxyZWYt
dHlwZSBuYW1lPSJKb3VybmFsIEFydGljbGUiPjE3PC9yZWYtdHlwZT48Y29udHJpYnV0b3JzPjxh
dXRob3JzPjxhdXRob3I+TW9ycmlzZXksIEQuPC9hdXRob3I+PGF1dGhvcj5JbmdsaXMsIEcuPC9h
dXRob3I+PGF1dGhvcj5OZWlsLCBLLjwvYXV0aG9yPjxhdXRob3I+QnJhZGxleSwgQS48L2F1dGhv
cj48YXV0aG9yPkZpdHJpZGdlLCBJLjwvYXV0aG9yPjwvYXV0aG9ycz48L2NvbnRyaWJ1dG9ycz48
YXV0aC1hZGRyZXNzPk5hdGwgSW5zdCBXYXRlciAmYW1wOyBBdG1vc3BoZXIgUmVzIEx0ZCwgTmVs
c29uLCBOZXcgWmVhbGFuZCYjeEQ7TmF0bCBJbnN0IFdhdGVyICZhbXA7IEF0bW9zcGhlciBSZXMg
THRkLCBDaHJpc3RjaHVyY2gsIE5ldyBaZWFsYW5kJiN4RDtSZWVmICZhbXA7IFJhaW5mb3Jlc3Qg
UmVzIEN0ciBMdGQsIENhaXJucywgUWxkLCBBdXN0cmFsaWEmI3hEO1VuaXYgTWVsYm91cm5lLCBE
ZXB0IFpvb2wsIE1lbGJvdXJuZSwgVmljIDMwMTAsIEF1c3RyYWxpYTwvYXV0aC1hZGRyZXNzPjx0
aXRsZXM+PHRpdGxlPkNoYXJhY3Rlcml6YXRpb24gb2YgdGhlIG1hcmluZSBhcXVhcml1bSB0cmFk
ZSBhbmQgbWFuYWdlbWVudCBvZiBhc3NvY2lhdGVkIG1hcmluZSBwZXN0cyBpbiBBdXN0cmFsaWEs
IGEgY291bnRyeSB3aXRoIHN0cmluZ2VudCBpbXBvcnQgYmlvc2VjdXJpdHkgcmVndWxhdGlvbjwv
dGl0bGU+PHNlY29uZGFyeS10aXRsZT5FbnZpcm9ubWVudGFsIENvbnNlcnZhdGlvbjwvc2Vjb25k
YXJ5LXRpdGxlPjxhbHQtdGl0bGU+RW52aXJvbiBDb25zZXJ2PC9hbHQtdGl0bGU+PC90aXRsZXM+
PHBlcmlvZGljYWw+PGZ1bGwtdGl0bGU+RW52aXJvbm1lbnRhbCBDb25zZXJ2YXRpb248L2Z1bGwt
dGl0bGU+PGFiYnItMT5FbnZpcm9uIENvbnNlcnY8L2FiYnItMT48L3BlcmlvZGljYWw+PGFsdC1w
ZXJpb2RpY2FsPjxmdWxsLXRpdGxlPkVudmlyb25tZW50YWwgQ29uc2VydmF0aW9uPC9mdWxsLXRp
dGxlPjxhYmJyLTE+RW52aXJvbiBDb25zZXJ2PC9hYmJyLTE+PC9hbHQtcGVyaW9kaWNhbD48cGFn
ZXM+ODktMTAwPC9wYWdlcz48dm9sdW1lPjM4PC92b2x1bWU+PG51bWJlcj4xPC9udW1iZXI+PGtl
eXdvcmRzPjxrZXl3b3JkPmF1c3RyYWxpYTwva2V5d29yZD48a2V5d29yZD5iaW9zZWN1cml0eTwv
a2V5d29yZD48a2V5d29yZD5pbnRyb2R1Y2VkIHNwZWNpZXM8L2tleXdvcmQ+PGtleXdvcmQ+bWFy
aW5lIGFxdWFyaXVtIHRyYWRlPC9rZXl3b3JkPjxrZXl3b3JkPnJlZ3VsYXRpb248L2tleXdvcmQ+
PGtleXdvcmQ+ZmlzaDwva2V5d29yZD48a2V5d29yZD5jYXVsZXJwYTwva2V5d29yZD48a2V5d29y
ZD5pbnZhc2lvbnM8L2tleXdvcmQ+PGtleXdvcmQ+cmlzazwva2V5d29yZD48a2V5d29yZD5kaXNw
ZXJzYWw8L2tleXdvcmQ+PGtleXdvcmQ+d2F0ZXI8L2tleXdvcmQ+PC9rZXl3b3Jkcz48ZGF0ZXM+
PHllYXI+MjAxMTwveWVhcj48cHViLWRhdGVzPjxkYXRlPk1hcjwvZGF0ZT48L3B1Yi1kYXRlcz48
L2RhdGVzPjxpc2JuPjAzNzYtODkyOTwvaXNibj48YWNjZXNzaW9uLW51bT5XT1M6MDAwMjkwMTAy
OTAwMDEwPC9hY2Nlc3Npb24tbnVtPjx1cmxzPjxyZWxhdGVkLXVybHM+PHVybD4mbHQ7R28gdG8g
SVNJJmd0OzovL1dPUzowMDAyOTAxMDI5MDAwMTA8L3VybD48L3JlbGF0ZWQtdXJscz48L3VybHM+
PGVsZWN0cm9uaWMtcmVzb3VyY2UtbnVtPjEwLjEwMTcvUzAzNzY4OTI5MTEwMDAwMTQ8L2VsZWN0
cm9uaWMtcmVzb3VyY2UtbnVtPjxsYW5ndWFnZT5FbmdsaXNoPC9sYW5ndWFnZT48L3JlY29yZD48
L0NpdGU+PC9FbmROb3RlPgB=
</w:fldData>
        </w:fldChar>
      </w:r>
      <w:r w:rsidR="0022185D" w:rsidRPr="00A9434B">
        <w:rPr>
          <w:b w:val="0"/>
          <w:bCs/>
        </w:rPr>
        <w:instrText xml:space="preserve"> ADDIN EN.CITE </w:instrText>
      </w:r>
      <w:r w:rsidR="0022185D" w:rsidRPr="00A9434B">
        <w:rPr>
          <w:b w:val="0"/>
          <w:bCs/>
          <w:i/>
          <w:iCs/>
        </w:rPr>
        <w:fldChar w:fldCharType="begin">
          <w:fldData xml:space="preserve">PEVuZE5vdGU+PENpdGU+PEF1dGhvcj5EZXJyYWlrPC9BdXRob3I+PFllYXI+MjAxMDwvWWVhcj48
UmVjTnVtPjgxPC9SZWNOdW0+PERpc3BsYXlUZXh0PihLZWxsZXIgYW5kIExvZGdlIDIwMDcsIERl
cnJhaWsgYW5kIFBoaWxsaXBzIDIwMTAsIE1vcnJpc2V5LCBJbmdsaXMgZXQgYWwuIDIwMTEpPC9E
aXNwbGF5VGV4dD48cmVjb3JkPjxyZWMtbnVtYmVyPjgxPC9yZWMtbnVtYmVyPjxmb3JlaWduLWtl
eXM+PGtleSBhcHA9IkVOIiBkYi1pZD0iMmZwczJycHdjcHR3YXhlZHo5b3ByenZtYXdmeGVmOXBm
cGEyIiB0aW1lc3RhbXA9IjE2MjA3MjQ2MDQiPjgxPC9rZXk+PC9mb3JlaWduLWtleXM+PHJlZi10
eXBlIG5hbWU9IkpvdXJuYWwgQXJ0aWNsZSI+MTc8L3JlZi10eXBlPjxjb250cmlidXRvcnM+PGF1
dGhvcnM+PGF1dGhvcj5EZXJyYWlrLCBKLiBHLiBCLjwvYXV0aG9yPjxhdXRob3I+UGhpbGxpcHMs
IFMuPC9hdXRob3I+PC9hdXRob3JzPjwvY29udHJpYnV0b3JzPjxhdXRoLWFkZHJlc3M+TWFzc2V5
IFVuaXYsIERpcyAmYW1wOyBWZWN0b3IgUmVzIEdycCwgSW5zdCBOYXQgU2NpLCBOU01DLCBBdWNr
bGFuZCwgTmV3IFplYWxhbmQmI3hEO01BRiBCaW9zZWN1ciBOZXcgWmVhbGFuZCwgV2VsbGluZ3Rv
biwgTmV3IFplYWxhbmQ8L2F1dGgtYWRkcmVzcz48dGl0bGVzPjx0aXRsZT5PbmxpbmUgdHJhZGUg
cG9zZXMgYSB0aHJlYXQgdG8gYmlvc2VjdXJpdHkgaW4gTmV3IFplYWxhbmQ8L3RpdGxlPjxzZWNv
bmRhcnktdGl0bGU+QmlvbG9naWNhbCBJbnZhc2lvbnM8L3NlY29uZGFyeS10aXRsZT48YWx0LXRp
dGxlPkJpb2wgSW52YXNpb25zPC9hbHQtdGl0bGU+PC90aXRsZXM+PHBlcmlvZGljYWw+PGZ1bGwt
dGl0bGU+QmlvbG9naWNhbCBJbnZhc2lvbnM8L2Z1bGwtdGl0bGU+PGFiYnItMT5CaW9sIEludmFz
aW9uczwvYWJici0xPjwvcGVyaW9kaWNhbD48YWx0LXBlcmlvZGljYWw+PGZ1bGwtdGl0bGU+Qmlv
bG9naWNhbCBJbnZhc2lvbnM8L2Z1bGwtdGl0bGU+PGFiYnItMT5CaW9sIEludmFzaW9uczwvYWJi
ci0xPjwvYWx0LXBlcmlvZGljYWw+PHBhZ2VzPjE0NzctMTQ4MDwvcGFnZXM+PHZvbHVtZT4xMjwv
dm9sdW1lPjxudW1iZXI+NjwvbnVtYmVyPjxrZXl3b3Jkcz48a2V5d29yZD5pbnRlcm5ldDwva2V5
d29yZD48a2V5d29yZD5vbmxpbmUgdHJhZGU8L2tleXdvcmQ+PGtleXdvcmQ+Ymlvc2VjdXJpdHk8
L2tleXdvcmQ+PGtleXdvcmQ+aW52YXNpdmUgc3BlY2llczwva2V5d29yZD48a2V5d29yZD5uZXcg
emVhbGFuZDwva2V5d29yZD48a2V5d29yZD5zYWxtb25lbGxvc2lzPC9rZXl3b3JkPjwva2V5d29y
ZHM+PGRhdGVzPjx5ZWFyPjIwMTA8L3llYXI+PHB1Yi1kYXRlcz48ZGF0ZT5KdW48L2RhdGU+PC9w
dWItZGF0ZXM+PC9kYXRlcz48aXNibj4xMzg3LTM1NDc8L2lzYm4+PGFjY2Vzc2lvbi1udW0+V09T
OjAwMDI3NzQxMDgwMDAwNjwvYWNjZXNzaW9uLW51bT48dXJscz48cmVsYXRlZC11cmxzPjx1cmw+
Jmx0O0dvIHRvIElTSSZndDs6Ly9XT1M6MDAwMjc3NDEwODAwMDA2PC91cmw+PC9yZWxhdGVkLXVy
bHM+PC91cmxzPjxlbGVjdHJvbmljLXJlc291cmNlLW51bT4xMC4xMDA3L3MxMDUzMC0wMDktOTU5
NS0wPC9lbGVjdHJvbmljLXJlc291cmNlLW51bT48bGFuZ3VhZ2U+RW5nbGlzaDwvbGFuZ3VhZ2U+
PC9yZWNvcmQ+PC9DaXRlPjxDaXRlPjxBdXRob3I+S2VsbGVyPC9BdXRob3I+PFllYXI+MjAwNzwv
WWVhcj48UmVjTnVtPjgyPC9SZWNOdW0+PHJlY29yZD48cmVjLW51bWJlcj44MjwvcmVjLW51bWJl
cj48Zm9yZWlnbi1rZXlzPjxrZXkgYXBwPSJFTiIgZGItaWQ9IjJmcHMycnB3Y3B0d2F4ZWR6OW9w
cnp2bWF3ZnhlZjlwZnBhMiIgdGltZXN0YW1wPSIxNjIwNzI0NjI3Ij44Mjwva2V5PjwvZm9yZWln
bi1rZXlzPjxyZWYtdHlwZSBuYW1lPSJKb3VybmFsIEFydGljbGUiPjE3PC9yZWYtdHlwZT48Y29u
dHJpYnV0b3JzPjxhdXRob3JzPjxhdXRob3I+S2VsbGVyLCBSLiBQLjwvYXV0aG9yPjxhdXRob3I+
TG9kZ2UsIEQuIE0uPC9hdXRob3I+PC9hdXRob3JzPjwvY29udHJpYnV0b3JzPjxhdXRoLWFkZHJl
c3M+VW5pdiBOb3RyZSBEYW1lLCBDdHIgQXF1YXQgQ29uc2VydmF0LCBOb3RyZSBEYW1lLCBJTiA0
NjU1NiBVU0E8L2F1dGgtYWRkcmVzcz48dGl0bGVzPjx0aXRsZT5TcGVjaWVzIGludmFzaW9ucyBm
cm9tIGNvbW1lcmNlIGluIGxpdmUgYXF1YXRpYyBvcmdhbmlzbXM6IFByb2JsZW1zIGFuZCBwb3Nz
aWJsZSBzb2x1dGlvbnM8L3RpdGxlPjxzZWNvbmRhcnktdGl0bGU+Qmlvc2NpZW5jZTwvc2Vjb25k
YXJ5LXRpdGxlPjxhbHQtdGl0bGU+Qmlvc2NpZW5jZTwvYWx0LXRpdGxlPjwvdGl0bGVzPjxwZXJp
b2RpY2FsPjxmdWxsLXRpdGxlPkJpb3NjaWVuY2U8L2Z1bGwtdGl0bGU+PGFiYnItMT5CaW9zY2ll
bmNlPC9hYmJyLTE+PC9wZXJpb2RpY2FsPjxhbHQtcGVyaW9kaWNhbD48ZnVsbC10aXRsZT5CaW9z
Y2llbmNlPC9mdWxsLXRpdGxlPjxhYmJyLTE+Qmlvc2NpZW5jZTwvYWJici0xPjwvYWx0LXBlcmlv
ZGljYWw+PHBhZ2VzPjQyOC00MzY8L3BhZ2VzPjx2b2x1bWU+NTc8L3ZvbHVtZT48bnVtYmVyPjU8
L251bWJlcj48a2V5d29yZHM+PGtleXdvcmQ+YXF1YXRpYyBpbnZhc2l2ZSBzcGVjaWVzPC9rZXl3
b3JkPjxrZXl3b3JkPnZlY3RvcnM8L2tleXdvcmQ+PGtleXdvcmQ+dHJhZGU8L2tleXdvcmQ+PGtl
eXdvcmQ+Y29udGFtaW5hbnQgb3JnYW5pc21zPC9rZXl3b3JkPjxrZXl3b3JkPmdyZWF0IGxha2Vz
PC9rZXl3b3JkPjxrZXl3b3JkPmxhdXJlbnRpYW4gZ3JlYXQtbGFrZXM8L2tleXdvcmQ+PGtleXdv
cmQ+cmlzay1hc3Nlc3NtZW50PC9rZXl3b3JkPjxrZXl3b3JkPm5vcnRoLWFtZXJpY2E8L2tleXdv
cmQ+PGtleXdvcmQ+YmlvbG9naWNhbCBpbnZhc2lvbnM8L2tleXdvcmQ+PGtleXdvcmQ+cGxhbnQg
aW50cm9kdWN0aW9uczwva2V5d29yZD48a2V5d29yZD51bml0ZWQtc3RhdGVzPC9rZXl3b3JkPjxr
ZXl3b3JkPnRyYWRlPC9rZXl3b3JkPjxrZXl3b3JkPm1hbmFnZW1lbnQ8L2tleXdvcmQ+PGtleXdv
cmQ+c3VjY2Vzczwva2V5d29yZD48a2V5d29yZD5ldXJvcGU8L2tleXdvcmQ+PC9rZXl3b3Jkcz48
ZGF0ZXM+PHllYXI+MjAwNzwveWVhcj48cHViLWRhdGVzPjxkYXRlPk1heTwvZGF0ZT48L3B1Yi1k
YXRlcz48L2RhdGVzPjxpc2JuPjAwMDYtMzU2ODwvaXNibj48YWNjZXNzaW9uLW51bT5XT1M6MDAw
MjQ2MzE3ODAwMDEwPC9hY2Nlc3Npb24tbnVtPjx1cmxzPjxyZWxhdGVkLXVybHM+PHVybD4mbHQ7
R28gdG8gSVNJJmd0OzovL1dPUzowMDAyNDYzMTc4MDAwMTA8L3VybD48L3JlbGF0ZWQtdXJscz48
L3VybHM+PGVsZWN0cm9uaWMtcmVzb3VyY2UtbnVtPjEwLjE2NDEvQjU3MDUwOTwvZWxlY3Ryb25p
Yy1yZXNvdXJjZS1udW0+PGxhbmd1YWdlPkVuZ2xpc2g8L2xhbmd1YWdlPjwvcmVjb3JkPjwvQ2l0
ZT48Q2l0ZT48QXV0aG9yPk1vcnJpc2V5PC9BdXRob3I+PFllYXI+MjAxMTwvWWVhcj48UmVjTnVt
PjgzPC9SZWNOdW0+PHJlY29yZD48cmVjLW51bWJlcj44MzwvcmVjLW51bWJlcj48Zm9yZWlnbi1r
ZXlzPjxrZXkgYXBwPSJFTiIgZGItaWQ9IjJmcHMycnB3Y3B0d2F4ZWR6OW9wcnp2bWF3ZnhlZjlw
ZnBhMiIgdGltZXN0YW1wPSIxNjIwNzI0NjYwIj44Mzwva2V5PjwvZm9yZWlnbi1rZXlzPjxyZWYt
dHlwZSBuYW1lPSJKb3VybmFsIEFydGljbGUiPjE3PC9yZWYtdHlwZT48Y29udHJpYnV0b3JzPjxh
dXRob3JzPjxhdXRob3I+TW9ycmlzZXksIEQuPC9hdXRob3I+PGF1dGhvcj5JbmdsaXMsIEcuPC9h
dXRob3I+PGF1dGhvcj5OZWlsLCBLLjwvYXV0aG9yPjxhdXRob3I+QnJhZGxleSwgQS48L2F1dGhv
cj48YXV0aG9yPkZpdHJpZGdlLCBJLjwvYXV0aG9yPjwvYXV0aG9ycz48L2NvbnRyaWJ1dG9ycz48
YXV0aC1hZGRyZXNzPk5hdGwgSW5zdCBXYXRlciAmYW1wOyBBdG1vc3BoZXIgUmVzIEx0ZCwgTmVs
c29uLCBOZXcgWmVhbGFuZCYjeEQ7TmF0bCBJbnN0IFdhdGVyICZhbXA7IEF0bW9zcGhlciBSZXMg
THRkLCBDaHJpc3RjaHVyY2gsIE5ldyBaZWFsYW5kJiN4RDtSZWVmICZhbXA7IFJhaW5mb3Jlc3Qg
UmVzIEN0ciBMdGQsIENhaXJucywgUWxkLCBBdXN0cmFsaWEmI3hEO1VuaXYgTWVsYm91cm5lLCBE
ZXB0IFpvb2wsIE1lbGJvdXJuZSwgVmljIDMwMTAsIEF1c3RyYWxpYTwvYXV0aC1hZGRyZXNzPjx0
aXRsZXM+PHRpdGxlPkNoYXJhY3Rlcml6YXRpb24gb2YgdGhlIG1hcmluZSBhcXVhcml1bSB0cmFk
ZSBhbmQgbWFuYWdlbWVudCBvZiBhc3NvY2lhdGVkIG1hcmluZSBwZXN0cyBpbiBBdXN0cmFsaWEs
IGEgY291bnRyeSB3aXRoIHN0cmluZ2VudCBpbXBvcnQgYmlvc2VjdXJpdHkgcmVndWxhdGlvbjwv
dGl0bGU+PHNlY29uZGFyeS10aXRsZT5FbnZpcm9ubWVudGFsIENvbnNlcnZhdGlvbjwvc2Vjb25k
YXJ5LXRpdGxlPjxhbHQtdGl0bGU+RW52aXJvbiBDb25zZXJ2PC9hbHQtdGl0bGU+PC90aXRsZXM+
PHBlcmlvZGljYWw+PGZ1bGwtdGl0bGU+RW52aXJvbm1lbnRhbCBDb25zZXJ2YXRpb248L2Z1bGwt
dGl0bGU+PGFiYnItMT5FbnZpcm9uIENvbnNlcnY8L2FiYnItMT48L3BlcmlvZGljYWw+PGFsdC1w
ZXJpb2RpY2FsPjxmdWxsLXRpdGxlPkVudmlyb25tZW50YWwgQ29uc2VydmF0aW9uPC9mdWxsLXRp
dGxlPjxhYmJyLTE+RW52aXJvbiBDb25zZXJ2PC9hYmJyLTE+PC9hbHQtcGVyaW9kaWNhbD48cGFn
ZXM+ODktMTAwPC9wYWdlcz48dm9sdW1lPjM4PC92b2x1bWU+PG51bWJlcj4xPC9udW1iZXI+PGtl
eXdvcmRzPjxrZXl3b3JkPmF1c3RyYWxpYTwva2V5d29yZD48a2V5d29yZD5iaW9zZWN1cml0eTwv
a2V5d29yZD48a2V5d29yZD5pbnRyb2R1Y2VkIHNwZWNpZXM8L2tleXdvcmQ+PGtleXdvcmQ+bWFy
aW5lIGFxdWFyaXVtIHRyYWRlPC9rZXl3b3JkPjxrZXl3b3JkPnJlZ3VsYXRpb248L2tleXdvcmQ+
PGtleXdvcmQ+ZmlzaDwva2V5d29yZD48a2V5d29yZD5jYXVsZXJwYTwva2V5d29yZD48a2V5d29y
ZD5pbnZhc2lvbnM8L2tleXdvcmQ+PGtleXdvcmQ+cmlzazwva2V5d29yZD48a2V5d29yZD5kaXNw
ZXJzYWw8L2tleXdvcmQ+PGtleXdvcmQ+d2F0ZXI8L2tleXdvcmQ+PC9rZXl3b3Jkcz48ZGF0ZXM+
PHllYXI+MjAxMTwveWVhcj48cHViLWRhdGVzPjxkYXRlPk1hcjwvZGF0ZT48L3B1Yi1kYXRlcz48
L2RhdGVzPjxpc2JuPjAzNzYtODkyOTwvaXNibj48YWNjZXNzaW9uLW51bT5XT1M6MDAwMjkwMTAy
OTAwMDEwPC9hY2Nlc3Npb24tbnVtPjx1cmxzPjxyZWxhdGVkLXVybHM+PHVybD4mbHQ7R28gdG8g
SVNJJmd0OzovL1dPUzowMDAyOTAxMDI5MDAwMTA8L3VybD48L3JlbGF0ZWQtdXJscz48L3VybHM+
PGVsZWN0cm9uaWMtcmVzb3VyY2UtbnVtPjEwLjEwMTcvUzAzNzY4OTI5MTEwMDAwMTQ8L2VsZWN0
cm9uaWMtcmVzb3VyY2UtbnVtPjxsYW5ndWFnZT5FbmdsaXNoPC9sYW5ndWFnZT48L3JlY29yZD48
L0NpdGU+PC9FbmROb3RlPgB=
</w:fldData>
        </w:fldChar>
      </w:r>
      <w:r w:rsidR="0022185D" w:rsidRPr="00A9434B">
        <w:rPr>
          <w:b w:val="0"/>
          <w:bCs/>
        </w:rPr>
        <w:instrText xml:space="preserve"> ADDIN EN.CITE.DATA </w:instrText>
      </w:r>
      <w:r w:rsidR="0022185D" w:rsidRPr="00A9434B">
        <w:rPr>
          <w:b w:val="0"/>
          <w:bCs/>
          <w:i/>
          <w:iCs/>
        </w:rPr>
      </w:r>
      <w:r w:rsidR="0022185D" w:rsidRPr="00A9434B">
        <w:rPr>
          <w:b w:val="0"/>
          <w:bCs/>
          <w:i/>
          <w:iCs/>
        </w:rPr>
        <w:fldChar w:fldCharType="end"/>
      </w:r>
      <w:r w:rsidR="0022185D" w:rsidRPr="00A9434B">
        <w:rPr>
          <w:b w:val="0"/>
          <w:bCs/>
          <w:i/>
          <w:iCs/>
        </w:rPr>
      </w:r>
      <w:r w:rsidR="0022185D" w:rsidRPr="00A9434B">
        <w:rPr>
          <w:b w:val="0"/>
          <w:bCs/>
          <w:i/>
          <w:iCs/>
        </w:rPr>
        <w:fldChar w:fldCharType="separate"/>
      </w:r>
      <w:r w:rsidR="00E46695" w:rsidRPr="00A9434B">
        <w:rPr>
          <w:b w:val="0"/>
          <w:bCs/>
          <w:i/>
          <w:iCs/>
        </w:rPr>
        <w:fldChar w:fldCharType="begin"/>
      </w:r>
      <w:r w:rsidR="0006613E">
        <w:rPr>
          <w:b w:val="0"/>
          <w:bCs/>
        </w:rPr>
        <w:instrText xml:space="preserve"> ADDIN ZOTERO_ITEM CSL_CITATION {"citationID":"a1evfn2ngsp","properties":{"formattedCitation":"(Derraik &amp; Phillips, 2010; Keller &amp; Lodge, 2007; Morrisey et al., 2011)","plainCitation":"(Derraik &amp; Phillips, 2010; Keller &amp; Lodge, 2007; Morrisey et al., 2011)","noteIndex":0},"citationItems":[{"id":15711,"uris":["http://zotero.org/groups/2352922/items/6WYWSBDI"],"itemData":{"id":15711,"type":"article-journal","abstract":"Online trade is recognized as one of the major wildlife conservation challenges of present times, but its ability to facilitate biological invasions seems to be often overlooked. In New Zealand, online trading poses a biosecurity risk associated with the importation of unwanted ﬂora and fauna into the country, as well as the spread of undesirable organisms within internal borders. We provide a number of examples to highlight the importance of this issue. There is no simple solution for this problem; it not only requires vigilance and quick action by the appropriate authorities, but it is also necessary to raise awareness by educating the public (both selling and buying species) and liaising with those in charge of online trading sites.","container-title":"Biological Invasions","DOI":"10.1007/s10530-009-9595-0","ISSN":"1387-3547, 1573-1464","issue":"6","journalAbbreviation":"Biol Invasions","language":"en","page":"1477-1480","source":"DOI.org (Crossref)","title":"Online trade poses a threat to biosecurity in New Zealand","URL":"http://link.springer.com/10.1007/s10530-009-9595-0","volume":"12","author":[{"family":"Derraik","given":"José G. B."},{"family":"Phillips","given":"Simon"}],"accessed":{"date-parts":[["2019",11,1]]},"issued":{"date-parts":[["2010",6]]}},"label":"page"},{"id":53510,"uris":["http://zotero.org/groups/2352922/items/ASZS85FZ","http://zotero.org/groups/2352922/items/R2JYPDJU"],"itemData":{"id":53510,"type":"article-journal","container-title":"Bioscience","DOI":"10.1641/B570509","ISSN":"0006-3568","issue":"5","journalAbbreviation":"Bioscience","language":"English","page":"428-436","title":"Species invasions from commerce in live aquatic organisms: Problems and possible solutions","volume":"57","author":[{"family":"Keller","given":"R. P."},{"family":"Lodge","given":"D. M."}],"issued":{"date-parts":[["2007",5]]}},"label":"page"},{"id":15715,"uris":["http://zotero.org/groups/2352922/items/AWBYIPR8"],"itemData":{"id":15715,"type":"article-journal","abstract":"Trade in ornamental marine species in Australia, a country with relatively stringent import controls, was investigated using a telephone survey of wholesalers and retailers, and a desktop review of internet import databases and hobbyist trading websites. Information on the regulatory framework was obtained from government and other published or online sources, and from staff of regulatory agencies. Although the trade is small relative to that in the USA, Europe and parts of Asia, Australia imports signiﬁcant numbers of marine ﬁsh each year for the aquarium trade. Many of the more than 200 species imported have the potential to become environmental and/or economic pests. Imported individuals of native species could act as vectors of disease or affect the genetic diversity of native populations if they were released into the wild. Regulatory measures include the use of lists of permitted species of plants and animals, a case-bycase risk assessment process for species not on these lists, and requirements for health certiﬁcation and quarantining of imported stock. Once within Australia, however, translocation is less rigorously controlled, being managed by individual states and based largely on lists of prohibited species, though generally with scope for case-by-case assessment and refusal of permits for unwanted species, such as recognized pests. Wholesalers and retailers interviewed generally showed a responsible attitude to the disposal of dead or unwanted stock, but awareness and understanding of the potential pest risk of ornamental marine species was generally poor. The importance of raising public awareness of the pest potential of ornamental marine species is likely to increase with the growing importance of mail-order and internet trade.","container-title":"Environmental Conservation","DOI":"10.1017/S0376892911000014","ISSN":"0376-8929, 1469-4387","issue":"1","journalAbbreviation":"Envir. Conserv.","language":"en","page":"89-100","source":"DOI.org (Crossref)","title":"Characterization of the marine aquarium trade and management of associated marine pests in Australia, a country with stringent import biosecurity regulation","URL":"https://www.cambridge.org/core/product/identifier/S0376892911000014/type/journal_article","volume":"38","author":[{"family":"Morrisey","given":"Donald"},{"family":"Inglis","given":"Graeme"},{"family":"Neil","given":"Kerry"},{"family":"Bradley","given":"Anna"},{"family":"Fitridge","given":"Isla"}],"accessed":{"date-parts":[["2019",11,1]]},"issued":{"date-parts":[["2011",3]]}},"label":"page"}],"schema":"https://github.com/citation-style-language/schema/raw/master/csl-citation.json"} </w:instrText>
      </w:r>
      <w:r w:rsidR="00E46695" w:rsidRPr="00A9434B">
        <w:rPr>
          <w:b w:val="0"/>
          <w:bCs/>
          <w:i/>
          <w:iCs/>
        </w:rPr>
        <w:fldChar w:fldCharType="separate"/>
      </w:r>
      <w:r w:rsidR="00C71E80" w:rsidRPr="00A9434B">
        <w:rPr>
          <w:b w:val="0"/>
          <w:bCs/>
        </w:rPr>
        <w:t>(Derraik &amp; Phillips, 2010; Keller &amp; Lodge, 2007; Morrisey et al., 2011)</w:t>
      </w:r>
      <w:r w:rsidR="00E46695" w:rsidRPr="00A9434B">
        <w:rPr>
          <w:b w:val="0"/>
          <w:bCs/>
          <w:i/>
          <w:iCs/>
        </w:rPr>
        <w:fldChar w:fldCharType="end"/>
      </w:r>
      <w:r w:rsidR="0022185D" w:rsidRPr="00A9434B">
        <w:rPr>
          <w:b w:val="0"/>
          <w:bCs/>
          <w:i/>
          <w:iCs/>
        </w:rPr>
        <w:fldChar w:fldCharType="end"/>
      </w:r>
      <w:r w:rsidR="086BF4D1" w:rsidRPr="00A9434B">
        <w:rPr>
          <w:b w:val="0"/>
          <w:bCs/>
        </w:rPr>
        <w:t>.</w:t>
      </w:r>
      <w:r w:rsidR="7537C5CD" w:rsidRPr="00A9434B">
        <w:rPr>
          <w:b w:val="0"/>
          <w:bCs/>
        </w:rPr>
        <w:t xml:space="preserve"> </w:t>
      </w:r>
      <w:r w:rsidR="0014131C" w:rsidRPr="00A9434B">
        <w:rPr>
          <w:b w:val="0"/>
          <w:bCs/>
        </w:rPr>
        <w:t xml:space="preserve">Buyers and sellers </w:t>
      </w:r>
      <w:r w:rsidR="7537C5CD" w:rsidRPr="00A9434B">
        <w:rPr>
          <w:b w:val="0"/>
          <w:bCs/>
        </w:rPr>
        <w:t>in the plant and animal trade may be ignorant or misinformed on potential dangers and biosecurity regulations</w:t>
      </w:r>
      <w:r w:rsidR="11BBE495" w:rsidRPr="00A9434B">
        <w:rPr>
          <w:b w:val="0"/>
          <w:bCs/>
        </w:rPr>
        <w:t>,</w:t>
      </w:r>
      <w:r w:rsidR="7537C5CD" w:rsidRPr="00A9434B">
        <w:rPr>
          <w:b w:val="0"/>
          <w:bCs/>
        </w:rPr>
        <w:t xml:space="preserve"> or</w:t>
      </w:r>
      <w:r w:rsidR="483483BA" w:rsidRPr="00A9434B">
        <w:rPr>
          <w:b w:val="0"/>
          <w:bCs/>
        </w:rPr>
        <w:t xml:space="preserve"> may</w:t>
      </w:r>
      <w:r w:rsidR="7537C5CD" w:rsidRPr="00A9434B">
        <w:rPr>
          <w:b w:val="0"/>
          <w:bCs/>
        </w:rPr>
        <w:t xml:space="preserve"> incorrectly identify their products </w:t>
      </w:r>
      <w:r w:rsidR="0022185D" w:rsidRPr="00A9434B">
        <w:rPr>
          <w:b w:val="0"/>
          <w:bCs/>
          <w:i/>
          <w:iCs/>
        </w:rPr>
        <w:fldChar w:fldCharType="begin">
          <w:fldData xml:space="preserve">PEVuZE5vdGU+PENpdGU+PEF1dGhvcj5XYWx0ZXJzPC9BdXRob3I+PFllYXI+MjAwNjwvWWVhcj48
UmVjTnVtPjg0PC9SZWNOdW0+PERpc3BsYXlUZXh0PihXYWx0ZXJzLCBCcm93biBldCBhbC4gMjAw
NiwgR2lsdHJhcCwgRXlyZSBldCBhbC4gMjAwOSk8L0Rpc3BsYXlUZXh0PjxyZWNvcmQ+PHJlYy1u
dW1iZXI+ODQ8L3JlYy1udW1iZXI+PGZvcmVpZ24ta2V5cz48a2V5IGFwcD0iRU4iIGRiLWlkPSIy
ZnBzMnJwd2NwdHdheGVkejlvcHJ6dm1hd2Z4ZWY5cGZwYTIiIHRpbWVzdGFtcD0iMTYyMDcyNDcx
MCI+ODQ8L2tleT48L2ZvcmVpZ24ta2V5cz48cmVmLXR5cGUgbmFtZT0iSm91cm5hbCBBcnRpY2xl
Ij4xNzwvcmVmLXR5cGU+PGNvbnRyaWJ1dG9ycz48YXV0aG9ycz48YXV0aG9yPldhbHRlcnMsIEwu
IEouPC9hdXRob3I+PGF1dGhvcj5Ccm93biwgSy4gUi48L2F1dGhvcj48YXV0aG9yPlN0YW0sIFcu
IFQuPC9hdXRob3I+PGF1dGhvcj5PbHNlbiwgSi4gTC48L2F1dGhvcj48L2F1dGhvcnM+PC9jb250
cmlidXRvcnM+PGF1dGgtYWRkcmVzcz5Vbml2IENlbnQgRmxvcmlkYSwgRGVwdCBCaW9sLCBPcmxh
bmRvLCBGTCAzMjgxNiBVU0EmI3hEO1VuaXYgR3JvbmluZ2VuLCBDdHIgRWNvbCAmYW1wOyBFdm9s
dXQgU3R1ZGllcywgRGVwdCBNYXJpbmUgQmlvbCwgTkwtOTcwMCBBQiBHcm9uaW5nZW4sIE5ldGhl
cmxhbmRzPC9hdXRoLWFkZHJlc3M+PHRpdGxlcz48dGl0bGU+RS1jb21tZXJjZSBhbmQgQ2F1bGVy
cGE6IHVucmVndWxhdGVkIGRpc3BlcnNhbCBvZiBpbnZhc2l2ZSBzcGVjaWVzPC90aXRsZT48c2Vj
b25kYXJ5LXRpdGxlPkZyb250aWVycyBpbiBFY29sb2d5IGFuZCB0aGUgRW52aXJvbm1lbnQ8L3Nl
Y29uZGFyeS10aXRsZT48YWx0LXRpdGxlPkZyb250IEVjb2wgRW52aXJvbjwvYWx0LXRpdGxlPjwv
dGl0bGVzPjxwZXJpb2RpY2FsPjxmdWxsLXRpdGxlPkZyb250aWVycyBpbiBFY29sb2d5IGFuZCB0
aGUgRW52aXJvbm1lbnQ8L2Z1bGwtdGl0bGU+PGFiYnItMT5Gcm9udCBFY29sIEVudmlyb248L2Fi
YnItMT48L3BlcmlvZGljYWw+PGFsdC1wZXJpb2RpY2FsPjxmdWxsLXRpdGxlPkZyb250aWVycyBp
biBFY29sb2d5IGFuZCB0aGUgRW52aXJvbm1lbnQ8L2Z1bGwtdGl0bGU+PGFiYnItMT5Gcm9udCBF
Y29sIEVudmlyb248L2FiYnItMT48L2FsdC1wZXJpb2RpY2FsPjxwYWdlcz43NS03OTwvcGFnZXM+
PHZvbHVtZT40PC92b2x1bWU+PG51bWJlcj4yPC9udW1iZXI+PGtleXdvcmRzPjxrZXl3b3JkPm5l
dy1zb3V0aC13YWxlczwva2V5d29yZD48a2V5d29yZD5tZWRpdGVycmFuZWFuIHNlYTwva2V5d29y
ZD48a2V5d29yZD5wcm92aWRlIGV2aWRlbmNlPC9rZXl3b3JkPjxrZXl3b3JkPnRheGlmb2xpYTwv
a2V5d29yZD48a2V5d29yZD5hbGdhPC9rZXl3b3JkPjxrZXl3b3JkPmFxdWFyaXVtPC9rZXl3b3Jk
PjxrZXl3b3JkPmNobG9yb3BoeXRhPC9rZXl3b3JkPjxrZXl3b3JkPmVjb3N5c3RlbXM8L2tleXdv
cmQ+PGtleXdvcmQ+Y2FsaWZvcm5pYTwva2V5d29yZD48a2V5d29yZD5hdXN0cmFsaWE8L2tleXdv
cmQ+PC9rZXl3b3Jkcz48ZGF0ZXM+PHllYXI+MjAwNjwveWVhcj48cHViLWRhdGVzPjxkYXRlPk1h
cjwvZGF0ZT48L3B1Yi1kYXRlcz48L2RhdGVzPjxpc2JuPjE1NDAtOTI5NTwvaXNibj48YWNjZXNz
aW9uLW51bT5XT1M6MDAwMjM1OTc5NTAwMDE5PC9hY2Nlc3Npb24tbnVtPjx1cmxzPjxyZWxhdGVk
LXVybHM+PHVybD4mbHQ7R28gdG8gSVNJJmd0OzovL1dPUzowMDAyMzU5Nzk1MDAwMTk8L3VybD48
L3JlbGF0ZWQtdXJscz48L3VybHM+PGVsZWN0cm9uaWMtcmVzb3VyY2UtbnVtPkRvaSAxMC4xODkw
LzE1NDAtOTI5NSgyMDA2KTAwNFswMDc1OkVhY3Vkb10yLjAuQ287MjwvZWxlY3Ryb25pYy1yZXNv
dXJjZS1udW0+PGxhbmd1YWdlPkVuZ2xpc2g8L2xhbmd1YWdlPjwvcmVjb3JkPjwvQ2l0ZT48Q2l0
ZT48QXV0aG9yPkdpbHRyYXA8L0F1dGhvcj48WWVhcj4yMDA5PC9ZZWFyPjxSZWNOdW0+ODU8L1Jl
Y051bT48cmVjb3JkPjxyZWMtbnVtYmVyPjg1PC9yZWMtbnVtYmVyPjxmb3JlaWduLWtleXM+PGtl
eSBhcHA9IkVOIiBkYi1pZD0iMmZwczJycHdjcHR3YXhlZHo5b3ByenZtYXdmeGVmOXBmcGEyIiB0
aW1lc3RhbXA9IjE2MjA3MjQ3NjciPjg1PC9rZXk+PC9mb3JlaWduLWtleXM+PHJlZi10eXBlIG5h
bWU9IkpvdXJuYWwgQXJ0aWNsZSI+MTc8L3JlZi10eXBlPjxjb250cmlidXRvcnM+PGF1dGhvcnM+
PGF1dGhvcj5HaWx0cmFwLCBOPC9hdXRob3I+PGF1dGhvcj5FeXJlLCBEPC9hdXRob3I+PGF1dGhv
cj5SZWVkLCBQPC9hdXRob3I+PC9hdXRob3JzPjwvY29udHJpYnV0b3JzPjx0aXRsZXM+PHRpdGxl
PkludGVybmV0IHNhbGVzIG9mIHBsYW50cyBmb3IgcGxhbnRpbmfigJNhbiBpbmNyZWFzaW5nIHRy
ZW5kIGFuZCB0aHJlYXQ/IDE8L3RpdGxlPjxzZWNvbmRhcnktdGl0bGU+RVBQTyBidWxsZXRpbjwv
c2Vjb25kYXJ5LXRpdGxlPjwvdGl0bGVzPjxwZXJpb2RpY2FsPjxmdWxsLXRpdGxlPkVQUE8gYnVs
bGV0aW48L2Z1bGwtdGl0bGU+PC9wZXJpb2RpY2FsPjxwYWdlcz4xNjgtMTcwPC9wYWdlcz48dm9s
dW1lPjM5PC92b2x1bWU+PG51bWJlcj4yPC9udW1iZXI+PGRhdGVzPjx5ZWFyPjIwMDk8L3llYXI+
PC9kYXRlcz48aXNibj4wMjUwLTgwNTI8L2lzYm4+PHVybHM+PC91cmxzPjwvcmVjb3JkPjwvQ2l0
ZT48L0VuZE5vdGU+AG==
</w:fldData>
        </w:fldChar>
      </w:r>
      <w:r w:rsidR="0022185D" w:rsidRPr="00A9434B">
        <w:rPr>
          <w:b w:val="0"/>
          <w:bCs/>
        </w:rPr>
        <w:instrText xml:space="preserve"> ADDIN EN.CITE </w:instrText>
      </w:r>
      <w:r w:rsidR="0022185D" w:rsidRPr="00A9434B">
        <w:rPr>
          <w:b w:val="0"/>
          <w:bCs/>
          <w:i/>
          <w:iCs/>
        </w:rPr>
        <w:fldChar w:fldCharType="begin">
          <w:fldData xml:space="preserve">PEVuZE5vdGU+PENpdGU+PEF1dGhvcj5XYWx0ZXJzPC9BdXRob3I+PFllYXI+MjAwNjwvWWVhcj48
UmVjTnVtPjg0PC9SZWNOdW0+PERpc3BsYXlUZXh0PihXYWx0ZXJzLCBCcm93biBldCBhbC4gMjAw
NiwgR2lsdHJhcCwgRXlyZSBldCBhbC4gMjAwOSk8L0Rpc3BsYXlUZXh0PjxyZWNvcmQ+PHJlYy1u
dW1iZXI+ODQ8L3JlYy1udW1iZXI+PGZvcmVpZ24ta2V5cz48a2V5IGFwcD0iRU4iIGRiLWlkPSIy
ZnBzMnJwd2NwdHdheGVkejlvcHJ6dm1hd2Z4ZWY5cGZwYTIiIHRpbWVzdGFtcD0iMTYyMDcyNDcx
MCI+ODQ8L2tleT48L2ZvcmVpZ24ta2V5cz48cmVmLXR5cGUgbmFtZT0iSm91cm5hbCBBcnRpY2xl
Ij4xNzwvcmVmLXR5cGU+PGNvbnRyaWJ1dG9ycz48YXV0aG9ycz48YXV0aG9yPldhbHRlcnMsIEwu
IEouPC9hdXRob3I+PGF1dGhvcj5Ccm93biwgSy4gUi48L2F1dGhvcj48YXV0aG9yPlN0YW0sIFcu
IFQuPC9hdXRob3I+PGF1dGhvcj5PbHNlbiwgSi4gTC48L2F1dGhvcj48L2F1dGhvcnM+PC9jb250
cmlidXRvcnM+PGF1dGgtYWRkcmVzcz5Vbml2IENlbnQgRmxvcmlkYSwgRGVwdCBCaW9sLCBPcmxh
bmRvLCBGTCAzMjgxNiBVU0EmI3hEO1VuaXYgR3JvbmluZ2VuLCBDdHIgRWNvbCAmYW1wOyBFdm9s
dXQgU3R1ZGllcywgRGVwdCBNYXJpbmUgQmlvbCwgTkwtOTcwMCBBQiBHcm9uaW5nZW4sIE5ldGhl
cmxhbmRzPC9hdXRoLWFkZHJlc3M+PHRpdGxlcz48dGl0bGU+RS1jb21tZXJjZSBhbmQgQ2F1bGVy
cGE6IHVucmVndWxhdGVkIGRpc3BlcnNhbCBvZiBpbnZhc2l2ZSBzcGVjaWVzPC90aXRsZT48c2Vj
b25kYXJ5LXRpdGxlPkZyb250aWVycyBpbiBFY29sb2d5IGFuZCB0aGUgRW52aXJvbm1lbnQ8L3Nl
Y29uZGFyeS10aXRsZT48YWx0LXRpdGxlPkZyb250IEVjb2wgRW52aXJvbjwvYWx0LXRpdGxlPjwv
dGl0bGVzPjxwZXJpb2RpY2FsPjxmdWxsLXRpdGxlPkZyb250aWVycyBpbiBFY29sb2d5IGFuZCB0
aGUgRW52aXJvbm1lbnQ8L2Z1bGwtdGl0bGU+PGFiYnItMT5Gcm9udCBFY29sIEVudmlyb248L2Fi
YnItMT48L3BlcmlvZGljYWw+PGFsdC1wZXJpb2RpY2FsPjxmdWxsLXRpdGxlPkZyb250aWVycyBp
biBFY29sb2d5IGFuZCB0aGUgRW52aXJvbm1lbnQ8L2Z1bGwtdGl0bGU+PGFiYnItMT5Gcm9udCBF
Y29sIEVudmlyb248L2FiYnItMT48L2FsdC1wZXJpb2RpY2FsPjxwYWdlcz43NS03OTwvcGFnZXM+
PHZvbHVtZT40PC92b2x1bWU+PG51bWJlcj4yPC9udW1iZXI+PGtleXdvcmRzPjxrZXl3b3JkPm5l
dy1zb3V0aC13YWxlczwva2V5d29yZD48a2V5d29yZD5tZWRpdGVycmFuZWFuIHNlYTwva2V5d29y
ZD48a2V5d29yZD5wcm92aWRlIGV2aWRlbmNlPC9rZXl3b3JkPjxrZXl3b3JkPnRheGlmb2xpYTwv
a2V5d29yZD48a2V5d29yZD5hbGdhPC9rZXl3b3JkPjxrZXl3b3JkPmFxdWFyaXVtPC9rZXl3b3Jk
PjxrZXl3b3JkPmNobG9yb3BoeXRhPC9rZXl3b3JkPjxrZXl3b3JkPmVjb3N5c3RlbXM8L2tleXdv
cmQ+PGtleXdvcmQ+Y2FsaWZvcm5pYTwva2V5d29yZD48a2V5d29yZD5hdXN0cmFsaWE8L2tleXdv
cmQ+PC9rZXl3b3Jkcz48ZGF0ZXM+PHllYXI+MjAwNjwveWVhcj48cHViLWRhdGVzPjxkYXRlPk1h
cjwvZGF0ZT48L3B1Yi1kYXRlcz48L2RhdGVzPjxpc2JuPjE1NDAtOTI5NTwvaXNibj48YWNjZXNz
aW9uLW51bT5XT1M6MDAwMjM1OTc5NTAwMDE5PC9hY2Nlc3Npb24tbnVtPjx1cmxzPjxyZWxhdGVk
LXVybHM+PHVybD4mbHQ7R28gdG8gSVNJJmd0OzovL1dPUzowMDAyMzU5Nzk1MDAwMTk8L3VybD48
L3JlbGF0ZWQtdXJscz48L3VybHM+PGVsZWN0cm9uaWMtcmVzb3VyY2UtbnVtPkRvaSAxMC4xODkw
LzE1NDAtOTI5NSgyMDA2KTAwNFswMDc1OkVhY3Vkb10yLjAuQ287MjwvZWxlY3Ryb25pYy1yZXNv
dXJjZS1udW0+PGxhbmd1YWdlPkVuZ2xpc2g8L2xhbmd1YWdlPjwvcmVjb3JkPjwvQ2l0ZT48Q2l0
ZT48QXV0aG9yPkdpbHRyYXA8L0F1dGhvcj48WWVhcj4yMDA5PC9ZZWFyPjxSZWNOdW0+ODU8L1Jl
Y051bT48cmVjb3JkPjxyZWMtbnVtYmVyPjg1PC9yZWMtbnVtYmVyPjxmb3JlaWduLWtleXM+PGtl
eSBhcHA9IkVOIiBkYi1pZD0iMmZwczJycHdjcHR3YXhlZHo5b3ByenZtYXdmeGVmOXBmcGEyIiB0
aW1lc3RhbXA9IjE2MjA3MjQ3NjciPjg1PC9rZXk+PC9mb3JlaWduLWtleXM+PHJlZi10eXBlIG5h
bWU9IkpvdXJuYWwgQXJ0aWNsZSI+MTc8L3JlZi10eXBlPjxjb250cmlidXRvcnM+PGF1dGhvcnM+
PGF1dGhvcj5HaWx0cmFwLCBOPC9hdXRob3I+PGF1dGhvcj5FeXJlLCBEPC9hdXRob3I+PGF1dGhv
cj5SZWVkLCBQPC9hdXRob3I+PC9hdXRob3JzPjwvY29udHJpYnV0b3JzPjx0aXRsZXM+PHRpdGxl
PkludGVybmV0IHNhbGVzIG9mIHBsYW50cyBmb3IgcGxhbnRpbmfigJNhbiBpbmNyZWFzaW5nIHRy
ZW5kIGFuZCB0aHJlYXQ/IDE8L3RpdGxlPjxzZWNvbmRhcnktdGl0bGU+RVBQTyBidWxsZXRpbjwv
c2Vjb25kYXJ5LXRpdGxlPjwvdGl0bGVzPjxwZXJpb2RpY2FsPjxmdWxsLXRpdGxlPkVQUE8gYnVs
bGV0aW48L2Z1bGwtdGl0bGU+PC9wZXJpb2RpY2FsPjxwYWdlcz4xNjgtMTcwPC9wYWdlcz48dm9s
dW1lPjM5PC92b2x1bWU+PG51bWJlcj4yPC9udW1iZXI+PGRhdGVzPjx5ZWFyPjIwMDk8L3llYXI+
PC9kYXRlcz48aXNibj4wMjUwLTgwNTI8L2lzYm4+PHVybHM+PC91cmxzPjwvcmVjb3JkPjwvQ2l0
ZT48L0VuZE5vdGU+AG==
</w:fldData>
        </w:fldChar>
      </w:r>
      <w:r w:rsidR="0022185D" w:rsidRPr="00A9434B">
        <w:rPr>
          <w:b w:val="0"/>
          <w:bCs/>
        </w:rPr>
        <w:instrText xml:space="preserve"> ADDIN EN.CITE.DATA </w:instrText>
      </w:r>
      <w:r w:rsidR="0022185D" w:rsidRPr="00A9434B">
        <w:rPr>
          <w:b w:val="0"/>
          <w:bCs/>
          <w:i/>
          <w:iCs/>
        </w:rPr>
      </w:r>
      <w:r w:rsidR="0022185D" w:rsidRPr="00A9434B">
        <w:rPr>
          <w:b w:val="0"/>
          <w:bCs/>
          <w:i/>
          <w:iCs/>
        </w:rPr>
        <w:fldChar w:fldCharType="end"/>
      </w:r>
      <w:r w:rsidR="0022185D" w:rsidRPr="00A9434B">
        <w:rPr>
          <w:b w:val="0"/>
          <w:bCs/>
          <w:i/>
          <w:iCs/>
        </w:rPr>
      </w:r>
      <w:r w:rsidR="0022185D" w:rsidRPr="00A9434B">
        <w:rPr>
          <w:b w:val="0"/>
          <w:bCs/>
          <w:i/>
          <w:iCs/>
        </w:rPr>
        <w:fldChar w:fldCharType="separate"/>
      </w:r>
      <w:r w:rsidR="00E46695" w:rsidRPr="00A9434B">
        <w:rPr>
          <w:b w:val="0"/>
          <w:bCs/>
          <w:i/>
          <w:iCs/>
        </w:rPr>
        <w:fldChar w:fldCharType="begin"/>
      </w:r>
      <w:r w:rsidR="0006613E">
        <w:rPr>
          <w:b w:val="0"/>
          <w:bCs/>
        </w:rPr>
        <w:instrText xml:space="preserve"> ADDIN ZOTERO_ITEM CSL_CITATION {"citationID":"a2dc0l6783b","properties":{"formattedCitation":"(Giltrap et al., 2009; Walters et al., 2006)","plainCitation":"(Giltrap et al., 2009; Walters et al., 2006)","noteIndex":0},"citationItems":[{"id":53536,"uris":["http://zotero.org/groups/2352922/items/2R423SWI"],"itemData":{"id":53536,"type":"article-journal","container-title":"EPPO bulletin","DOI":"10.1111/j.1365-2338.2009.02283.x","ISSN":"0250-8052","issue":"2","page":"168-170","title":"Internet sales of plants for planting–an increasing trend and threat?","volume":"39","author":[{"family":"Giltrap","given":"N."},{"family":"Eyre","given":"D."},{"family":"Reed","given":"P."}],"issued":{"date-parts":[["2009"]]}},"label":"page"},{"id":24487,"uris":["http://zotero.org/groups/2352922/items/FWA4CJD8"],"itemData":{"id":24487,"type":"article-journal","abstract":"Professional aquarists and hobbyists are thought to be the source of invasions of the aquarium strain of the green macroalga Caulerpa taxi folia in the Mediterranean, southern California, and Australia. The US Department of Agriculture, Animal and Plant Health Inspection Service (USDA-APHIS) restricted interstate commerce and importation of the Mediterranean clone of C taxi folia prior to the California invasion and is currently deciding if it should strengthen regulation of this genus as more species of Caulerpa are being described as invasive. Here we document the importance of e-commerce as a mode of dispersal for many species of Caulerpa in the United States. We purchased Caulerpa from 30 internet retailers and 60 internet auction sites representing 25 states and Great Britain. Twelve different Caulerpa species were confirmed using DNA sequencing. Only 10.6% of sellers provided the correct genus and species names with their shipments. Thirty purchases of \"live rock\" provided four species of Caulerpa, as well as 53 additional marine species. Our results confirm the extensive e-commerce availability of this invasive genus and its high dispersal potential via postal services and hobbyists. We recommend that both eBay and the USDA maximize regulation of Caulerpa.","container-title":"Frontiers in Ecology and the Environment","DOI":"10.1890/1540-9295(2006)004[0075:EACUDO]2.0.CO;2","ISSN":"1540-9295","issue":"2","journalAbbreviation":"Frontiers in Ecology and the Environment","language":"en","note":"WOS:000235979500019","page":"75-79","source":"DOI.org (Crossref)","title":"E-commerce and &lt;i&gt;Caulerpa&lt;/i&gt;: unregulated dispersal of invasive species","title-short":"E-commerce and Caulerpa","URL":"http://doi.wiley.com/10.1890/1540-9295(2006)004[0075:EACUDO]2.0.CO;2","volume":"4","author":[{"family":"Walters","given":"Linda J."},{"family":"Brown","given":"Katherine R."},{"family":"Stam","given":"Wytze T."},{"family":"Olsen","given":"Jeanine L."}],"issued":{"date-parts":[["2006",3]]}},"label":"page"}],"schema":"https://github.com/citation-style-language/schema/raw/master/csl-citation.json"} </w:instrText>
      </w:r>
      <w:r w:rsidR="00E46695" w:rsidRPr="00A9434B">
        <w:rPr>
          <w:b w:val="0"/>
          <w:bCs/>
          <w:i/>
          <w:iCs/>
        </w:rPr>
        <w:fldChar w:fldCharType="separate"/>
      </w:r>
      <w:r w:rsidR="00C71E80" w:rsidRPr="00A9434B">
        <w:rPr>
          <w:b w:val="0"/>
          <w:bCs/>
        </w:rPr>
        <w:t>(Giltrap et al., 2009; Walters et al., 2006)</w:t>
      </w:r>
      <w:r w:rsidR="00E46695" w:rsidRPr="00A9434B">
        <w:rPr>
          <w:b w:val="0"/>
          <w:bCs/>
          <w:i/>
          <w:iCs/>
        </w:rPr>
        <w:fldChar w:fldCharType="end"/>
      </w:r>
      <w:r w:rsidR="0022185D" w:rsidRPr="00A9434B">
        <w:rPr>
          <w:b w:val="0"/>
          <w:bCs/>
          <w:i/>
          <w:iCs/>
        </w:rPr>
        <w:fldChar w:fldCharType="end"/>
      </w:r>
      <w:r w:rsidR="7537C5CD" w:rsidRPr="00A9434B">
        <w:rPr>
          <w:b w:val="0"/>
          <w:bCs/>
        </w:rPr>
        <w:t>.</w:t>
      </w:r>
      <w:r>
        <w:rPr>
          <w:b w:val="0"/>
        </w:rPr>
        <w:t xml:space="preserve"> As such, national lists of regulated species are more important than ever. For example, the European Union, through the European Union Regulation 1143/2014, has adopted a List of species of Union Concern that are banned from import into the Union, and for which there is a general obligation to eradicate or control when recorded in the territory of a member state. The list is regularly updated. In 2004, Japan adopted an Invasive Alien Species Act that includes a list of regulated species.</w:t>
      </w:r>
    </w:p>
    <w:p w14:paraId="3AD53AE1" w14:textId="3AF72B93" w:rsidR="00017C04" w:rsidRDefault="009248BD">
      <w:r w:rsidRPr="00A9434B">
        <w:t xml:space="preserve">Based on these lists, voluntary </w:t>
      </w:r>
      <w:r w:rsidR="0022185D" w:rsidRPr="00A9434B">
        <w:t xml:space="preserve">codes of </w:t>
      </w:r>
      <w:r w:rsidR="006E0767">
        <w:t>conduct</w:t>
      </w:r>
      <w:r w:rsidR="0022185D" w:rsidRPr="00A9434B">
        <w:t xml:space="preserve"> for e-commerce platforms </w:t>
      </w:r>
      <w:r w:rsidRPr="00A9434B">
        <w:t>could be develop</w:t>
      </w:r>
      <w:r w:rsidR="00D9180C" w:rsidRPr="00A9434B">
        <w:t>ed</w:t>
      </w:r>
      <w:r w:rsidRPr="00A9434B">
        <w:t xml:space="preserve"> as </w:t>
      </w:r>
      <w:r w:rsidR="0022185D" w:rsidRPr="00A9434B">
        <w:t>cost-effective approach</w:t>
      </w:r>
      <w:r w:rsidR="00D9180C" w:rsidRPr="00A9434B">
        <w:t>es</w:t>
      </w:r>
      <w:r w:rsidR="0022185D" w:rsidRPr="00A9434B">
        <w:t xml:space="preserve"> to address </w:t>
      </w:r>
      <w:r w:rsidR="00996E23" w:rsidRPr="00A9434B">
        <w:t xml:space="preserve">the </w:t>
      </w:r>
      <w:r w:rsidR="0022185D" w:rsidRPr="00A9434B">
        <w:t>trade-off between the economic benefits of e-commerce and the risk of environmental harm from the sc</w:t>
      </w:r>
      <w:r w:rsidR="00706BC4" w:rsidRPr="00A9434B">
        <w:t>o</w:t>
      </w:r>
      <w:r w:rsidR="0022185D" w:rsidRPr="00A9434B">
        <w:t>pe of these species</w:t>
      </w:r>
      <w:r w:rsidR="00996E23" w:rsidRPr="00A9434B">
        <w:t xml:space="preserve"> </w:t>
      </w:r>
      <w:r w:rsidR="008E3596" w:rsidRPr="00A9434B">
        <w:fldChar w:fldCharType="begin"/>
      </w:r>
      <w:r w:rsidR="0006613E">
        <w:instrText xml:space="preserve"> ADDIN ZOTERO_ITEM CSL_CITATION {"citationID":"agfk25slci","properties":{"formattedCitation":"(Monaco &amp; IUCN Invasive Species Specialist Group, 2021; Shackleton, Adriaens, et al., 2019)","plainCitation":"(Monaco &amp; IUCN Invasive Species Specialist Group, 2021; Shackleton, Adriaens, et al., 2019)","noteIndex":0},"citationItems":[{"id":54680,"uris":["http://zotero.org/groups/2352922/items/LW2C9ICA"],"itemData":{"id":54680,"type":"paper-conference","collection-title":"T-PVS/Inf(2021)39_rev","event-place":"Strasbourg","event-title":"41st meeting of Convention on The Conservation of European Wildlife and Natural Habitats","publisher":"Council of Europe","publisher-place":"Strasbourg","title":"Guidance Document on E-Commerce and IAS","URL":"https://rm.coe.int/inf39e-rev-2021-guidance-document-e-commerce-and-ias/1680a4b7f3","author":[{"family":"Monaco","given":"Andrea"},{"literal":"IUCN Invasive Species Specialist Group"}],"accessed":{"date-parts":[["2023",3,7]]},"issued":{"date-parts":[["2021",8]]}}},{"id":29948,"uris":["http://zotero.org/groups/2352922/items/AVRETIRN"],"itemData":{"id":29948,"type":"article-journal","container-title":"Journal of Environmental Management","DOI":"10.1016/j.jenvman.2018.04.044","ISSN":"03014797","journalAbbreviation":"Journal of Environmental Management","language":"en","page":"88-101","source":"DOI.org (Crossref)","title":"Stakeholder engagement in the study and management of invasive alien species","URL":"https://linkinghub.elsevier.com/retrieve/pii/S0301479718304262","volume":"229","author":[{"family":"Shackleton","given":"Ross T."},{"family":"Adriaens","given":"Tim"},{"family":"Brundu","given":"Giuseppe"},{"family":"Dehnen-Schmutz","given":"Katharina"},{"family":"Estévez","given":"Rodrigo A."},{"family":"Fried","given":"Jana"},{"family":"Larson","given":"Brendon M.H."},{"family":"Liu","given":"Shuang"},{"family":"Marchante","given":"Elizabete"},{"family":"Marchante","given":"Hélia"},{"family":"Moshobane","given":"Moleseng C."},{"family":"Novoa","given":"Ana"},{"family":"Reed","given":"Mark"},{"family":"Richardson","given":"David M."}],"accessed":{"date-parts":[["2021",8,16]]},"issued":{"date-parts":[["2019",1]]}}}],"schema":"https://github.com/citation-style-language/schema/raw/master/csl-citation.json"} </w:instrText>
      </w:r>
      <w:r w:rsidR="008E3596" w:rsidRPr="00A9434B">
        <w:fldChar w:fldCharType="separate"/>
      </w:r>
      <w:r w:rsidR="00017441" w:rsidRPr="00017441">
        <w:t>(Monaco &amp; IUCN Invasive Species Specialist Group, 2021; Shackleton, Adriaens, et al., 2019)</w:t>
      </w:r>
      <w:r w:rsidR="008E3596" w:rsidRPr="00A9434B">
        <w:fldChar w:fldCharType="end"/>
      </w:r>
      <w:r w:rsidR="00F21E12">
        <w:t>.</w:t>
      </w:r>
      <w:r w:rsidR="00F50AF9">
        <w:t xml:space="preserve"> Specifically, the adoption of voluntary codes of </w:t>
      </w:r>
      <w:r w:rsidR="006E0767">
        <w:t>conduct</w:t>
      </w:r>
      <w:r w:rsidR="00F50AF9">
        <w:t xml:space="preserve"> could prevent sales and auctions of species into countries where they are regulated and improve correct labelling of traded species. These conduct codes could stimulate e-commerce platforms to self-regulate by screening their own listings for species of concern and proactively complying with countries</w:t>
      </w:r>
      <w:r w:rsidR="006E0767">
        <w:t>’</w:t>
      </w:r>
      <w:r w:rsidR="00F50AF9">
        <w:t xml:space="preserve"> invasive alien species laws, requiring sellers on online platforms to provide information on the species they sell. At a minimum, this information would include taxonomy, a record of potential invasiveness of these species, and appropriate measures that a buyer could use to prevent a species escape or release. Clear labelling of consignments, combined with lists of prohibited or permitted organisms, is perhaps the best way to prevent environmental harm without imposing major constraints on e-trade.</w:t>
      </w:r>
    </w:p>
    <w:p w14:paraId="214092CC" w14:textId="5CDB932A" w:rsidR="00017C04" w:rsidRDefault="00F50AF9">
      <w:r>
        <w:lastRenderedPageBreak/>
        <w:t>Such voluntary guidelines are in the process of being implemented for endangered and threatened species trade by the world’s leading technology companies, including e-commerce and social media companies (e.g., Alibaba, eBay, Facebook, Google, Instagram, Microsoft, Pinterest, etc.). One example of a related effort is the work by the Coalition to End Wildlife Trafficking Online.</w:t>
      </w:r>
      <w:r w:rsidRPr="00B301D7">
        <w:rPr>
          <w:rStyle w:val="FootnoteReference"/>
        </w:rPr>
        <w:footnoteReference w:id="9"/>
      </w:r>
      <w:r>
        <w:t xml:space="preserve"> It is a partnership between environmental organizations such as Trade Records Analysis of Flora and Fauna in Commerce (TRAFFIC), World Wildlife Fund for Nature (WWF)</w:t>
      </w:r>
      <w:r w:rsidR="005D0083">
        <w:t xml:space="preserve"> and</w:t>
      </w:r>
      <w:r>
        <w:t xml:space="preserve"> the International Fund for Animal Welfare (IFAW) with companies from across the globe to reduce wildlife trafficking online. Expanding these standards to include invasive alien species would help reduce introductions of invasive alien species through e-commerce.</w:t>
      </w:r>
    </w:p>
    <w:p w14:paraId="454C5368" w14:textId="1E286A19" w:rsidR="00017C04" w:rsidRDefault="00F50AF9" w:rsidP="56C59A3A">
      <w:r>
        <w:t xml:space="preserve">The effectiveness of voluntary guidelines, codes of </w:t>
      </w:r>
      <w:r w:rsidR="006E0767">
        <w:t>conduct</w:t>
      </w:r>
      <w:r>
        <w:t xml:space="preserve"> and standards can be improved through the development of an efficient information exchange system accessible to all parties involved in trade and transport. </w:t>
      </w:r>
      <w:r w:rsidR="00B301D7">
        <w:t xml:space="preserve">At COP15, CBD </w:t>
      </w:r>
      <w:r w:rsidR="00F80082">
        <w:t>p</w:t>
      </w:r>
      <w:r w:rsidR="00B301D7">
        <w:t xml:space="preserve">arties considered measures on e-commerce and associated risks of invasive alien species </w:t>
      </w:r>
      <w:r w:rsidR="00FB3647" w:rsidRPr="00A9434B">
        <w:fldChar w:fldCharType="begin"/>
      </w:r>
      <w:r w:rsidR="0006613E">
        <w:instrText xml:space="preserve"> ADDIN ZOTERO_ITEM CSL_CITATION {"citationID":"pr0DxOU3","properties":{"formattedCitation":"(CBD, 2022c)","plainCitation":"(CBD, 2022c)","noteIndex":0},"citationItems":[{"id":54823,"uris":["http://zotero.org/groups/2352922/items/ALQHAEC3"],"itemData":{"id":54823,"type":"paper-conference","collection-title":"CBD/COP/DEC/15/27","container-title":"Decision adopted by the conference of the parties to the convention on biological diversity","event-place":"Montreal, Canada","event-title":"Fifteenth meeting of Conference of the parties to the Convention on Biological Diversity","language":"en","publisher":"Convention on Biodiversity, United Nations Environment Programme","publisher-place":"Montreal, Canada","source":"Zotero","title":"15/27. Invasive alien species","URL":"https://www.cbd.int/doc/decisions/cop-15/cop-15-dec-27-en.pdf","author":[{"literal":"CBD"}],"issued":{"date-parts":[["2022"]]}}}],"schema":"https://github.com/citation-style-language/schema/raw/master/csl-citation.json"} </w:instrText>
      </w:r>
      <w:r w:rsidR="00FB3647" w:rsidRPr="00A9434B">
        <w:fldChar w:fldCharType="separate"/>
      </w:r>
      <w:r w:rsidR="00EA1962" w:rsidRPr="00EA1962">
        <w:t>(CBD, 2022c)</w:t>
      </w:r>
      <w:r w:rsidR="00FB3647" w:rsidRPr="00A9434B">
        <w:fldChar w:fldCharType="end"/>
      </w:r>
      <w:r w:rsidR="00665242" w:rsidRPr="00A9434B">
        <w:t>.</w:t>
      </w:r>
      <w:r>
        <w:t xml:space="preserve"> One of these measures is considering the implementation of a single-entry system that facilitates the sharing of standardized information and documents with a single-entry point (i.e., a “</w:t>
      </w:r>
      <w:r w:rsidRPr="00B301D7">
        <w:rPr>
          <w:rStyle w:val="a"/>
          <w:kern w:val="22"/>
        </w:rPr>
        <w:t>Single Window</w:t>
      </w:r>
      <w:r w:rsidRPr="00B301D7">
        <w:rPr>
          <w:kern w:val="22"/>
        </w:rPr>
        <w:t xml:space="preserve"> </w:t>
      </w:r>
      <w:r w:rsidRPr="00B301D7">
        <w:rPr>
          <w:rStyle w:val="a"/>
          <w:kern w:val="22"/>
        </w:rPr>
        <w:t>approach”</w:t>
      </w:r>
      <w:r>
        <w:t>) to fulfil all import, export</w:t>
      </w:r>
      <w:r w:rsidR="005D0083">
        <w:t xml:space="preserve"> and</w:t>
      </w:r>
      <w:r>
        <w:t xml:space="preserve"> transit-related regulatory requirement</w:t>
      </w:r>
      <w:r w:rsidRPr="00B301D7">
        <w:rPr>
          <w:rStyle w:val="a"/>
          <w:kern w:val="22"/>
        </w:rPr>
        <w:t xml:space="preserve">s. </w:t>
      </w:r>
    </w:p>
    <w:p w14:paraId="1C289892" w14:textId="03C29D3D" w:rsidR="00017C04" w:rsidRDefault="00F50AF9">
      <w:pPr>
        <w:pStyle w:val="Heading5"/>
        <w:rPr>
          <w:b w:val="0"/>
        </w:rPr>
      </w:pPr>
      <w:bookmarkStart w:id="273" w:name="_heading=h.2w5ecyt" w:colFirst="0" w:colLast="0"/>
      <w:bookmarkStart w:id="274" w:name="_Toc85291869"/>
      <w:bookmarkEnd w:id="273"/>
      <w:r>
        <w:t>(4) Increase awareness, participation</w:t>
      </w:r>
      <w:r w:rsidR="005D0083">
        <w:t xml:space="preserve"> and</w:t>
      </w:r>
      <w:r>
        <w:t xml:space="preserve"> compliance with (voluntary) codes of practice for the translocation and exploitation of invasive alien species</w:t>
      </w:r>
      <w:bookmarkEnd w:id="274"/>
      <w:r>
        <w:br/>
      </w:r>
      <w:r>
        <w:rPr>
          <w:b w:val="0"/>
        </w:rPr>
        <w:t xml:space="preserve">Increasing governmental support for deregulation combined with industry opposition to restrictive legislation has led to a progressive emphasis on corporate responsibility and voluntary codes of practices worldwide </w:t>
      </w:r>
      <w:r w:rsidR="0022185D" w:rsidRPr="00A9434B">
        <w:rPr>
          <w:b w:val="0"/>
          <w:bCs/>
          <w:i/>
        </w:rPr>
        <w:fldChar w:fldCharType="begin"/>
      </w:r>
      <w:r w:rsidR="0022185D" w:rsidRPr="00A9434B">
        <w:rPr>
          <w:b w:val="0"/>
          <w:bCs/>
        </w:rPr>
        <w:instrText xml:space="preserve"> ADDIN EN.CITE &lt;EndNote&gt;&lt;Cite&gt;&lt;Author&gt;Sethi&lt;/Author&gt;&lt;Year&gt;2011&lt;/Year&gt;&lt;RecNum&gt;108&lt;/RecNum&gt;&lt;DisplayText&gt;(Sethi 2011)&lt;/DisplayText&gt;&lt;record&gt;&lt;rec-number&gt;108&lt;/rec-number&gt;&lt;foreign-keys&gt;&lt;key app="EN" db-id="2fps2rpwcptwaxedz9oprzvmawfxef9pfpa2" timestamp="1621409936"&gt;108&lt;/key&gt;&lt;/foreign-keys&gt;&lt;ref-type name="Book Section"&gt;5&lt;/ref-type&gt;&lt;contributors&gt;&lt;authors&gt;&lt;author&gt;Sethi, S Prakash&lt;/author&gt;&lt;/authors&gt;&lt;/contributors&gt;&lt;titles&gt;&lt;title&gt;Self-regulation through voluntary codes of conduct&lt;/title&gt;&lt;secondary-title&gt;Globalization and Self-Regulation&lt;/secondary-title&gt;&lt;/titles&gt;&lt;pages&gt;3-14&lt;/pages&gt;&lt;dates&gt;&lt;year&gt;2011&lt;/year&gt;&lt;/dates&gt;&lt;publisher&gt;Springer&lt;/publisher&gt;&lt;urls&gt;&lt;/urls&gt;&lt;/record&gt;&lt;/Cite&gt;&lt;/EndNote&gt;</w:instrText>
      </w:r>
      <w:r w:rsidR="0022185D" w:rsidRPr="00A9434B">
        <w:rPr>
          <w:b w:val="0"/>
          <w:bCs/>
          <w:i/>
        </w:rPr>
        <w:fldChar w:fldCharType="separate"/>
      </w:r>
      <w:r w:rsidR="00E51F2D" w:rsidRPr="00A9434B">
        <w:rPr>
          <w:b w:val="0"/>
          <w:bCs/>
          <w:i/>
        </w:rPr>
        <w:fldChar w:fldCharType="begin"/>
      </w:r>
      <w:r w:rsidR="0006613E">
        <w:rPr>
          <w:b w:val="0"/>
          <w:bCs/>
        </w:rPr>
        <w:instrText xml:space="preserve"> ADDIN ZOTERO_ITEM CSL_CITATION {"citationID":"a2c5096i2q","properties":{"formattedCitation":"(Sethi, 2011)","plainCitation":"(Sethi, 2011)","noteIndex":0},"citationItems":[{"id":53444,"uris":["http://zotero.org/groups/2352922/items/2RWGSQL9"],"itemData":{"id":53444,"type":"chapter","container-title":"Globalization and Self-Regulation","event-place":"New York","note":"DOI: 10.1057/9780230348578_1","page":"3-14","publisher":"Palgrave Macmillan","publisher-place":"New York","title":"Self-regulation through voluntary codes of conduct","URL":"https://doi.org/10.1057/9780230348578_1","author":[{"family":"Sethi","given":"S. Prakash"}],"issued":{"date-parts":[["2011"]]}},"label":"page"}],"schema":"https://github.com/citation-style-language/schema/raw/master/csl-citation.json"} </w:instrText>
      </w:r>
      <w:r w:rsidR="00E51F2D" w:rsidRPr="00A9434B">
        <w:rPr>
          <w:b w:val="0"/>
          <w:bCs/>
          <w:i/>
        </w:rPr>
        <w:fldChar w:fldCharType="separate"/>
      </w:r>
      <w:r w:rsidR="00C71E80" w:rsidRPr="00A9434B">
        <w:rPr>
          <w:b w:val="0"/>
          <w:bCs/>
        </w:rPr>
        <w:t>(Sethi, 2011)</w:t>
      </w:r>
      <w:r w:rsidR="00E51F2D" w:rsidRPr="00A9434B">
        <w:rPr>
          <w:b w:val="0"/>
          <w:bCs/>
          <w:i/>
        </w:rPr>
        <w:fldChar w:fldCharType="end"/>
      </w:r>
      <w:r w:rsidR="0022185D" w:rsidRPr="00A9434B">
        <w:rPr>
          <w:b w:val="0"/>
          <w:bCs/>
          <w:i/>
        </w:rPr>
        <w:fldChar w:fldCharType="end"/>
      </w:r>
      <w:r w:rsidR="0022185D" w:rsidRPr="00A9434B">
        <w:rPr>
          <w:b w:val="0"/>
          <w:bCs/>
        </w:rPr>
        <w:t>.</w:t>
      </w:r>
      <w:r>
        <w:rPr>
          <w:b w:val="0"/>
        </w:rPr>
        <w:t xml:space="preserve"> Several activity-specific voluntary codes of practices have been developed to address the management of invasive plant species by the ornamental nursery industry </w:t>
      </w:r>
      <w:r w:rsidR="0022185D" w:rsidRPr="00A9434B">
        <w:rPr>
          <w:b w:val="0"/>
          <w:bCs/>
          <w:i/>
        </w:rPr>
        <w:fldChar w:fldCharType="begin">
          <w:fldData xml:space="preserve">PEVuZE5vdGU+PENpdGU+PEF1dGhvcj5CYXNraW48L0F1dGhvcj48WWVhcj4yMDAyPC9ZZWFyPjxS
ZWNOdW0+MTA5PC9SZWNOdW0+PERpc3BsYXlUZXh0PihCYXNraW4gMjAwMiwgSGV5d29vZCBhbmQg
QnJ1bmVsIDIwMDksIFZlcmJydWdnZSwgTGV1dmVuIGV0IGFsLiAyMDE0KTwvRGlzcGxheVRleHQ+
PHJlY29yZD48cmVjLW51bWJlcj4xMDk8L3JlYy1udW1iZXI+PGZvcmVpZ24ta2V5cz48a2V5IGFw
cD0iRU4iIGRiLWlkPSIyZnBzMnJwd2NwdHdheGVkejlvcHJ6dm1hd2Z4ZWY5cGZwYTIiIHRpbWVz
dGFtcD0iMTYyMTQwOTk2MyI+MTA5PC9rZXk+PC9mb3JlaWduLWtleXM+PHJlZi10eXBlIG5hbWU9
IkpvdXJuYWwgQXJ0aWNsZSI+MTc8L3JlZi10eXBlPjxjb250cmlidXRvcnM+PGF1dGhvcnM+PGF1
dGhvcj5CYXNraW4sIFkuPC9hdXRob3I+PC9hdXRob3JzPjwvY29udHJpYnV0b3JzPjx0aXRsZXM+
PHRpdGxlPlRoZSBncmVlbmluZyBvZiBob3J0aWN1bHR1cmU6IE5ldyBjb2RlcyBvZiBjb25kdWN0
IGFpbSB0byBjdXJiIHBsYW50IGludmFzaW9uczwvdGl0bGU+PHNlY29uZGFyeS10aXRsZT5CaW9z
Y2llbmNlPC9zZWNvbmRhcnktdGl0bGU+PGFsdC10aXRsZT5CaW9zY2llbmNlPC9hbHQtdGl0bGU+
PC90aXRsZXM+PHBlcmlvZGljYWw+PGZ1bGwtdGl0bGU+Qmlvc2NpZW5jZTwvZnVsbC10aXRsZT48
YWJici0xPkJpb3NjaWVuY2U8L2FiYnItMT48L3BlcmlvZGljYWw+PGFsdC1wZXJpb2RpY2FsPjxm
dWxsLXRpdGxlPkJpb3NjaWVuY2U8L2Z1bGwtdGl0bGU+PGFiYnItMT5CaW9zY2llbmNlPC9hYmJy
LTE+PC9hbHQtcGVyaW9kaWNhbD48cGFnZXM+NDY0LTQ3MTwvcGFnZXM+PHZvbHVtZT41Mjwvdm9s
dW1lPjxudW1iZXI+NjwvbnVtYmVyPjxkYXRlcz48eWVhcj4yMDAyPC95ZWFyPjxwdWItZGF0ZXM+
PGRhdGU+SnVuPC9kYXRlPjwvcHViLWRhdGVzPjwvZGF0ZXM+PGlzYm4+MDAwNi0zNTY4PC9pc2Ju
PjxhY2Nlc3Npb24tbnVtPldPUzowMDAxNzYyMzM4MDAwMDY8L2FjY2Vzc2lvbi1udW0+PHVybHM+
PHJlbGF0ZWQtdXJscz48dXJsPiZsdDtHbyB0byBJU0kmZ3Q7Oi8vV09TOjAwMDE3NjIzMzgwMDAw
NjwvdXJsPjwvcmVsYXRlZC11cmxzPjwvdXJscz48ZWxlY3Ryb25pYy1yZXNvdXJjZS1udW0+RG9p
IDEwLjE2NDEvMDAwNi0zNTY4KDIwMDIpMDUyWzA0NjQ6VGdvaG5jXTIuMC5DbzsyPC9lbGVjdHJv
bmljLXJlc291cmNlLW51bT48bGFuZ3VhZ2U+RW5nbGlzaDwvbGFuZ3VhZ2U+PC9yZWNvcmQ+PC9D
aXRlPjxDaXRlPjxBdXRob3I+VmVyYnJ1Z2dlPC9BdXRob3I+PFllYXI+MjAxNDwvWWVhcj48UmVj
TnVtPjExMDwvUmVjTnVtPjxyZWNvcmQ+PHJlYy1udW1iZXI+MTEwPC9yZWMtbnVtYmVyPjxmb3Jl
aWduLWtleXM+PGtleSBhcHA9IkVOIiBkYi1pZD0iMmZwczJycHdjcHR3YXhlZHo5b3ByenZtYXdm
eGVmOXBmcGEyIiB0aW1lc3RhbXA9IjE2MjE0MDk5ODciPjExMDwva2V5PjwvZm9yZWlnbi1rZXlz
PjxyZWYtdHlwZSBuYW1lPSJKb3VybmFsIEFydGljbGUiPjE3PC9yZWYtdHlwZT48Y29udHJpYnV0
b3JzPjxhdXRob3JzPjxhdXRob3I+VmVyYnJ1Z2dlLCBMLiBOLiBILjwvYXV0aG9yPjxhdXRob3I+
TGV1dmVuLCBSLiBTLiBFLiBXLjwvYXV0aG9yPjxhdXRob3I+dmFuIFZhbGtlbmJ1cmcsIEouIEwu
IEMuIEguPC9hdXRob3I+PGF1dGhvcj52YW4gZGVuIEJvcm4sIFIuIEouIEcuPC9hdXRob3I+PC9h
dXRob3JzPjwvY29udHJpYnV0b3JzPjxhdXRoLWFkZHJlc3M+UmFkYm91ZCBVbml2IE5pam1lZ2Vu
LCBJbnN0IFNjaSBJbm5vdmF0ICZhbXA7IFNvYywgTkwtNjUwMCBHTCBOaWptZWdlbiwgTmV0aGVy
bGFuZHMmI3hEO1JhZGJvdWQgVW5pdiBOaWptZWdlbiwgSW5zdCBXYXRlciAmYW1wOyBXZXRsYW5k
IFJlcywgRGVwdCBFbnZpcm9ubSBTY2ksIE5MLTY1MDAgR0wgTmlqbWVnZW4sIE5ldGhlcmxhbmRz
JiN4RDtOYXRsIFJlZmVyZW5jZSBDdHIsIE5ldGhlcmxhbmRzIEZvb2QgJmFtcDsgQ29uc3VtZXIg
UHJvZCBTYWZldHkgQXV0aG9yLCBOTC02NzAwIEhDIFdhZ2VuaW5nZW4sIE5ldGhlcmxhbmRzPC9h
dXRoLWFkZHJlc3M+PHRpdGxlcz48dGl0bGU+RXZhbHVhdGluZyBzdGFrZWhvbGRlciBhd2FyZW5l
c3MgYW5kIGludm9sdmVtZW50IGluIHJpc2sgcHJldmVudGlvbiBvZiBhcXVhdGljIGludmFzaXZl
IHBsYW50IHNwZWNpZXMgYnkgYSBuYXRpb25hbCBjb2RlIG9mIGNvbmR1Y3Q8L3RpdGxlPjxzZWNv
bmRhcnktdGl0bGU+QXF1YXRpYyBJbnZhc2lvbnM8L3NlY29uZGFyeS10aXRsZT48YWx0LXRpdGxl
PkFxdWF0IEludmFzaW9uczwvYWx0LXRpdGxlPjwvdGl0bGVzPjxwZXJpb2RpY2FsPjxmdWxsLXRp
dGxlPkFxdWF0aWMgSW52YXNpb25zPC9mdWxsLXRpdGxlPjxhYmJyLTE+QXF1YXQgSW52YXNpb25z
PC9hYmJyLTE+PC9wZXJpb2RpY2FsPjxhbHQtcGVyaW9kaWNhbD48ZnVsbC10aXRsZT5BcXVhdGlj
IEludmFzaW9uczwvZnVsbC10aXRsZT48YWJici0xPkFxdWF0IEludmFzaW9uczwvYWJici0xPjwv
YWx0LXBlcmlvZGljYWw+PHBhZ2VzPjM2OS0zODE8L3BhZ2VzPjx2b2x1bWU+OTwvdm9sdW1lPjxu
dW1iZXI+MzwvbnVtYmVyPjxrZXl3b3Jkcz48a2V5d29yZD5hcXVhdGljIHdlZWRzPC9rZXl3b3Jk
PjxrZXl3b3JkPmhvcnRpY3VsdHVyZTwva2V5d29yZD48a2V5d29yZD5ub24tbmF0aXZlIHNwZWNp
ZXM8L2tleXdvcmQ+PGtleXdvcmQ+b3JuYW1lbnRhbCB0cmFkZTwva2V5d29yZD48a2V5d29yZD5w
b2xpY3kgZXZhbHVhdGlvbjwva2V5d29yZD48a2V5d29yZD5wdWJsaWMgcGVyY2VwdGlvbjwva2V5
d29yZD48a2V5d29yZD5hcXVhcml1bSB0cmFkZTwva2V5d29yZD48a2V5d29yZD5pbnRyb2R1Y3Rp
b25zPC9rZXl3b3JkPjxrZXl3b3JkPnBhdGh3YXk8L2tleXdvcmQ+PGtleXdvcmQ+aW50ZXJuZXQ8
L2tleXdvcmQ+PGtleXdvcmQ+d2F0ZXI8L2tleXdvcmQ+PGtleXdvcmQ+aG9ydGljdWx0dXJlPC9r
ZXl3b3JkPjxrZXl3b3JkPmFidW5kYW5jZTwva2V5d29yZD48L2tleXdvcmRzPjxkYXRlcz48eWVh
cj4yMDE0PC95ZWFyPjxwdWItZGF0ZXM+PGRhdGU+U2VwPC9kYXRlPjwvcHViLWRhdGVzPjwvZGF0
ZXM+PGlzYm4+MTc5OC02NTQwPC9pc2JuPjxhY2Nlc3Npb24tbnVtPldPUzowMDAzNDU1OTczMDAw
MTE8L2FjY2Vzc2lvbi1udW0+PHVybHM+PHJlbGF0ZWQtdXJscz48dXJsPiZsdDtHbyB0byBJU0km
Z3Q7Oi8vV09TOjAwMDM0NTU5NzMwMDAxMTwvdXJsPjwvcmVsYXRlZC11cmxzPjwvdXJscz48ZWxl
Y3Ryb25pYy1yZXNvdXJjZS1udW0+MTAuMzM5MS9haS4yMDE0LjkuMy4xMTwvZWxlY3Ryb25pYy1y
ZXNvdXJjZS1udW0+PGxhbmd1YWdlPkVuZ2xpc2g8L2xhbmd1YWdlPjwvcmVjb3JkPjwvQ2l0ZT48
Q2l0ZT48QXV0aG9yPkhleXdvb2Q8L0F1dGhvcj48WWVhcj4yMDA5PC9ZZWFyPjxSZWNOdW0+MTEx
PC9SZWNOdW0+PHJlY29yZD48cmVjLW51bWJlcj4xMTE8L3JlYy1udW1iZXI+PGZvcmVpZ24ta2V5
cz48a2V5IGFwcD0iRU4iIGRiLWlkPSIyZnBzMnJwd2NwdHdheGVkejlvcHJ6dm1hd2Z4ZWY5cGZw
YTIiIHRpbWVzdGFtcD0iMTYyMTQxMDAyOCI+MTExPC9rZXk+PC9mb3JlaWduLWtleXM+PHJlZi10
eXBlIG5hbWU9IkJvb2siPjY8L3JlZi10eXBlPjxjb250cmlidXRvcnM+PGF1dGhvcnM+PGF1dGhv
cj5IZXl3b29kLCBWZXJub24gSGlsdG9uPC9hdXRob3I+PGF1dGhvcj5CcnVuZWwsIFNhcmFoPC9h
dXRob3I+PC9hdXRob3JzPjwvY29udHJpYnV0b3JzPjx0aXRsZXM+PHRpdGxlPkNvZGUgb2YgY29u
ZHVjdCBvbiBob3J0aWN1bHR1cmUgYW5kIGludmFzaXZlIGFsaWVuIHBsYW50czwvdGl0bGU+PC90
aXRsZXM+PGRhdGVzPjx5ZWFyPjIwMDk8L3llYXI+PC9kYXRlcz48cHVibGlzaGVyPkNvdW5jaWwg
b2YgRXVyb3BlIFB1YmwuPC9wdWJsaXNoZXI+PGlzYm4+OTI4NzE2NTk3MTwvaXNibj48dXJscz48
L3VybHM+PC9yZWNvcmQ+PC9DaXRlPjwvRW5kTm90ZT4A
</w:fldData>
        </w:fldChar>
      </w:r>
      <w:r w:rsidR="0022185D" w:rsidRPr="00A9434B">
        <w:rPr>
          <w:b w:val="0"/>
          <w:bCs/>
        </w:rPr>
        <w:instrText xml:space="preserve"> ADDIN EN.CITE </w:instrText>
      </w:r>
      <w:r w:rsidR="0022185D" w:rsidRPr="00A9434B">
        <w:rPr>
          <w:b w:val="0"/>
          <w:bCs/>
          <w:i/>
        </w:rPr>
        <w:fldChar w:fldCharType="begin">
          <w:fldData xml:space="preserve">PEVuZE5vdGU+PENpdGU+PEF1dGhvcj5CYXNraW48L0F1dGhvcj48WWVhcj4yMDAyPC9ZZWFyPjxS
ZWNOdW0+MTA5PC9SZWNOdW0+PERpc3BsYXlUZXh0PihCYXNraW4gMjAwMiwgSGV5d29vZCBhbmQg
QnJ1bmVsIDIwMDksIFZlcmJydWdnZSwgTGV1dmVuIGV0IGFsLiAyMDE0KTwvRGlzcGxheVRleHQ+
PHJlY29yZD48cmVjLW51bWJlcj4xMDk8L3JlYy1udW1iZXI+PGZvcmVpZ24ta2V5cz48a2V5IGFw
cD0iRU4iIGRiLWlkPSIyZnBzMnJwd2NwdHdheGVkejlvcHJ6dm1hd2Z4ZWY5cGZwYTIiIHRpbWVz
dGFtcD0iMTYyMTQwOTk2MyI+MTA5PC9rZXk+PC9mb3JlaWduLWtleXM+PHJlZi10eXBlIG5hbWU9
IkpvdXJuYWwgQXJ0aWNsZSI+MTc8L3JlZi10eXBlPjxjb250cmlidXRvcnM+PGF1dGhvcnM+PGF1
dGhvcj5CYXNraW4sIFkuPC9hdXRob3I+PC9hdXRob3JzPjwvY29udHJpYnV0b3JzPjx0aXRsZXM+
PHRpdGxlPlRoZSBncmVlbmluZyBvZiBob3J0aWN1bHR1cmU6IE5ldyBjb2RlcyBvZiBjb25kdWN0
IGFpbSB0byBjdXJiIHBsYW50IGludmFzaW9uczwvdGl0bGU+PHNlY29uZGFyeS10aXRsZT5CaW9z
Y2llbmNlPC9zZWNvbmRhcnktdGl0bGU+PGFsdC10aXRsZT5CaW9zY2llbmNlPC9hbHQtdGl0bGU+
PC90aXRsZXM+PHBlcmlvZGljYWw+PGZ1bGwtdGl0bGU+Qmlvc2NpZW5jZTwvZnVsbC10aXRsZT48
YWJici0xPkJpb3NjaWVuY2U8L2FiYnItMT48L3BlcmlvZGljYWw+PGFsdC1wZXJpb2RpY2FsPjxm
dWxsLXRpdGxlPkJpb3NjaWVuY2U8L2Z1bGwtdGl0bGU+PGFiYnItMT5CaW9zY2llbmNlPC9hYmJy
LTE+PC9hbHQtcGVyaW9kaWNhbD48cGFnZXM+NDY0LTQ3MTwvcGFnZXM+PHZvbHVtZT41Mjwvdm9s
dW1lPjxudW1iZXI+NjwvbnVtYmVyPjxkYXRlcz48eWVhcj4yMDAyPC95ZWFyPjxwdWItZGF0ZXM+
PGRhdGU+SnVuPC9kYXRlPjwvcHViLWRhdGVzPjwvZGF0ZXM+PGlzYm4+MDAwNi0zNTY4PC9pc2Ju
PjxhY2Nlc3Npb24tbnVtPldPUzowMDAxNzYyMzM4MDAwMDY8L2FjY2Vzc2lvbi1udW0+PHVybHM+
PHJlbGF0ZWQtdXJscz48dXJsPiZsdDtHbyB0byBJU0kmZ3Q7Oi8vV09TOjAwMDE3NjIzMzgwMDAw
NjwvdXJsPjwvcmVsYXRlZC11cmxzPjwvdXJscz48ZWxlY3Ryb25pYy1yZXNvdXJjZS1udW0+RG9p
IDEwLjE2NDEvMDAwNi0zNTY4KDIwMDIpMDUyWzA0NjQ6VGdvaG5jXTIuMC5DbzsyPC9lbGVjdHJv
bmljLXJlc291cmNlLW51bT48bGFuZ3VhZ2U+RW5nbGlzaDwvbGFuZ3VhZ2U+PC9yZWNvcmQ+PC9D
aXRlPjxDaXRlPjxBdXRob3I+VmVyYnJ1Z2dlPC9BdXRob3I+PFllYXI+MjAxNDwvWWVhcj48UmVj
TnVtPjExMDwvUmVjTnVtPjxyZWNvcmQ+PHJlYy1udW1iZXI+MTEwPC9yZWMtbnVtYmVyPjxmb3Jl
aWduLWtleXM+PGtleSBhcHA9IkVOIiBkYi1pZD0iMmZwczJycHdjcHR3YXhlZHo5b3ByenZtYXdm
eGVmOXBmcGEyIiB0aW1lc3RhbXA9IjE2MjE0MDk5ODciPjExMDwva2V5PjwvZm9yZWlnbi1rZXlz
PjxyZWYtdHlwZSBuYW1lPSJKb3VybmFsIEFydGljbGUiPjE3PC9yZWYtdHlwZT48Y29udHJpYnV0
b3JzPjxhdXRob3JzPjxhdXRob3I+VmVyYnJ1Z2dlLCBMLiBOLiBILjwvYXV0aG9yPjxhdXRob3I+
TGV1dmVuLCBSLiBTLiBFLiBXLjwvYXV0aG9yPjxhdXRob3I+dmFuIFZhbGtlbmJ1cmcsIEouIEwu
IEMuIEguPC9hdXRob3I+PGF1dGhvcj52YW4gZGVuIEJvcm4sIFIuIEouIEcuPC9hdXRob3I+PC9h
dXRob3JzPjwvY29udHJpYnV0b3JzPjxhdXRoLWFkZHJlc3M+UmFkYm91ZCBVbml2IE5pam1lZ2Vu
LCBJbnN0IFNjaSBJbm5vdmF0ICZhbXA7IFNvYywgTkwtNjUwMCBHTCBOaWptZWdlbiwgTmV0aGVy
bGFuZHMmI3hEO1JhZGJvdWQgVW5pdiBOaWptZWdlbiwgSW5zdCBXYXRlciAmYW1wOyBXZXRsYW5k
IFJlcywgRGVwdCBFbnZpcm9ubSBTY2ksIE5MLTY1MDAgR0wgTmlqbWVnZW4sIE5ldGhlcmxhbmRz
JiN4RDtOYXRsIFJlZmVyZW5jZSBDdHIsIE5ldGhlcmxhbmRzIEZvb2QgJmFtcDsgQ29uc3VtZXIg
UHJvZCBTYWZldHkgQXV0aG9yLCBOTC02NzAwIEhDIFdhZ2VuaW5nZW4sIE5ldGhlcmxhbmRzPC9h
dXRoLWFkZHJlc3M+PHRpdGxlcz48dGl0bGU+RXZhbHVhdGluZyBzdGFrZWhvbGRlciBhd2FyZW5l
c3MgYW5kIGludm9sdmVtZW50IGluIHJpc2sgcHJldmVudGlvbiBvZiBhcXVhdGljIGludmFzaXZl
IHBsYW50IHNwZWNpZXMgYnkgYSBuYXRpb25hbCBjb2RlIG9mIGNvbmR1Y3Q8L3RpdGxlPjxzZWNv
bmRhcnktdGl0bGU+QXF1YXRpYyBJbnZhc2lvbnM8L3NlY29uZGFyeS10aXRsZT48YWx0LXRpdGxl
PkFxdWF0IEludmFzaW9uczwvYWx0LXRpdGxlPjwvdGl0bGVzPjxwZXJpb2RpY2FsPjxmdWxsLXRp
dGxlPkFxdWF0aWMgSW52YXNpb25zPC9mdWxsLXRpdGxlPjxhYmJyLTE+QXF1YXQgSW52YXNpb25z
PC9hYmJyLTE+PC9wZXJpb2RpY2FsPjxhbHQtcGVyaW9kaWNhbD48ZnVsbC10aXRsZT5BcXVhdGlj
IEludmFzaW9uczwvZnVsbC10aXRsZT48YWJici0xPkFxdWF0IEludmFzaW9uczwvYWJici0xPjwv
YWx0LXBlcmlvZGljYWw+PHBhZ2VzPjM2OS0zODE8L3BhZ2VzPjx2b2x1bWU+OTwvdm9sdW1lPjxu
dW1iZXI+MzwvbnVtYmVyPjxrZXl3b3Jkcz48a2V5d29yZD5hcXVhdGljIHdlZWRzPC9rZXl3b3Jk
PjxrZXl3b3JkPmhvcnRpY3VsdHVyZTwva2V5d29yZD48a2V5d29yZD5ub24tbmF0aXZlIHNwZWNp
ZXM8L2tleXdvcmQ+PGtleXdvcmQ+b3JuYW1lbnRhbCB0cmFkZTwva2V5d29yZD48a2V5d29yZD5w
b2xpY3kgZXZhbHVhdGlvbjwva2V5d29yZD48a2V5d29yZD5wdWJsaWMgcGVyY2VwdGlvbjwva2V5
d29yZD48a2V5d29yZD5hcXVhcml1bSB0cmFkZTwva2V5d29yZD48a2V5d29yZD5pbnRyb2R1Y3Rp
b25zPC9rZXl3b3JkPjxrZXl3b3JkPnBhdGh3YXk8L2tleXdvcmQ+PGtleXdvcmQ+aW50ZXJuZXQ8
L2tleXdvcmQ+PGtleXdvcmQ+d2F0ZXI8L2tleXdvcmQ+PGtleXdvcmQ+aG9ydGljdWx0dXJlPC9r
ZXl3b3JkPjxrZXl3b3JkPmFidW5kYW5jZTwva2V5d29yZD48L2tleXdvcmRzPjxkYXRlcz48eWVh
cj4yMDE0PC95ZWFyPjxwdWItZGF0ZXM+PGRhdGU+U2VwPC9kYXRlPjwvcHViLWRhdGVzPjwvZGF0
ZXM+PGlzYm4+MTc5OC02NTQwPC9pc2JuPjxhY2Nlc3Npb24tbnVtPldPUzowMDAzNDU1OTczMDAw
MTE8L2FjY2Vzc2lvbi1udW0+PHVybHM+PHJlbGF0ZWQtdXJscz48dXJsPiZsdDtHbyB0byBJU0km
Z3Q7Oi8vV09TOjAwMDM0NTU5NzMwMDAxMTwvdXJsPjwvcmVsYXRlZC11cmxzPjwvdXJscz48ZWxl
Y3Ryb25pYy1yZXNvdXJjZS1udW0+MTAuMzM5MS9haS4yMDE0LjkuMy4xMTwvZWxlY3Ryb25pYy1y
ZXNvdXJjZS1udW0+PGxhbmd1YWdlPkVuZ2xpc2g8L2xhbmd1YWdlPjwvcmVjb3JkPjwvQ2l0ZT48
Q2l0ZT48QXV0aG9yPkhleXdvb2Q8L0F1dGhvcj48WWVhcj4yMDA5PC9ZZWFyPjxSZWNOdW0+MTEx
PC9SZWNOdW0+PHJlY29yZD48cmVjLW51bWJlcj4xMTE8L3JlYy1udW1iZXI+PGZvcmVpZ24ta2V5
cz48a2V5IGFwcD0iRU4iIGRiLWlkPSIyZnBzMnJwd2NwdHdheGVkejlvcHJ6dm1hd2Z4ZWY5cGZw
YTIiIHRpbWVzdGFtcD0iMTYyMTQxMDAyOCI+MTExPC9rZXk+PC9mb3JlaWduLWtleXM+PHJlZi10
eXBlIG5hbWU9IkJvb2siPjY8L3JlZi10eXBlPjxjb250cmlidXRvcnM+PGF1dGhvcnM+PGF1dGhv
cj5IZXl3b29kLCBWZXJub24gSGlsdG9uPC9hdXRob3I+PGF1dGhvcj5CcnVuZWwsIFNhcmFoPC9h
dXRob3I+PC9hdXRob3JzPjwvY29udHJpYnV0b3JzPjx0aXRsZXM+PHRpdGxlPkNvZGUgb2YgY29u
ZHVjdCBvbiBob3J0aWN1bHR1cmUgYW5kIGludmFzaXZlIGFsaWVuIHBsYW50czwvdGl0bGU+PC90
aXRsZXM+PGRhdGVzPjx5ZWFyPjIwMDk8L3llYXI+PC9kYXRlcz48cHVibGlzaGVyPkNvdW5jaWwg
b2YgRXVyb3BlIFB1YmwuPC9wdWJsaXNoZXI+PGlzYm4+OTI4NzE2NTk3MTwvaXNibj48dXJscz48
L3VybHM+PC9yZWNvcmQ+PC9DaXRlPjwvRW5kTm90ZT4A
</w:fldData>
        </w:fldChar>
      </w:r>
      <w:r w:rsidR="0022185D" w:rsidRPr="00A9434B">
        <w:rPr>
          <w:b w:val="0"/>
          <w:bCs/>
        </w:rPr>
        <w:instrText xml:space="preserve"> ADDIN EN.CITE.DATA </w:instrText>
      </w:r>
      <w:r w:rsidR="0022185D" w:rsidRPr="00A9434B">
        <w:rPr>
          <w:b w:val="0"/>
          <w:bCs/>
          <w:i/>
        </w:rPr>
      </w:r>
      <w:r w:rsidR="0022185D" w:rsidRPr="00A9434B">
        <w:rPr>
          <w:b w:val="0"/>
          <w:bCs/>
          <w:i/>
        </w:rPr>
        <w:fldChar w:fldCharType="end"/>
      </w:r>
      <w:r w:rsidR="0022185D" w:rsidRPr="00A9434B">
        <w:rPr>
          <w:b w:val="0"/>
          <w:bCs/>
          <w:i/>
        </w:rPr>
      </w:r>
      <w:r w:rsidR="0022185D" w:rsidRPr="00A9434B">
        <w:rPr>
          <w:b w:val="0"/>
          <w:bCs/>
          <w:i/>
        </w:rPr>
        <w:fldChar w:fldCharType="separate"/>
      </w:r>
      <w:r w:rsidR="00E51F2D" w:rsidRPr="00A9434B">
        <w:rPr>
          <w:b w:val="0"/>
          <w:bCs/>
          <w:i/>
        </w:rPr>
        <w:fldChar w:fldCharType="begin"/>
      </w:r>
      <w:r w:rsidR="0006613E">
        <w:rPr>
          <w:b w:val="0"/>
          <w:bCs/>
        </w:rPr>
        <w:instrText xml:space="preserve"> ADDIN ZOTERO_ITEM CSL_CITATION {"citationID":"aouirecs77","properties":{"formattedCitation":"\\uldash{(Baskin, 2002; Heywood &amp; Brunel, 2009)}","plainCitation":"(Baskin, 2002; Heywood &amp; Brunel, 2009)","dontUpdate":true,"noteIndex":0},"citationItems":[{"id":53581,"uris":["http://zotero.org/groups/2352922/items/NC4C4UVR"],"itemData":{"id":53581,"type":"article-journal","container-title":"Bioscience","DOI":"10.1641/0006-3568(2002)052[0464:Tgohnc]2.0.Co;2","ISSN":"0006-3568","issue":"6","journalAbbreviation":"BioScience","language":"English","page":"464-471","title":"The greening of horticulture: New codes of conduct aim to curb plant invasions","volume":"52","author":[{"family":"Baskin","given":"Y."}],"issued":{"date-parts":[["2002",6]]}},"label":"page"},{"id":53526,"uris":["http://zotero.org/groups/2352922/items/Y6G8HK48"],"itemData":{"id":53526,"type":"book","ISBN":"978-92-871-6597-8","publisher":"Council of Europe","title":"Code of conduct on horticulture and invasive alien plants","author":[{"family":"Heywood","given":"Vernon Hilton"},{"family":"Brunel","given":"Sarah"}],"issued":{"date-parts":[["2009"]]}},"label":"page"}],"schema":"https://github.com/citation-style-language/schema/raw/master/csl-citation.json"} </w:instrText>
      </w:r>
      <w:r w:rsidR="00E51F2D" w:rsidRPr="00A9434B">
        <w:rPr>
          <w:b w:val="0"/>
          <w:bCs/>
          <w:i/>
        </w:rPr>
        <w:fldChar w:fldCharType="separate"/>
      </w:r>
      <w:r w:rsidR="001C5569" w:rsidRPr="00A9434B">
        <w:rPr>
          <w:b w:val="0"/>
          <w:bCs/>
        </w:rPr>
        <w:t>(Baskin, 2002; Heywood &amp; Brunel, 2009</w:t>
      </w:r>
      <w:r w:rsidR="00E51F2D" w:rsidRPr="00A9434B">
        <w:rPr>
          <w:b w:val="0"/>
          <w:bCs/>
          <w:i/>
        </w:rPr>
        <w:fldChar w:fldCharType="end"/>
      </w:r>
      <w:r w:rsidR="0022185D" w:rsidRPr="00A9434B">
        <w:rPr>
          <w:b w:val="0"/>
          <w:bCs/>
          <w:i/>
        </w:rPr>
        <w:fldChar w:fldCharType="end"/>
      </w:r>
      <w:r w:rsidR="0022185D" w:rsidRPr="00A9434B">
        <w:rPr>
          <w:b w:val="0"/>
          <w:bCs/>
        </w:rPr>
        <w:t xml:space="preserve"> and </w:t>
      </w:r>
      <w:r w:rsidR="00B9562C" w:rsidRPr="00673554">
        <w:rPr>
          <w:bCs/>
        </w:rPr>
        <w:fldChar w:fldCharType="begin"/>
      </w:r>
      <w:r w:rsidR="00B9562C" w:rsidRPr="00673554">
        <w:rPr>
          <w:bCs/>
        </w:rPr>
        <w:instrText xml:space="preserve"> REF _Ref104898480 \h  \* MERGEFORMAT </w:instrText>
      </w:r>
      <w:r w:rsidR="00B9562C" w:rsidRPr="00673554">
        <w:rPr>
          <w:bCs/>
        </w:rPr>
      </w:r>
      <w:r w:rsidR="00B9562C" w:rsidRPr="00673554">
        <w:rPr>
          <w:bCs/>
        </w:rPr>
        <w:fldChar w:fldCharType="separate"/>
      </w:r>
      <w:r w:rsidR="0011368C" w:rsidRPr="00673554">
        <w:rPr>
          <w:bCs/>
        </w:rPr>
        <w:t>Box 6.7</w:t>
      </w:r>
      <w:r w:rsidR="00B9562C" w:rsidRPr="00673554">
        <w:rPr>
          <w:bCs/>
        </w:rPr>
        <w:fldChar w:fldCharType="end"/>
      </w:r>
      <w:r w:rsidR="00453921" w:rsidRPr="00A9434B">
        <w:rPr>
          <w:b w:val="0"/>
          <w:bCs/>
        </w:rPr>
        <w:t>),</w:t>
      </w:r>
      <w:r w:rsidR="00851847" w:rsidRPr="00A9434B">
        <w:rPr>
          <w:b w:val="0"/>
          <w:bCs/>
        </w:rPr>
        <w:t xml:space="preserve"> aquaculture</w:t>
      </w:r>
      <w:r w:rsidR="005D0083">
        <w:rPr>
          <w:b w:val="0"/>
          <w:bCs/>
        </w:rPr>
        <w:t xml:space="preserve"> and</w:t>
      </w:r>
      <w:r w:rsidR="0022185D" w:rsidRPr="00A9434B">
        <w:rPr>
          <w:b w:val="0"/>
          <w:bCs/>
        </w:rPr>
        <w:t xml:space="preserve"> forestry.</w:t>
      </w:r>
      <w:r>
        <w:rPr>
          <w:b w:val="0"/>
        </w:rPr>
        <w:t xml:space="preserve"> Similar codes of conduct have been developed in Europe for several relevant activities, including boating, botanic gardens, hunting, international travel, pets, recreational fishing, zoological gardens and aquaria (such as the European code of conduct on hunting and invasive alien species, and other available at </w:t>
      </w:r>
      <w:r w:rsidR="00C017FC" w:rsidRPr="00A9434B">
        <w:rPr>
          <w:b w:val="0"/>
          <w:bCs/>
        </w:rPr>
        <w:fldChar w:fldCharType="begin"/>
      </w:r>
      <w:r w:rsidR="0006613E">
        <w:rPr>
          <w:b w:val="0"/>
          <w:bCs/>
        </w:rPr>
        <w:instrText xml:space="preserve"> ADDIN ZOTERO_ITEM CSL_CITATION {"citationID":"a2dfjbf61v0","properties":{"formattedCitation":"(EASIN, 2021)","plainCitation":"(EASIN, 2021)","dontUpdate":true,"noteIndex":0},"citationItems":[{"id":54685,"uris":["http://zotero.org/groups/2352922/items/CUAMQEDU"],"itemData":{"id":54685,"type":"webpage","container-title":"European Alien Species Information Network","title":"Guidelines and Codes of Conduct","URL":"https://easin.jrc.ec.europa.eu/easin/Documentation/Codesofconduct","author":[{"literal":"EASIN"}],"accessed":{"date-parts":[["2023",3,7]]},"issued":{"date-parts":[["2021"]]}}}],"schema":"https://github.com/citation-style-language/schema/raw/master/csl-citation.json"} </w:instrText>
      </w:r>
      <w:r w:rsidR="00C017FC" w:rsidRPr="00A9434B">
        <w:rPr>
          <w:b w:val="0"/>
          <w:bCs/>
        </w:rPr>
        <w:fldChar w:fldCharType="separate"/>
      </w:r>
      <w:r w:rsidR="00C71E80" w:rsidRPr="00A9434B">
        <w:rPr>
          <w:b w:val="0"/>
          <w:bCs/>
        </w:rPr>
        <w:t xml:space="preserve">EASIN </w:t>
      </w:r>
      <w:r w:rsidR="00EE268C" w:rsidRPr="00A9434B">
        <w:rPr>
          <w:b w:val="0"/>
          <w:bCs/>
        </w:rPr>
        <w:t>(</w:t>
      </w:r>
      <w:r w:rsidR="00C71E80" w:rsidRPr="00A9434B">
        <w:rPr>
          <w:b w:val="0"/>
          <w:bCs/>
        </w:rPr>
        <w:t>2021)</w:t>
      </w:r>
      <w:r w:rsidR="00C017FC" w:rsidRPr="00A9434B">
        <w:rPr>
          <w:b w:val="0"/>
          <w:bCs/>
        </w:rPr>
        <w:fldChar w:fldCharType="end"/>
      </w:r>
      <w:r w:rsidR="00EE268C" w:rsidRPr="00A9434B">
        <w:rPr>
          <w:b w:val="0"/>
        </w:rPr>
        <w:t>)</w:t>
      </w:r>
      <w:r w:rsidR="009248BD" w:rsidRPr="00A9434B">
        <w:rPr>
          <w:b w:val="0"/>
          <w:bCs/>
        </w:rPr>
        <w:t>.</w:t>
      </w:r>
      <w:r>
        <w:rPr>
          <w:b w:val="0"/>
        </w:rPr>
        <w:t xml:space="preserve"> These codes of practice provide practical and concise guidance in establishing common standards of good practice and responsible attitudes and behaviours for use of alien species in production activities. Their recommendations are intended to be complementary, not replace, the binding obligations embedded into national legislation and action plans that regulate any activity that transports, sells, or uses alien species.</w:t>
      </w:r>
      <w:r>
        <w:t xml:space="preserve"> </w:t>
      </w:r>
    </w:p>
    <w:p w14:paraId="5C71E012" w14:textId="4EE7F6F8" w:rsidR="00017C04" w:rsidRPr="00C12647" w:rsidRDefault="00F50AF9" w:rsidP="00B301D7">
      <w:pPr>
        <w:pStyle w:val="Caption"/>
        <w:pBdr>
          <w:top w:val="single" w:sz="4" w:space="1" w:color="auto"/>
          <w:left w:val="single" w:sz="4" w:space="4" w:color="auto"/>
          <w:bottom w:val="single" w:sz="4" w:space="1" w:color="auto"/>
          <w:right w:val="single" w:sz="4" w:space="4" w:color="auto"/>
        </w:pBdr>
        <w:shd w:val="clear" w:color="auto" w:fill="E7E6E6" w:themeFill="background2"/>
        <w:rPr>
          <w:color w:val="000000"/>
        </w:rPr>
      </w:pPr>
      <w:bookmarkStart w:id="275" w:name="_heading=h.1baon6m" w:colFirst="0" w:colLast="0"/>
      <w:bookmarkStart w:id="276" w:name="_Ref104898480"/>
      <w:bookmarkStart w:id="277" w:name="_Toc147418616"/>
      <w:bookmarkEnd w:id="275"/>
      <w:r w:rsidRPr="00B301D7">
        <w:rPr>
          <w:bCs w:val="0"/>
        </w:rPr>
        <w:t>Box 6</w:t>
      </w:r>
      <w:r w:rsidR="0053767E" w:rsidRPr="00B301D7">
        <w:rPr>
          <w:bCs w:val="0"/>
        </w:rPr>
        <w:t>.</w:t>
      </w:r>
      <w:r w:rsidR="0053767E" w:rsidRPr="00B301D7">
        <w:rPr>
          <w:bCs w:val="0"/>
        </w:rPr>
        <w:fldChar w:fldCharType="begin"/>
      </w:r>
      <w:r w:rsidR="0053767E" w:rsidRPr="00B301D7">
        <w:rPr>
          <w:bCs w:val="0"/>
        </w:rPr>
        <w:instrText xml:space="preserve"> SEQ Box_6. \* ARABIC </w:instrText>
      </w:r>
      <w:r w:rsidR="0053767E" w:rsidRPr="00B301D7">
        <w:rPr>
          <w:bCs w:val="0"/>
        </w:rPr>
        <w:fldChar w:fldCharType="separate"/>
      </w:r>
      <w:r w:rsidR="0011368C" w:rsidRPr="00B301D7">
        <w:rPr>
          <w:bCs w:val="0"/>
          <w:noProof/>
        </w:rPr>
        <w:t>7</w:t>
      </w:r>
      <w:r w:rsidR="0053767E" w:rsidRPr="00B301D7">
        <w:rPr>
          <w:bCs w:val="0"/>
        </w:rPr>
        <w:fldChar w:fldCharType="end"/>
      </w:r>
      <w:bookmarkEnd w:id="276"/>
      <w:r w:rsidR="00216400" w:rsidRPr="00B301D7">
        <w:rPr>
          <w:bCs w:val="0"/>
        </w:rPr>
        <w:t>.</w:t>
      </w:r>
      <w:r w:rsidRPr="00C12647">
        <w:rPr>
          <w:color w:val="000000"/>
        </w:rPr>
        <w:t xml:space="preserve"> The way forward for ornamental horticulture and invasive alien plants: How to reduce risks and achieve sustainability?</w:t>
      </w:r>
      <w:bookmarkEnd w:id="277"/>
    </w:p>
    <w:p w14:paraId="181891BD" w14:textId="1ECFF5C1" w:rsidR="00387012" w:rsidRPr="00A9434B" w:rsidRDefault="00E52EEE" w:rsidP="006E13B2">
      <w:pPr>
        <w:pBdr>
          <w:top w:val="single" w:sz="4" w:space="1" w:color="auto"/>
          <w:left w:val="single" w:sz="4" w:space="4" w:color="auto"/>
          <w:bottom w:val="single" w:sz="4" w:space="1" w:color="auto"/>
          <w:right w:val="single" w:sz="4" w:space="4" w:color="auto"/>
        </w:pBdr>
        <w:shd w:val="clear" w:color="auto" w:fill="E7E6E6" w:themeFill="background2"/>
      </w:pPr>
      <w:r w:rsidRPr="00A9434B">
        <w:t>O</w:t>
      </w:r>
      <w:r w:rsidR="006E13B2" w:rsidRPr="00A9434B">
        <w:t>n</w:t>
      </w:r>
      <w:r w:rsidR="00F34A9B" w:rsidRPr="00A9434B">
        <w:t xml:space="preserve">going </w:t>
      </w:r>
      <w:r w:rsidRPr="00A9434B">
        <w:t xml:space="preserve">innovation, cultivation and </w:t>
      </w:r>
      <w:r w:rsidR="00F34A9B" w:rsidRPr="00A9434B">
        <w:t xml:space="preserve">introduction of new plants </w:t>
      </w:r>
      <w:r w:rsidR="00D13769" w:rsidRPr="00A9434B">
        <w:t>has been considered</w:t>
      </w:r>
      <w:r w:rsidR="00F34A9B" w:rsidRPr="00A9434B">
        <w:t xml:space="preserve"> critical to the survival and profitability of the horticultural sector, and </w:t>
      </w:r>
      <w:r w:rsidR="2E624EED" w:rsidRPr="00A9434B">
        <w:t>can</w:t>
      </w:r>
      <w:r w:rsidR="00F34A9B" w:rsidRPr="00A9434B">
        <w:t xml:space="preserve"> result in the ongoing introduction of </w:t>
      </w:r>
      <w:r w:rsidR="008A68B3" w:rsidRPr="00A9434B">
        <w:t>alien</w:t>
      </w:r>
      <w:r w:rsidR="00F34A9B" w:rsidRPr="00A9434B">
        <w:t xml:space="preserve"> species</w:t>
      </w:r>
      <w:r w:rsidR="00D13769" w:rsidRPr="00A9434B">
        <w:t xml:space="preserve"> </w:t>
      </w:r>
      <w:r w:rsidR="00F34A9B" w:rsidRPr="00A9434B">
        <w:fldChar w:fldCharType="begin"/>
      </w:r>
      <w:r w:rsidR="00F34A9B" w:rsidRPr="00A9434B">
        <w:instrText xml:space="preserve"> ADDIN EN.CITE &lt;EndNote&gt;&lt;Cite&gt;&lt;Author&gt;Seaton&lt;/Author&gt;&lt;Year&gt;2014&lt;/Year&gt;&lt;RecNum&gt;61&lt;/RecNum&gt;&lt;DisplayText&gt;(Seaton, Bettin et al. 2014)&lt;/DisplayText&gt;&lt;record&gt;&lt;rec-number&gt;146&lt;/rec-number&gt;&lt;foreign-keys&gt;&lt;key app="EN" db-id="0d55paxdcvwpebe55d1vrz5ne2pattprarta" timestamp="1597992734"&gt;146&lt;/key&gt;&lt;/foreign-keys&gt;&lt;ref-type name="Book Section"&gt;5&lt;/ref-type&gt;&lt;contributors&gt;&lt;authors&gt;&lt;author&gt;Seaton, Kevin&lt;/author&gt;&lt;author&gt;Bettin, Andreas&lt;/author&gt;&lt;author&gt;Grüneberg, Heiner&lt;/author&gt;&lt;/authors&gt;&lt;/contributors&gt;&lt;titles&gt;&lt;title&gt;New ornamental plants for horticulture&lt;/title&gt;&lt;secondary-title&gt;Horticulture: Plants for People and Places, Volume 1&lt;/secondary-title&gt;&lt;/titles&gt;&lt;pages&gt;435-463&lt;/pages&gt;&lt;dates&gt;&lt;year&gt;2014&lt;/year&gt;&lt;/dates&gt;&lt;publisher&gt;Springer&lt;/publisher&gt;&lt;urls&gt;&lt;/urls&gt;&lt;/record&gt;&lt;/Cite&gt;&lt;/EndNote&gt;</w:instrText>
      </w:r>
      <w:r w:rsidR="00F34A9B" w:rsidRPr="00A9434B">
        <w:fldChar w:fldCharType="separate"/>
      </w:r>
      <w:r w:rsidR="00E51F2D" w:rsidRPr="00A9434B">
        <w:fldChar w:fldCharType="begin"/>
      </w:r>
      <w:r w:rsidR="0006613E">
        <w:instrText xml:space="preserve"> ADDIN ZOTERO_ITEM CSL_CITATION {"citationID":"a1u6cfmqtu3","properties":{"formattedCitation":"(Seaton et al., 2014)","plainCitation":"(Seaton et al., 2014)","noteIndex":0},"citationItems":[{"id":22297,"uris":["http://zotero.org/groups/2352922/items/M9569NQE"],"itemData":{"id":22297,"type":"chapter","abstract":"Introduction of new plants is critical to the survival and profitability of the horticultural industries. These provide a marketing edge and can offer real benefits in terms of utilisation to fill special needs, such as providing screening a residential area from traffic noise, using living walls of plants, or providing an area to remove nutrient run-off from suburbia and prevent nitrification of sensitive wetlands. This chapter discusses the diversity of plants in the world’s biomes from tropical, cool and warm temperate forests to deserts and alpine tundra environments. It covers a wide diversity of new plant material that includes the magnolia (Magnolia spp.), the Christmas poinsettia (Euphorbia pulcherrima), the conifers (pines, firs and cedars), the holly (Ilex spp.) to the diverse and unusual Australian and African xerophytic wildflowers such as the banksias (Banksia spp.), and kangaroo paws (Anigozanthos and Macropidia spp.). There has been a world history of discovery and selecting plants from known plant hot spots. This search started in earnest from the 1500s and continues to the present day with collectors looking to find new forms and colours and to introduce new qualities into established plants. It also introduces the developments in breeding new cultivars from existing genomes, including straight crossing to cellular techniques. Introducing a new plant is a complex process involving a number of steps from establishing a market, meeting production requirements to ensuring that the new plant survives and flourishes, often in a different environment to its native habitat and can involve use of greenhouse and chemical treatments. Considerable research has been expended on tailoring production management systems best suited to a particular plant given the diverse range of plant responses possible. This involves the development of propagation techniques such as tissue culture where cutting propagation fails, and the development of correct irrigationand nutrient scheduling to maximise production and manage growth stages. It also involves ensuring the plant achieves the level of performance expected in terms of vase life or yield and maintaining the right form and colour. These requirements are particularly critical where trade and transport is involved. An area often difficult to get right is to ensure that the new plant is actively protected, ensuring that the investment is properly rewarded and provides value to ensure continuation of further plant development.","container-title":"Horticulture: Plants for People and Places, Volume 1: Production Horticulture","event-place":"Dordrecht","ISBN":"978-94-017-8578-5","language":"en","note":"DOI: 10.1007/978-94-017-8578-5_12","page":"435-463","publisher":"Springer Netherlands","publisher-place":"Dordrecht","source":"Springer Link","title":"New Ornamental Plants for Horticulture","URL":"https://doi.org/10.1007/978-94-017-8578-5_12","author":[{"family":"Seaton","given":"Kevin"},{"family":"Bettin","given":"Andreas"},{"family":"Grüneberg","given":"Heiner"}],"editor":[{"family":"Dixon","given":"Geoffrey R."},{"family":"Aldous","given":"David E."}],"accessed":{"date-parts":[["2020",5,7]]},"issued":{"date-parts":[["2014"]]}},"label":"page"}],"schema":"https://github.com/citation-style-language/schema/raw/master/csl-citation.json"} </w:instrText>
      </w:r>
      <w:r w:rsidR="00E51F2D" w:rsidRPr="00A9434B">
        <w:fldChar w:fldCharType="separate"/>
      </w:r>
      <w:r w:rsidR="00C71E80" w:rsidRPr="00A9434B">
        <w:t>(Seaton et al., 2014)</w:t>
      </w:r>
      <w:r w:rsidR="00E51F2D" w:rsidRPr="00A9434B">
        <w:fldChar w:fldCharType="end"/>
      </w:r>
      <w:r w:rsidR="00F34A9B" w:rsidRPr="00A9434B">
        <w:fldChar w:fldCharType="end"/>
      </w:r>
      <w:r w:rsidR="00F34A9B" w:rsidRPr="00A9434B">
        <w:t xml:space="preserve">. </w:t>
      </w:r>
      <w:r w:rsidRPr="00A9434B">
        <w:t>O</w:t>
      </w:r>
      <w:r w:rsidR="00F34A9B" w:rsidRPr="00A9434B">
        <w:t>rnamenta</w:t>
      </w:r>
      <w:r w:rsidR="00164426" w:rsidRPr="00A9434B">
        <w:t>l horticulture foster</w:t>
      </w:r>
      <w:r w:rsidR="00453921" w:rsidRPr="00A9434B">
        <w:t>s</w:t>
      </w:r>
      <w:r w:rsidR="00F34A9B" w:rsidRPr="00A9434B">
        <w:t xml:space="preserve"> plant invasions in </w:t>
      </w:r>
      <w:r w:rsidRPr="00A9434B">
        <w:t>a number of ways</w:t>
      </w:r>
      <w:r w:rsidR="00F34A9B" w:rsidRPr="00A9434B">
        <w:t xml:space="preserve"> </w:t>
      </w:r>
      <w:r w:rsidR="00E51F2D" w:rsidRPr="00A9434B">
        <w:fldChar w:fldCharType="begin"/>
      </w:r>
      <w:r w:rsidR="0006613E">
        <w:instrText xml:space="preserve"> ADDIN ZOTERO_ITEM CSL_CITATION {"citationID":"a26ak3ku1e7","properties":{"formattedCitation":"(Culley et al., 2011)","plainCitation":"(Culley et al., 2011)","noteIndex":0},"citationItems":[{"id":25092,"uris":["http://zotero.org/groups/2352922/items/2UX5HIAD"],"itemData":{"id":25092,"type":"article-journal","abstract":"Although few plant species escape from cultivation, some horticultural practices used with woody ornamentals may enhance their invasion potential into natural areas. One such procedure is grafting, in which individuals are propagated for commercial sale by joining a clone of a desired cultivar (the scion) with rootstock obtained from a different individual. If the rootstock can sprout and flower, it can potentially cross-pollinate the scion, leading to fruit production in a self-incompatible species. The effect of grafting on invasion success was examined in the Callery pear, Pyrus calleryana, one of the most popular landscaping trees in the United States. Using nine microsatellite markers, scion and rootstock were genotyped for 57 cultivated trees to characterize rootstock genotypes and the rootstock gene pool. Invasive populations were then sampled to determine if rootstock genotypes have contributed to their formation. In no case were scion and rootstock genotypes identical for any given cultivated tree and rootstock genotypes were genetically variable, although some cloned rootstock genotypes were detected. Rootstock genotypes were also observed in invasive populations, with up to 17% of wild individuals having at least one rootstock parent. These results indicate that rootstock can contribute to the formation of invasive populations of the Callery pear through cross-pollination with other available genotypes. Future investigations of woody ornamentals propagated by grafting should consider this horticultural practice as a potential contributor to invasiveness. Furthermore, plant breeders are encouraged to assess the ability of rootstock to sprout as well as its cross-compatibility with the scion or other cultivar genotypes growing nearby.","container-title":"Biological Invasions","DOI":"10.1007/s10530-010-9864-y","ISSN":"1573-1464","issue":"3","journalAbbreviation":"Biol Invasions","language":"en","page":"739-746","source":"Springer Link","title":"The role of horticulture in plant invasions: how grafting in cultivars of Callery pear (&lt;i&gt;Pyrus calleryana&lt;/i&gt;) can facilitate spread into natural areas","title-short":"The role of horticulture in plant invasions","URL":"https://doi.org/10.1007/s10530-010-9864-y","volume":"13","author":[{"family":"Culley","given":"Theresa M."},{"family":"Hardiman","given":"Nicole A."},{"family":"Hawks","given":"Jennifer"}],"accessed":{"date-parts":[["2019",9,25]]},"issued":{"date-parts":[["2011",3,1]]}},"label":"page"}],"schema":"https://github.com/citation-style-language/schema/raw/master/csl-citation.json"} </w:instrText>
      </w:r>
      <w:r w:rsidR="00E51F2D" w:rsidRPr="00A9434B">
        <w:fldChar w:fldCharType="separate"/>
      </w:r>
      <w:r w:rsidR="00C71E80" w:rsidRPr="00A9434B">
        <w:t>(Culley et al., 2011)</w:t>
      </w:r>
      <w:r w:rsidR="00E51F2D" w:rsidRPr="00A9434B">
        <w:fldChar w:fldCharType="end"/>
      </w:r>
      <w:r w:rsidR="00F34A9B" w:rsidRPr="00A9434B">
        <w:t xml:space="preserve">. First, it often involves multiple introductions which include both the initial introduction as well as the subsequent sale and distribution of cultivated individuals through supply chain, retail centres, mail order catalogues, and over the internet </w:t>
      </w:r>
      <w:r w:rsidR="00E51F2D" w:rsidRPr="00A9434B">
        <w:fldChar w:fldCharType="begin"/>
      </w:r>
      <w:r w:rsidR="0006613E">
        <w:instrText xml:space="preserve"> ADDIN ZOTERO_ITEM CSL_CITATION {"citationID":"a189t2c8odh","properties":{"formattedCitation":"(Culley et al., 2011)","plainCitation":"(Culley et al., 2011)","noteIndex":0},"citationItems":[{"id":25092,"uris":["http://zotero.org/groups/2352922/items/2UX5HIAD"],"itemData":{"id":25092,"type":"article-journal","abstract":"Although few plant species escape from cultivation, some horticultural practices used with woody ornamentals may enhance their invasion potential into natural areas. One such procedure is grafting, in which individuals are propagated for commercial sale by joining a clone of a desired cultivar (the scion) with rootstock obtained from a different individual. If the rootstock can sprout and flower, it can potentially cross-pollinate the scion, leading to fruit production in a self-incompatible species. The effect of grafting on invasion success was examined in the Callery pear, Pyrus calleryana, one of the most popular landscaping trees in the United States. Using nine microsatellite markers, scion and rootstock were genotyped for 57 cultivated trees to characterize rootstock genotypes and the rootstock gene pool. Invasive populations were then sampled to determine if rootstock genotypes have contributed to their formation. In no case were scion and rootstock genotypes identical for any given cultivated tree and rootstock genotypes were genetically variable, although some cloned rootstock genotypes were detected. Rootstock genotypes were also observed in invasive populations, with up to 17% of wild individuals having at least one rootstock parent. These results indicate that rootstock can contribute to the formation of invasive populations of the Callery pear through cross-pollination with other available genotypes. Future investigations of woody ornamentals propagated by grafting should consider this horticultural practice as a potential contributor to invasiveness. Furthermore, plant breeders are encouraged to assess the ability of rootstock to sprout as well as its cross-compatibility with the scion or other cultivar genotypes growing nearby.","container-title":"Biological Invasions","DOI":"10.1007/s10530-010-9864-y","ISSN":"1573-1464","issue":"3","journalAbbreviation":"Biol Invasions","language":"en","page":"739-746","source":"Springer Link","title":"The role of horticulture in plant invasions: how grafting in cultivars of Callery pear (&lt;i&gt;Pyrus calleryana&lt;/i&gt;) can facilitate spread into natural areas","title-short":"The role of horticulture in plant invasions","URL":"https://doi.org/10.1007/s10530-010-9864-y","volume":"13","author":[{"family":"Culley","given":"Theresa M."},{"family":"Hardiman","given":"Nicole A."},{"family":"Hawks","given":"Jennifer"}],"accessed":{"date-parts":[["2019",9,25]]},"issued":{"date-parts":[["2011",3,1]]}},"label":"page"}],"schema":"https://github.com/citation-style-language/schema/raw/master/csl-citation.json"} </w:instrText>
      </w:r>
      <w:r w:rsidR="00E51F2D" w:rsidRPr="00A9434B">
        <w:fldChar w:fldCharType="separate"/>
      </w:r>
      <w:r w:rsidR="00C71E80" w:rsidRPr="00A9434B">
        <w:t>(Culley et al., 2011)</w:t>
      </w:r>
      <w:r w:rsidR="00E51F2D" w:rsidRPr="00A9434B">
        <w:fldChar w:fldCharType="end"/>
      </w:r>
      <w:r w:rsidR="00F34A9B" w:rsidRPr="00A9434B">
        <w:t>. Second, selective breeding may unintentionally favour traits, such as rapid growth, rapid seed germination, drought tolerance</w:t>
      </w:r>
      <w:r w:rsidR="005D0083">
        <w:t xml:space="preserve"> and</w:t>
      </w:r>
      <w:r w:rsidR="00F34A9B" w:rsidRPr="00A9434B">
        <w:t xml:space="preserve"> disease resistance, </w:t>
      </w:r>
      <w:r w:rsidR="00453921" w:rsidRPr="00A9434B">
        <w:t xml:space="preserve">that </w:t>
      </w:r>
      <w:r w:rsidR="00F34A9B" w:rsidRPr="00A9434B">
        <w:t>can enhance spread and invasive potential. Third, ornamental horticulture may promote invasiveness through commerciali</w:t>
      </w:r>
      <w:r w:rsidR="00F32456" w:rsidRPr="00A9434B">
        <w:t>z</w:t>
      </w:r>
      <w:r w:rsidR="00F34A9B" w:rsidRPr="00A9434B">
        <w:t xml:space="preserve">ation of cultigens (plants </w:t>
      </w:r>
      <w:r w:rsidR="00DF1AF7" w:rsidRPr="00A9434B">
        <w:t xml:space="preserve">known only in cultivation; </w:t>
      </w:r>
      <w:r w:rsidR="00E51F2D" w:rsidRPr="00A9434B">
        <w:fldChar w:fldCharType="begin"/>
      </w:r>
      <w:r w:rsidR="0006613E">
        <w:instrText xml:space="preserve"> ADDIN ZOTERO_ITEM CSL_CITATION {"citationID":"aa990q4r0e","properties":{"formattedCitation":"\\uldash{(Spencer &amp; Cross, 2007)}","plainCitation":"(Spencer &amp; Cross, 2007)","dontUpdate":true,"noteIndex":0},"citationItems":[{"id":53406,"uris":["http://zotero.org/groups/2352922/items/N4YRGDXQ"],"itemData":{"id":53406,"type":"article-journal","container-title":"Taxon","issue":"3","note":"ISBN: 0040-0262\npublisher: Wiley Online Library","page":"938-940","title":"The international code of botanical nomenclature (ICBN), the international code of nomenclature for cultivated plants (ICNCP), and the cultigen","volume":"56","author":[{"family":"Spencer","given":"Roger D."},{"family":"Cross","given":"Robert G."}],"issued":{"date-parts":[["2007"]]}}}],"schema":"https://github.com/citation-style-language/schema/raw/master/csl-citation.json"} </w:instrText>
      </w:r>
      <w:r w:rsidR="00E51F2D" w:rsidRPr="00A9434B">
        <w:fldChar w:fldCharType="separate"/>
      </w:r>
      <w:r w:rsidR="00C017FC" w:rsidRPr="00A9434B">
        <w:t>Spencer &amp; Cross, 2007)</w:t>
      </w:r>
      <w:r w:rsidR="00E51F2D" w:rsidRPr="00A9434B">
        <w:fldChar w:fldCharType="end"/>
      </w:r>
      <w:r w:rsidR="00DF1AF7" w:rsidRPr="00A9434B">
        <w:t xml:space="preserve">. </w:t>
      </w:r>
      <w:r w:rsidR="00F34A9B" w:rsidRPr="00A9434B">
        <w:t>Although some may be self-sterile, different cultigens planted together may cross-pollinate and form viable fruit that is dispersed into natural areas. This has already been documented</w:t>
      </w:r>
      <w:r w:rsidRPr="00A9434B">
        <w:t>, for example,</w:t>
      </w:r>
      <w:r w:rsidR="00F34A9B" w:rsidRPr="00A9434B">
        <w:t xml:space="preserve"> in </w:t>
      </w:r>
      <w:r w:rsidR="00F34A9B" w:rsidRPr="00A9434B">
        <w:rPr>
          <w:i/>
          <w:iCs/>
        </w:rPr>
        <w:t>Pyrus calleryana</w:t>
      </w:r>
      <w:r w:rsidR="00F34A9B" w:rsidRPr="00A9434B">
        <w:t xml:space="preserve"> </w:t>
      </w:r>
      <w:r w:rsidR="00270E7E" w:rsidRPr="00A9434B">
        <w:lastRenderedPageBreak/>
        <w:t xml:space="preserve">(callery pear) </w:t>
      </w:r>
      <w:r w:rsidR="00F34A9B" w:rsidRPr="00A9434B">
        <w:t xml:space="preserve">and </w:t>
      </w:r>
      <w:r w:rsidR="00F34A9B" w:rsidRPr="00A9434B">
        <w:rPr>
          <w:i/>
          <w:iCs/>
        </w:rPr>
        <w:t>Lythrum salicaria</w:t>
      </w:r>
      <w:r w:rsidR="00F34A9B" w:rsidRPr="00A9434B">
        <w:t xml:space="preserve"> </w:t>
      </w:r>
      <w:r w:rsidR="00270E7E" w:rsidRPr="00A9434B">
        <w:rPr>
          <w:color w:val="000000"/>
        </w:rPr>
        <w:t xml:space="preserve">(purple loosestrife; </w:t>
      </w:r>
      <w:r w:rsidR="00F34A9B" w:rsidRPr="00673554">
        <w:rPr>
          <w:b/>
        </w:rPr>
        <w:fldChar w:fldCharType="begin">
          <w:fldData xml:space="preserve">PEVuZE5vdGU+PENpdGU+PEF1dGhvcj5DdWxsZXk8L0F1dGhvcj48WWVhcj4yMDA5PC9ZZWFyPjxS
ZWNOdW0+NjQ8L1JlY051bT48RGlzcGxheVRleHQ+KEN1bGxleSBhbmQgSGFyZGltYW4gMjAwNywg
Q3VsbGV5IGFuZCBIYXJkaW1hbiAyMDA5LCBDdWxsZXksIEhhcmRpbWFuIGV0IGFsLiAyMDExKTwv
RGlzcGxheVRleHQ+PHJlY29yZD48cmVjLW51bWJlcj4xNDg8L3JlYy1udW1iZXI+PGZvcmVpZ24t
a2V5cz48a2V5IGFwcD0iRU4iIGRiLWlkPSIwZDU1cGF4ZGN2d3BlYmU1NWQxdnJ6NW5lMnBhdHRw
cmFydGEiIHRpbWVzdGFtcD0iMTU5Nzk5MjczNCI+MTQ4PC9rZXk+PC9mb3JlaWduLWtleXM+PHJl
Zi10eXBlIG5hbWU9IkpvdXJuYWwgQXJ0aWNsZSI+MTc8L3JlZi10eXBlPjxjb250cmlidXRvcnM+
PGF1dGhvcnM+PGF1dGhvcj5DdWxsZXksIFRoZXJlc2EgTTwvYXV0aG9yPjxhdXRob3I+SGFyZGlt
YW4sIE5pY29sZSBBPC9hdXRob3I+PC9hdXRob3JzPjwvY29udHJpYnV0b3JzPjx0aXRsZXM+PHRp
dGxlPlRoZSByb2xlIG9mIGludHJhc3BlY2lmaWMgaHlicmlkaXphdGlvbiBpbiB0aGUgZXZvbHV0
aW9uIG9mIGludmFzaXZlbmVzczogYSBjYXNlIHN0dWR5IG9mIHRoZSBvcm5hbWVudGFsIHBlYXIg
dHJlZSBQeXJ1cyBjYWxsZXJ5YW5hPC90aXRsZT48c2Vjb25kYXJ5LXRpdGxlPkJpb2xvZ2ljYWwg
SW52YXNpb25zPC9zZWNvbmRhcnktdGl0bGU+PC90aXRsZXM+PHBlcmlvZGljYWw+PGZ1bGwtdGl0
bGU+QmlvbG9naWNhbCBJbnZhc2lvbnM8L2Z1bGwtdGl0bGU+PC9wZXJpb2RpY2FsPjxwYWdlcz4x
MTA3LTExMTk8L3BhZ2VzPjx2b2x1bWU+MTE8L3ZvbHVtZT48bnVtYmVyPjU8L251bWJlcj48ZGF0
ZXM+PHllYXI+MjAwOTwveWVhcj48L2RhdGVzPjxpc2JuPjEzODctMzU0NzwvaXNibj48dXJscz48
L3VybHM+PC9yZWNvcmQ+PC9DaXRlPjxDaXRlPjxBdXRob3I+Q3VsbGV5PC9BdXRob3I+PFllYXI+
MjAxMTwvWWVhcj48UmVjTnVtPjYyPC9SZWNOdW0+PHJlY29yZD48cmVjLW51bWJlcj4xNDc8L3Jl
Yy1udW1iZXI+PGZvcmVpZ24ta2V5cz48a2V5IGFwcD0iRU4iIGRiLWlkPSIwZDU1cGF4ZGN2d3Bl
YmU1NWQxdnJ6NW5lMnBhdHRwcmFydGEiIHRpbWVzdGFtcD0iMTU5Nzk5MjczNCI+MTQ3PC9rZXk+
PC9mb3JlaWduLWtleXM+PHJlZi10eXBlIG5hbWU9IkpvdXJuYWwgQXJ0aWNsZSI+MTc8L3JlZi10
eXBlPjxjb250cmlidXRvcnM+PGF1dGhvcnM+PGF1dGhvcj5DdWxsZXksIFRoZXJlc2EgTTwvYXV0
aG9yPjxhdXRob3I+SGFyZGltYW4sIE5pY29sZSBBPC9hdXRob3I+PGF1dGhvcj5IYXdrcywgSmVu
bmlmZXI8L2F1dGhvcj48L2F1dGhvcnM+PC9jb250cmlidXRvcnM+PHRpdGxlcz48dGl0bGU+VGhl
IHJvbGUgb2YgaG9ydGljdWx0dXJlIGluIHBsYW50IGludmFzaW9uczogaG93IGdyYWZ0aW5nIGlu
IGN1bHRpdmFycyBvZiBDYWxsZXJ5IHBlYXIgKFB5cnVzIGNhbGxlcnlhbmEpIGNhbiBmYWNpbGl0
YXRlIHNwcmVhZCBpbnRvIG5hdHVyYWwgYXJlYXM8L3RpdGxlPjxzZWNvbmRhcnktdGl0bGU+Qmlv
bG9naWNhbCBpbnZhc2lvbnM8L3NlY29uZGFyeS10aXRsZT48L3RpdGxlcz48cGVyaW9kaWNhbD48
ZnVsbC10aXRsZT5CaW9sb2dpY2FsIEludmFzaW9uczwvZnVsbC10aXRsZT48L3BlcmlvZGljYWw+
PHBhZ2VzPjczOS03NDY8L3BhZ2VzPjx2b2x1bWU+MTM8L3ZvbHVtZT48bnVtYmVyPjM8L251bWJl
cj48ZGF0ZXM+PHllYXI+MjAxMTwveWVhcj48L2RhdGVzPjxpc2JuPjEzODctMzU0NzwvaXNibj48
dXJscz48L3VybHM+PC9yZWNvcmQ+PC9DaXRlPjxDaXRlPjxBdXRob3I+Q3VsbGV5PC9BdXRob3I+
PFllYXI+MjAwNzwvWWVhcj48UmVjTnVtPjYzPC9SZWNOdW0+PHJlY29yZD48cmVjLW51bWJlcj4x
NDk8L3JlYy1udW1iZXI+PGZvcmVpZ24ta2V5cz48a2V5IGFwcD0iRU4iIGRiLWlkPSIwZDU1cGF4
ZGN2d3BlYmU1NWQxdnJ6NW5lMnBhdHRwcmFydGEiIHRpbWVzdGFtcD0iMTU5Nzk5MjczNCI+MTQ5
PC9rZXk+PC9mb3JlaWduLWtleXM+PHJlZi10eXBlIG5hbWU9IkpvdXJuYWwgQXJ0aWNsZSI+MTc8
L3JlZi10eXBlPjxjb250cmlidXRvcnM+PGF1dGhvcnM+PGF1dGhvcj5DdWxsZXksIFRoZXJlc2Eg
TTwvYXV0aG9yPjxhdXRob3I+SGFyZGltYW4sIE5pY29sZSBBPC9hdXRob3I+PC9hdXRob3JzPjwv
Y29udHJpYnV0b3JzPjx0aXRsZXM+PHRpdGxlPlRoZSBiZWdpbm5pbmcgb2YgYSBuZXcgaW52YXNp
dmUgcGxhbnQ6IGEgaGlzdG9yeSBvZiB0aGUgb3JuYW1lbnRhbCBDYWxsZXJ5IHBlYXIgaW4gdGhl
IFVuaXRlZCBTdGF0ZXM8L3RpdGxlPjxzZWNvbmRhcnktdGl0bGU+QmlvU2NpZW5jZTwvc2Vjb25k
YXJ5LXRpdGxlPjwvdGl0bGVzPjxwZXJpb2RpY2FsPjxmdWxsLXRpdGxlPkJpb1NjaWVuY2U8L2Z1
bGwtdGl0bGU+PC9wZXJpb2RpY2FsPjxwYWdlcz45NTYtOTY0PC9wYWdlcz48dm9sdW1lPjU3PC92
b2x1bWU+PG51bWJlcj4xMTwvbnVtYmVyPjxkYXRlcz48eWVhcj4yMDA3PC95ZWFyPjwvZGF0ZXM+
PGlzYm4+MTUyNS0zMjQ0PC9pc2JuPjx1cmxzPjwvdXJscz48L3JlY29yZD48L0NpdGU+PC9FbmRO
b3RlPgB=
</w:fldData>
        </w:fldChar>
      </w:r>
      <w:r w:rsidR="00F34A9B" w:rsidRPr="00673554">
        <w:rPr>
          <w:b/>
        </w:rPr>
        <w:instrText xml:space="preserve"> ADDIN EN.CITE </w:instrText>
      </w:r>
      <w:r w:rsidR="00F34A9B" w:rsidRPr="00673554">
        <w:rPr>
          <w:b/>
        </w:rPr>
        <w:fldChar w:fldCharType="begin">
          <w:fldData xml:space="preserve">PEVuZE5vdGU+PENpdGU+PEF1dGhvcj5DdWxsZXk8L0F1dGhvcj48WWVhcj4yMDA5PC9ZZWFyPjxS
ZWNOdW0+NjQ8L1JlY051bT48RGlzcGxheVRleHQ+KEN1bGxleSBhbmQgSGFyZGltYW4gMjAwNywg
Q3VsbGV5IGFuZCBIYXJkaW1hbiAyMDA5LCBDdWxsZXksIEhhcmRpbWFuIGV0IGFsLiAyMDExKTwv
RGlzcGxheVRleHQ+PHJlY29yZD48cmVjLW51bWJlcj4xNDg8L3JlYy1udW1iZXI+PGZvcmVpZ24t
a2V5cz48a2V5IGFwcD0iRU4iIGRiLWlkPSIwZDU1cGF4ZGN2d3BlYmU1NWQxdnJ6NW5lMnBhdHRw
cmFydGEiIHRpbWVzdGFtcD0iMTU5Nzk5MjczNCI+MTQ4PC9rZXk+PC9mb3JlaWduLWtleXM+PHJl
Zi10eXBlIG5hbWU9IkpvdXJuYWwgQXJ0aWNsZSI+MTc8L3JlZi10eXBlPjxjb250cmlidXRvcnM+
PGF1dGhvcnM+PGF1dGhvcj5DdWxsZXksIFRoZXJlc2EgTTwvYXV0aG9yPjxhdXRob3I+SGFyZGlt
YW4sIE5pY29sZSBBPC9hdXRob3I+PC9hdXRob3JzPjwvY29udHJpYnV0b3JzPjx0aXRsZXM+PHRp
dGxlPlRoZSByb2xlIG9mIGludHJhc3BlY2lmaWMgaHlicmlkaXphdGlvbiBpbiB0aGUgZXZvbHV0
aW9uIG9mIGludmFzaXZlbmVzczogYSBjYXNlIHN0dWR5IG9mIHRoZSBvcm5hbWVudGFsIHBlYXIg
dHJlZSBQeXJ1cyBjYWxsZXJ5YW5hPC90aXRsZT48c2Vjb25kYXJ5LXRpdGxlPkJpb2xvZ2ljYWwg
SW52YXNpb25zPC9zZWNvbmRhcnktdGl0bGU+PC90aXRsZXM+PHBlcmlvZGljYWw+PGZ1bGwtdGl0
bGU+QmlvbG9naWNhbCBJbnZhc2lvbnM8L2Z1bGwtdGl0bGU+PC9wZXJpb2RpY2FsPjxwYWdlcz4x
MTA3LTExMTk8L3BhZ2VzPjx2b2x1bWU+MTE8L3ZvbHVtZT48bnVtYmVyPjU8L251bWJlcj48ZGF0
ZXM+PHllYXI+MjAwOTwveWVhcj48L2RhdGVzPjxpc2JuPjEzODctMzU0NzwvaXNibj48dXJscz48
L3VybHM+PC9yZWNvcmQ+PC9DaXRlPjxDaXRlPjxBdXRob3I+Q3VsbGV5PC9BdXRob3I+PFllYXI+
MjAxMTwvWWVhcj48UmVjTnVtPjYyPC9SZWNOdW0+PHJlY29yZD48cmVjLW51bWJlcj4xNDc8L3Jl
Yy1udW1iZXI+PGZvcmVpZ24ta2V5cz48a2V5IGFwcD0iRU4iIGRiLWlkPSIwZDU1cGF4ZGN2d3Bl
YmU1NWQxdnJ6NW5lMnBhdHRwcmFydGEiIHRpbWVzdGFtcD0iMTU5Nzk5MjczNCI+MTQ3PC9rZXk+
PC9mb3JlaWduLWtleXM+PHJlZi10eXBlIG5hbWU9IkpvdXJuYWwgQXJ0aWNsZSI+MTc8L3JlZi10
eXBlPjxjb250cmlidXRvcnM+PGF1dGhvcnM+PGF1dGhvcj5DdWxsZXksIFRoZXJlc2EgTTwvYXV0
aG9yPjxhdXRob3I+SGFyZGltYW4sIE5pY29sZSBBPC9hdXRob3I+PGF1dGhvcj5IYXdrcywgSmVu
bmlmZXI8L2F1dGhvcj48L2F1dGhvcnM+PC9jb250cmlidXRvcnM+PHRpdGxlcz48dGl0bGU+VGhl
IHJvbGUgb2YgaG9ydGljdWx0dXJlIGluIHBsYW50IGludmFzaW9uczogaG93IGdyYWZ0aW5nIGlu
IGN1bHRpdmFycyBvZiBDYWxsZXJ5IHBlYXIgKFB5cnVzIGNhbGxlcnlhbmEpIGNhbiBmYWNpbGl0
YXRlIHNwcmVhZCBpbnRvIG5hdHVyYWwgYXJlYXM8L3RpdGxlPjxzZWNvbmRhcnktdGl0bGU+Qmlv
bG9naWNhbCBpbnZhc2lvbnM8L3NlY29uZGFyeS10aXRsZT48L3RpdGxlcz48cGVyaW9kaWNhbD48
ZnVsbC10aXRsZT5CaW9sb2dpY2FsIEludmFzaW9uczwvZnVsbC10aXRsZT48L3BlcmlvZGljYWw+
PHBhZ2VzPjczOS03NDY8L3BhZ2VzPjx2b2x1bWU+MTM8L3ZvbHVtZT48bnVtYmVyPjM8L251bWJl
cj48ZGF0ZXM+PHllYXI+MjAxMTwveWVhcj48L2RhdGVzPjxpc2JuPjEzODctMzU0NzwvaXNibj48
dXJscz48L3VybHM+PC9yZWNvcmQ+PC9DaXRlPjxDaXRlPjxBdXRob3I+Q3VsbGV5PC9BdXRob3I+
PFllYXI+MjAwNzwvWWVhcj48UmVjTnVtPjYzPC9SZWNOdW0+PHJlY29yZD48cmVjLW51bWJlcj4x
NDk8L3JlYy1udW1iZXI+PGZvcmVpZ24ta2V5cz48a2V5IGFwcD0iRU4iIGRiLWlkPSIwZDU1cGF4
ZGN2d3BlYmU1NWQxdnJ6NW5lMnBhdHRwcmFydGEiIHRpbWVzdGFtcD0iMTU5Nzk5MjczNCI+MTQ5
PC9rZXk+PC9mb3JlaWduLWtleXM+PHJlZi10eXBlIG5hbWU9IkpvdXJuYWwgQXJ0aWNsZSI+MTc8
L3JlZi10eXBlPjxjb250cmlidXRvcnM+PGF1dGhvcnM+PGF1dGhvcj5DdWxsZXksIFRoZXJlc2Eg
TTwvYXV0aG9yPjxhdXRob3I+SGFyZGltYW4sIE5pY29sZSBBPC9hdXRob3I+PC9hdXRob3JzPjwv
Y29udHJpYnV0b3JzPjx0aXRsZXM+PHRpdGxlPlRoZSBiZWdpbm5pbmcgb2YgYSBuZXcgaW52YXNp
dmUgcGxhbnQ6IGEgaGlzdG9yeSBvZiB0aGUgb3JuYW1lbnRhbCBDYWxsZXJ5IHBlYXIgaW4gdGhl
IFVuaXRlZCBTdGF0ZXM8L3RpdGxlPjxzZWNvbmRhcnktdGl0bGU+QmlvU2NpZW5jZTwvc2Vjb25k
YXJ5LXRpdGxlPjwvdGl0bGVzPjxwZXJpb2RpY2FsPjxmdWxsLXRpdGxlPkJpb1NjaWVuY2U8L2Z1
bGwtdGl0bGU+PC9wZXJpb2RpY2FsPjxwYWdlcz45NTYtOTY0PC9wYWdlcz48dm9sdW1lPjU3PC92
b2x1bWU+PG51bWJlcj4xMTwvbnVtYmVyPjxkYXRlcz48eWVhcj4yMDA3PC95ZWFyPjwvZGF0ZXM+
PGlzYm4+MTUyNS0zMjQ0PC9pc2JuPjx1cmxzPjwvdXJscz48L3JlY29yZD48L0NpdGU+PC9FbmRO
b3RlPgB=
</w:fldData>
        </w:fldChar>
      </w:r>
      <w:r w:rsidR="00F34A9B" w:rsidRPr="00673554">
        <w:rPr>
          <w:b/>
        </w:rPr>
        <w:instrText xml:space="preserve"> ADDIN EN.CITE.DATA </w:instrText>
      </w:r>
      <w:r w:rsidR="00F34A9B" w:rsidRPr="00673554">
        <w:rPr>
          <w:b/>
        </w:rPr>
      </w:r>
      <w:r w:rsidR="00F34A9B" w:rsidRPr="00673554">
        <w:rPr>
          <w:b/>
        </w:rPr>
        <w:fldChar w:fldCharType="end"/>
      </w:r>
      <w:r w:rsidR="00F34A9B" w:rsidRPr="00673554">
        <w:rPr>
          <w:b/>
        </w:rPr>
      </w:r>
      <w:r w:rsidR="00F34A9B" w:rsidRPr="00673554">
        <w:rPr>
          <w:b/>
        </w:rPr>
        <w:fldChar w:fldCharType="separate"/>
      </w:r>
      <w:r w:rsidR="004155A5" w:rsidRPr="00673554">
        <w:rPr>
          <w:b/>
          <w:iCs/>
        </w:rPr>
        <w:fldChar w:fldCharType="begin"/>
      </w:r>
      <w:r w:rsidR="004155A5" w:rsidRPr="00673554">
        <w:rPr>
          <w:b/>
          <w:iCs/>
        </w:rPr>
        <w:instrText xml:space="preserve"> REF _Ref104896691 \h  \* MERGEFORMAT </w:instrText>
      </w:r>
      <w:r w:rsidR="004155A5" w:rsidRPr="00673554">
        <w:rPr>
          <w:b/>
          <w:iCs/>
        </w:rPr>
      </w:r>
      <w:r w:rsidR="004155A5" w:rsidRPr="00673554">
        <w:rPr>
          <w:b/>
          <w:iCs/>
        </w:rPr>
        <w:fldChar w:fldCharType="separate"/>
      </w:r>
      <w:r w:rsidR="0011368C" w:rsidRPr="00673554">
        <w:rPr>
          <w:b/>
          <w:iCs/>
        </w:rPr>
        <w:t>Figure 6.12</w:t>
      </w:r>
      <w:r w:rsidR="004155A5" w:rsidRPr="00673554">
        <w:rPr>
          <w:b/>
          <w:iCs/>
        </w:rPr>
        <w:fldChar w:fldCharType="end"/>
      </w:r>
      <w:r w:rsidR="00F34A9B" w:rsidRPr="00673554">
        <w:rPr>
          <w:b/>
        </w:rPr>
        <w:fldChar w:fldCharType="end"/>
      </w:r>
      <w:r w:rsidR="00E51F2D" w:rsidRPr="00A9434B">
        <w:t>;</w:t>
      </w:r>
      <w:r w:rsidR="00F34A9B" w:rsidRPr="00A9434B">
        <w:t xml:space="preserve"> </w:t>
      </w:r>
      <w:r w:rsidR="00E51F2D" w:rsidRPr="00A9434B">
        <w:fldChar w:fldCharType="begin"/>
      </w:r>
      <w:r w:rsidR="0006613E">
        <w:instrText xml:space="preserve"> ADDIN ZOTERO_ITEM CSL_CITATION {"citationID":"a2h15ml5rl2","properties":{"formattedCitation":"\\uldash{(Culley et al., 2011; Culley &amp; Hardiman, 2007, 2009)}","plainCitation":"(Culley et al., 2011; Culley &amp; Hardiman, 2007, 2009)","dontUpdate":true,"noteIndex":0},"citationItems":[{"id":25092,"uris":["http://zotero.org/groups/2352922/items/2UX5HIAD"],"itemData":{"id":25092,"type":"article-journal","abstract":"Although few plant species escape from cultivation, some horticultural practices used with woody ornamentals may enhance their invasion potential into natural areas. One such procedure is grafting, in which individuals are propagated for commercial sale by joining a clone of a desired cultivar (the scion) with rootstock obtained from a different individual. If the rootstock can sprout and flower, it can potentially cross-pollinate the scion, leading to fruit production in a self-incompatible species. The effect of grafting on invasion success was examined in the Callery pear, Pyrus calleryana, one of the most popular landscaping trees in the United States. Using nine microsatellite markers, scion and rootstock were genotyped for 57 cultivated trees to characterize rootstock genotypes and the rootstock gene pool. Invasive populations were then sampled to determine if rootstock genotypes have contributed to their formation. In no case were scion and rootstock genotypes identical for any given cultivated tree and rootstock genotypes were genetically variable, although some cloned rootstock genotypes were detected. Rootstock genotypes were also observed in invasive populations, with up to 17% of wild individuals having at least one rootstock parent. These results indicate that rootstock can contribute to the formation of invasive populations of the Callery pear through cross-pollination with other available genotypes. Future investigations of woody ornamentals propagated by grafting should consider this horticultural practice as a potential contributor to invasiveness. Furthermore, plant breeders are encouraged to assess the ability of rootstock to sprout as well as its cross-compatibility with the scion or other cultivar genotypes growing nearby.","container-title":"Biological Invasions","DOI":"10.1007/s10530-010-9864-y","ISSN":"1573-1464","issue":"3","journalAbbreviation":"Biol Invasions","language":"en","page":"739-746","source":"Springer Link","title":"The role of horticulture in plant invasions: how grafting in cultivars of Callery pear (&lt;i&gt;Pyrus calleryana&lt;/i&gt;) can facilitate spread into natural areas","title-short":"The role of horticulture in plant invasions","URL":"https://doi.org/10.1007/s10530-010-9864-y","volume":"13","author":[{"family":"Culley","given":"Theresa M."},{"family":"Hardiman","given":"Nicole A."},{"family":"Hawks","given":"Jennifer"}],"accessed":{"date-parts":[["2019",9,25]]},"issued":{"date-parts":[["2011",3,1]]}}},{"id":24049,"uris":["http://zotero.org/groups/2352922/items/PRPTQDLD"],"itemData":{"id":24049,"type":"article-journal","abstract":"Abstract.  The Callery pear (Pyrus calleryana Dcne. [Rosales: Rosaceae]), an ornamental tree from China, has begun appearing in disturbed areas throughout the U","container-title":"BioScience","DOI":"10.1641/B571108","ISSN":"0006-3568","issue":"11","journalAbbreviation":"BioScience","language":"en","page":"956-964","source":"academic.oup.com","title":"The Beginning of a New Invasive Plant: A History of the Ornamental Callery Pear in the United States","title-short":"The Beginning of a New Invasive Plant","URL":"https://academic.oup.com/bioscience/article/57/11/956/234351","volume":"57","author":[{"family":"Culley","given":"Theresa M."},{"family":"Hardiman","given":"Nicole A."}],"accessed":{"date-parts":[["2019",9,25]]},"issued":{"date-parts":[["2007",12,1]]}},"label":"page"},{"id":11421,"uris":["http://zotero.org/groups/2352922/items/98I82BGT"],"itemData":{"id":11421,"type":"article-journal","abstract":"Hybridization between genetically distinct populations of a single species can serve as an important stimulus for the evolution of invasiveness. Such intraspecific hybridization was examined in Pyrus calleryana, a Chinese tree species commonly planted as an ornamental in residential and commercial areas throughout the United States. This self-incompatible species is now escaping cultivation and appearing in disturbed habitats, where it has the potential to form dense thickets. Using genetic techniques incorporating nine microsatellite markers, we show that abundant fruit set on cultivated trees as well as the subsequent appearance of wild individuals result from crossing between genetically distinct horticultural cultivars of the same species that originated from different areas of China. We conclude that intraspecific hybridization can be a potent but little recognized process impacting the evolution of invasiveness in certain species.","container-title":"Biological Invasions","DOI":"10.1007/s10530-008-9386-z","ISSN":"1573-1464","issue":"5","journalAbbreviation":"Biol Invasions","language":"en","page":"1107-1119","source":"Springer Link","title":"The role of intraspecific hybridization in the evolution of invasiveness: a case study of the ornamental pear tree &lt;i&gt;Pyrus calleryana&lt;/i&gt;","title-short":"The role of intraspecific hybridization in the evolution of invasiveness","URL":"https://doi.org/10.1007/s10530-008-9386-z","volume":"11","author":[{"family":"Culley","given":"Theresa M."},{"family":"Hardiman","given":"Nicole A."}],"accessed":{"date-parts":[["2019",9,24]]},"issued":{"date-parts":[["2009",5,1]]}},"label":"page"}],"schema":"https://github.com/citation-style-language/schema/raw/master/csl-citation.json"} </w:instrText>
      </w:r>
      <w:r w:rsidR="00E51F2D" w:rsidRPr="00A9434B">
        <w:fldChar w:fldCharType="separate"/>
      </w:r>
      <w:r w:rsidR="00C017FC" w:rsidRPr="00A9434B">
        <w:t>Culley et al., 2011; Culley &amp; Hardiman, 2007, 2009)</w:t>
      </w:r>
      <w:r w:rsidR="00E51F2D" w:rsidRPr="00A9434B">
        <w:fldChar w:fldCharType="end"/>
      </w:r>
      <w:r w:rsidR="00DA2081" w:rsidRPr="00A9434B">
        <w:t>.</w:t>
      </w:r>
    </w:p>
    <w:p w14:paraId="019BBF21" w14:textId="4843D296" w:rsidR="00DA2081" w:rsidRPr="00A9434B" w:rsidRDefault="004842CA" w:rsidP="006E13B2">
      <w:pPr>
        <w:pBdr>
          <w:top w:val="single" w:sz="4" w:space="1" w:color="auto"/>
          <w:left w:val="single" w:sz="4" w:space="4" w:color="auto"/>
          <w:bottom w:val="single" w:sz="4" w:space="1" w:color="auto"/>
          <w:right w:val="single" w:sz="4" w:space="4" w:color="auto"/>
        </w:pBdr>
        <w:shd w:val="clear" w:color="auto" w:fill="E7E6E6" w:themeFill="background2"/>
      </w:pPr>
      <w:r w:rsidRPr="00A9434B">
        <w:t xml:space="preserve">To </w:t>
      </w:r>
      <w:r w:rsidR="00DA2081" w:rsidRPr="00A9434B">
        <w:t>prevent further plant invasions resulting from ornamental horticulture</w:t>
      </w:r>
      <w:r w:rsidRPr="00A9434B">
        <w:t>, countries could</w:t>
      </w:r>
      <w:r w:rsidR="00DA2081" w:rsidRPr="00A9434B">
        <w:t xml:space="preserve"> commit to promote the inclusion of specific guidelines for the ornamental horticulture sector and supply chain, within the framework of national strategies on biological invasions and within related national policy (for example those relevant to </w:t>
      </w:r>
      <w:r w:rsidR="00273868">
        <w:t>b</w:t>
      </w:r>
      <w:r w:rsidR="00DA2081" w:rsidRPr="00A9434B">
        <w:t xml:space="preserve">iodiversity, SDGs, </w:t>
      </w:r>
      <w:r w:rsidR="00273868">
        <w:t>s</w:t>
      </w:r>
      <w:r w:rsidR="00DA2081" w:rsidRPr="00A9434B">
        <w:t xml:space="preserve">ustainable </w:t>
      </w:r>
      <w:r w:rsidR="00273868">
        <w:t>a</w:t>
      </w:r>
      <w:r w:rsidR="00DA2081" w:rsidRPr="00A9434B">
        <w:t xml:space="preserve">griculture and </w:t>
      </w:r>
      <w:r w:rsidR="00273868">
        <w:t>f</w:t>
      </w:r>
      <w:r w:rsidR="00DA2081" w:rsidRPr="00A9434B">
        <w:t xml:space="preserve">orestry). As discussed by </w:t>
      </w:r>
      <w:r w:rsidR="00C017FC" w:rsidRPr="00A9434B">
        <w:t xml:space="preserve">Hulme et al. </w:t>
      </w:r>
      <w:r w:rsidR="00DA2081" w:rsidRPr="00A9434B">
        <w:fldChar w:fldCharType="begin">
          <w:fldData xml:space="preserve">PEVuZE5vdGU+PENpdGU+PEF1dGhvcj5IdWxtZTwvQXV0aG9yPjxZZWFyPjIwMTg8L1llYXI+PFJl
Y051bT4xMDY8L1JlY051bT48RGlzcGxheVRleHQ+KEh1bG1lLCBCcnVuZHUgZXQgYWwuIDIwMTgp
PC9EaXNwbGF5VGV4dD48cmVjb3JkPjxyZWMtbnVtYmVyPjEwNjwvcmVjLW51bWJlcj48Zm9yZWln
bi1rZXlzPjxrZXkgYXBwPSJFTiIgZGItaWQ9IjJmcHMycnB3Y3B0d2F4ZWR6OW9wcnp2bWF3Znhl
ZjlwZnBhMiIgdGltZXN0YW1wPSIxNjIxNDA5ODE0Ij4xMDY8L2tleT48L2ZvcmVpZ24ta2V5cz48
cmVmLXR5cGUgbmFtZT0iSm91cm5hbCBBcnRpY2xlIj4xNzwvcmVmLXR5cGU+PGNvbnRyaWJ1dG9y
cz48YXV0aG9ycz48YXV0aG9yPkh1bG1lLCBQLiBFLjwvYXV0aG9yPjxhdXRob3I+QnJ1bmR1LCBH
LjwvYXV0aG9yPjxhdXRob3I+Q2FyYm9uaSwgTS48L2F1dGhvcj48YXV0aG9yPkRlaG5lbi1TY2ht
dXR6LCBLLjwvYXV0aG9yPjxhdXRob3I+RHVsbGluZ2VyLCBTLjwvYXV0aG9yPjxhdXRob3I+RWFy
bHksIFIuPC9hdXRob3I+PGF1dGhvcj5Fc3NsLCBGLjwvYXV0aG9yPjxhdXRob3I+R29uemFsZXot
TW9yZW5vLCBQLjwvYXV0aG9yPjxhdXRob3I+R3Jvb20sIFEuIEouPC9hdXRob3I+PGF1dGhvcj5L
dWVmZmVyLCBDLjwvYXV0aG9yPjxhdXRob3I+S3VobiwgSS48L2F1dGhvcj48YXV0aG9yPk1hdXJl
bCwgTi48L2F1dGhvcj48YXV0aG9yPk5vdm9hLCBBLjwvYXV0aG9yPjxhdXRob3I+UGVyZ2wsIEou
PC9hdXRob3I+PGF1dGhvcj5QeXNlaywgUC48L2F1dGhvcj48YXV0aG9yPlNlZWJlbnMsIEguPC9h
dXRob3I+PGF1dGhvcj5UYW5uZXIsIFIuPC9hdXRob3I+PGF1dGhvcj5Ub3V6YSwgSi4gTS48L2F1
dGhvcj48YXV0aG9yPnZhbiBLbGV1bmVuLCBNLjwvYXV0aG9yPjxhdXRob3I+VmVyYnJ1Z2dlLCBM
LiBOLiBILjwvYXV0aG9yPjwvYXV0aG9ycz48L2NvbnRyaWJ1dG9ycz48YXV0aC1hZGRyZXNzPkxp
bmNvbG4gVW5pdiwgQmlvcHJvdGVjdCBSZXMgQ3RyLCBDYW50ZXJidXJ5LCBOZXcgWmVhbGFuZCYj
eEQ7VW5pdiBTYXNzYXJpLCBEZXB0IEFnciwgU2Fzc2FyaSwgSXRhbHkmI3hEO1VuaXYgR3Jlbm9i
bGUgQWxwZXMsIExhYiBFY29sIEFscGluZSBMRUNBLCBHcmVub2JsZSwgRnJhbmNlJiN4RDtDTlJT
LCBMYWIgRWNvbCBBbHBpbmUgTEVDQSwgR3Jlbm9ibGUsIEZyYW5jZSYjeEQ7Q292ZW50cnkgVW5p
diwgQ3RyIEFncm9lY29sIFdhdGVyICZhbXA7IFJlc2lsaWVuY2UsIENvdmVudHJ5LCBXIE1pZGxh
bmRzLCBFbmdsYW5kJiN4RDtVbml2IFZpZW5uYSwgRGVwdCBCb3QgJmFtcDsgQmlvZGl2ZXJzIFJl
cywgVmllbm5hLCBBdXN0cmlhJiN4RDtVbml2IEV4ZXRlciwgQ3RyIEVjb2wgJmFtcDsgQ29uc2Vy
dmF0LCBQZW5yeW4gQ2FtcHVzLCBFeGV0ZXIsIENvcm53YWxsLCBFbmdsYW5kJiN4RDtDQUJJLCBF
Z2hhbSwgU3VycmV5LCBFbmdsYW5kJiN4RDtCb3QgR2FyZGVuIE1laXNlLCBNZWlzZSwgQmVsZ2l1
bSYjeEQ7RVRILCBEZXB0IEVudmlyb25tIFN5c3QgU2NpLCBJbnN0IEludGVncmF0IEJpb2wsIFp1
cmljaCwgU3dpdHplcmxhbmQmI3hEO1N0ZWxsZW5ib3NjaCBVbml2LCBEZXB0IEJvdCAmYW1wOyBa
b29sLCBDdHIgSW52YXMgQmlvbCwgTWF0aWVsYW5kLCBTb3V0aCBBZnJpY2EmI3hEO1VGWiwgSGVs
bWhvbHR6IEN0ciBFbnZpcm9ubSBSZXMsIERlcHQgQ29tbXVuaXR5IEVjb2wsIEhhbGxlLCBHZXJt
YW55JiN4RDtNYXJ0aW4gTHV0aGVyIFVuaXYgSGFsbGUgV2l0dGVuYmVyZywgSGFsbGUsIEdlcm1h
bnkmI3hEO1VuaXYgS29uc3RhbnosIERlcHQgQmlvbCwgRWNvbCwgQ29uc3RhbmNlLCBHZXJtYW55
JiN4RDtLaXJzdGVuYm9zY2ggUmVzIEN0ciwgU291dGggQWZyaWNhbiBOYXRsIEJpb2RpdmVycyBJ
bnN0LCBJbnZhcyBTcGVjaWVzIFByb2dyYW1tZSwgQ2xhcmVtb250LCBTb3V0aCBBZnJpY2EmI3hE
O0N6ZWNoIEFjYWQgU2NpLCBEZXB0IEludmFzIEVjb2wsIEluc3QgQm90LCBQcnVob25pY2UsIEN6
ZWNoIFJlcHVibGljJiN4RDtDaGFybGVzIFVuaXYgUHJhZ3VlLCBGYWMgU2NpLCBEZXB0IEVjb2ws
IFByYWd1ZSwgQ3plY2ggUmVwdWJsaWMmI3hEO1NlbmNrZW5iZXJnIEJpb2RpdmVycyAmYW1wOyBD
bGltYXRlIFJlcyBDdHIsIEZyYW5rZnVydCwgR2VybWFueSYjeEQ7RXVyb3BlYW4gJmFtcDsgTWVk
aXRlcnJhbmVhbiBQbGFudCBQcm90ZWN0IE9yZywgUGFyaXMsIEZyYW5jZSYjeEQ7VW5pdiBZb3Jr
LCBFbnZpcm9ubSBEZXB0LCBZb3JrLCBOIFlvcmtzaGlyZSwgRW5nbGFuZCYjeEQ7UmFkYm91ZCBV
bml2IE5pam1lZ2VuLCBJbnN0IFNjaSBJbm5vdmF0ICZhbXA7IFNvYywgTmlqbWVnZW4sIE5ldGhl
cmxhbmRzJiN4RDtOZXRoZXJsYW5kcyBDdHIgRXhwZXJ0aXNlIEV4b3QgU3BlY2llcywgTmlqbWVn
ZW4sIE5ldGhlcmxhbmRzPC9hdXRoLWFkZHJlc3M+PHRpdGxlcz48dGl0bGU+SW50ZWdyYXRpbmcg
aW52YXNpdmUgc3BlY2llcyBwb2xpY2llcyBhY3Jvc3Mgb3JuYW1lbnRhbCBob3J0aWN1bHR1cmUg
c3VwcGx5IGNoYWlucyB0byBwcmV2ZW50IHBsYW50IGludmFzaW9uczwvdGl0bGU+PHNlY29uZGFy
eS10aXRsZT5Kb3VybmFsIG9mIEFwcGxpZWQgRWNvbG9neTwvc2Vjb25kYXJ5LXRpdGxlPjxhbHQt
dGl0bGU+SiBBcHBsIEVjb2w8L2FsdC10aXRsZT48L3RpdGxlcz48cGVyaW9kaWNhbD48ZnVsbC10
aXRsZT5Kb3VybmFsIG9mIEFwcGxpZWQgRWNvbG9neTwvZnVsbC10aXRsZT48YWJici0xPkogQXBw
bCBFY29sPC9hYmJyLTE+PC9wZXJpb2RpY2FsPjxhbHQtcGVyaW9kaWNhbD48ZnVsbC10aXRsZT5K
b3VybmFsIG9mIEFwcGxpZWQgRWNvbG9neTwvZnVsbC10aXRsZT48YWJici0xPkogQXBwbCBFY29s
PC9hYmJyLTE+PC9hbHQtcGVyaW9kaWNhbD48cGFnZXM+OTItOTg8L3BhZ2VzPjx2b2x1bWU+NTU8
L3ZvbHVtZT48bnVtYmVyPjE8L251bWJlcj48a2V5d29yZHM+PGtleXdvcmQ+YmlvbG9naWNhbCBp
bnZhc2lvbnM8L2tleXdvcmQ+PGtleXdvcmQ+Ymlvc2VjdXJpdHk8L2tleXdvcmQ+PGtleXdvcmQ+
ZXhvdGljPC9rZXl3b3JkPjxrZXl3b3JkPmdhcmRlbmluZzwva2V5d29yZD48a2V5d29yZD5pbnZh
c2l2ZSBzcGVjaWVzPC9rZXl3b3JkPjxrZXl3b3JkPmxlZ2lzbGF0aW9uPC9rZXl3b3JkPjxrZXl3
b3JkPm5vbi1uYXRpdmU8L2tleXdvcmQ+PGtleXdvcmQ+bnVyc2VyaWVzPC9rZXl3b3JkPjxrZXl3
b3JkPnRyYWRlPC9rZXl3b3JkPjxrZXl3b3JkPndlZWQ8L2tleXdvcmQ+PGtleXdvcmQ+d2VlZCBy
aXNrLWFzc2Vzc21lbnQ8L2tleXdvcmQ+PGtleXdvcmQ+dW5pdGVkLXN0YXRlczwva2V5d29yZD48
a2V5d29yZD5pbmR1c3RyeSBzdXJ2ZXk8L2tleXdvcmQ+PGtleXdvcmQ+aW50cm9kdWN0aW9uczwv
a2V5d29yZD48a2V5d29yZD5uYXR1cmFsaXphdGlvbjwva2V5d29yZD48a2V5d29yZD5tYW5hZ2Vt
ZW50PC9rZXl3b3JkPjxrZXl3b3JkPmF1c3RyYWxpYTwva2V5d29yZD48a2V5d29yZD5lZHVjYXRp
b248L2tleXdvcmQ+PGtleXdvcmQ+cGF0dGVybnM8L2tleXdvcmQ+PGtleXdvcmQ+bnVyc2VyeTwv
a2V5d29yZD48L2tleXdvcmRzPjxkYXRlcz48eWVhcj4yMDE4PC95ZWFyPjxwdWItZGF0ZXM+PGRh
dGU+SmFuPC9kYXRlPjwvcHViLWRhdGVzPjwvZGF0ZXM+PGlzYm4+MDAyMS04OTAxPC9pc2JuPjxh
Y2Nlc3Npb24tbnVtPldPUzowMDA0MTc3NjQ2MDAwMTA8L2FjY2Vzc2lvbi1udW0+PHVybHM+PHJl
bGF0ZWQtdXJscz48dXJsPiZsdDtHbyB0byBJU0kmZ3Q7Oi8vV09TOjAwMDQxNzc2NDYwMDAxMDwv
dXJsPjwvcmVsYXRlZC11cmxzPjwvdXJscz48ZWxlY3Ryb25pYy1yZXNvdXJjZS1udW0+MTAuMTEx
MS8xMzY1LTI2NjQuMTI5NTM8L2VsZWN0cm9uaWMtcmVzb3VyY2UtbnVtPjxsYW5ndWFnZT5Fbmds
aXNoPC9sYW5ndWFnZT48L3JlY29yZD48L0NpdGU+PC9FbmROb3RlPn==
</w:fldData>
        </w:fldChar>
      </w:r>
      <w:r w:rsidR="00DA2081" w:rsidRPr="00A9434B">
        <w:instrText xml:space="preserve"> ADDIN EN.CITE </w:instrText>
      </w:r>
      <w:r w:rsidR="00DA2081" w:rsidRPr="00A9434B">
        <w:fldChar w:fldCharType="begin">
          <w:fldData xml:space="preserve">PEVuZE5vdGU+PENpdGU+PEF1dGhvcj5IdWxtZTwvQXV0aG9yPjxZZWFyPjIwMTg8L1llYXI+PFJl
Y051bT4xMDY8L1JlY051bT48RGlzcGxheVRleHQ+KEh1bG1lLCBCcnVuZHUgZXQgYWwuIDIwMTgp
PC9EaXNwbGF5VGV4dD48cmVjb3JkPjxyZWMtbnVtYmVyPjEwNjwvcmVjLW51bWJlcj48Zm9yZWln
bi1rZXlzPjxrZXkgYXBwPSJFTiIgZGItaWQ9IjJmcHMycnB3Y3B0d2F4ZWR6OW9wcnp2bWF3Znhl
ZjlwZnBhMiIgdGltZXN0YW1wPSIxNjIxNDA5ODE0Ij4xMDY8L2tleT48L2ZvcmVpZ24ta2V5cz48
cmVmLXR5cGUgbmFtZT0iSm91cm5hbCBBcnRpY2xlIj4xNzwvcmVmLXR5cGU+PGNvbnRyaWJ1dG9y
cz48YXV0aG9ycz48YXV0aG9yPkh1bG1lLCBQLiBFLjwvYXV0aG9yPjxhdXRob3I+QnJ1bmR1LCBH
LjwvYXV0aG9yPjxhdXRob3I+Q2FyYm9uaSwgTS48L2F1dGhvcj48YXV0aG9yPkRlaG5lbi1TY2ht
dXR6LCBLLjwvYXV0aG9yPjxhdXRob3I+RHVsbGluZ2VyLCBTLjwvYXV0aG9yPjxhdXRob3I+RWFy
bHksIFIuPC9hdXRob3I+PGF1dGhvcj5Fc3NsLCBGLjwvYXV0aG9yPjxhdXRob3I+R29uemFsZXot
TW9yZW5vLCBQLjwvYXV0aG9yPjxhdXRob3I+R3Jvb20sIFEuIEouPC9hdXRob3I+PGF1dGhvcj5L
dWVmZmVyLCBDLjwvYXV0aG9yPjxhdXRob3I+S3VobiwgSS48L2F1dGhvcj48YXV0aG9yPk1hdXJl
bCwgTi48L2F1dGhvcj48YXV0aG9yPk5vdm9hLCBBLjwvYXV0aG9yPjxhdXRob3I+UGVyZ2wsIEou
PC9hdXRob3I+PGF1dGhvcj5QeXNlaywgUC48L2F1dGhvcj48YXV0aG9yPlNlZWJlbnMsIEguPC9h
dXRob3I+PGF1dGhvcj5UYW5uZXIsIFIuPC9hdXRob3I+PGF1dGhvcj5Ub3V6YSwgSi4gTS48L2F1
dGhvcj48YXV0aG9yPnZhbiBLbGV1bmVuLCBNLjwvYXV0aG9yPjxhdXRob3I+VmVyYnJ1Z2dlLCBM
LiBOLiBILjwvYXV0aG9yPjwvYXV0aG9ycz48L2NvbnRyaWJ1dG9ycz48YXV0aC1hZGRyZXNzPkxp
bmNvbG4gVW5pdiwgQmlvcHJvdGVjdCBSZXMgQ3RyLCBDYW50ZXJidXJ5LCBOZXcgWmVhbGFuZCYj
eEQ7VW5pdiBTYXNzYXJpLCBEZXB0IEFnciwgU2Fzc2FyaSwgSXRhbHkmI3hEO1VuaXYgR3Jlbm9i
bGUgQWxwZXMsIExhYiBFY29sIEFscGluZSBMRUNBLCBHcmVub2JsZSwgRnJhbmNlJiN4RDtDTlJT
LCBMYWIgRWNvbCBBbHBpbmUgTEVDQSwgR3Jlbm9ibGUsIEZyYW5jZSYjeEQ7Q292ZW50cnkgVW5p
diwgQ3RyIEFncm9lY29sIFdhdGVyICZhbXA7IFJlc2lsaWVuY2UsIENvdmVudHJ5LCBXIE1pZGxh
bmRzLCBFbmdsYW5kJiN4RDtVbml2IFZpZW5uYSwgRGVwdCBCb3QgJmFtcDsgQmlvZGl2ZXJzIFJl
cywgVmllbm5hLCBBdXN0cmlhJiN4RDtVbml2IEV4ZXRlciwgQ3RyIEVjb2wgJmFtcDsgQ29uc2Vy
dmF0LCBQZW5yeW4gQ2FtcHVzLCBFeGV0ZXIsIENvcm53YWxsLCBFbmdsYW5kJiN4RDtDQUJJLCBF
Z2hhbSwgU3VycmV5LCBFbmdsYW5kJiN4RDtCb3QgR2FyZGVuIE1laXNlLCBNZWlzZSwgQmVsZ2l1
bSYjeEQ7RVRILCBEZXB0IEVudmlyb25tIFN5c3QgU2NpLCBJbnN0IEludGVncmF0IEJpb2wsIFp1
cmljaCwgU3dpdHplcmxhbmQmI3hEO1N0ZWxsZW5ib3NjaCBVbml2LCBEZXB0IEJvdCAmYW1wOyBa
b29sLCBDdHIgSW52YXMgQmlvbCwgTWF0aWVsYW5kLCBTb3V0aCBBZnJpY2EmI3hEO1VGWiwgSGVs
bWhvbHR6IEN0ciBFbnZpcm9ubSBSZXMsIERlcHQgQ29tbXVuaXR5IEVjb2wsIEhhbGxlLCBHZXJt
YW55JiN4RDtNYXJ0aW4gTHV0aGVyIFVuaXYgSGFsbGUgV2l0dGVuYmVyZywgSGFsbGUsIEdlcm1h
bnkmI3hEO1VuaXYgS29uc3RhbnosIERlcHQgQmlvbCwgRWNvbCwgQ29uc3RhbmNlLCBHZXJtYW55
JiN4RDtLaXJzdGVuYm9zY2ggUmVzIEN0ciwgU291dGggQWZyaWNhbiBOYXRsIEJpb2RpdmVycyBJ
bnN0LCBJbnZhcyBTcGVjaWVzIFByb2dyYW1tZSwgQ2xhcmVtb250LCBTb3V0aCBBZnJpY2EmI3hE
O0N6ZWNoIEFjYWQgU2NpLCBEZXB0IEludmFzIEVjb2wsIEluc3QgQm90LCBQcnVob25pY2UsIEN6
ZWNoIFJlcHVibGljJiN4RDtDaGFybGVzIFVuaXYgUHJhZ3VlLCBGYWMgU2NpLCBEZXB0IEVjb2ws
IFByYWd1ZSwgQ3plY2ggUmVwdWJsaWMmI3hEO1NlbmNrZW5iZXJnIEJpb2RpdmVycyAmYW1wOyBD
bGltYXRlIFJlcyBDdHIsIEZyYW5rZnVydCwgR2VybWFueSYjeEQ7RXVyb3BlYW4gJmFtcDsgTWVk
aXRlcnJhbmVhbiBQbGFudCBQcm90ZWN0IE9yZywgUGFyaXMsIEZyYW5jZSYjeEQ7VW5pdiBZb3Jr
LCBFbnZpcm9ubSBEZXB0LCBZb3JrLCBOIFlvcmtzaGlyZSwgRW5nbGFuZCYjeEQ7UmFkYm91ZCBV
bml2IE5pam1lZ2VuLCBJbnN0IFNjaSBJbm5vdmF0ICZhbXA7IFNvYywgTmlqbWVnZW4sIE5ldGhl
cmxhbmRzJiN4RDtOZXRoZXJsYW5kcyBDdHIgRXhwZXJ0aXNlIEV4b3QgU3BlY2llcywgTmlqbWVn
ZW4sIE5ldGhlcmxhbmRzPC9hdXRoLWFkZHJlc3M+PHRpdGxlcz48dGl0bGU+SW50ZWdyYXRpbmcg
aW52YXNpdmUgc3BlY2llcyBwb2xpY2llcyBhY3Jvc3Mgb3JuYW1lbnRhbCBob3J0aWN1bHR1cmUg
c3VwcGx5IGNoYWlucyB0byBwcmV2ZW50IHBsYW50IGludmFzaW9uczwvdGl0bGU+PHNlY29uZGFy
eS10aXRsZT5Kb3VybmFsIG9mIEFwcGxpZWQgRWNvbG9neTwvc2Vjb25kYXJ5LXRpdGxlPjxhbHQt
dGl0bGU+SiBBcHBsIEVjb2w8L2FsdC10aXRsZT48L3RpdGxlcz48cGVyaW9kaWNhbD48ZnVsbC10
aXRsZT5Kb3VybmFsIG9mIEFwcGxpZWQgRWNvbG9neTwvZnVsbC10aXRsZT48YWJici0xPkogQXBw
bCBFY29sPC9hYmJyLTE+PC9wZXJpb2RpY2FsPjxhbHQtcGVyaW9kaWNhbD48ZnVsbC10aXRsZT5K
b3VybmFsIG9mIEFwcGxpZWQgRWNvbG9neTwvZnVsbC10aXRsZT48YWJici0xPkogQXBwbCBFY29s
PC9hYmJyLTE+PC9hbHQtcGVyaW9kaWNhbD48cGFnZXM+OTItOTg8L3BhZ2VzPjx2b2x1bWU+NTU8
L3ZvbHVtZT48bnVtYmVyPjE8L251bWJlcj48a2V5d29yZHM+PGtleXdvcmQ+YmlvbG9naWNhbCBp
bnZhc2lvbnM8L2tleXdvcmQ+PGtleXdvcmQ+Ymlvc2VjdXJpdHk8L2tleXdvcmQ+PGtleXdvcmQ+
ZXhvdGljPC9rZXl3b3JkPjxrZXl3b3JkPmdhcmRlbmluZzwva2V5d29yZD48a2V5d29yZD5pbnZh
c2l2ZSBzcGVjaWVzPC9rZXl3b3JkPjxrZXl3b3JkPmxlZ2lzbGF0aW9uPC9rZXl3b3JkPjxrZXl3
b3JkPm5vbi1uYXRpdmU8L2tleXdvcmQ+PGtleXdvcmQ+bnVyc2VyaWVzPC9rZXl3b3JkPjxrZXl3
b3JkPnRyYWRlPC9rZXl3b3JkPjxrZXl3b3JkPndlZWQ8L2tleXdvcmQ+PGtleXdvcmQ+d2VlZCBy
aXNrLWFzc2Vzc21lbnQ8L2tleXdvcmQ+PGtleXdvcmQ+dW5pdGVkLXN0YXRlczwva2V5d29yZD48
a2V5d29yZD5pbmR1c3RyeSBzdXJ2ZXk8L2tleXdvcmQ+PGtleXdvcmQ+aW50cm9kdWN0aW9uczwv
a2V5d29yZD48a2V5d29yZD5uYXR1cmFsaXphdGlvbjwva2V5d29yZD48a2V5d29yZD5tYW5hZ2Vt
ZW50PC9rZXl3b3JkPjxrZXl3b3JkPmF1c3RyYWxpYTwva2V5d29yZD48a2V5d29yZD5lZHVjYXRp
b248L2tleXdvcmQ+PGtleXdvcmQ+cGF0dGVybnM8L2tleXdvcmQ+PGtleXdvcmQ+bnVyc2VyeTwv
a2V5d29yZD48L2tleXdvcmRzPjxkYXRlcz48eWVhcj4yMDE4PC95ZWFyPjxwdWItZGF0ZXM+PGRh
dGU+SmFuPC9kYXRlPjwvcHViLWRhdGVzPjwvZGF0ZXM+PGlzYm4+MDAyMS04OTAxPC9pc2JuPjxh
Y2Nlc3Npb24tbnVtPldPUzowMDA0MTc3NjQ2MDAwMTA8L2FjY2Vzc2lvbi1udW0+PHVybHM+PHJl
bGF0ZWQtdXJscz48dXJsPiZsdDtHbyB0byBJU0kmZ3Q7Oi8vV09TOjAwMDQxNzc2NDYwMDAxMDwv
dXJsPjwvcmVsYXRlZC11cmxzPjwvdXJscz48ZWxlY3Ryb25pYy1yZXNvdXJjZS1udW0+MTAuMTEx
MS8xMzY1LTI2NjQuMTI5NTM8L2VsZWN0cm9uaWMtcmVzb3VyY2UtbnVtPjxsYW5ndWFnZT5Fbmds
aXNoPC9sYW5ndWFnZT48L3JlY29yZD48L0NpdGU+PC9FbmROb3RlPn==
</w:fldData>
        </w:fldChar>
      </w:r>
      <w:r w:rsidR="00DA2081" w:rsidRPr="00A9434B">
        <w:instrText xml:space="preserve"> ADDIN EN.CITE.DATA </w:instrText>
      </w:r>
      <w:r w:rsidR="00DA2081" w:rsidRPr="00A9434B">
        <w:fldChar w:fldCharType="end"/>
      </w:r>
      <w:r w:rsidR="00DA2081" w:rsidRPr="00A9434B">
        <w:fldChar w:fldCharType="separate"/>
      </w:r>
      <w:r w:rsidR="00DA2081" w:rsidRPr="00A9434B">
        <w:fldChar w:fldCharType="begin"/>
      </w:r>
      <w:r w:rsidR="0006613E">
        <w:instrText xml:space="preserve"> ADDIN ZOTERO_ITEM CSL_CITATION {"citationID":"acfmofmc8b","properties":{"formattedCitation":"(2018)","plainCitation":"(2018)","noteIndex":0},"citationItems":[{"id":29159,"uris":["http://zotero.org/groups/2352922/items/FBUVL8DD"],"itemData":{"id":29159,"type":"article-journal","abstract":"Ornamental horticulture is the primary pathway for invasive alien plant introductions. We critically appraise published evidence on the effectiveness of four policy instruments that tackle invasions along the horticulture supply chain: pre-border import restrictions, post-border bans, industry codes of conduct and consumer education. Effective pre-border interventions rely on rigorous risk assessment and high industry compliance. Post-border sales bans become progressively less effective when alien species become widespread in a region. A lack of independent performance evaluation and of public disclosure, limits the uptake and effectiveness of voluntary codes of conduct and discourages shifts in consumer preference away from invasive alien species. Policy implications. Closing the plant invasion pathway associated with ornamental horticulture requires government-industry agreements to fund effective pre- and post-border weed risk assessments that can be subsequently supported by widely adopted, as well as verifiable, industry codes of conduct. This will ensure producers and consumers make informed choices in the face of better targeted public education addressing plant invasions. © 2017 The Authors. Journal of Applied Ecology © 2017 British Ecological Society","container-title":"Journal of Applied Ecology","DOI":"10.1111/1365-2664.12953","ISSN":"00218901","issue":"1","journalAbbreviation":"J Appl Ecol","language":"en","page":"92-98","source":"DOI.org (Crossref)","title":"Integrating invasive species policies across ornamental horticulture supply chains to prevent plant invasions","URL":"http://doi.wiley.com/10.1111/1365-2664.12953","volume":"55","author":[{"family":"Hulme","given":"Philip E."},{"family":"Brundu","given":"Giuseppe"},{"family":"Carboni","given":"Marta"},{"family":"Dehnen-Schmutz","given":"Katharina"},{"family":"Dullinger","given":"Stefan"},{"family":"Early","given":"Regan"},{"family":"Essl","given":"Franz"},{"family":"González-Moreno","given":"Pablo"},{"family":"Groom","given":"Quentin J."},{"family":"Kueffer","given":"Christoph"},{"family":"Kühn","given":"Ingolf"},{"family":"Maurel","given":"Noëlie"},{"family":"Novoa","given":"Ana"},{"family":"Pergl","given":"Jan"},{"family":"Pyšek","given":"Petr"},{"family":"Seebens","given":"Hanno"},{"family":"Tanner","given":"Rob"},{"family":"Touza","given":"Julia M."},{"family":"Kleunen","given":"Mark","non-dropping-particle":"van"},{"family":"Verbrugge","given":"Laura N.H."}],"editor":[{"family":"Flory","given":"Luke"}],"accessed":{"date-parts":[["2019",10,21]]},"issued":{"date-parts":[["2018"]]}},"label":"page","suppress-author":true}],"schema":"https://github.com/citation-style-language/schema/raw/master/csl-citation.json"} </w:instrText>
      </w:r>
      <w:r w:rsidR="00DA2081" w:rsidRPr="00A9434B">
        <w:fldChar w:fldCharType="separate"/>
      </w:r>
      <w:r w:rsidR="00C71E80" w:rsidRPr="00A9434B">
        <w:t>(2018)</w:t>
      </w:r>
      <w:r w:rsidR="00DA2081" w:rsidRPr="00A9434B">
        <w:fldChar w:fldCharType="end"/>
      </w:r>
      <w:r w:rsidR="00DA2081" w:rsidRPr="00A9434B">
        <w:fldChar w:fldCharType="end"/>
      </w:r>
      <w:r w:rsidR="00DA2081" w:rsidRPr="00A9434B">
        <w:t xml:space="preserve">, closing this plant invasion pathway can be achieved by government-industry agreements to fund effective pre-and post-border weed risk assessments. This can be supported by widely adopted industry codes of practices. One example is the Code of Conduct </w:t>
      </w:r>
      <w:r w:rsidR="00DF4C86" w:rsidRPr="00A9434B">
        <w:t>for</w:t>
      </w:r>
      <w:r w:rsidR="00DA2081" w:rsidRPr="00A9434B">
        <w:t xml:space="preserve"> Invasive Alien Trees </w:t>
      </w:r>
      <w:r w:rsidR="00DA2081" w:rsidRPr="00A9434B">
        <w:fldChar w:fldCharType="begin"/>
      </w:r>
      <w:r w:rsidR="0006613E">
        <w:instrText xml:space="preserve"> ADDIN ZOTERO_ITEM CSL_CITATION {"citationID":"ah57qa7qks","properties":{"formattedCitation":"(Brundu &amp; Richardson, 2016)","plainCitation":"(Brundu &amp; Richardson, 2016)","noteIndex":0},"citationItems":[{"id":23847,"uris":["http://zotero.org/groups/2352922/items/AZLNEQNG"],"itemData":{"id":23847,"type":"article-journal","abstract":"Planted forests of alien tree species make significant contributions to the economy and provide multiple products and ecosystem services On the other hand, non-native trees now feature prominently on the lists of invasive alien plants in many parts of the world, and in some areas non-native woody species are now among the most conspicuous, damaging and, in some cases, best-studied invasive species. Afforestation and reforestation policies, both on public and private land, need to include clearly stated objectives and principles to reduce impacts of invasive trees outside areas set aside for forestry. With the intention of encouraging national authorities to implement general principles of prevention and mitigation of the risks posed by invasive alien tree species used in plantation forestry into national environmental policies, the Council of Europe facilitated the preparation of a Code of Conduct on Planted Forest and Invasive Alien Trees. This new voluntary Code, comprising 14 principles, complements existing codes of conduct dealing with horticulture and botanic gardens. The Code is addressed to all relevant stakeholders and decision makers in the 47 Member States of the Council of Europe. It aims to enlist the co-operation of the forest sector (trade and industry, national forest authorities, certification bodies and environmental organizations) and associated professionals in preventing new introductions and reducing, controlling and mitigating negative impacts due to tree invasions that arise, directly or indirectly, as a consequence of plantation forestry.","container-title":"NeoBiota","DOI":"10.3897/neobiota.30.7015","ISSN":"1314-2488, 1619-0033","journalAbbreviation":"NB","page":"5-47","source":"DOI.org (Crossref)","title":"Planted forests and invasive alien trees in Europe: A code for managing existing and future plantings to mitigate the risk of negative impacts from invasions","title-short":"Planted forests and invasive alien trees in Europe","URL":"http://neobiota.pensoft.net/articles.php?id=7015","volume":"30","author":[{"family":"Brundu","given":"Giuseppe"},{"family":"Richardson","given":"David M."}],"accessed":{"date-parts":[["2019",12,7]]},"issued":{"date-parts":[["2016",6,23]]}},"label":"page"}],"schema":"https://github.com/citation-style-language/schema/raw/master/csl-citation.json"} </w:instrText>
      </w:r>
      <w:r w:rsidR="00DA2081" w:rsidRPr="00A9434B">
        <w:fldChar w:fldCharType="separate"/>
      </w:r>
      <w:r w:rsidR="00C71E80" w:rsidRPr="00A9434B">
        <w:t>(Brundu &amp; Richardson, 2016)</w:t>
      </w:r>
      <w:r w:rsidR="00DA2081" w:rsidRPr="00A9434B">
        <w:fldChar w:fldCharType="end"/>
      </w:r>
      <w:r w:rsidR="00DA2081" w:rsidRPr="00A9434B">
        <w:t xml:space="preserve">, which complements other European existing codes of practice dealing with horticulture and botanic gardens </w:t>
      </w:r>
      <w:r w:rsidR="00DA2081" w:rsidRPr="00A9434B">
        <w:fldChar w:fldCharType="begin"/>
      </w:r>
      <w:r w:rsidR="0006613E">
        <w:instrText xml:space="preserve"> ADDIN ZOTERO_ITEM CSL_CITATION {"citationID":"a2789resn2d","properties":{"formattedCitation":"(Heywood &amp; Sharrock, 2013)","plainCitation":"(Heywood &amp; Sharrock, 2013)","noteIndex":0},"citationItems":[{"id":53405,"uris":["http://zotero.org/groups/2352922/items/GE54M6FI"],"itemData":{"id":53405,"type":"report","event-place":"Strasbourg","license":"Botanic Gardens Conservation International, Richmond","note":"ISBN: 1-905164-48-3","publisher":"Council of Europe","publisher-place":"Strasbourg","title":"European code of conduct for botanic gardens on invasive alien species","author":[{"family":"Heywood","given":"Vernon Hilton"},{"family":"Sharrock","given":"Suzanne"}],"issued":{"date-parts":[["2013"]]}},"label":"page"}],"schema":"https://github.com/citation-style-language/schema/raw/master/csl-citation.json"} </w:instrText>
      </w:r>
      <w:r w:rsidR="00DA2081" w:rsidRPr="00A9434B">
        <w:fldChar w:fldCharType="separate"/>
      </w:r>
      <w:r w:rsidR="0006613E" w:rsidRPr="0006613E">
        <w:t>(Heywood &amp; Sharrock, 2013)</w:t>
      </w:r>
      <w:r w:rsidR="00DA2081" w:rsidRPr="00A9434B">
        <w:fldChar w:fldCharType="end"/>
      </w:r>
      <w:r w:rsidR="00DA2081" w:rsidRPr="00A9434B">
        <w:t xml:space="preserve">. Codes of practice help producers and consumers make informed choices and help to target public education needed about horticultural invasion risks. For example, Green Lists of non‐native ornamental species that have been assessed as having a low risk of escaping cultivation can contribute to the prevention of plant invasions </w:t>
      </w:r>
      <w:r w:rsidR="00DA2081" w:rsidRPr="00A9434B">
        <w:fldChar w:fldCharType="begin"/>
      </w:r>
      <w:r w:rsidR="00DA2081" w:rsidRPr="00A9434B">
        <w:instrText xml:space="preserve"> ADDIN EN.CITE &lt;EndNote&gt;&lt;Cite&gt;&lt;Author&gt;Dehnen‐Schmutz&lt;/Author&gt;&lt;Year&gt;2011&lt;/Year&gt;&lt;RecNum&gt;65&lt;/RecNum&gt;&lt;DisplayText&gt;(Dehnen‐Schmutz 2011)&lt;/DisplayText&gt;&lt;record&gt;&lt;rec-number&gt;151&lt;/rec-number&gt;&lt;foreign-keys&gt;&lt;key app="EN" db-id="0d55paxdcvwpebe55d1vrz5ne2pattprarta" timestamp="1597992734"&gt;151&lt;/key&gt;&lt;/foreign-keys&gt;&lt;ref-type name="Journal Article"&gt;17&lt;/ref-type&gt;&lt;contributors&gt;&lt;authors&gt;&lt;author&gt;Dehnen‐Schmutz, Katharina&lt;/author&gt;&lt;/authors&gt;&lt;/contributors&gt;&lt;titles&gt;&lt;title&gt;Determining non‐invasiveness in ornamental plants to build green lists&lt;/title&gt;&lt;secondary-title&gt;Journal of Applied Ecology&lt;/secondary-title&gt;&lt;/titles&gt;&lt;periodical&gt;&lt;full-title&gt;Journal of Applied Ecology&lt;/full-title&gt;&lt;/periodical&gt;&lt;pages&gt;1374-1380&lt;/pages&gt;&lt;volume&gt;48&lt;/volume&gt;&lt;number&gt;6&lt;/number&gt;&lt;dates&gt;&lt;year&gt;2011&lt;/year&gt;&lt;/dates&gt;&lt;isbn&gt;0021-8901&lt;/isbn&gt;&lt;urls&gt;&lt;/urls&gt;&lt;/record&gt;&lt;/Cite&gt;&lt;/EndNote&gt;</w:instrText>
      </w:r>
      <w:r w:rsidR="00DA2081" w:rsidRPr="00A9434B">
        <w:fldChar w:fldCharType="separate"/>
      </w:r>
      <w:r w:rsidR="00DA2081" w:rsidRPr="00A9434B">
        <w:fldChar w:fldCharType="begin"/>
      </w:r>
      <w:r w:rsidR="0006613E">
        <w:instrText xml:space="preserve"> ADDIN ZOTERO_ITEM CSL_CITATION {"citationID":"a2g18tv9naa","properties":{"formattedCitation":"(Dehnen-Schmutz, 2011)","plainCitation":"(Dehnen-Schmutz, 2011)","noteIndex":0},"citationItems":[{"id":11372,"uris":["http://zotero.org/groups/2352922/items/JFTD54V2"],"itemData":{"id":11372,"type":"article-journal","abstract":"Ornamental horticulture is the most important pathway for plant invasions world-wide. Large numbers of non-native plants are used as ornamentals, and current policies fail to effectively address the continued escape of species from cultivation. Legislative measures are often limited to the listing of few high-risk species banned from sale or planting. This approach, however, may give the impression that non-listed species are not considered to be a risk and are therefore safe to use. The continued widespread use of species not yet identified as having the risk to become invasive may create a problem in the future. 2. This article argues that knowledge gained from studies designed to identify invasive traits of species and factors contributing to their invasion success can also be used to identify species with a low invasion risk that can be recommended to the horticultural trade, landscaping sector and gardeners for safer use. 3. The criteria identified for non-invading species to be listed in a green list include sufficiently long residence time, high propagule pressure, no records of invasive occurrences elsewhere and an indication of some robustness to climate change. An example is provided for a random sample of ornamental species used in Britain. 4. Synthesis and application. There is a pressing need to prevent further plant invasions resulting from ornamental horticulture. A green list of non-native ornamental species that have been assessed as having a low risk of escaping cultivation will contribute to the prevention of plant invasions. Species not yet assessed which may have the potential to become invasive in the future can then be more easily avoided. This list would be particularly useful in large-scale plantings and landscaping projects. Currently, policies often focus on (i) species that are already introduced and recognized as invasive and (ii) the prevention of potential further invasions from new introductions. This study suggests that attention to non-invasive species already present in the country and widely used in horticulture can help to advance policies for dealing with invasive ornamental species.","container-title":"Journal of Applied Ecology","DOI":"10.1111/j.1365-2664.2011.02061.x","ISSN":"00218901","issue":"6","page":"1374–1380","title":"Determining non-invasiveness in ornamental plants to build green lists","URL":"https://besjournals.onlinelibrary.wiley.com/doi/abs/10.1111/j.1365-2664.2011.02061.x","volume":"48","author":[{"family":"Dehnen-Schmutz","given":"Katharina"}],"issued":{"date-parts":[["2011"]]}},"label":"page"}],"schema":"https://github.com/citation-style-language/schema/raw/master/csl-citation.json"} </w:instrText>
      </w:r>
      <w:r w:rsidR="00DA2081" w:rsidRPr="00A9434B">
        <w:fldChar w:fldCharType="separate"/>
      </w:r>
      <w:r w:rsidR="00C71E80" w:rsidRPr="00A9434B">
        <w:t>(Dehnen-Schmutz, 2011)</w:t>
      </w:r>
      <w:r w:rsidR="00DA2081" w:rsidRPr="00A9434B">
        <w:fldChar w:fldCharType="end"/>
      </w:r>
      <w:r w:rsidR="00DA2081" w:rsidRPr="00A9434B">
        <w:fldChar w:fldCharType="end"/>
      </w:r>
    </w:p>
    <w:p w14:paraId="4F0002B2" w14:textId="41F2C86E" w:rsidR="00387012" w:rsidRPr="00A9434B" w:rsidRDefault="00040684" w:rsidP="006E13B2">
      <w:pPr>
        <w:pBdr>
          <w:top w:val="single" w:sz="4" w:space="1" w:color="auto"/>
          <w:left w:val="single" w:sz="4" w:space="4" w:color="auto"/>
          <w:bottom w:val="single" w:sz="4" w:space="1" w:color="auto"/>
          <w:right w:val="single" w:sz="4" w:space="4" w:color="auto"/>
        </w:pBdr>
        <w:shd w:val="clear" w:color="auto" w:fill="E7E6E6" w:themeFill="background2"/>
      </w:pPr>
      <w:r w:rsidRPr="00040684">
        <w:rPr>
          <w:noProof/>
        </w:rPr>
        <w:drawing>
          <wp:inline distT="0" distB="0" distL="0" distR="0" wp14:anchorId="19FFECA5" wp14:editId="43AF56A3">
            <wp:extent cx="6111240" cy="234442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11240" cy="2344420"/>
                    </a:xfrm>
                    <a:prstGeom prst="rect">
                      <a:avLst/>
                    </a:prstGeom>
                  </pic:spPr>
                </pic:pic>
              </a:graphicData>
            </a:graphic>
          </wp:inline>
        </w:drawing>
      </w:r>
    </w:p>
    <w:p w14:paraId="5700F5C5" w14:textId="311BA64E" w:rsidR="00017C04" w:rsidRPr="00B301D7" w:rsidRDefault="004155A5" w:rsidP="00B301D7">
      <w:pPr>
        <w:pStyle w:val="Caption"/>
        <w:pBdr>
          <w:top w:val="single" w:sz="4" w:space="1" w:color="auto"/>
          <w:left w:val="single" w:sz="4" w:space="4" w:color="auto"/>
          <w:bottom w:val="single" w:sz="4" w:space="1" w:color="auto"/>
          <w:right w:val="single" w:sz="4" w:space="4" w:color="auto"/>
        </w:pBdr>
        <w:shd w:val="clear" w:color="auto" w:fill="E7E6E6" w:themeFill="background2"/>
      </w:pPr>
      <w:bookmarkStart w:id="278" w:name="_Ref104896691"/>
      <w:bookmarkStart w:id="279" w:name="_Ref127955854"/>
      <w:bookmarkStart w:id="280" w:name="_Toc147418307"/>
      <w:r w:rsidRPr="00A9434B">
        <w:t>Figure 6.</w:t>
      </w:r>
      <w:r w:rsidR="007C7AC3">
        <w:fldChar w:fldCharType="begin"/>
      </w:r>
      <w:r w:rsidR="007C7AC3">
        <w:instrText xml:space="preserve"> SEQ Figure_6. \* ARABIC </w:instrText>
      </w:r>
      <w:r w:rsidR="007C7AC3">
        <w:fldChar w:fldCharType="separate"/>
      </w:r>
      <w:r w:rsidR="0011368C">
        <w:rPr>
          <w:noProof/>
        </w:rPr>
        <w:t>12</w:t>
      </w:r>
      <w:r w:rsidR="007C7AC3">
        <w:rPr>
          <w:noProof/>
        </w:rPr>
        <w:fldChar w:fldCharType="end"/>
      </w:r>
      <w:bookmarkEnd w:id="278"/>
      <w:r w:rsidR="00E726CE" w:rsidRPr="00A9434B">
        <w:t>.</w:t>
      </w:r>
      <w:bookmarkStart w:id="281" w:name="_heading=h.3vac5uf" w:colFirst="0" w:colLast="0"/>
      <w:bookmarkEnd w:id="281"/>
      <w:r w:rsidR="00F50AF9" w:rsidRPr="00B301D7">
        <w:rPr>
          <w:b w:val="0"/>
        </w:rPr>
        <w:t xml:space="preserve"> </w:t>
      </w:r>
      <w:bookmarkEnd w:id="279"/>
      <w:r w:rsidR="00F50AF9" w:rsidRPr="00B301D7">
        <w:rPr>
          <w:b w:val="0"/>
          <w:bCs w:val="0"/>
        </w:rPr>
        <w:t>Left:</w:t>
      </w:r>
      <w:r w:rsidR="00F50AF9" w:rsidRPr="00B301D7">
        <w:t xml:space="preserve"> </w:t>
      </w:r>
      <w:r w:rsidR="00F50AF9" w:rsidRPr="00B301D7">
        <w:rPr>
          <w:b w:val="0"/>
          <w:bCs w:val="0"/>
          <w:i/>
        </w:rPr>
        <w:t>Pyrus calleryana</w:t>
      </w:r>
      <w:r w:rsidR="00F50AF9" w:rsidRPr="00B301D7">
        <w:rPr>
          <w:b w:val="0"/>
          <w:bCs w:val="0"/>
        </w:rPr>
        <w:t xml:space="preserve"> (callery pear). Right: </w:t>
      </w:r>
      <w:r w:rsidR="00F50AF9" w:rsidRPr="00B301D7">
        <w:rPr>
          <w:b w:val="0"/>
          <w:bCs w:val="0"/>
          <w:i/>
        </w:rPr>
        <w:t xml:space="preserve">Lythrum salicaria </w:t>
      </w:r>
      <w:r w:rsidR="00F50AF9" w:rsidRPr="00B301D7">
        <w:rPr>
          <w:b w:val="0"/>
          <w:bCs w:val="0"/>
          <w:color w:val="000000"/>
        </w:rPr>
        <w:t xml:space="preserve">(purple loosestrife). </w:t>
      </w:r>
      <w:r w:rsidR="00F50AF9" w:rsidRPr="00B301D7">
        <w:rPr>
          <w:b w:val="0"/>
          <w:bCs w:val="0"/>
        </w:rPr>
        <w:t xml:space="preserve">Some cultigens planted together may cross-pollinate and form viable fruit that is dispersed into natural areas. Photo credits: Bruce Marlin, WM Commons - </w:t>
      </w:r>
      <w:r w:rsidR="0018534A">
        <w:rPr>
          <w:rFonts w:eastAsiaTheme="minorEastAsia"/>
          <w:b w:val="0"/>
          <w:bCs w:val="0"/>
          <w:lang w:eastAsia="ja-JP"/>
        </w:rPr>
        <w:t xml:space="preserve">under license </w:t>
      </w:r>
      <w:r w:rsidR="00F50AF9" w:rsidRPr="00B301D7">
        <w:rPr>
          <w:b w:val="0"/>
          <w:bCs w:val="0"/>
        </w:rPr>
        <w:t xml:space="preserve">CC BY 3.0 (left) / GartenAkademie, WM Commons - </w:t>
      </w:r>
      <w:r w:rsidR="0018534A">
        <w:rPr>
          <w:rFonts w:eastAsiaTheme="minorEastAsia"/>
          <w:b w:val="0"/>
          <w:bCs w:val="0"/>
          <w:lang w:eastAsia="ja-JP"/>
        </w:rPr>
        <w:t xml:space="preserve">under license </w:t>
      </w:r>
      <w:r w:rsidR="00F50AF9" w:rsidRPr="00B301D7">
        <w:rPr>
          <w:b w:val="0"/>
          <w:bCs w:val="0"/>
        </w:rPr>
        <w:t>CC BY 3.0 (right).</w:t>
      </w:r>
      <w:bookmarkEnd w:id="280"/>
    </w:p>
    <w:p w14:paraId="5AE171CA" w14:textId="53844248" w:rsidR="00017C04" w:rsidRDefault="00F50AF9" w:rsidP="56C59A3A">
      <w:r>
        <w:t xml:space="preserve">The effectiveness of voluntary codes of </w:t>
      </w:r>
      <w:r w:rsidR="006E0767">
        <w:t>conduct</w:t>
      </w:r>
      <w:r>
        <w:t xml:space="preserve"> has limits but can be a valuable part of integrated systems to </w:t>
      </w:r>
      <w:r w:rsidR="00B301D7">
        <w:t>reduce the risk of invasive alien species</w:t>
      </w:r>
      <w:r w:rsidR="1B4F93D9" w:rsidRPr="00A9434B">
        <w:t xml:space="preserve">. In fact, several codes of practice on invasive alien plants are </w:t>
      </w:r>
      <w:r w:rsidR="001D239D" w:rsidRPr="00A9434B">
        <w:t xml:space="preserve">in use </w:t>
      </w:r>
      <w:r w:rsidR="1B4F93D9" w:rsidRPr="00A9434B">
        <w:t xml:space="preserve">throughout the world. Codes of practices on invasive alien species have two main goals: (1) to reduce deliberate introductions of invasive plants and (2) to increase the level of awareness‐raising </w:t>
      </w:r>
      <w:r w:rsidR="00E52EEE" w:rsidRPr="00A9434B">
        <w:fldChar w:fldCharType="begin"/>
      </w:r>
      <w:r w:rsidR="0006613E">
        <w:instrText xml:space="preserve"> ADDIN ZOTERO_ITEM CSL_CITATION {"citationID":"a10qlgrrpu1","properties":{"formattedCitation":"(Halford et al., 2014)","plainCitation":"(Halford et al., 2014)","noteIndex":0},"citationItems":[{"id":53532,"uris":["http://zotero.org/groups/2352922/items/Z4DYRXV5"],"itemData":{"id":53532,"type":"article-journal","container-title":"EPPO bulletin","DOI":"10.1111/epp.12111","ISSN":"0250-8052","issue":"2","page":"212-222","title":"The voluntary Code of conduct on invasive alien plants in Belgium: results and lessons learned from the AlterIAS LIFE+ project","volume":"44","author":[{"family":"Halford","given":"Mathieu"},{"family":"Heemers","given":"L."},{"family":"Van Wesemael","given":"D."},{"family":"Mathys","given":"C."},{"family":"Wallens","given":"S."},{"family":"Branquart","given":"E."},{"family":"Vanderhoeven","given":"S."},{"family":"Monty","given":"Arnaud"},{"family":"Mahy","given":"Grégory"}],"issued":{"date-parts":[["2014"]]}},"label":"page"}],"schema":"https://github.com/citation-style-language/schema/raw/master/csl-citation.json"} </w:instrText>
      </w:r>
      <w:r w:rsidR="00E52EEE" w:rsidRPr="00A9434B">
        <w:fldChar w:fldCharType="separate"/>
      </w:r>
      <w:r w:rsidR="00C71E80" w:rsidRPr="00A9434B">
        <w:t>(Halford et al., 2014)</w:t>
      </w:r>
      <w:r w:rsidR="00E52EEE" w:rsidRPr="00A9434B">
        <w:fldChar w:fldCharType="end"/>
      </w:r>
      <w:r w:rsidR="00E52EEE" w:rsidRPr="00A9434B">
        <w:fldChar w:fldCharType="begin"/>
      </w:r>
      <w:r w:rsidR="00E52EEE" w:rsidRPr="00A9434B">
        <w:instrText xml:space="preserve"> ADDIN EN.CITE &lt;EndNote&gt;&lt;Cite&gt;&lt;Author&gt;Halford&lt;/Author&gt;&lt;Year&gt;2014&lt;/Year&gt;&lt;RecNum&gt;66&lt;/RecNum&gt;&lt;DisplayText&gt;(Halford, Heemers et al. 2014)&lt;/DisplayText&gt;&lt;record&gt;&lt;rec-number&gt;152&lt;/rec-number&gt;&lt;foreign-keys&gt;&lt;key app="EN" db-id="0d55paxdcvwpebe55d1vrz5ne2pattprarta" timestamp="1597992734"&gt;152&lt;/key&gt;&lt;/foreign-keys&gt;&lt;ref-type name="Journal Article"&gt;17&lt;/ref-type&gt;&lt;contributors&gt;&lt;authors&gt;&lt;author&gt;Halford, Mathieu&lt;/author&gt;&lt;author&gt;Heemers, L&lt;/author&gt;&lt;author&gt;Van Wesemael, D&lt;/author&gt;&lt;author&gt;Mathys, C&lt;/author&gt;&lt;author&gt;Wallens, S&lt;/author&gt;&lt;author&gt;Branquart, E&lt;/author&gt;&lt;author&gt;Vanderhoeven, S&lt;/author&gt;&lt;author&gt;Monty, Arnaud&lt;/author&gt;&lt;author&gt;Mahy, Grégory&lt;/author&gt;&lt;/authors&gt;&lt;/contributors&gt;&lt;titles&gt;&lt;title&gt;The voluntary C ode of conduct on invasive alien plants in B elgium: results and lessons learned from the A lter IAS LIFE+ project&lt;/title&gt;&lt;secondary-title&gt;EPPO Bulletin&lt;/secondary-title&gt;&lt;/titles&gt;&lt;periodical&gt;&lt;full-title&gt;EPPO bulletin&lt;/full-title&gt;&lt;/periodical&gt;&lt;pages&gt;212-222&lt;/pages&gt;&lt;volume&gt;44&lt;/volume&gt;&lt;number&gt;2&lt;/number&gt;&lt;dates&gt;&lt;year&gt;2014&lt;/year&gt;&lt;/dates&gt;&lt;isbn&gt;0250-8052&lt;/isbn&gt;&lt;urls&gt;&lt;/urls&gt;&lt;/record&gt;&lt;/Cite&gt;&lt;/EndNote&gt;</w:instrText>
      </w:r>
      <w:r w:rsidR="00E52EEE" w:rsidRPr="00A9434B">
        <w:fldChar w:fldCharType="end"/>
      </w:r>
      <w:r w:rsidR="1B4F93D9" w:rsidRPr="00A9434B">
        <w:t xml:space="preserve">. </w:t>
      </w:r>
      <w:r w:rsidR="0132D81B" w:rsidRPr="00A9434B">
        <w:t>For example, t</w:t>
      </w:r>
      <w:r w:rsidR="1B4F93D9" w:rsidRPr="00A9434B">
        <w:t xml:space="preserve">he </w:t>
      </w:r>
      <w:r w:rsidR="432F01CA" w:rsidRPr="00A9434B">
        <w:t>European and Mediterranean Plant Protection Organization (</w:t>
      </w:r>
      <w:r w:rsidR="1B4F93D9" w:rsidRPr="00A9434B">
        <w:t>EPPO</w:t>
      </w:r>
      <w:r w:rsidR="432F01CA" w:rsidRPr="00A9434B">
        <w:t>)</w:t>
      </w:r>
      <w:r w:rsidR="1B4F93D9" w:rsidRPr="00A9434B">
        <w:t xml:space="preserve"> standard PM 3/74(1) provides guidelines on the development of a Code of </w:t>
      </w:r>
      <w:r w:rsidR="001D239D" w:rsidRPr="00A9434B">
        <w:t xml:space="preserve">practice </w:t>
      </w:r>
      <w:r w:rsidR="1B4F93D9" w:rsidRPr="00A9434B">
        <w:t xml:space="preserve">on horticulture and invasive alien plants </w:t>
      </w:r>
      <w:r w:rsidR="00E52EEE" w:rsidRPr="00A9434B">
        <w:fldChar w:fldCharType="begin"/>
      </w:r>
      <w:r w:rsidR="0006613E">
        <w:instrText xml:space="preserve"> ADDIN ZOTERO_ITEM CSL_CITATION {"citationID":"a168314n8dk","properties":{"formattedCitation":"(EPPO, 2009)","plainCitation":"(EPPO, 2009)","noteIndex":0},"citationItems":[{"id":24068,"uris":["http://zotero.org/groups/2352922/items/LGMAJ4K2","http://zotero.org/groups/2352922/items/A2PV57KQ"],"itemData":{"id":24068,"type":"article-journal","abstract":"Specific scope This standard describes guidelines for the development of a Code of conduct on horticulture and invasive alien plants. © 2009 OEPP/EPPO.","container-title":"EPPO Bulletin","DOI":"10.1111/j.1365-2338.2009.02306.x","issue":"3","language":"en","note":"European and Mediterranean Plant Protection Organization","page":"263-266","title":"PM 3/74(1): EPPO guidelines on the development of a Code of conduct on horticulture and invasive alien plants","URL":"https://www.scopus.com/inward/record.uri?eid=2-s2.0-71149093652&amp;doi=10.1111%2fj.1365-2338.2009.02306.x&amp;partnerID=40&amp;md5=fd65f95054e4aadef9099ee930f6b694","volume":"39","author":[{"literal":"EPPO"}],"issued":{"date-parts":[["2009"]]}},"label":"page"}],"schema":"https://github.com/citation-style-language/schema/raw/master/csl-citation.json"} </w:instrText>
      </w:r>
      <w:r w:rsidR="00E52EEE" w:rsidRPr="00A9434B">
        <w:fldChar w:fldCharType="separate"/>
      </w:r>
      <w:r w:rsidR="00C71E80" w:rsidRPr="00A9434B">
        <w:t>(EPPO, 2009)</w:t>
      </w:r>
      <w:r w:rsidR="00E52EEE" w:rsidRPr="00A9434B">
        <w:fldChar w:fldCharType="end"/>
      </w:r>
      <w:r w:rsidR="1B4F93D9" w:rsidRPr="00A9434B">
        <w:t>.</w:t>
      </w:r>
    </w:p>
    <w:p w14:paraId="41BDDB89" w14:textId="3D2261B8" w:rsidR="00E86404" w:rsidRPr="00A9434B" w:rsidRDefault="6117E239" w:rsidP="00585D0E">
      <w:pPr>
        <w:pStyle w:val="Heading5"/>
        <w:rPr>
          <w:lang w:eastAsia="en-US"/>
        </w:rPr>
      </w:pPr>
      <w:r w:rsidRPr="00A9434B">
        <w:t xml:space="preserve">(5) Policy to support incorporation of </w:t>
      </w:r>
      <w:r w:rsidR="00B301D7">
        <w:t xml:space="preserve">management of biological invasions </w:t>
      </w:r>
      <w:r w:rsidRPr="00A9434B">
        <w:t>into protected area management plans</w:t>
      </w:r>
      <w:r w:rsidR="00E86404" w:rsidRPr="00A9434B">
        <w:br/>
      </w:r>
      <w:r w:rsidRPr="00A9434B">
        <w:rPr>
          <w:b w:val="0"/>
          <w:bCs/>
          <w:lang w:eastAsia="en-US"/>
        </w:rPr>
        <w:t xml:space="preserve">The designation of parcels of land- or seascapes as protected areas does not confer immunity from the effects of invasive alien species, and the invasion </w:t>
      </w:r>
      <w:r w:rsidR="11DC1D9A" w:rsidRPr="00A9434B">
        <w:rPr>
          <w:b w:val="0"/>
          <w:bCs/>
          <w:lang w:eastAsia="en-US"/>
        </w:rPr>
        <w:t xml:space="preserve">of </w:t>
      </w:r>
      <w:r w:rsidR="76927D8C" w:rsidRPr="00A9434B">
        <w:rPr>
          <w:b w:val="0"/>
          <w:bCs/>
          <w:lang w:eastAsia="en-US"/>
        </w:rPr>
        <w:t>protected</w:t>
      </w:r>
      <w:r w:rsidR="11DC1D9A" w:rsidRPr="00A9434B">
        <w:rPr>
          <w:b w:val="0"/>
          <w:bCs/>
          <w:lang w:eastAsia="en-US"/>
        </w:rPr>
        <w:t xml:space="preserve"> areas</w:t>
      </w:r>
      <w:r w:rsidRPr="00A9434B">
        <w:rPr>
          <w:b w:val="0"/>
          <w:bCs/>
          <w:lang w:eastAsia="en-US"/>
        </w:rPr>
        <w:t xml:space="preserve"> erodes the maintenance of species diversity and natures contributions to people (e.g., terrestrial plants, </w:t>
      </w:r>
      <w:r w:rsidR="001F718E" w:rsidRPr="00A9434B">
        <w:rPr>
          <w:b w:val="0"/>
          <w:bCs/>
          <w:lang w:eastAsia="en-US"/>
        </w:rPr>
        <w:fldChar w:fldCharType="begin"/>
      </w:r>
      <w:r w:rsidR="002D2756">
        <w:rPr>
          <w:b w:val="0"/>
          <w:bCs/>
          <w:lang w:eastAsia="en-US"/>
        </w:rPr>
        <w:instrText xml:space="preserve"> ADDIN ZOTERO_ITEM CSL_CITATION {"citationID":"a1993r8rv73","properties":{"formattedCitation":"\\uldash{(Foxcroft et al., 2013; Liu et al., 2020)}","plainCitation":"(Foxcroft et al., 2013; Liu et al., 2020)","dontUpdate":true,"noteIndex":0},"citationItems":[{"id":54687,"uris":["http://zotero.org/groups/2352922/items/QGMXF3TN"],"itemData":{"id":54687,"type":"book","collection-title":"Invading Nature - Springer Series in Invasion Ecology","ISBN":"978-94-024-0270-4","note":"DOI: 10.1007/978-94-007-7750-7","number-of-pages":"656","publisher":"Springer Science &amp; Business Media","title":"Plant invasions in protected areas: patterns, problems and challenges","volume":"7","editor":[{"family":"Foxcroft","given":"Llewellyn C."},{"family":"Pyšek","given":"Petr"},{"family":"Richardson","given":"David M."},{"family":"Genovesi","given":"Piero"}],"issued":{"date-parts":[["2013"]]}}},{"id":26505,"uris":["http://zotero.org/groups/2352922/items/H5F9TS6L","http://zotero.org/groups/2352922/items/E92J9BFU"],"itemData":{"id":26505,"type":"article-journal","container-title":"Ecology Letters","DOI":"10.1111/ele.13577","ISSN":"1461-023X, 1461-0248","issue":"11","journalAbbreviation":"Ecol Lett","language":"en","page":"1682-1692","source":"DOI.org (Crossref)","title":"Species distribution models have limited spatial transferability for invasive species","URL":"https://onlinelibrary.wiley.com/doi/10.1111/ele.13577","volume":"23","author":[{"family":"Liu","given":"Chunlong"},{"family":"Wolter","given":"Christian"},{"family":"Xian","given":"Weiwei"},{"family":"Jeschke","given":"Jonathan M."}],"editor":[{"family":"Bertelsmeier","given":"Cleo"}],"accessed":{"date-parts":[["2021",3,17]]},"issued":{"date-parts":[["2020",11]]}},"label":"page"}],"schema":"https://github.com/citation-style-language/schema/raw/master/csl-citation.json"} </w:instrText>
      </w:r>
      <w:r w:rsidR="001F718E" w:rsidRPr="00A9434B">
        <w:rPr>
          <w:b w:val="0"/>
          <w:bCs/>
          <w:lang w:eastAsia="en-US"/>
        </w:rPr>
        <w:fldChar w:fldCharType="separate"/>
      </w:r>
      <w:r w:rsidR="001F718E" w:rsidRPr="00A9434B">
        <w:rPr>
          <w:b w:val="0"/>
        </w:rPr>
        <w:t>Foxcroft et al., 2013; Liu et al., 2020</w:t>
      </w:r>
      <w:r w:rsidR="001F718E" w:rsidRPr="00A9434B">
        <w:rPr>
          <w:b w:val="0"/>
          <w:bCs/>
          <w:lang w:eastAsia="en-US"/>
        </w:rPr>
        <w:fldChar w:fldCharType="end"/>
      </w:r>
      <w:r w:rsidRPr="00A9434B">
        <w:rPr>
          <w:b w:val="0"/>
          <w:bCs/>
          <w:lang w:eastAsia="en-US"/>
        </w:rPr>
        <w:t>;</w:t>
      </w:r>
      <w:r w:rsidR="001F718E" w:rsidRPr="00A9434B">
        <w:rPr>
          <w:b w:val="0"/>
          <w:bCs/>
          <w:lang w:eastAsia="en-US"/>
        </w:rPr>
        <w:t xml:space="preserve"> </w:t>
      </w:r>
      <w:r w:rsidR="16699033" w:rsidRPr="00A9434B">
        <w:rPr>
          <w:b w:val="0"/>
          <w:bCs/>
          <w:lang w:eastAsia="en-US"/>
        </w:rPr>
        <w:t xml:space="preserve">and </w:t>
      </w:r>
      <w:r w:rsidRPr="00A9434B">
        <w:rPr>
          <w:b w:val="0"/>
          <w:bCs/>
          <w:lang w:eastAsia="en-US"/>
        </w:rPr>
        <w:t xml:space="preserve">marine systems, </w:t>
      </w:r>
      <w:r w:rsidR="001F718E" w:rsidRPr="00A9434B">
        <w:rPr>
          <w:b w:val="0"/>
          <w:bCs/>
          <w:lang w:eastAsia="en-US"/>
        </w:rPr>
        <w:fldChar w:fldCharType="begin"/>
      </w:r>
      <w:r w:rsidR="0006613E">
        <w:rPr>
          <w:b w:val="0"/>
          <w:bCs/>
          <w:lang w:eastAsia="en-US"/>
        </w:rPr>
        <w:instrText xml:space="preserve"> ADDIN ZOTERO_ITEM CSL_CITATION {"citationID":"a1j538va8d8","properties":{"formattedCitation":"\\uldash{(Gallardo et al., 2017; Giakoumi et al., 2019)}","plainCitation":"(Gallardo et al., 2017; Giakoumi et al., 2019)","dontUpdate":true,"noteIndex":0},"citationItems":[{"id":10463,"uris":["http://zotero.org/groups/2352922/items/9B3MIFP6"],"itemData":{"id":10463,"type":"article-journal","container-title":"Global Change Biology","DOI":"10.1111/gcb.13798","ISSN":"13541013","issue":"12","journalAbbreviation":"Glob Change Biol","language":"en","page":"5331-5343","source":"DOI.org (Crossref)","title":"Protected areas offer refuge from invasive species spreading under climate change","URL":"http://doi.wiley.com/10.1111/gcb.13798","volume":"23","author":[{"family":"Gallardo","given":"Belinda"},{"family":"Aldridge","given":"David C."},{"family":"González-Moreno","given":"Pablo"},{"family":"Pergl","given":"Jan"},{"family":"Pizarro","given":"Manuel"},{"family":"Pyšek","given":"Petr"},{"family":"Thuiller","given":"Wilfried"},{"family":"Yesson","given":"Christopher"},{"family":"Vilà","given":"Montserrat"}],"accessed":{"date-parts":[["2020",8,9]]},"issued":{"date-parts":[["2017",12]]}},"label":"page"},{"id":29962,"uris":["http://zotero.org/groups/2352922/items/LJRP6WWC"],"itemData":{"id":29962,"type":"article-journal","container-title":"Science of The Total Environment","DOI":"10.1016/j.scitotenv.2019.06.282","ISSN":"00489697","journalAbbreviation":"Science of The Total Environment","language":"en","page":"976-982","source":"DOI.org (Crossref)","title":"Management priorities for marine invasive species","URL":"https://linkinghub.elsevier.com/retrieve/pii/S0048969719328554","volume":"688","author":[{"family":"Giakoumi","given":"Sylvaine"},{"family":"Katsanevakis","given":"Stelios"},{"family":"Albano","given":"Paolo G."},{"family":"Azzurro","given":"Ernesto"},{"family":"Cardoso","given":"Ana Cristina"},{"family":"Cebrian","given":"Emma"},{"family":"Deidun","given":"Alan"},{"family":"Edelist","given":"Dor"},{"family":"Francour","given":"Patrice"},{"family":"Jimenez","given":"Carlos"},{"family":"Mačić","given":"Vesna"},{"family":"Occhipinti-Ambrogi","given":"Anna"},{"family":"Rilov","given":"Gil"},{"family":"Sghaier","given":"Yassine Ramzi"}],"accessed":{"date-parts":[["2020",4,10]]},"issued":{"date-parts":[["2019",10]]}},"label":"page"}],"schema":"https://github.com/citation-style-language/schema/raw/master/csl-citation.json"} </w:instrText>
      </w:r>
      <w:r w:rsidR="001F718E" w:rsidRPr="00A9434B">
        <w:rPr>
          <w:b w:val="0"/>
          <w:bCs/>
          <w:lang w:eastAsia="en-US"/>
        </w:rPr>
        <w:fldChar w:fldCharType="separate"/>
      </w:r>
      <w:r w:rsidR="001F718E" w:rsidRPr="00A9434B">
        <w:rPr>
          <w:b w:val="0"/>
        </w:rPr>
        <w:t>Gallardo et al., 2017; Giakoumi et al., 2019)</w:t>
      </w:r>
      <w:r w:rsidR="001F718E" w:rsidRPr="00A9434B">
        <w:rPr>
          <w:b w:val="0"/>
          <w:bCs/>
          <w:lang w:eastAsia="en-US"/>
        </w:rPr>
        <w:fldChar w:fldCharType="end"/>
      </w:r>
      <w:r w:rsidR="00A15D88" w:rsidRPr="00A9434B">
        <w:rPr>
          <w:b w:val="0"/>
          <w:bCs/>
          <w:lang w:eastAsia="en-US"/>
        </w:rPr>
        <w:t>.</w:t>
      </w:r>
      <w:r w:rsidRPr="00A9434B">
        <w:rPr>
          <w:b w:val="0"/>
          <w:bCs/>
          <w:lang w:eastAsia="en-US"/>
        </w:rPr>
        <w:t xml:space="preserve"> This has become a concern at an international level, with </w:t>
      </w:r>
      <w:r w:rsidR="2FE71E9E" w:rsidRPr="00A9434B">
        <w:rPr>
          <w:b w:val="0"/>
          <w:bCs/>
          <w:lang w:eastAsia="en-US"/>
        </w:rPr>
        <w:t>many</w:t>
      </w:r>
      <w:r w:rsidRPr="00A9434B">
        <w:rPr>
          <w:b w:val="0"/>
          <w:bCs/>
          <w:lang w:eastAsia="en-US"/>
        </w:rPr>
        <w:t xml:space="preserve"> global conventions, policies or strategies focused on </w:t>
      </w:r>
      <w:r w:rsidRPr="00A9434B">
        <w:rPr>
          <w:b w:val="0"/>
          <w:bCs/>
          <w:lang w:eastAsia="en-US"/>
        </w:rPr>
        <w:lastRenderedPageBreak/>
        <w:t xml:space="preserve">the threat of invasive alien species in protected areas </w:t>
      </w:r>
      <w:r w:rsidR="651A92C8" w:rsidRPr="00A9434B">
        <w:rPr>
          <w:b w:val="0"/>
          <w:bCs/>
          <w:lang w:eastAsia="en-US"/>
        </w:rPr>
        <w:t>in</w:t>
      </w:r>
      <w:r w:rsidRPr="00A9434B">
        <w:rPr>
          <w:b w:val="0"/>
          <w:bCs/>
          <w:lang w:eastAsia="en-US"/>
        </w:rPr>
        <w:t xml:space="preserve"> develop</w:t>
      </w:r>
      <w:r w:rsidR="651A92C8" w:rsidRPr="00A9434B">
        <w:rPr>
          <w:b w:val="0"/>
          <w:bCs/>
          <w:lang w:eastAsia="en-US"/>
        </w:rPr>
        <w:t>ment</w:t>
      </w:r>
      <w:r w:rsidRPr="00A9434B">
        <w:rPr>
          <w:b w:val="0"/>
          <w:bCs/>
          <w:lang w:eastAsia="en-US"/>
        </w:rPr>
        <w:t xml:space="preserve"> </w:t>
      </w:r>
      <w:r w:rsidR="00A15D88" w:rsidRPr="00256201">
        <w:rPr>
          <w:b w:val="0"/>
          <w:bCs/>
          <w:lang w:eastAsia="en-US"/>
        </w:rPr>
        <w:fldChar w:fldCharType="begin"/>
      </w:r>
      <w:r w:rsidR="0006613E">
        <w:rPr>
          <w:b w:val="0"/>
          <w:bCs/>
          <w:lang w:eastAsia="en-US"/>
        </w:rPr>
        <w:instrText xml:space="preserve"> ADDIN ZOTERO_ITEM CSL_CITATION {"citationID":"a2860olmth4","properties":{"formattedCitation":"(Foxcroft et al., 2017; Shine et al., 2000)","plainCitation":"(Foxcroft et al., 2017; Shine et al., 2000)","noteIndex":0},"citationItems":[{"id":11830,"uris":["http://zotero.org/groups/2352922/items/96ZWH6W3"],"itemData":{"id":11830,"type":"article-journal","abstract":"Invasive alien species are a major problem for managers of protected areas (PAs) worldwide. Until the 1980s biological invasions were widely considered to be largely confined to anthropogenically disturbed sites and the widespread disruption of ecosystems in PAs by invasive species was not globally perceived as a major threat. A working group of the SCOPE program on biological invasions in the 1980s showed that PAs are not spared from major disruptive effects of invasions. Early research focused on descriptive studies of the extent to which PAs were invaded. More recent research explored drivers of invasion, and in the last decade much work has focused on understanding the impacts of invasions. We review the current understanding of alien plant invasions in PAs, focusing on four themes: (1) the status and macroecological patterns of alien plant invasions; (2) the threats that invasive alien plants (IAPs) pose and the impacts detected to date; (3) the current focus of invasion science in PAs; and (4) research priorities for advancing science-based management and policy. Of a sample of 59 widespread IAP species from a representative sample of 135 PAs globally, trees make up the largest proportion (32%), followed by perennial herbs (17%) and shrubs (15%). About 1857 papers have been published on alien species in PAs; 45% have focused on alien plants. Some textbook examples of impacts by IAPs originate from PAs, illustrating the severe threat to the core function of PAs. Impacts have been quantified at the species and community levels through the displacement and alteration of habitats. In some cases, native species abundance, diversity and estimated species richness have been altered, but reversed following control. At an ecosystem level, invasive plants have radically altered fire regimes in several PAs, in some cases causing regime shifts and transforming woodlands or savannas to grasslands. Invasions have also had a major impact on nutrient cycles. Protected areas are performing an increasingly important part of the global response to stem the rate of environmental change. Despite this, integrated efforts involving science, management and policy that are sufficiently resourced to generate insights on the status and dynamics of IAPs in PAs are insufficient or even lacking. Such efforts are needed to pave the way for monitoring trends, revising legislation and policies, and improving management interventions to reduce the extent and magnitude of impacts of invasive plants in PAs. While policy instruments to support management of non-native species date back to the 1930s, there has been a substantial increase in legislative support and general awareness since the early 2000s. Still, opportunities to improve research for PAs need to be created. Towards this goal, the establishment of a global PA research network could provide a unique vehicle to explore questions across species or functional groups and systems, at a scale currently beyond existing abilities. Developing an integrated global database with standardized, quantitative information could form part of such a networks function. © 2017, Springer International Publishing Switzerland.","container-title":"Biological Invasions","DOI":"10.1007/s10530-016-1367-z","ISSN":"13873547","issue":"5","page":"1353-1378","title":"Plant invasion science in protected areas: progress and priorities","URL":"https://www.scopus.com/inward/record.uri?eid=2-s2.0-85010715667&amp;doi=10.1007%2fs10530-016-1367-z&amp;partnerID=40&amp;md5=ab07b7f82dfcc80b61b7de956c8641f9","volume":"19","author":[{"family":"Foxcroft","given":"Llewellyn C."},{"family":"Pyšek","given":"P."},{"family":"Richardson","given":"D.M."},{"family":"Genovesi","given":"P."},{"family":"MacFadyen","given":"S."}],"issued":{"date-parts":[["2017"]]}},"label":"page"},{"id":30156,"uris":["http://zotero.org/groups/2352922/items/V3QBL2ER"],"itemData":{"id":30156,"type":"book","collection-number":"No. 40","collection-title":"Environmental Policy and Law Paper","event-place":"Gland, Switzerland Cambridge and Bonn","ISBN":"2-8317-0548-7","publisher":"IUCN","publisher-place":"Gland, Switzerland Cambridge and Bonn","title":"A guide to designing legal and institutional frameworks on alien invasive species","URL":"https://www.nobanis.org/globalassets/articlesreports/a-guide-to-designing-legal-framework-on-ias.pdf","author":[{"family":"Shine","given":"C."},{"family":"Williams","given":"Nattley"},{"family":"Gündling","given":"Lothar"}],"issued":{"date-parts":[["2000"]]}},"label":"page"}],"schema":"https://github.com/citation-style-language/schema/raw/master/csl-citation.json"} </w:instrText>
      </w:r>
      <w:r w:rsidR="00A15D88" w:rsidRPr="00256201">
        <w:rPr>
          <w:b w:val="0"/>
          <w:bCs/>
          <w:lang w:eastAsia="en-US"/>
        </w:rPr>
        <w:fldChar w:fldCharType="separate"/>
      </w:r>
      <w:r w:rsidR="00C71E80" w:rsidRPr="00256201">
        <w:rPr>
          <w:b w:val="0"/>
          <w:bCs/>
        </w:rPr>
        <w:t>(Foxcroft et al., 2017; Shine et al., 2000)</w:t>
      </w:r>
      <w:r w:rsidR="00A15D88" w:rsidRPr="00256201">
        <w:rPr>
          <w:b w:val="0"/>
          <w:bCs/>
          <w:lang w:eastAsia="en-US"/>
        </w:rPr>
        <w:fldChar w:fldCharType="end"/>
      </w:r>
      <w:r w:rsidR="00A15D88" w:rsidRPr="00A9434B">
        <w:rPr>
          <w:b w:val="0"/>
          <w:bCs/>
          <w:lang w:eastAsia="en-US"/>
        </w:rPr>
        <w:t>.</w:t>
      </w:r>
      <w:r w:rsidRPr="00A9434B">
        <w:rPr>
          <w:b w:val="0"/>
          <w:bCs/>
          <w:lang w:eastAsia="en-US"/>
        </w:rPr>
        <w:t xml:space="preserve"> </w:t>
      </w:r>
      <w:r w:rsidR="651A92C8" w:rsidRPr="00A9434B">
        <w:rPr>
          <w:b w:val="0"/>
          <w:bCs/>
          <w:lang w:eastAsia="en-US"/>
        </w:rPr>
        <w:t>Th</w:t>
      </w:r>
      <w:r w:rsidR="00ED2B55">
        <w:rPr>
          <w:b w:val="0"/>
          <w:bCs/>
          <w:lang w:eastAsia="en-US"/>
        </w:rPr>
        <w:t>e designation of protected areas</w:t>
      </w:r>
      <w:r w:rsidR="651A92C8" w:rsidRPr="00A9434B">
        <w:rPr>
          <w:b w:val="0"/>
          <w:bCs/>
          <w:lang w:eastAsia="en-US"/>
        </w:rPr>
        <w:t xml:space="preserve"> will likely increase as a result of the </w:t>
      </w:r>
      <w:r w:rsidR="00771B6A" w:rsidRPr="00A9434B">
        <w:rPr>
          <w:b w:val="0"/>
          <w:bCs/>
          <w:lang w:eastAsia="en-US"/>
        </w:rPr>
        <w:t xml:space="preserve">Kunming-Montreal Global </w:t>
      </w:r>
      <w:r w:rsidR="005D2906" w:rsidRPr="00A9434B">
        <w:rPr>
          <w:b w:val="0"/>
          <w:bCs/>
          <w:lang w:eastAsia="en-US"/>
        </w:rPr>
        <w:t>B</w:t>
      </w:r>
      <w:r w:rsidR="00771B6A" w:rsidRPr="00A9434B">
        <w:rPr>
          <w:b w:val="0"/>
          <w:bCs/>
          <w:lang w:eastAsia="en-US"/>
        </w:rPr>
        <w:t xml:space="preserve">iodiversity </w:t>
      </w:r>
      <w:r w:rsidR="005D2906" w:rsidRPr="00A9434B">
        <w:rPr>
          <w:b w:val="0"/>
          <w:bCs/>
          <w:lang w:eastAsia="en-US"/>
        </w:rPr>
        <w:t>F</w:t>
      </w:r>
      <w:r w:rsidR="00771B6A" w:rsidRPr="00A9434B">
        <w:rPr>
          <w:b w:val="0"/>
          <w:bCs/>
          <w:lang w:eastAsia="en-US"/>
        </w:rPr>
        <w:t xml:space="preserve">ramework </w:t>
      </w:r>
      <w:r w:rsidR="651A92C8" w:rsidRPr="00A9434B">
        <w:rPr>
          <w:b w:val="0"/>
          <w:bCs/>
          <w:lang w:eastAsia="en-US"/>
        </w:rPr>
        <w:t>adopted at COP15 of the CBD in late 2022, which clearly encouraged governments to increase protected areas on land and in water</w:t>
      </w:r>
      <w:r w:rsidR="00771B6A" w:rsidRPr="00A9434B">
        <w:rPr>
          <w:b w:val="0"/>
          <w:bCs/>
          <w:lang w:eastAsia="en-US"/>
        </w:rPr>
        <w:t xml:space="preserve"> by </w:t>
      </w:r>
      <w:r w:rsidR="003D7C25" w:rsidRPr="00A9434B">
        <w:rPr>
          <w:b w:val="0"/>
          <w:bCs/>
          <w:lang w:eastAsia="en-US"/>
        </w:rPr>
        <w:t>restoring (</w:t>
      </w:r>
      <w:r w:rsidR="005F335E" w:rsidRPr="00A9434B">
        <w:rPr>
          <w:b w:val="0"/>
          <w:bCs/>
          <w:lang w:eastAsia="en-US"/>
        </w:rPr>
        <w:t>T</w:t>
      </w:r>
      <w:r w:rsidR="003D7C25" w:rsidRPr="00A9434B">
        <w:rPr>
          <w:b w:val="0"/>
          <w:bCs/>
          <w:lang w:eastAsia="en-US"/>
        </w:rPr>
        <w:t>arget 2) or protecting (</w:t>
      </w:r>
      <w:r w:rsidR="005F335E" w:rsidRPr="00A9434B">
        <w:rPr>
          <w:b w:val="0"/>
          <w:bCs/>
          <w:lang w:eastAsia="en-US"/>
        </w:rPr>
        <w:t>T</w:t>
      </w:r>
      <w:r w:rsidR="003D7C25" w:rsidRPr="00A9434B">
        <w:rPr>
          <w:b w:val="0"/>
          <w:bCs/>
          <w:lang w:eastAsia="en-US"/>
        </w:rPr>
        <w:t xml:space="preserve">arget 3) </w:t>
      </w:r>
      <w:r w:rsidR="001A41E3" w:rsidRPr="00A9434B">
        <w:rPr>
          <w:b w:val="0"/>
          <w:bCs/>
          <w:lang w:eastAsia="en-US"/>
        </w:rPr>
        <w:t>at least 30 per cent of terrestrial, inland water</w:t>
      </w:r>
      <w:r w:rsidR="005D0083">
        <w:rPr>
          <w:b w:val="0"/>
          <w:bCs/>
          <w:lang w:eastAsia="en-US"/>
        </w:rPr>
        <w:t xml:space="preserve"> and</w:t>
      </w:r>
      <w:r w:rsidR="001A41E3" w:rsidRPr="00A9434B">
        <w:rPr>
          <w:b w:val="0"/>
          <w:bCs/>
          <w:lang w:eastAsia="en-US"/>
        </w:rPr>
        <w:t xml:space="preserve"> of coastal and marine areas</w:t>
      </w:r>
      <w:r w:rsidR="651A92C8" w:rsidRPr="00A9434B">
        <w:rPr>
          <w:b w:val="0"/>
          <w:bCs/>
          <w:lang w:eastAsia="en-US"/>
        </w:rPr>
        <w:t>.</w:t>
      </w:r>
    </w:p>
    <w:p w14:paraId="7A5DFD29" w14:textId="3DBE6476" w:rsidR="00017C04" w:rsidRDefault="6117E239">
      <w:r w:rsidRPr="00A9434B">
        <w:rPr>
          <w:lang w:eastAsia="en-US"/>
        </w:rPr>
        <w:t xml:space="preserve">Due to the importance of protected areas, policy instruments could be developed to elevate protected areas to priority invasive alien species management sites, using a site-based management strategy </w:t>
      </w:r>
      <w:r w:rsidR="00F806B6" w:rsidRPr="00A9434B">
        <w:rPr>
          <w:lang w:eastAsia="en-US"/>
        </w:rPr>
        <w:t>(</w:t>
      </w:r>
      <w:r w:rsidR="00571A0C">
        <w:rPr>
          <w:b/>
          <w:iCs/>
          <w:lang w:eastAsia="en-US"/>
        </w:rPr>
        <w:t>G</w:t>
      </w:r>
      <w:r w:rsidR="00DD6E7A" w:rsidRPr="00673554">
        <w:rPr>
          <w:b/>
          <w:iCs/>
          <w:lang w:eastAsia="en-US"/>
        </w:rPr>
        <w:t>lossary</w:t>
      </w:r>
      <w:r w:rsidR="00DD6E7A" w:rsidRPr="00673554">
        <w:rPr>
          <w:iCs/>
          <w:lang w:eastAsia="en-US"/>
        </w:rPr>
        <w:t>;</w:t>
      </w:r>
      <w:r w:rsidR="00DD6E7A" w:rsidRPr="00673554">
        <w:rPr>
          <w:b/>
          <w:iCs/>
          <w:lang w:eastAsia="en-US"/>
        </w:rPr>
        <w:t xml:space="preserve"> </w:t>
      </w:r>
      <w:r w:rsidR="00571A0C">
        <w:rPr>
          <w:b/>
          <w:iCs/>
          <w:lang w:eastAsia="en-US"/>
        </w:rPr>
        <w:t>C</w:t>
      </w:r>
      <w:r w:rsidR="6DB41006" w:rsidRPr="00673554">
        <w:rPr>
          <w:b/>
          <w:iCs/>
          <w:lang w:eastAsia="en-US"/>
        </w:rPr>
        <w:t>hapter 5</w:t>
      </w:r>
      <w:r w:rsidRPr="00673554">
        <w:rPr>
          <w:iCs/>
          <w:lang w:eastAsia="en-US"/>
        </w:rPr>
        <w:t>,</w:t>
      </w:r>
      <w:r w:rsidRPr="00673554">
        <w:rPr>
          <w:b/>
          <w:iCs/>
          <w:lang w:eastAsia="en-US"/>
        </w:rPr>
        <w:t xml:space="preserve"> section 5.3.1.3</w:t>
      </w:r>
      <w:r w:rsidRPr="00A9434B">
        <w:rPr>
          <w:lang w:eastAsia="en-US"/>
        </w:rPr>
        <w:t>).</w:t>
      </w:r>
      <w:r w:rsidR="00F50AF9">
        <w:t xml:space="preserve"> The development of such instruments may lead to the formalization of alien species management plans into the protected area management planning process. For example, the European Union Natura 2000 network aims to ensure the long-term survival of valuable and threatened species and habitats. Therefore, management plans are needed to prevent the deterioration of habitats and significant disturbance to species </w:t>
      </w:r>
      <w:r w:rsidR="00A15D88" w:rsidRPr="00A9434B">
        <w:rPr>
          <w:lang w:eastAsia="en-US"/>
        </w:rPr>
        <w:fldChar w:fldCharType="begin"/>
      </w:r>
      <w:r w:rsidR="0006613E">
        <w:rPr>
          <w:lang w:eastAsia="en-US"/>
        </w:rPr>
        <w:instrText xml:space="preserve"> ADDIN ZOTERO_ITEM CSL_CITATION {"citationID":"a13q5rs0dmf","properties":{"formattedCitation":"(Underwood et al., 2020)","plainCitation":"(Underwood et al., 2020)","noteIndex":0},"citationItems":[{"id":54688,"uris":["http://zotero.org/groups/2352922/items/QJ3982M9"],"itemData":{"id":54688,"type":"post-weblog","language":"en-GB","title":"FAQs on how the EU Invasive Alien Species Regulation interacts with the EU Nature Directives","URL":"https://ieep.eu/publications/faqs-on-how-the-eu-invasive-alien-species-regulation-interacts-with-the-eu-nature-directives/","author":[{"family":"Underwood","given":"Evelyn"},{"family":"Scalera","given":"Riccardo"},{"family":"Rabitsch","given":"Wolfgang"}],"accessed":{"date-parts":[["2023",3,7]]},"issued":{"date-parts":[["2020"]]}},"label":"page"}],"schema":"https://github.com/citation-style-language/schema/raw/master/csl-citation.json"} </w:instrText>
      </w:r>
      <w:r w:rsidR="00A15D88" w:rsidRPr="00A9434B">
        <w:rPr>
          <w:lang w:eastAsia="en-US"/>
        </w:rPr>
        <w:fldChar w:fldCharType="separate"/>
      </w:r>
      <w:r w:rsidR="00C71E80" w:rsidRPr="00A9434B">
        <w:t>(Underwood et al., 2020)</w:t>
      </w:r>
      <w:r w:rsidR="00A15D88" w:rsidRPr="00A9434B">
        <w:rPr>
          <w:lang w:eastAsia="en-US"/>
        </w:rPr>
        <w:fldChar w:fldCharType="end"/>
      </w:r>
      <w:r w:rsidRPr="00A9434B">
        <w:rPr>
          <w:lang w:eastAsia="en-US"/>
        </w:rPr>
        <w:t>.</w:t>
      </w:r>
      <w:r w:rsidR="00F50AF9">
        <w:t xml:space="preserve"> The European Union invasive alien species regulations also provide legal support to prevent the introduction and spread of invasive alien species of Union concern, as Member States are obliged to undertake action to prevent and/or limit the impact of invasive alien species of Union concern </w:t>
      </w:r>
      <w:r w:rsidR="00D85EA1" w:rsidRPr="00A9434B">
        <w:rPr>
          <w:lang w:eastAsia="en-US"/>
        </w:rPr>
        <w:fldChar w:fldCharType="begin"/>
      </w:r>
      <w:r w:rsidR="0006613E">
        <w:rPr>
          <w:lang w:eastAsia="en-US"/>
        </w:rPr>
        <w:instrText xml:space="preserve"> ADDIN ZOTERO_ITEM CSL_CITATION {"citationID":"tDgYjuia","properties":{"formattedCitation":"(Underwood et al., 2020)","plainCitation":"(Underwood et al., 2020)","noteIndex":0},"citationItems":[{"id":54688,"uris":["http://zotero.org/groups/2352922/items/QJ3982M9"],"itemData":{"id":54688,"type":"post-weblog","language":"en-GB","title":"FAQs on how the EU Invasive Alien Species Regulation interacts with the EU Nature Directives","URL":"https://ieep.eu/publications/faqs-on-how-the-eu-invasive-alien-species-regulation-interacts-with-the-eu-nature-directives/","author":[{"family":"Underwood","given":"Evelyn"},{"family":"Scalera","given":"Riccardo"},{"family":"Rabitsch","given":"Wolfgang"}],"accessed":{"date-parts":[["2023",3,7]]},"issued":{"date-parts":[["2020"]]}},"label":"page"}],"schema":"https://github.com/citation-style-language/schema/raw/master/csl-citation.json"} </w:instrText>
      </w:r>
      <w:r w:rsidR="00D85EA1" w:rsidRPr="00A9434B">
        <w:rPr>
          <w:lang w:eastAsia="en-US"/>
        </w:rPr>
        <w:fldChar w:fldCharType="separate"/>
      </w:r>
      <w:r w:rsidR="00C71E80" w:rsidRPr="00A9434B">
        <w:t>(Underwood et al., 2020)</w:t>
      </w:r>
      <w:r w:rsidR="00D85EA1" w:rsidRPr="00A9434B">
        <w:rPr>
          <w:lang w:eastAsia="en-US"/>
        </w:rPr>
        <w:fldChar w:fldCharType="end"/>
      </w:r>
      <w:r w:rsidR="00D85EA1" w:rsidRPr="00A9434B">
        <w:rPr>
          <w:lang w:eastAsia="en-US"/>
        </w:rPr>
        <w:t>.</w:t>
      </w:r>
      <w:r w:rsidR="00F50AF9">
        <w:t xml:space="preserve"> In Argentina, the national invasive alien species strategy requires management plans for the control of invasive alien species to be incorporated into protected area management and annual operational plans in national, provincial and municipal protected areas</w:t>
      </w:r>
      <w:r w:rsidR="005D0083">
        <w:t xml:space="preserve"> and</w:t>
      </w:r>
      <w:r w:rsidR="00F50AF9">
        <w:t xml:space="preserve"> private reserves </w:t>
      </w:r>
      <w:r w:rsidR="007E462E" w:rsidRPr="00A9434B">
        <w:rPr>
          <w:lang w:eastAsia="en-US"/>
        </w:rPr>
        <w:fldChar w:fldCharType="begin"/>
      </w:r>
      <w:r w:rsidR="0006613E">
        <w:rPr>
          <w:lang w:eastAsia="en-US"/>
        </w:rPr>
        <w:instrText xml:space="preserve"> ADDIN ZOTERO_ITEM CSL_CITATION {"citationID":"a9f36f4p8b","properties":{"formattedCitation":"(Paola &amp; Kravetz, 2004)","plainCitation":"(Paola &amp; Kravetz, 2004)","noteIndex":0},"citationItems":[{"id":54690,"uris":["http://zotero.org/groups/2352922/items/GIKZGCDG"],"itemData":{"id":54690,"type":"article-journal","container-title":"Environmental Law Institute","page":"71 - 87","title":"Invasive alien species: Legal and institutional framework in Argentina","URL":"https://www.ecolex.org/details/literature/invasive-alien-species-legal-and-institutional-framework-in-argentina-ana-072038/","author":[{"family":"Paola","given":"M.","dropping-particle":"di"},{"family":"Kravetz","given":"D."}],"accessed":{"date-parts":[["2023",3,7]]},"issued":{"date-parts":[["2004"]]}},"label":"page"}],"schema":"https://github.com/citation-style-language/schema/raw/master/csl-citation.json"} </w:instrText>
      </w:r>
      <w:r w:rsidR="007E462E" w:rsidRPr="00A9434B">
        <w:rPr>
          <w:lang w:eastAsia="en-US"/>
        </w:rPr>
        <w:fldChar w:fldCharType="separate"/>
      </w:r>
      <w:r w:rsidR="00C71E80" w:rsidRPr="00A9434B">
        <w:t>(Paola &amp; Kravetz, 2004)</w:t>
      </w:r>
      <w:r w:rsidR="007E462E" w:rsidRPr="00A9434B">
        <w:rPr>
          <w:lang w:eastAsia="en-US"/>
        </w:rPr>
        <w:fldChar w:fldCharType="end"/>
      </w:r>
      <w:r w:rsidR="007E462E" w:rsidRPr="00A9434B">
        <w:rPr>
          <w:lang w:eastAsia="en-US"/>
        </w:rPr>
        <w:t>.</w:t>
      </w:r>
      <w:r w:rsidR="00F50AF9">
        <w:t xml:space="preserve"> Protected areas in marine and connected systems are, however, less likely to achieve successful management following establishment of an invasive alien species (</w:t>
      </w:r>
      <w:r w:rsidR="00F50AF9">
        <w:rPr>
          <w:b/>
        </w:rPr>
        <w:t>Chapter 5</w:t>
      </w:r>
      <w:r w:rsidR="00F50AF9">
        <w:t>,</w:t>
      </w:r>
      <w:r w:rsidR="00F50AF9">
        <w:rPr>
          <w:b/>
        </w:rPr>
        <w:t xml:space="preserve"> </w:t>
      </w:r>
      <w:r w:rsidRPr="00673554">
        <w:rPr>
          <w:b/>
          <w:iCs/>
          <w:lang w:eastAsia="en-US"/>
        </w:rPr>
        <w:t>Figure 5.1</w:t>
      </w:r>
      <w:r w:rsidRPr="00673554">
        <w:rPr>
          <w:b/>
          <w:lang w:eastAsia="en-US"/>
        </w:rPr>
        <w:t>;</w:t>
      </w:r>
      <w:r w:rsidRPr="00A9434B">
        <w:rPr>
          <w:lang w:eastAsia="en-US"/>
        </w:rPr>
        <w:t xml:space="preserve"> </w:t>
      </w:r>
      <w:r w:rsidR="0014555C" w:rsidRPr="00A9434B">
        <w:rPr>
          <w:lang w:eastAsia="en-US"/>
        </w:rPr>
        <w:fldChar w:fldCharType="begin"/>
      </w:r>
      <w:r w:rsidR="0006613E">
        <w:rPr>
          <w:lang w:eastAsia="en-US"/>
        </w:rPr>
        <w:instrText xml:space="preserve"> ADDIN ZOTERO_ITEM CSL_CITATION {"citationID":"a1q2d266ldm","properties":{"formattedCitation":"\\uldash{(Simberloff, 2021)}","plainCitation":"(Simberloff, 2021)","dontUpdate":true,"noteIndex":0},"citationItems":[{"id":31697,"uris":["http://zotero.org/groups/2352922/items/CP5WZMAV"],"itemData":{"id":31697,"type":"article-journal","container-title":"Hydrobiologia","DOI":"10.1007/s10750-020-04352-5","ISSN":"0018-8158, 1573-5117","issue":"9","journalAbbreviation":"Hydrobiologia","language":"en","page":"2399-2420","source":"DOI.org (Crossref)","title":"Maintenance management and eradication of established aquatic invaders","URL":"https://link.springer.com/10.1007/s10750-020-04352-5","volume":"848","author":[{"family":"Simberloff","given":"Daniel"}],"accessed":{"date-parts":[["2021",11,22]]},"issued":{"date-parts":[["2021",5]]}},"label":"page"}],"schema":"https://github.com/citation-style-language/schema/raw/master/csl-citation.json"} </w:instrText>
      </w:r>
      <w:r w:rsidR="0014555C" w:rsidRPr="00A9434B">
        <w:rPr>
          <w:lang w:eastAsia="en-US"/>
        </w:rPr>
        <w:fldChar w:fldCharType="separate"/>
      </w:r>
      <w:r w:rsidR="0014555C" w:rsidRPr="00A9434B">
        <w:t>Simberloff, 2021</w:t>
      </w:r>
      <w:r w:rsidR="0014555C" w:rsidRPr="00A9434B">
        <w:rPr>
          <w:lang w:eastAsia="en-US"/>
        </w:rPr>
        <w:fldChar w:fldCharType="end"/>
      </w:r>
      <w:r w:rsidRPr="00A9434B">
        <w:rPr>
          <w:lang w:eastAsia="en-US"/>
        </w:rPr>
        <w:t xml:space="preserve">; </w:t>
      </w:r>
      <w:r w:rsidRPr="00673554">
        <w:rPr>
          <w:b/>
          <w:iCs/>
          <w:lang w:eastAsia="en-US"/>
        </w:rPr>
        <w:t>Box 6.</w:t>
      </w:r>
      <w:r w:rsidR="00F77EC7" w:rsidRPr="00673554">
        <w:rPr>
          <w:b/>
          <w:iCs/>
          <w:lang w:eastAsia="en-US"/>
        </w:rPr>
        <w:t>8</w:t>
      </w:r>
      <w:r w:rsidRPr="00A9434B">
        <w:rPr>
          <w:lang w:eastAsia="en-US"/>
        </w:rPr>
        <w:t>).</w:t>
      </w:r>
      <w:r w:rsidR="00F50AF9">
        <w:t xml:space="preserve"> Therefore, high-level policy instruments are needed to focus on preventative measures, for example, ballast water management systems and biofouling protocols (</w:t>
      </w:r>
      <w:r w:rsidR="004918C4" w:rsidRPr="00673554">
        <w:rPr>
          <w:b/>
          <w:iCs/>
          <w:lang w:eastAsia="en-US"/>
        </w:rPr>
        <w:t>Table</w:t>
      </w:r>
      <w:r w:rsidR="00F50AF9">
        <w:rPr>
          <w:b/>
        </w:rPr>
        <w:t xml:space="preserve"> 6.4</w:t>
      </w:r>
      <w:r w:rsidR="00F50AF9">
        <w:t xml:space="preserve">; </w:t>
      </w:r>
      <w:r w:rsidR="00F50AF9">
        <w:rPr>
          <w:b/>
        </w:rPr>
        <w:t>Chapter 5</w:t>
      </w:r>
      <w:r w:rsidR="00F50AF9">
        <w:t>,</w:t>
      </w:r>
      <w:r w:rsidR="00F50AF9">
        <w:rPr>
          <w:b/>
        </w:rPr>
        <w:t xml:space="preserve"> section 5.4.4.1</w:t>
      </w:r>
      <w:r w:rsidR="00F50AF9">
        <w:t>).</w:t>
      </w:r>
    </w:p>
    <w:p w14:paraId="02C60CAD" w14:textId="2C538C8F" w:rsidR="00017C04" w:rsidRDefault="2F958343">
      <w:r>
        <w:t xml:space="preserve">The application of high-level indicators downscaled from global to local levels may provide a framework for protected areas to assess progress in managing </w:t>
      </w:r>
      <w:r w:rsidR="7B460E44">
        <w:t>biological invasions</w:t>
      </w:r>
      <w:r>
        <w:t>. For example, in protected areas, it is possible to monitor the number of alien taxa, the species negatively impacting biodiversity, and the trends therein (</w:t>
      </w:r>
      <w:r w:rsidRPr="0B8DB0CC">
        <w:rPr>
          <w:b/>
          <w:bCs/>
        </w:rPr>
        <w:t>section 6.6.3</w:t>
      </w:r>
      <w:r>
        <w:t xml:space="preserve">). This indicator can be read in conjunction with indicators such as trends in species at risk of localized extinction in a protected area. Response indicators provide protected areas and conservation agencies with feedback on the extent to which essential policy and management approaches have been adopted </w:t>
      </w:r>
      <w:r w:rsidR="0014555C" w:rsidRPr="00215172">
        <w:rPr>
          <w:lang w:eastAsia="en-US"/>
        </w:rPr>
        <w:fldChar w:fldCharType="begin"/>
      </w:r>
      <w:r w:rsidR="002D2756">
        <w:rPr>
          <w:lang w:eastAsia="en-US"/>
        </w:rPr>
        <w:instrText xml:space="preserve"> ADDIN ZOTERO_ITEM CSL_CITATION {"citationID":"a29ncrlh402","properties":{"formattedCitation":"\\uldash{(McGeoch et al., 2010)}","plainCitation":"(McGeoch et al., 2010)","dontUpdate":true,"noteIndex":0},"citationItems":[{"id":"SnSXgYY3/WWzzJk3K","uris":["http://zotero.org/groups/2352922/items/TA9WEFBP"],"itemData":{"id":28832,"type":"article-journal","abstract":"Aim Invasive alien species (IAS) pose a significant threat to biodiversity. The Convention on Biological Diversity’s 2010 Biodiversity Target, and the associated indicator for IAS, has stimulated globally coordinated efforts to quantify patterns in the extent of biological invasion, its impact on biodiversity and policy responses. Here, we report on the outcome of indicators of alien invasion at a global scale. Location Global. Methods We developed four indicators in a pressure-state-response framework, i.e. number of documented IAS (pressure), trends in the impact of IAS on biodiversity (state) and trends in international agreements and national policy adoption relevant to reducing IAS threats to biodiversity (response). These measures were considered best suited to providing globally representative, standardized and sustainable indicators by 2010. Results We show that the number of documented IAS is a significant underestimate, because its value is negatively affected by country development status and positively by research effort and information availability. The Red List Index demonstrates that IAS pressure is driving declines in species diversity, with the overall impact apparently increasing. The policy response trend has nonetheless been positive for the last several decades, although only half of countries that are signatory to the Convention on Biological Diversity (CBD) have IAS-relevant national legislation. Although IAS pressure has apparently driven the policy response, this has clearly not been sufficient and/or adequately implemented to reduce biodiversity impact. Main conclusions For this indicator of threat to biodiversity, the 2010 Biodiversity Target has thus not been achieved. The results nonetheless provide clear direction for bridging the current divide between information available on IAS and that needed for policy and management for the prevention and control of IAS. It further highlights the need for measures to ensure that policy is effectively implemented, such that it translates into reduced IAS pressure and impact on biodiversity beyond 2010.","container-title":"Diversity and Distributions","DOI":"10.1111/j.1472-4642.2009.00633.x","ISSN":"1472-4642","issue":"1","language":"en","license":"© 2010 Blackwell Publishing Ltd","page":"95-108","source":"Wiley Online Library","title":"Global indicators of biological invasion: species numbers, biodiversity impact and policy responses","title-short":"Global indicators of biological invasion","URL":"https://doi.org/10.1111/j.1472-4642.2009.00633.x","volume":"16","author":[{"family":"McGeoch","given":"Melodie A."},{"family":"Butchart","given":"Stuart H. M."},{"family":"Spear","given":"Dian"},{"family":"Marais","given":"Elrike"},{"family":"Kleynhans","given":"Elizabeth J."},{"family":"Symes","given":"Andy"},{"family":"Chanson","given":"Janice"},{"family":"Hoffmann","given":"Michael"}],"accessed":{"date-parts":[["2019",4,16]]},"issued":{"date-parts":[["2010"]]}},"label":"page"}],"schema":"https://github.com/citation-style-language/schema/raw/master/csl-citation.json"} </w:instrText>
      </w:r>
      <w:r w:rsidR="0014555C" w:rsidRPr="00215172">
        <w:rPr>
          <w:lang w:eastAsia="en-US"/>
        </w:rPr>
        <w:fldChar w:fldCharType="separate"/>
      </w:r>
      <w:r w:rsidR="0014555C" w:rsidRPr="00215172">
        <w:t>(McGeoch et al., 2010</w:t>
      </w:r>
      <w:r w:rsidR="0014555C" w:rsidRPr="00215172">
        <w:rPr>
          <w:lang w:eastAsia="en-US"/>
        </w:rPr>
        <w:fldChar w:fldCharType="end"/>
      </w:r>
      <w:r w:rsidR="008A4448" w:rsidRPr="00215172">
        <w:rPr>
          <w:lang w:eastAsia="en-US"/>
        </w:rPr>
        <w:t>;</w:t>
      </w:r>
      <w:r w:rsidR="53DA3171" w:rsidRPr="00215172">
        <w:rPr>
          <w:lang w:eastAsia="en-US"/>
        </w:rPr>
        <w:t xml:space="preserve"> </w:t>
      </w:r>
      <w:r w:rsidR="53DA3171" w:rsidRPr="00673554">
        <w:rPr>
          <w:b/>
          <w:iCs/>
          <w:lang w:eastAsia="en-US"/>
        </w:rPr>
        <w:t>section 6.6.3</w:t>
      </w:r>
      <w:r w:rsidR="53DA3171" w:rsidRPr="00215172">
        <w:rPr>
          <w:lang w:eastAsia="en-US"/>
        </w:rPr>
        <w:t>)</w:t>
      </w:r>
      <w:r w:rsidR="6117E239" w:rsidRPr="00A9434B">
        <w:rPr>
          <w:lang w:eastAsia="en-US"/>
        </w:rPr>
        <w:t>.</w:t>
      </w:r>
      <w:r>
        <w:t xml:space="preserve"> Collated at a national level these responses can be used to inform global indicators such as </w:t>
      </w:r>
      <w:r w:rsidR="006E0767">
        <w:t xml:space="preserve">those for measuring progress in achieving </w:t>
      </w:r>
      <w:r>
        <w:t xml:space="preserve">the targets of the Kunming-Montreal Global Biodiversity Framework. </w:t>
      </w:r>
    </w:p>
    <w:p w14:paraId="02E10937" w14:textId="5BBD4446" w:rsidR="00017C04" w:rsidRPr="00C12647" w:rsidRDefault="00F50AF9" w:rsidP="00B301D7">
      <w:pPr>
        <w:pStyle w:val="Caption"/>
        <w:pBdr>
          <w:top w:val="single" w:sz="4" w:space="1" w:color="auto"/>
          <w:left w:val="single" w:sz="4" w:space="1" w:color="auto"/>
          <w:bottom w:val="single" w:sz="4" w:space="1" w:color="auto"/>
          <w:right w:val="single" w:sz="4" w:space="1" w:color="auto"/>
        </w:pBdr>
        <w:shd w:val="clear" w:color="auto" w:fill="E7E6E6" w:themeFill="background2"/>
        <w:rPr>
          <w:color w:val="000000" w:themeColor="text1"/>
        </w:rPr>
      </w:pPr>
      <w:bookmarkStart w:id="282" w:name="_heading=h.2afmg28"/>
      <w:bookmarkStart w:id="283" w:name="_Ref104898493"/>
      <w:bookmarkStart w:id="284" w:name="_Toc147418617"/>
      <w:bookmarkEnd w:id="282"/>
      <w:r w:rsidRPr="00B301D7">
        <w:rPr>
          <w:bCs w:val="0"/>
        </w:rPr>
        <w:t>Box 6</w:t>
      </w:r>
      <w:r w:rsidR="13599504" w:rsidRPr="00B301D7">
        <w:rPr>
          <w:bCs w:val="0"/>
        </w:rPr>
        <w:t>.</w:t>
      </w:r>
      <w:r w:rsidR="001533A9" w:rsidRPr="00B301D7">
        <w:rPr>
          <w:bCs w:val="0"/>
        </w:rPr>
        <w:fldChar w:fldCharType="begin"/>
      </w:r>
      <w:r w:rsidR="001533A9" w:rsidRPr="00B301D7">
        <w:rPr>
          <w:bCs w:val="0"/>
        </w:rPr>
        <w:instrText xml:space="preserve"> SEQ Box_6. \* ARABIC </w:instrText>
      </w:r>
      <w:r w:rsidR="001533A9" w:rsidRPr="00B301D7">
        <w:rPr>
          <w:bCs w:val="0"/>
        </w:rPr>
        <w:fldChar w:fldCharType="separate"/>
      </w:r>
      <w:r w:rsidR="0011368C" w:rsidRPr="00B301D7">
        <w:rPr>
          <w:bCs w:val="0"/>
          <w:noProof/>
        </w:rPr>
        <w:t>8</w:t>
      </w:r>
      <w:r w:rsidR="001533A9" w:rsidRPr="00B301D7">
        <w:rPr>
          <w:bCs w:val="0"/>
        </w:rPr>
        <w:fldChar w:fldCharType="end"/>
      </w:r>
      <w:bookmarkEnd w:id="283"/>
      <w:r w:rsidR="00E36BDC" w:rsidRPr="00B301D7">
        <w:rPr>
          <w:bCs w:val="0"/>
        </w:rPr>
        <w:t>.</w:t>
      </w:r>
      <w:r w:rsidRPr="00C12647">
        <w:rPr>
          <w:color w:val="000000" w:themeColor="text1"/>
        </w:rPr>
        <w:t xml:space="preserve"> Marine protected areas as hotspots of</w:t>
      </w:r>
      <w:r w:rsidR="00C12647">
        <w:rPr>
          <w:color w:val="000000" w:themeColor="text1"/>
        </w:rPr>
        <w:t xml:space="preserve"> </w:t>
      </w:r>
      <w:r w:rsidR="468A6F0F" w:rsidRPr="00192C26">
        <w:rPr>
          <w:color w:val="000000" w:themeColor="text1"/>
        </w:rPr>
        <w:t>invasive alien species</w:t>
      </w:r>
      <w:bookmarkEnd w:id="284"/>
    </w:p>
    <w:p w14:paraId="5F63DC32" w14:textId="4CF3D2C0" w:rsidR="00F34A9B" w:rsidRPr="00A9434B" w:rsidRDefault="00F704AE" w:rsidP="006E13B2">
      <w:pPr>
        <w:pBdr>
          <w:top w:val="single" w:sz="4" w:space="1" w:color="auto"/>
          <w:left w:val="single" w:sz="4" w:space="1" w:color="auto"/>
          <w:bottom w:val="single" w:sz="4" w:space="1" w:color="auto"/>
          <w:right w:val="single" w:sz="4" w:space="1" w:color="auto"/>
        </w:pBdr>
        <w:shd w:val="clear" w:color="auto" w:fill="E7E6E6" w:themeFill="background2"/>
      </w:pPr>
      <w:r w:rsidRPr="00A9434B">
        <w:t>Marine protected areas are created to conserve the diversity of native species and associated habitat</w:t>
      </w:r>
      <w:r w:rsidR="006F33C3" w:rsidRPr="00A9434B">
        <w:t xml:space="preserve">, </w:t>
      </w:r>
      <w:r w:rsidR="00BC5647" w:rsidRPr="00A9434B">
        <w:t>and protect this biodiversity from th</w:t>
      </w:r>
      <w:r w:rsidR="00A66328" w:rsidRPr="00A9434B">
        <w:t>r</w:t>
      </w:r>
      <w:r w:rsidR="006F33C3" w:rsidRPr="00A9434B">
        <w:t xml:space="preserve">eats such as invasive alien species </w:t>
      </w:r>
      <w:r w:rsidRPr="00A9434B">
        <w:fldChar w:fldCharType="begin"/>
      </w:r>
      <w:r w:rsidRPr="00A9434B">
        <w:instrText xml:space="preserve"> ADDIN EN.CITE &lt;EndNote&gt;&lt;Cite&gt;&lt;Author&gt;Francour&lt;/Author&gt;&lt;Year&gt;2010&lt;/Year&gt;&lt;RecNum&gt;39&lt;/RecNum&gt;&lt;DisplayText&gt;(Francour, Mangialajo et al. 2010)&lt;/DisplayText&gt;&lt;record&gt;&lt;rec-number&gt;39&lt;/rec-number&gt;&lt;foreign-keys&gt;&lt;key app="EN" db-id="2fps2rpwcptwaxedz9oprzvmawfxef9pfpa2" timestamp="1620721650"&gt;39&lt;/key&gt;&lt;/foreign-keys&gt;&lt;ref-type name="Journal Article"&gt;17&lt;/ref-type&gt;&lt;contributors&gt;&lt;authors&gt;&lt;author&gt;Francour, Patrice&lt;/author&gt;&lt;author&gt;Mangialajo, Luisa&lt;/author&gt;&lt;author&gt;Pastor, Jérémy&lt;/author&gt;&lt;/authors&gt;&lt;/contributors&gt;&lt;titles&gt;&lt;title&gt;Mediterranean marine protected areas and non-indigenous fish spreading&lt;/title&gt;&lt;secondary-title&gt;Fish Invasions of the Mediterranean Sea: Change and renewal. D. Golani &amp;amp; B. Appelbaum-Golani eds., Pensoft Publisher, Sofia-Moscow&lt;/secondary-title&gt;&lt;/titles&gt;&lt;periodical&gt;&lt;full-title&gt;Fish Invasions of the Mediterranean Sea: Change and renewal. D. Golani &amp;amp; B. Appelbaum-Golani eds., Pensoft Publisher, Sofia-Moscow&lt;/full-title&gt;&lt;/periodical&gt;&lt;pages&gt;127-144&lt;/pages&gt;&lt;dates&gt;&lt;year&gt;2010&lt;/year&gt;&lt;/dates&gt;&lt;urls&gt;&lt;/urls&gt;&lt;/record&gt;&lt;/Cite&gt;&lt;/EndNote&gt;</w:instrText>
      </w:r>
      <w:r w:rsidRPr="00A9434B">
        <w:fldChar w:fldCharType="separate"/>
      </w:r>
      <w:r w:rsidRPr="00A9434B">
        <w:fldChar w:fldCharType="begin"/>
      </w:r>
      <w:r w:rsidR="0006613E">
        <w:instrText xml:space="preserve"> ADDIN ZOTERO_ITEM CSL_CITATION {"citationID":"a14mtf4iqmk","properties":{"formattedCitation":"(Francour et al., 2010)","plainCitation":"(Francour et al., 2010)","noteIndex":0},"citationItems":[{"id":31440,"uris":["http://zotero.org/groups/2352922/items/6FDEG2X6"],"itemData":{"id":31440,"type":"chapter","container-title":"Fish Invasions of the Mediterranean Sea: Change and Renewal","event-place":"Moscow","page":"127-144","publisher":"Pensoft Publishers","publisher-place":"Moscow","source":"ResearchGate","title":"Mediterranean marine protected areas and non-indigenous fish spreading","author":[{"family":"Francour","given":"Patrice"},{"family":"Mangialajo","given":"Luisa"},{"family":"Pastor","given":"Jérémy"}],"editor":[{"family":"Golani","given":"D"},{"family":"Appelbaum-Golani","given":"B."}],"issued":{"date-parts":[["2010",1,1]]}},"label":"page"}],"schema":"https://github.com/citation-style-language/schema/raw/master/csl-citation.json"} </w:instrText>
      </w:r>
      <w:r w:rsidRPr="00A9434B">
        <w:fldChar w:fldCharType="separate"/>
      </w:r>
      <w:r w:rsidR="00C71E80" w:rsidRPr="00A9434B">
        <w:t>(Francour et al., 2010)</w:t>
      </w:r>
      <w:r w:rsidRPr="00A9434B">
        <w:fldChar w:fldCharType="end"/>
      </w:r>
      <w:r w:rsidRPr="00A9434B">
        <w:fldChar w:fldCharType="end"/>
      </w:r>
      <w:r w:rsidRPr="00A9434B">
        <w:t xml:space="preserve">. </w:t>
      </w:r>
      <w:r w:rsidR="00F34A9B" w:rsidRPr="00A9434B">
        <w:t xml:space="preserve">Yet, </w:t>
      </w:r>
      <w:r w:rsidR="1F154804" w:rsidRPr="00A9434B">
        <w:t>evidence is emerging that suggests</w:t>
      </w:r>
      <w:r w:rsidR="00F34A9B" w:rsidRPr="00A9434B">
        <w:t xml:space="preserve"> marine protected areas</w:t>
      </w:r>
      <w:r w:rsidR="007A44C8" w:rsidRPr="00A9434B">
        <w:t xml:space="preserve"> </w:t>
      </w:r>
      <w:r w:rsidR="00F34A9B" w:rsidRPr="00A9434B">
        <w:t xml:space="preserve">do not provide effective, or even adequate, resistance to the introduction, establishment and spread of invasive alien species </w:t>
      </w:r>
      <w:r w:rsidR="00BC1E78" w:rsidRPr="00A9434B">
        <w:fldChar w:fldCharType="begin"/>
      </w:r>
      <w:r w:rsidR="0006613E">
        <w:instrText xml:space="preserve"> ADDIN ZOTERO_ITEM CSL_CITATION {"citationID":"a14qpa8d7l9","properties":{"formattedCitation":"(Usher et al., 1988)","plainCitation":"(Usher et al., 1988)","noteIndex":0},"citationItems":[{"id":53423,"uris":["http://zotero.org/groups/2352922/items/IMX69ZN2"],"itemData":{"id":53423,"type":"article-journal","container-title":"Biological Conservation","DOI":"10.1016/0006-3207(88)90002-X","ISSN":"0006-3207","issue":"1-2","journalAbbreviation":"Biol Conserv","language":"English","page":"1-8","title":"The Ecology of Biological Invasions into Nature Reserves - an Introduction","volume":"44","author":[{"family":"Usher","given":"M. B."},{"family":"Kruger","given":"F. J."},{"family":"Macdonald","given":"I. A. W."},{"family":"Loope","given":"L. L."},{"family":"Brockie","given":"R. E."}],"issued":{"date-parts":[["1988"]]}},"label":"page"}],"schema":"https://github.com/citation-style-language/schema/raw/master/csl-citation.json"} </w:instrText>
      </w:r>
      <w:r w:rsidR="00BC1E78" w:rsidRPr="00A9434B">
        <w:fldChar w:fldCharType="separate"/>
      </w:r>
      <w:r w:rsidR="00C71E80" w:rsidRPr="00A9434B">
        <w:t>(Usher et al., 1988)</w:t>
      </w:r>
      <w:r w:rsidR="00BC1E78" w:rsidRPr="00A9434B">
        <w:fldChar w:fldCharType="end"/>
      </w:r>
      <w:r w:rsidR="00F34A9B" w:rsidRPr="00A9434B">
        <w:fldChar w:fldCharType="begin"/>
      </w:r>
      <w:r w:rsidR="00F34A9B" w:rsidRPr="00A9434B">
        <w:instrText xml:space="preserve"> ADDIN EN.CITE &lt;EndNote&gt;&lt;Cite&gt;&lt;Author&gt;Usher&lt;/Author&gt;&lt;Year&gt;1988&lt;/Year&gt;&lt;RecNum&gt;47&lt;/RecNum&gt;&lt;DisplayText&gt;(Usher, Kruger et al. 1988)&lt;/DisplayText&gt;&lt;record&gt;&lt;rec-number&gt;47&lt;/rec-number&gt;&lt;foreign-keys&gt;&lt;key app="EN" db-id="2fps2rpwcptwaxedz9oprzvmawfxef9pfpa2" timestamp="1620722212"&gt;47&lt;/key&gt;&lt;/foreign-keys&gt;&lt;ref-type name="Journal Article"&gt;17&lt;/ref-type&gt;&lt;contributors&gt;&lt;authors&gt;&lt;author&gt;Usher, M. B.&lt;/author&gt;&lt;author&gt;Kruger, F. J.&lt;/author&gt;&lt;author&gt;Macdonald, I. A. W.&lt;/author&gt;&lt;author&gt;Loope, L. L.&lt;/author&gt;&lt;author&gt;Brockie, R. E.&lt;/author&gt;&lt;/authors&gt;&lt;/contributors&gt;&lt;auth-address&gt;Dsir,Div Ecol,Lower Hutt,New Zealand&amp;#xD;Univ Cape Town,Percy Fitzpatrick Inst African Ornithol,Rondebosch 7700,South Africa&amp;#xD;S African Forestry Res Inst,Pretoria 0001,South Africa&amp;#xD;Haleakala Natl Pk,Makawao,Hi 96768&lt;/auth-address&gt;&lt;titles&gt;&lt;title&gt;The Ecology of Biological Invasions into Nature Reserves - an Introduction&lt;/title&gt;&lt;secondary-title&gt;Biological Conservation&lt;/secondary-title&gt;&lt;alt-title&gt;Biol Conserv&lt;/alt-title&gt;&lt;/titles&gt;&lt;periodical&gt;&lt;full-title&gt;Biological Conservation&lt;/full-title&gt;&lt;abbr-1&gt;Biol Conserv&lt;/abbr-1&gt;&lt;/periodical&gt;&lt;alt-periodical&gt;&lt;full-title&gt;Biological Conservation&lt;/full-title&gt;&lt;abbr-1&gt;Biol Conserv&lt;/abbr-1&gt;&lt;/alt-periodical&gt;&lt;pages&gt;1-8&lt;/pages&gt;&lt;volume&gt;44&lt;/volume&gt;&lt;number&gt;1-2&lt;/number&gt;&lt;dates&gt;&lt;year&gt;1988&lt;/year&gt;&lt;/dates&gt;&lt;isbn&gt;0006-3207&lt;/isbn&gt;&lt;accession-num&gt;WOS:A1988M588500001&lt;/accession-num&gt;&lt;urls&gt;&lt;related-urls&gt;&lt;url&gt;&amp;lt;Go to ISI&amp;gt;://WOS:A1988M588500001&lt;/url&gt;&lt;/related-urls&gt;&lt;/urls&gt;&lt;electronic-resource-num&gt;Doi 10.1016/0006-3207(88)90002-X&lt;/electronic-resource-num&gt;&lt;language&gt;English&lt;/language&gt;&lt;/record&gt;&lt;/Cite&gt;&lt;/EndNote&gt;</w:instrText>
      </w:r>
      <w:r w:rsidR="00F34A9B" w:rsidRPr="00A9434B">
        <w:fldChar w:fldCharType="end"/>
      </w:r>
      <w:r w:rsidR="00F34A9B" w:rsidRPr="00A9434B">
        <w:t>.</w:t>
      </w:r>
      <w:r w:rsidR="00BC1E78" w:rsidRPr="00A9434B">
        <w:t xml:space="preserve"> </w:t>
      </w:r>
      <w:r w:rsidR="00F34A9B" w:rsidRPr="00A9434B">
        <w:t xml:space="preserve">For example, a survey of the venomous </w:t>
      </w:r>
      <w:r w:rsidR="00F34A9B" w:rsidRPr="00A9434B">
        <w:rPr>
          <w:i/>
          <w:iCs/>
        </w:rPr>
        <w:t>Pterois</w:t>
      </w:r>
      <w:r w:rsidR="00F34A9B" w:rsidRPr="00A9434B">
        <w:t xml:space="preserve"> spp</w:t>
      </w:r>
      <w:r w:rsidR="00BC1E78" w:rsidRPr="00A9434B">
        <w:t>. (lionfish</w:t>
      </w:r>
      <w:r w:rsidR="00262945">
        <w:t>es</w:t>
      </w:r>
      <w:r w:rsidR="00BC1E78" w:rsidRPr="00A9434B">
        <w:t>)</w:t>
      </w:r>
      <w:r w:rsidR="00F34A9B" w:rsidRPr="00A9434B">
        <w:t xml:space="preserve"> in 71 Caribbean reefs </w:t>
      </w:r>
      <w:r w:rsidR="00A7208D" w:rsidRPr="00A9434B">
        <w:t xml:space="preserve">shows that they have </w:t>
      </w:r>
      <w:r w:rsidR="00F34A9B" w:rsidRPr="00A9434B">
        <w:t>established</w:t>
      </w:r>
      <w:r w:rsidR="00BB45E9" w:rsidRPr="00A9434B">
        <w:t xml:space="preserve"> </w:t>
      </w:r>
      <w:r w:rsidR="00A7208D" w:rsidRPr="00A9434B">
        <w:t>in</w:t>
      </w:r>
      <w:r w:rsidR="00F34A9B" w:rsidRPr="00A9434B">
        <w:t xml:space="preserve"> high densities on reefs with depauperate native predator assemblages</w:t>
      </w:r>
      <w:r w:rsidR="00A7208D" w:rsidRPr="00A9434B">
        <w:t>, and</w:t>
      </w:r>
      <w:r w:rsidR="00F34A9B" w:rsidRPr="00A9434B">
        <w:t xml:space="preserve"> on reefs with </w:t>
      </w:r>
      <w:r w:rsidR="0058286A" w:rsidRPr="00A9434B">
        <w:t xml:space="preserve">both </w:t>
      </w:r>
      <w:r w:rsidR="00D113A8" w:rsidRPr="00A9434B">
        <w:t xml:space="preserve">a </w:t>
      </w:r>
      <w:r w:rsidR="00F34A9B" w:rsidRPr="00A9434B">
        <w:t xml:space="preserve">high diversity and </w:t>
      </w:r>
      <w:r w:rsidR="00AB1003" w:rsidRPr="00A9434B">
        <w:t xml:space="preserve">high </w:t>
      </w:r>
      <w:r w:rsidR="00F34A9B" w:rsidRPr="00A9434B">
        <w:t>biomass of native predators</w:t>
      </w:r>
      <w:r w:rsidR="00A7208D" w:rsidRPr="00A9434B">
        <w:t xml:space="preserve"> </w:t>
      </w:r>
      <w:r w:rsidR="00BC1E78" w:rsidRPr="00A9434B">
        <w:fldChar w:fldCharType="begin"/>
      </w:r>
      <w:r w:rsidR="0006613E">
        <w:instrText xml:space="preserve"> ADDIN ZOTERO_ITEM CSL_CITATION {"citationID":"aqlu6gitcf","properties":{"formattedCitation":"\\uldash{(Hackerott et al., 2013)}","plainCitation":"(Hackerott et al., 2013)","dontUpdate":true,"noteIndex":0},"citationItems":[{"id":53533,"uris":["http://zotero.org/groups/2352922/items/DNTAZP2I"],"itemData":{"id":53533,"type":"article-journal","container-title":"Plos One","DOI":"10.1371/journal.pone.0068259","ISSN":"1932-6203","issue":"7","journalAbbreviation":"Plos One","page":"e68259","title":"Native predators do not influence invasion success of Pacific lionfish on Caribbean reefs","volume":"8","author":[{"family":"Hackerott","given":"Serena"},{"family":"Valdivia","given":"Abel"},{"family":"Green","given":"Stephanie J."},{"family":"Côté","given":"Isabelle M."},{"family":"Cox","given":"Courtney E."},{"family":"Akins","given":"Lad"},{"family":"Layman","given":"Craig A."},{"family":"Precht","given":"William F."},{"family":"Bruno","given":"John F."}],"issued":{"date-parts":[["2013"]]}},"label":"page"}],"schema":"https://github.com/citation-style-language/schema/raw/master/csl-citation.json"} </w:instrText>
      </w:r>
      <w:r w:rsidR="00BC1E78" w:rsidRPr="00A9434B">
        <w:fldChar w:fldCharType="separate"/>
      </w:r>
      <w:r w:rsidR="0014555C" w:rsidRPr="00A9434B">
        <w:t>(Hackerott et al., 2013</w:t>
      </w:r>
      <w:r w:rsidR="00BC1E78" w:rsidRPr="00A9434B">
        <w:fldChar w:fldCharType="end"/>
      </w:r>
      <w:r w:rsidR="00F34A9B" w:rsidRPr="00A9434B">
        <w:fldChar w:fldCharType="begin"/>
      </w:r>
      <w:r w:rsidR="00F34A9B" w:rsidRPr="00A9434B">
        <w:instrText xml:space="preserve"> ADDIN EN.CITE &lt;EndNote&gt;&lt;Cite&gt;&lt;Author&gt;Hackerott&lt;/Author&gt;&lt;Year&gt;2013&lt;/Year&gt;&lt;RecNum&gt;57&lt;/RecNum&gt;&lt;DisplayText&gt;(Hackerott, Valdivia et al. 2013)&lt;/DisplayText&gt;&lt;record&gt;&lt;rec-number&gt;57&lt;/rec-number&gt;&lt;foreign-keys&gt;&lt;key app="EN" db-id="2fps2rpwcptwaxedz9oprzvmawfxef9pfpa2" timestamp="1620722330"&gt;57&lt;/key&gt;&lt;/foreign-keys&gt;&lt;ref-type name="Journal Article"&gt;17&lt;/ref-type&gt;&lt;contributors&gt;&lt;authors&gt;&lt;author&gt;Hackerott, Serena&lt;/author&gt;&lt;author&gt;Valdivia, Abel&lt;/author&gt;&lt;author&gt;Green, Stephanie J&lt;/author&gt;&lt;author&gt;Côté, Isabelle M&lt;/author&gt;&lt;author&gt;Cox, Courtney E&lt;/author&gt;&lt;author&gt;Akins, Lad&lt;/author&gt;&lt;author&gt;Layman, Craig A&lt;/author&gt;&lt;author&gt;Precht, William F&lt;/author&gt;&lt;author&gt;Bruno, John F&lt;/author&gt;&lt;/authors&gt;&lt;/contributors&gt;&lt;titles&gt;&lt;title&gt;Native predators do not influence invasion success of Pacific lionfish on Caribbean reefs&lt;/title&gt;&lt;secondary-title&gt;PLoS one&lt;/secondary-title&gt;&lt;/titles&gt;&lt;periodical&gt;&lt;full-title&gt;Plos One&lt;/full-title&gt;&lt;abbr-1&gt;Plos One&lt;/abbr-1&gt;&lt;/periodical&gt;&lt;pages&gt;e68259&lt;/pages&gt;&lt;volume&gt;8&lt;/volume&gt;&lt;number&gt;7&lt;/number&gt;&lt;dates&gt;&lt;year&gt;2013&lt;/year&gt;&lt;/dates&gt;&lt;isbn&gt;1932-6203&lt;/isbn&gt;&lt;urls&gt;&lt;/urls&gt;&lt;/record&gt;&lt;/Cite&gt;&lt;/EndNote&gt;</w:instrText>
      </w:r>
      <w:r w:rsidR="00F34A9B" w:rsidRPr="00A9434B">
        <w:fldChar w:fldCharType="separate"/>
      </w:r>
      <w:r w:rsidR="00FA3E0C" w:rsidRPr="00FA3E0C">
        <w:t>;</w:t>
      </w:r>
      <w:r w:rsidR="004155A5" w:rsidRPr="00A9434B">
        <w:rPr>
          <w:i/>
          <w:iCs/>
        </w:rPr>
        <w:t xml:space="preserve"> </w:t>
      </w:r>
      <w:r w:rsidR="004155A5" w:rsidRPr="00673554">
        <w:rPr>
          <w:b/>
          <w:iCs/>
        </w:rPr>
        <w:fldChar w:fldCharType="begin"/>
      </w:r>
      <w:r w:rsidR="004155A5" w:rsidRPr="00673554">
        <w:rPr>
          <w:b/>
          <w:iCs/>
        </w:rPr>
        <w:instrText xml:space="preserve"> REF _Ref104896726 \h  \* MERGEFORMAT </w:instrText>
      </w:r>
      <w:r w:rsidR="004155A5" w:rsidRPr="00673554">
        <w:rPr>
          <w:b/>
          <w:iCs/>
        </w:rPr>
      </w:r>
      <w:r w:rsidR="004155A5" w:rsidRPr="00673554">
        <w:rPr>
          <w:b/>
          <w:iCs/>
        </w:rPr>
        <w:fldChar w:fldCharType="separate"/>
      </w:r>
      <w:r w:rsidR="0011368C" w:rsidRPr="00673554">
        <w:rPr>
          <w:b/>
          <w:iCs/>
        </w:rPr>
        <w:t>Figure 6.13</w:t>
      </w:r>
      <w:r w:rsidR="004155A5" w:rsidRPr="00673554">
        <w:rPr>
          <w:b/>
          <w:iCs/>
        </w:rPr>
        <w:fldChar w:fldCharType="end"/>
      </w:r>
      <w:r w:rsidR="00F34A9B" w:rsidRPr="00A9434B">
        <w:t>)</w:t>
      </w:r>
      <w:r w:rsidR="00F34A9B" w:rsidRPr="00A9434B">
        <w:fldChar w:fldCharType="end"/>
      </w:r>
      <w:r w:rsidR="00F34A9B" w:rsidRPr="00A9434B">
        <w:t>. A census of lionfish in the Florida Keys National Marine Sanctuary, long considered a safe refuge</w:t>
      </w:r>
      <w:r w:rsidR="005442A1" w:rsidRPr="00A9434B">
        <w:t xml:space="preserve"> for biodiversity</w:t>
      </w:r>
      <w:r w:rsidR="00F34A9B" w:rsidRPr="00A9434B">
        <w:t xml:space="preserve"> </w:t>
      </w:r>
      <w:r w:rsidR="00BC1E78" w:rsidRPr="00A9434B">
        <w:fldChar w:fldCharType="begin"/>
      </w:r>
      <w:r w:rsidR="0006613E">
        <w:instrText xml:space="preserve"> ADDIN ZOTERO_ITEM CSL_CITATION {"citationID":"a1tlbuos5oq","properties":{"formattedCitation":"(Hickerson et al., 2012)","plainCitation":"(Hickerson et al., 2012)","noteIndex":0},"citationItems":[{"id":53525,"uris":["http://zotero.org/groups/2352922/items/KX2ZXYTV"],"itemData":{"id":53525,"type":"paper-conference","container-title":"Proceedings of the 12th International Coral Reef Symposium","event-place":"Cairns, Australia","event-title":"the 12th International Coral Reef Symposium","publisher-place":"Cairns, Australia","title":"Flower Garden Banks–a refuge in the Gulf of Mexico?","author":[{"family":"Hickerson","given":"Emma L."},{"family":"Schmahl","given":"G. P."},{"family":"Johnston","given":"M. A."},{"family":"Nuttall","given":"M. F."},{"family":"Embesi","given":"J. A."},{"family":"Eckert","given":"R. J."}],"issued":{"date-parts":[["2012",7,9]]}},"label":"page"}],"schema":"https://github.com/citation-style-language/schema/raw/master/csl-citation.json"} </w:instrText>
      </w:r>
      <w:r w:rsidR="00BC1E78" w:rsidRPr="00A9434B">
        <w:fldChar w:fldCharType="separate"/>
      </w:r>
      <w:r w:rsidR="00C71E80" w:rsidRPr="00A9434B">
        <w:t>(Hickerson et al., 2012)</w:t>
      </w:r>
      <w:r w:rsidR="00BC1E78" w:rsidRPr="00A9434B">
        <w:fldChar w:fldCharType="end"/>
      </w:r>
      <w:r w:rsidR="00F34A9B" w:rsidRPr="00A9434B">
        <w:fldChar w:fldCharType="begin"/>
      </w:r>
      <w:r w:rsidR="00F34A9B" w:rsidRPr="00A9434B">
        <w:instrText xml:space="preserve"> ADDIN EN.CITE &lt;EndNote&gt;&lt;Cite&gt;&lt;Author&gt;Hickerson&lt;/Author&gt;&lt;Year&gt;2012&lt;/Year&gt;&lt;RecNum&gt;58&lt;/RecNum&gt;&lt;DisplayText&gt;(Hickerson, Schmahl et al. 2012)&lt;/DisplayText&gt;&lt;record&gt;&lt;rec-number&gt;58&lt;/rec-number&gt;&lt;foreign-keys&gt;&lt;key app="EN" db-id="2fps2rpwcptwaxedz9oprzvmawfxef9pfpa2" timestamp="1620722406"&gt;58&lt;/key&gt;&lt;/foreign-keys&gt;&lt;ref-type name="Conference Proceedings"&gt;10&lt;/ref-type&gt;&lt;contributors&gt;&lt;authors&gt;&lt;author&gt;Hickerson, Emma L&lt;/author&gt;&lt;author&gt;Schmahl, GP&lt;/author&gt;&lt;author&gt;Johnston, MA&lt;/author&gt;&lt;author&gt;Nuttall, MF&lt;/author&gt;&lt;author&gt;Embesi, JA&lt;/author&gt;&lt;author&gt;Eckert, RJ&lt;/author&gt;&lt;/authors&gt;&lt;/contributors&gt;&lt;titles&gt;&lt;title&gt;Flower Garden Banks–a refuge in the Gulf of Mexico?&lt;/title&gt;&lt;secondary-title&gt;Proceedings of the 12th International Coral Reef Symposium&lt;/secondary-title&gt;&lt;/titles&gt;&lt;pages&gt;9-13&lt;/pages&gt;&lt;volume&gt;1&lt;/volume&gt;&lt;dates&gt;&lt;year&gt;2012&lt;/year&gt;&lt;/dates&gt;&lt;urls&gt;&lt;/urls&gt;&lt;/record&gt;&lt;/Cite&gt;&lt;/EndNote&gt;</w:instrText>
      </w:r>
      <w:r w:rsidR="00F34A9B" w:rsidRPr="00A9434B">
        <w:fldChar w:fldCharType="end"/>
      </w:r>
      <w:r w:rsidR="00F34A9B" w:rsidRPr="00A9434B">
        <w:t xml:space="preserve">, revealed a rapid </w:t>
      </w:r>
      <w:r w:rsidR="00A7208D" w:rsidRPr="00A9434B">
        <w:t>increase in their spread</w:t>
      </w:r>
      <w:r w:rsidR="00F34A9B" w:rsidRPr="00A9434B">
        <w:t>, abundance</w:t>
      </w:r>
      <w:r w:rsidR="005D0083">
        <w:t xml:space="preserve"> and</w:t>
      </w:r>
      <w:r w:rsidR="00F34A9B" w:rsidRPr="00A9434B">
        <w:t xml:space="preserve"> biomass </w:t>
      </w:r>
      <w:r w:rsidR="00BC1E78" w:rsidRPr="00A9434B">
        <w:fldChar w:fldCharType="begin"/>
      </w:r>
      <w:r w:rsidR="0006613E">
        <w:instrText xml:space="preserve"> ADDIN ZOTERO_ITEM CSL_CITATION {"citationID":"akmjvq7o45","properties":{"formattedCitation":"(Ruttenberg et al., 2012)","plainCitation":"(Ruttenberg et al., 2012)","noteIndex":0},"citationItems":[{"id":31439,"uris":["http://zotero.org/groups/2352922/items/IA2SSHGE"],"itemData":{"id":31439,"type":"article-journal","abstract":"Over the past decade, Indo-Pacific lionfishes, Pterois volitans (Linnaeus, 1758) and Pterois miles (Bennett, 1828), venomous members of the scorpionfish family (Scorpaenidae), have invaded and spread throughout much of the tropical and subtropical northwestern Atlantic Ocean and Caribbean Sea. These species are generalist predators of fishes and invertebrates with the potential to disrupt the ecology of the invaded range. Lionfishes have been present in low numbers along the east coast of Florida since the 1980s, but were not reported in the Florida Keys until 2009. We document the appearance and rapid spread of lionfishes in the Florida Keys using multiple long-term data sets that include both pre- and post-invasion sampling. Our results are the first to quantify the invasion of lionfishes in a new area using multiple independent, ongoing monitoring data sets, two of which have explicit estimates of sampling effort. Between 2009 and 2011, lionfish frequency of occurrence, abundance, and biomass increased rapidly, increasing three- to six-fold between 2010 and 2011 alone. In addition, individuals were detected on a variety of reef and non-reef habitats throughout the Florida Keys. Because lionfish occurrence, abundance, and impacts are expected to continue to increase throughout the region, monitoring programs like those used in this study will be essential to document ecosystem changes that may result from this invasion.","container-title":"Bulletin of Marine Science","DOI":"10.5343/bms.2011.1108","issue":"4","page":"10511059","source":"pubs.er.usgs.gov","title":"Rapid invasion of the Indo-Pacific lionfishes (&lt;i&gt;Pterois volitans&lt;/i&gt; and &lt;i&gt;Pterois miles&lt;/i&gt;) in the Florida Keys, USA: evidence from multiple pre-and post-invasion data sets","title-short":"Rapid invasion of the Indo-Pacific lionfishes (Pterois volitans and Pterois miles) in the Florida Keys, USA","URL":"http://pubs.er.usgs.gov/publication/70040321","volume":"88","author":[{"family":"Ruttenberg","given":"Benjamin I."},{"family":"Schofield","given":"Pamela J."},{"family":"Akins","given":"J. Lad"},{"family":"Acosta","given":"Alejandro"},{"family":"Feeley","given":"Michael W."},{"family":"Blondeau","given":"Jeremiah"},{"family":"Smith","given":"Steven G."},{"family":"Ault","given":"Jerald S."}],"accessed":{"date-parts":[["2021",11,25]]},"issued":{"date-parts":[["2012"]]}},"label":"page"}],"schema":"https://github.com/citation-style-language/schema/raw/master/csl-citation.json"} </w:instrText>
      </w:r>
      <w:r w:rsidR="00BC1E78" w:rsidRPr="00A9434B">
        <w:fldChar w:fldCharType="separate"/>
      </w:r>
      <w:r w:rsidR="00C71E80" w:rsidRPr="00A9434B">
        <w:t>(Ruttenberg et al., 2012)</w:t>
      </w:r>
      <w:r w:rsidR="00BC1E78" w:rsidRPr="00A9434B">
        <w:fldChar w:fldCharType="end"/>
      </w:r>
      <w:r w:rsidR="00F34A9B" w:rsidRPr="00A9434B">
        <w:t xml:space="preserve">. </w:t>
      </w:r>
      <w:r w:rsidR="006E0767">
        <w:t>O</w:t>
      </w:r>
      <w:r w:rsidR="00D17077" w:rsidRPr="00A9434B">
        <w:t xml:space="preserve">n the island of Martinique, </w:t>
      </w:r>
      <w:r w:rsidR="006E13B2" w:rsidRPr="00A9434B">
        <w:t>d</w:t>
      </w:r>
      <w:r w:rsidR="00F34A9B" w:rsidRPr="00A9434B">
        <w:t xml:space="preserve">espite </w:t>
      </w:r>
      <w:r w:rsidR="00BB45E9" w:rsidRPr="00A9434B">
        <w:t xml:space="preserve">intensive </w:t>
      </w:r>
      <w:r w:rsidR="009F07B9" w:rsidRPr="00A9434B">
        <w:t xml:space="preserve">population </w:t>
      </w:r>
      <w:r w:rsidR="00F34A9B" w:rsidRPr="00A9434B">
        <w:t>control efforts</w:t>
      </w:r>
      <w:r w:rsidR="007F3EC2" w:rsidRPr="00A9434B">
        <w:t xml:space="preserve"> </w:t>
      </w:r>
      <w:r w:rsidR="007D7B62" w:rsidRPr="00A9434B">
        <w:t xml:space="preserve">(e.g., </w:t>
      </w:r>
      <w:r w:rsidR="005F00AE" w:rsidRPr="00A9434B">
        <w:t xml:space="preserve">public awareness, </w:t>
      </w:r>
      <w:r w:rsidR="002A5BD3" w:rsidRPr="00A9434B">
        <w:t>authorize and equip dive centres for Lion-fish removal</w:t>
      </w:r>
      <w:r w:rsidR="00CD40A9" w:rsidRPr="00A9434B">
        <w:t xml:space="preserve">; </w:t>
      </w:r>
      <w:r w:rsidR="0014555C" w:rsidRPr="00A9434B">
        <w:fldChar w:fldCharType="begin"/>
      </w:r>
      <w:r w:rsidR="0006613E">
        <w:instrText xml:space="preserve"> ADDIN ZOTERO_ITEM CSL_CITATION {"citationID":"a2d3qder6i0","properties":{"formattedCitation":"\\uldash{(Tr\\uc0\\u233{}garot et al., 2015)}","plainCitation":"(Trégarot et al., 2015)","dontUpdate":true,"noteIndex":0},"citationItems":[{"id":54692,"uris":["http://zotero.org/groups/2352922/items/MGHDQUUQ"],"itemData":{"id":54692,"type":"article-journal","container-title":"Marine Biodiversity Records","DOI":"10.1017/S1755267214001341","note":"ISBN: 1755-2672\npublisher: Cambridge University Press","page":"e1","title":"First records of the red lionfish (&lt;i&gt;Pterois volitans&lt;/i&gt;) in Martinique, French West Indies: monitoring invasion status through visual surveys","volume":"8","author":[{"family":"Trégarot","given":"Ewan"},{"family":"Fumaroli","given":"Marine"},{"family":"Arqué","given":"Alexandre"},{"family":"Hellio","given":"Claire"},{"family":"Maréchal","given":"Jean-Philippe"}],"issued":{"date-parts":[["2015"]]}}}],"schema":"https://github.com/citation-style-language/schema/raw/master/csl-citation.json"} </w:instrText>
      </w:r>
      <w:r w:rsidR="0014555C" w:rsidRPr="00A9434B">
        <w:fldChar w:fldCharType="separate"/>
      </w:r>
      <w:r w:rsidR="0014555C" w:rsidRPr="00A9434B">
        <w:t>Trégarot et al., 2015)</w:t>
      </w:r>
      <w:r w:rsidR="0014555C" w:rsidRPr="00A9434B">
        <w:fldChar w:fldCharType="end"/>
      </w:r>
      <w:r w:rsidR="005F00AE" w:rsidRPr="00A9434B">
        <w:t xml:space="preserve"> inspired by the Regional Caribbean Lionfish Strategy</w:t>
      </w:r>
      <w:r w:rsidR="00D17077" w:rsidRPr="00A9434B">
        <w:t xml:space="preserve"> </w:t>
      </w:r>
      <w:r w:rsidR="0014555C" w:rsidRPr="00A9434B">
        <w:fldChar w:fldCharType="begin"/>
      </w:r>
      <w:r w:rsidR="0006613E">
        <w:instrText xml:space="preserve"> ADDIN ZOTERO_ITEM CSL_CITATION {"citationID":"aapaikr6b","properties":{"formattedCitation":"(G\\uc0\\u243{}mez Lozano et al., 2013)","plainCitation":"(Gómez Lozano et al., 2013)","noteIndex":0},"citationItems":[{"id":54693,"uris":["http://zotero.org/groups/2352922/items/LZUL8BGK"],"itemData":{"id":54693,"type":"report","abstract":"Lionfishes are venomous species of scorpionfishes which are native to Indo- Pacific coral reef ecosystems and adjacent habitats. Because of their colorful and dramatic appearance, they are prized by aquarists around the world. Through accidental and/or purposeful release into warm Atlantic waters, they have become established as a highly problematic alien species that poses a serious threat to coral reefs in Bermuda, Florida, the Gulf of Mexico, the Caribbean islands, Central America, and northern South America. Invasive lionfish populations can reach high densities and cause extreme disruption to native fish communities; they have been shown to reduce biodiversity, are responsible for the decline of ecologically important species, and hinder stock-rebuilding efforts for economically important species. In January 2010, in recognition of the severity of the lionfish invasion and its impact on coral reefs and local communities, the 24th General Meeting of the International Coral Reef Initiative (ICRI) agreed to set up an Ad Hoc Committee to develop a strategic plan for the control of lionfish in the Wider Caribbean. The Strategy described in this document is one of the actions implemented by the Ad Hoc Committee, known as the Regional Lionfish Committee (RLC). It seeks to build on the existing programs and efforts aimed at minimizing the impacts of the lionfish in the region, and to provide a framework for action to provide a regionally coordinated response to the lionfish threat. The Strategy is based on the following objectives: (i) Facilitate collaboration among governments, reef-reliant industries, civil society, and academia by providing mechanisms for coordination of efforts across political and geographical boundaries, (ii) Encourage a coordinated research and monitoring agenda, (iii) Encourage governments to review and amend relevant legislation and, if necessary, develop new regulations and policies to control lionfish, (iv) Control invasive lionfish populations using regionally coordinated, effective methods, and (v) Provide education, information and outreach mechanisms to generate public support and foster stewardship in invasive lionfish programs. Each of the objectives is supported by strategies and actions with specific stakeholders identified as possible implementers. It is expected that this Strategy will be used by governments and other stakeholders to create plans to implement many of the actions identified in this strategy. The action plans would include timelines and indicators to measure effectiveness in achieving the objectives of this Strategy. Local government, coastal communities, non-governmental organizations (NGOs), and marine industries will play an important role in implementing onground actions to reduce lionfish impacts and enhance the resilience of reefs in the Wider Caribbean region.","note":"ISBN: 97806992302702","page":"31","publisher":"International Coral Reef Initiative","title":"Regional strategy for the control of invasive lionfish in the Wider Caribbean.","URL":"https://www.cabdirect.org/cabdirect/abstract/20178100072","author":[{"family":"Gómez Lozano","given":"R."},{"family":"Anderson","given":"L"},{"family":"Akins","given":"J. L."},{"family":"Buddo","given":"D. St. A"},{"family":"García-Moliner","given":"G"},{"family":"Lozano","given":"RG"},{"family":"Gourdin","given":"F"},{"family":"Laurent","given":"M"},{"family":"Lilyestrom","given":"C"},{"family":"Morris","given":"J. A."},{"family":"Ramnanan","given":"N."},{"family":"Torres","given":"R."}],"accessed":{"date-parts":[["2023",3,7]]},"issued":{"date-parts":[["2013"]]}},"label":"page"}],"schema":"https://github.com/citation-style-language/schema/raw/master/csl-citation.json"} </w:instrText>
      </w:r>
      <w:r w:rsidR="0014555C" w:rsidRPr="00A9434B">
        <w:fldChar w:fldCharType="separate"/>
      </w:r>
      <w:r w:rsidR="00017441" w:rsidRPr="00017441">
        <w:t>(Gómez Lozano et al., 2013)</w:t>
      </w:r>
      <w:r w:rsidR="0014555C" w:rsidRPr="00A9434B">
        <w:fldChar w:fldCharType="end"/>
      </w:r>
      <w:r w:rsidR="00A613C1" w:rsidRPr="00A9434B">
        <w:t>,</w:t>
      </w:r>
      <w:r w:rsidR="0050527B" w:rsidRPr="00A9434B">
        <w:t xml:space="preserve"> </w:t>
      </w:r>
      <w:r w:rsidR="00F34A9B" w:rsidRPr="00A9434B">
        <w:t xml:space="preserve">lionfish colonized the west coast of Martinique, </w:t>
      </w:r>
      <w:r w:rsidR="00F34A9B" w:rsidRPr="00A9434B">
        <w:lastRenderedPageBreak/>
        <w:t>most of it designated as marine protected areas</w:t>
      </w:r>
      <w:r w:rsidR="006260F1">
        <w:rPr>
          <w:rStyle w:val="FootnoteReference"/>
        </w:rPr>
        <w:footnoteReference w:id="10"/>
      </w:r>
      <w:r w:rsidR="00F34A9B" w:rsidRPr="00A9434B">
        <w:t xml:space="preserve">. The lionfish also colonized the isolated Parque Nacional Arrecife Alacranes and the offshore coral reefs of the Flower Garden Banks National Marine Sanctuary in the Gulf of Mexico </w:t>
      </w:r>
      <w:r w:rsidR="00F34A9B" w:rsidRPr="00A9434B">
        <w:fldChar w:fldCharType="begin">
          <w:fldData xml:space="preserve">PEVuZE5vdGU+PENpdGU+PEF1dGhvcj5Mb3Blei1Hb21lejwvQXV0aG9yPjxZZWFyPjIwMTQ8L1ll
YXI+PFJlY051bT42MDwvUmVjTnVtPjxEaXNwbGF5VGV4dD4oTG9wZXotR29tZXosIEFndWlsYXIt
UGVyZXJhIGV0IGFsLiAyMDE0LCBKb2huc3RvbiwgU3Rlcm5lIGV0IGFsLiAyMDE3KTwvRGlzcGxh
eVRleHQ+PHJlY29yZD48cmVjLW51bWJlcj42MDwvcmVjLW51bWJlcj48Zm9yZWlnbi1rZXlzPjxr
ZXkgYXBwPSJFTiIgZGItaWQ9IjJmcHMycnB3Y3B0d2F4ZWR6OW9wcnp2bWF3ZnhlZjlwZnBhMiIg
dGltZXN0YW1wPSIxNjIwNzIyNDg5Ij42MDwva2V5PjwvZm9yZWlnbi1rZXlzPjxyZWYtdHlwZSBu
YW1lPSJKb3VybmFsIEFydGljbGUiPjE3PC9yZWYtdHlwZT48Y29udHJpYnV0b3JzPjxhdXRob3Jz
PjxhdXRob3I+TG9wZXotR29tZXosIE0uIEouPC9hdXRob3I+PGF1dGhvcj5BZ3VpbGFyLVBlcmVy
YSwgQS48L2F1dGhvcj48YXV0aG9yPlBlcmVyYS1DaGFuLCBMLjwvYXV0aG9yPjwvYXV0aG9ycz48
L2NvbnRyaWJ1dG9ycz48YXV0aC1hZGRyZXNzPlVuaXYgQXV0b25vbWEgWXVjYXRhbiwgRGVwdCBC
aW9sIE1hcmluYSwgTWVyaWRhIDk3MzE1LCBZdWNhdGFuLCBNZXhpY288L2F1dGgtYWRkcmVzcz48
dGl0bGVzPjx0aXRsZT5NYXlhbiBkaXZlci1maXNoZXJzIGFzIGNpdGl6ZW4gc2NpZW50aXN0czog
ZGV0ZWN0aW9uIGFuZCBtb25pdG9yaW5nIG9mIHRoZSBpbnZhc2l2ZSByZWQgbGlvbmZpc2ggaW4g
dGhlIFBhcnF1ZSBOYWNpb25hbCBBcnJlY2lmZSBBbGFjcmFuZXMsIHNvdXRoZXJuIEd1bGYgb2Yg
TWV4aWNvPC90aXRsZT48c2Vjb25kYXJ5LXRpdGxlPkJpb2xvZ2ljYWwgSW52YXNpb25zPC9zZWNv
bmRhcnktdGl0bGU+PGFsdC10aXRsZT5CaW9sIEludmFzaW9uczwvYWx0LXRpdGxlPjwvdGl0bGVz
PjxwZXJpb2RpY2FsPjxmdWxsLXRpdGxlPkJpb2xvZ2ljYWwgSW52YXNpb25zPC9mdWxsLXRpdGxl
PjxhYmJyLTE+QmlvbCBJbnZhc2lvbnM8L2FiYnItMT48L3BlcmlvZGljYWw+PGFsdC1wZXJpb2Rp
Y2FsPjxmdWxsLXRpdGxlPkJpb2xvZ2ljYWwgSW52YXNpb25zPC9mdWxsLXRpdGxlPjxhYmJyLTE+
QmlvbCBJbnZhc2lvbnM8L2FiYnItMT48L2FsdC1wZXJpb2RpY2FsPjxwYWdlcz4xMzUxLTEzNTc8
L3BhZ2VzPjx2b2x1bWU+MTY8L3ZvbHVtZT48bnVtYmVyPjc8L251bWJlcj48a2V5d29yZHM+PGtl
eXdvcmQ+Y2l0aXplbiBzY2llbnRpc3Q8L2tleXdvcmQ+PGtleXdvcmQ+dm9sdW50ZWVyIHBhcnRp
Y2lwYXRpb248L2tleXdvcmQ+PGtleXdvcmQ+cHRlcm9pcyB2b2xpdGFuczwva2V5d29yZD48a2V5
d29yZD55dWNhdGFuIHBlbmluc3VsYTwva2V5d29yZD48a2V5d29yZD5ndWxmIG9mIG1leGljbzwv
a2V5d29yZD48a2V5d29yZD5yZWQgbGlvbmZpc2g8L2tleXdvcmQ+PGtleXdvcmQ+cHRlcm9pcy12
b2xpdGFucyBsaW5uYWV1czwva2V5d29yZD48a2V5d29yZD52b2x1bnRlZXJzPC9rZXl3b3JkPjxr
ZXl3b3JkPnNjaWVuY2U8L2tleXdvcmQ+PGtleXdvcmQ+eXVjYXRhbjwva2V5d29yZD48L2tleXdv
cmRzPjxkYXRlcz48eWVhcj4yMDE0PC95ZWFyPjxwdWItZGF0ZXM+PGRhdGU+SnVsPC9kYXRlPjwv
cHViLWRhdGVzPjwvZGF0ZXM+PGlzYm4+MTM4Ny0zNTQ3PC9pc2JuPjxhY2Nlc3Npb24tbnVtPldP
UzowMDAzMzg0NDUwMDAwMDM8L2FjY2Vzc2lvbi1udW0+PHVybHM+PHJlbGF0ZWQtdXJscz48dXJs
PiZsdDtHbyB0byBJU0kmZ3Q7Oi8vV09TOjAwMDMzODQ0NTAwMDAwMzwvdXJsPjwvcmVsYXRlZC11
cmxzPjwvdXJscz48ZWxlY3Ryb25pYy1yZXNvdXJjZS1udW0+MTAuMTAwNy9zMTA1MzAtMDEzLTA1
ODItMDwvZWxlY3Ryb25pYy1yZXNvdXJjZS1udW0+PGxhbmd1YWdlPkVuZ2xpc2g8L2xhbmd1YWdl
PjwvcmVjb3JkPjwvQ2l0ZT48Q2l0ZT48QXV0aG9yPkpvaG5zdG9uPC9BdXRob3I+PFllYXI+MjAx
NzwvWWVhcj48UmVjTnVtPjYxPC9SZWNOdW0+PHJlY29yZD48cmVjLW51bWJlcj42MTwvcmVjLW51
bWJlcj48Zm9yZWlnbi1rZXlzPjxrZXkgYXBwPSJFTiIgZGItaWQ9IjJmcHMycnB3Y3B0d2F4ZWR6
OW9wcnp2bWF3ZnhlZjlwZnBhMiIgdGltZXN0YW1wPSIxNjIwNzIyNTQ0Ij42MTwva2V5PjwvZm9y
ZWlnbi1rZXlzPjxyZWYtdHlwZSBuYW1lPSJSZXBvcnQiPjI3PC9yZWYtdHlwZT48Y29udHJpYnV0
b3JzPjxhdXRob3JzPjxhdXRob3I+Sm9obnN0b24sIE1pY2hlbGxlIEFubmU8L2F1dGhvcj48YXV0
aG9yPlN0ZXJuZSwgVHJhdmlzIEs8L2F1dGhvcj48YXV0aG9yPkVja2VydCwgUnlhbiBKPC9hdXRo
b3I+PGF1dGhvcj5OdXR0YWxsLCBNYXJpc3NhIEY8L2F1dGhvcj48YXV0aG9yPkVtYmVzaSwgSm9o
biBBPC9hdXRob3I+PGF1dGhvcj5XYWxrZXIsIFJhdmVuIEQ8L2F1dGhvcj48YXV0aG9yPkh1LCBY
aW5waW5nPC9hdXRob3I+PGF1dGhvcj5IaWNrZXJzb24sIEVtbWEgTG91aXNlPC9hdXRob3I+PGF1
dGhvcj5TY2htYWhsLCBHZW9yZ2UgUDwvYXV0aG9yPjwvYXV0aG9ycz48L2NvbnRyaWJ1dG9ycz48
dGl0bGVzPjx0aXRsZT5Mb25nLXRlcm0gbW9uaXRvcmluZyBhdCBFYXN0IGFuZCBXZXN0IEZsb3dl
ciBHYXJkZW4gQmFua3M6IDIwMTYgYW5udWFsIHJlcG9ydDwvdGl0bGU+PC90aXRsZXM+PGRhdGVz
Pjx5ZWFyPjIwMTc8L3llYXI+PC9kYXRlcz48dXJscz48L3VybHM+PC9yZWNvcmQ+PC9DaXRlPjwv
RW5kTm90ZT4A
</w:fldData>
        </w:fldChar>
      </w:r>
      <w:r w:rsidR="00F34A9B" w:rsidRPr="00A9434B">
        <w:instrText xml:space="preserve"> ADDIN EN.CITE </w:instrText>
      </w:r>
      <w:r w:rsidR="00F34A9B" w:rsidRPr="00A9434B">
        <w:fldChar w:fldCharType="begin">
          <w:fldData xml:space="preserve">PEVuZE5vdGU+PENpdGU+PEF1dGhvcj5Mb3Blei1Hb21lejwvQXV0aG9yPjxZZWFyPjIwMTQ8L1ll
YXI+PFJlY051bT42MDwvUmVjTnVtPjxEaXNwbGF5VGV4dD4oTG9wZXotR29tZXosIEFndWlsYXIt
UGVyZXJhIGV0IGFsLiAyMDE0LCBKb2huc3RvbiwgU3Rlcm5lIGV0IGFsLiAyMDE3KTwvRGlzcGxh
eVRleHQ+PHJlY29yZD48cmVjLW51bWJlcj42MDwvcmVjLW51bWJlcj48Zm9yZWlnbi1rZXlzPjxr
ZXkgYXBwPSJFTiIgZGItaWQ9IjJmcHMycnB3Y3B0d2F4ZWR6OW9wcnp2bWF3ZnhlZjlwZnBhMiIg
dGltZXN0YW1wPSIxNjIwNzIyNDg5Ij42MDwva2V5PjwvZm9yZWlnbi1rZXlzPjxyZWYtdHlwZSBu
YW1lPSJKb3VybmFsIEFydGljbGUiPjE3PC9yZWYtdHlwZT48Y29udHJpYnV0b3JzPjxhdXRob3Jz
PjxhdXRob3I+TG9wZXotR29tZXosIE0uIEouPC9hdXRob3I+PGF1dGhvcj5BZ3VpbGFyLVBlcmVy
YSwgQS48L2F1dGhvcj48YXV0aG9yPlBlcmVyYS1DaGFuLCBMLjwvYXV0aG9yPjwvYXV0aG9ycz48
L2NvbnRyaWJ1dG9ycz48YXV0aC1hZGRyZXNzPlVuaXYgQXV0b25vbWEgWXVjYXRhbiwgRGVwdCBC
aW9sIE1hcmluYSwgTWVyaWRhIDk3MzE1LCBZdWNhdGFuLCBNZXhpY288L2F1dGgtYWRkcmVzcz48
dGl0bGVzPjx0aXRsZT5NYXlhbiBkaXZlci1maXNoZXJzIGFzIGNpdGl6ZW4gc2NpZW50aXN0czog
ZGV0ZWN0aW9uIGFuZCBtb25pdG9yaW5nIG9mIHRoZSBpbnZhc2l2ZSByZWQgbGlvbmZpc2ggaW4g
dGhlIFBhcnF1ZSBOYWNpb25hbCBBcnJlY2lmZSBBbGFjcmFuZXMsIHNvdXRoZXJuIEd1bGYgb2Yg
TWV4aWNvPC90aXRsZT48c2Vjb25kYXJ5LXRpdGxlPkJpb2xvZ2ljYWwgSW52YXNpb25zPC9zZWNv
bmRhcnktdGl0bGU+PGFsdC10aXRsZT5CaW9sIEludmFzaW9uczwvYWx0LXRpdGxlPjwvdGl0bGVz
PjxwZXJpb2RpY2FsPjxmdWxsLXRpdGxlPkJpb2xvZ2ljYWwgSW52YXNpb25zPC9mdWxsLXRpdGxl
PjxhYmJyLTE+QmlvbCBJbnZhc2lvbnM8L2FiYnItMT48L3BlcmlvZGljYWw+PGFsdC1wZXJpb2Rp
Y2FsPjxmdWxsLXRpdGxlPkJpb2xvZ2ljYWwgSW52YXNpb25zPC9mdWxsLXRpdGxlPjxhYmJyLTE+
QmlvbCBJbnZhc2lvbnM8L2FiYnItMT48L2FsdC1wZXJpb2RpY2FsPjxwYWdlcz4xMzUxLTEzNTc8
L3BhZ2VzPjx2b2x1bWU+MTY8L3ZvbHVtZT48bnVtYmVyPjc8L251bWJlcj48a2V5d29yZHM+PGtl
eXdvcmQ+Y2l0aXplbiBzY2llbnRpc3Q8L2tleXdvcmQ+PGtleXdvcmQ+dm9sdW50ZWVyIHBhcnRp
Y2lwYXRpb248L2tleXdvcmQ+PGtleXdvcmQ+cHRlcm9pcyB2b2xpdGFuczwva2V5d29yZD48a2V5
d29yZD55dWNhdGFuIHBlbmluc3VsYTwva2V5d29yZD48a2V5d29yZD5ndWxmIG9mIG1leGljbzwv
a2V5d29yZD48a2V5d29yZD5yZWQgbGlvbmZpc2g8L2tleXdvcmQ+PGtleXdvcmQ+cHRlcm9pcy12
b2xpdGFucyBsaW5uYWV1czwva2V5d29yZD48a2V5d29yZD52b2x1bnRlZXJzPC9rZXl3b3JkPjxr
ZXl3b3JkPnNjaWVuY2U8L2tleXdvcmQ+PGtleXdvcmQ+eXVjYXRhbjwva2V5d29yZD48L2tleXdv
cmRzPjxkYXRlcz48eWVhcj4yMDE0PC95ZWFyPjxwdWItZGF0ZXM+PGRhdGU+SnVsPC9kYXRlPjwv
cHViLWRhdGVzPjwvZGF0ZXM+PGlzYm4+MTM4Ny0zNTQ3PC9pc2JuPjxhY2Nlc3Npb24tbnVtPldP
UzowMDAzMzg0NDUwMDAwMDM8L2FjY2Vzc2lvbi1udW0+PHVybHM+PHJlbGF0ZWQtdXJscz48dXJs
PiZsdDtHbyB0byBJU0kmZ3Q7Oi8vV09TOjAwMDMzODQ0NTAwMDAwMzwvdXJsPjwvcmVsYXRlZC11
cmxzPjwvdXJscz48ZWxlY3Ryb25pYy1yZXNvdXJjZS1udW0+MTAuMTAwNy9zMTA1MzAtMDEzLTA1
ODItMDwvZWxlY3Ryb25pYy1yZXNvdXJjZS1udW0+PGxhbmd1YWdlPkVuZ2xpc2g8L2xhbmd1YWdl
PjwvcmVjb3JkPjwvQ2l0ZT48Q2l0ZT48QXV0aG9yPkpvaG5zdG9uPC9BdXRob3I+PFllYXI+MjAx
NzwvWWVhcj48UmVjTnVtPjYxPC9SZWNOdW0+PHJlY29yZD48cmVjLW51bWJlcj42MTwvcmVjLW51
bWJlcj48Zm9yZWlnbi1rZXlzPjxrZXkgYXBwPSJFTiIgZGItaWQ9IjJmcHMycnB3Y3B0d2F4ZWR6
OW9wcnp2bWF3ZnhlZjlwZnBhMiIgdGltZXN0YW1wPSIxNjIwNzIyNTQ0Ij42MTwva2V5PjwvZm9y
ZWlnbi1rZXlzPjxyZWYtdHlwZSBuYW1lPSJSZXBvcnQiPjI3PC9yZWYtdHlwZT48Y29udHJpYnV0
b3JzPjxhdXRob3JzPjxhdXRob3I+Sm9obnN0b24sIE1pY2hlbGxlIEFubmU8L2F1dGhvcj48YXV0
aG9yPlN0ZXJuZSwgVHJhdmlzIEs8L2F1dGhvcj48YXV0aG9yPkVja2VydCwgUnlhbiBKPC9hdXRo
b3I+PGF1dGhvcj5OdXR0YWxsLCBNYXJpc3NhIEY8L2F1dGhvcj48YXV0aG9yPkVtYmVzaSwgSm9o
biBBPC9hdXRob3I+PGF1dGhvcj5XYWxrZXIsIFJhdmVuIEQ8L2F1dGhvcj48YXV0aG9yPkh1LCBY
aW5waW5nPC9hdXRob3I+PGF1dGhvcj5IaWNrZXJzb24sIEVtbWEgTG91aXNlPC9hdXRob3I+PGF1
dGhvcj5TY2htYWhsLCBHZW9yZ2UgUDwvYXV0aG9yPjwvYXV0aG9ycz48L2NvbnRyaWJ1dG9ycz48
dGl0bGVzPjx0aXRsZT5Mb25nLXRlcm0gbW9uaXRvcmluZyBhdCBFYXN0IGFuZCBXZXN0IEZsb3dl
ciBHYXJkZW4gQmFua3M6IDIwMTYgYW5udWFsIHJlcG9ydDwvdGl0bGU+PC90aXRsZXM+PGRhdGVz
Pjx5ZWFyPjIwMTc8L3llYXI+PC9kYXRlcz48dXJscz48L3VybHM+PC9yZWNvcmQ+PC9DaXRlPjwv
RW5kTm90ZT4A
</w:fldData>
        </w:fldChar>
      </w:r>
      <w:r w:rsidR="00F34A9B" w:rsidRPr="00A9434B">
        <w:instrText xml:space="preserve"> ADDIN EN.CITE.DATA </w:instrText>
      </w:r>
      <w:r w:rsidR="00F34A9B" w:rsidRPr="00A9434B">
        <w:fldChar w:fldCharType="end"/>
      </w:r>
      <w:r w:rsidR="00F34A9B" w:rsidRPr="00A9434B">
        <w:fldChar w:fldCharType="separate"/>
      </w:r>
      <w:r w:rsidR="00DF2318" w:rsidRPr="00A9434B">
        <w:fldChar w:fldCharType="begin"/>
      </w:r>
      <w:r w:rsidR="0006613E">
        <w:instrText xml:space="preserve"> ADDIN ZOTERO_ITEM CSL_CITATION {"citationID":"aiqgrftftk","properties":{"formattedCitation":"(Johnston et al., 2017; L\\uc0\\u243{}pez-G\\uc0\\u243{}mez et al., 2014)","plainCitation":"(Johnston et al., 2017; López-Gómez et al., 2014)","noteIndex":0},"citationItems":[{"id":53513,"uris":["http://zotero.org/groups/2352922/items/UFG2ZXKG"],"itemData":{"id":53513,"type":"report","collection-title":"Marine Sanctuaries Conservation Series","event-place":"Galveston","number":"ONMS-17-09","publisher":"U.S. Department of Commerce, National Oceanic  and Atmospheric Administration, Flower Garden Banks National  Marine Sanctuary","publisher-place":"Galveston","title":"Long-term monitoring at East and West Flower Garden Banks: 2016 annual report","author":[{"family":"Johnston","given":"Michelle Anne"},{"family":"Sterne","given":"Travis K."},{"family":"Eckert","given":"Ryan J."},{"family":"Nuttall","given":"Marissa F."},{"family":"Embesi","given":"John A."},{"family":"Walker","given":"Raven D."},{"family":"Hu","given":"Xinping"},{"family":"Hickerson","given":"Emma Louise"},{"family":"Schmahl","given":"George P."}],"issued":{"date-parts":[["2017"]]}},"label":"page"},{"id":31705,"uris":["http://zotero.org/groups/2352922/items/FG4ITLJK","http://zotero.org/groups/2352922/items/LQNRS7QE"],"itemData":{"id":31705,"type":"article-journal","container-title":"Biological Invasions","DOI":"10.1007/s10530-013-0582-0","ISSN":"1387-3547, 1573-1464","issue":"7","journalAbbreviation":"Biol Invasions","language":"en","page":"1351-1357","source":"DOI.org (Crossref)","title":"Mayan diver-fishers as citizen scientists: detection and monitoring of the invasive red lionfish in the Parque Nacional Arrecife Alacranes, southern Gulf of Mexico","title-short":"Mayan diver-fishers as citizen scientists","URL":"http://link.springer.com/10.1007/s10530-013-0582-0","volume":"16","author":[{"family":"López-Gómez","given":"María José"},{"family":"Aguilar-Perera","given":"Alfonso"},{"family":"Perera-Chan","given":"Leidy"}],"accessed":{"date-parts":[["2021",11,11]]},"issued":{"date-parts":[["2014",7]]}},"label":"page"}],"schema":"https://github.com/citation-style-language/schema/raw/master/csl-citation.json"} </w:instrText>
      </w:r>
      <w:r w:rsidR="00DF2318" w:rsidRPr="00A9434B">
        <w:fldChar w:fldCharType="separate"/>
      </w:r>
      <w:r w:rsidR="00C71E80" w:rsidRPr="00A9434B">
        <w:t>(Johnston et al., 2017; López-Gómez et al., 2014)</w:t>
      </w:r>
      <w:r w:rsidR="00DF2318" w:rsidRPr="00A9434B">
        <w:fldChar w:fldCharType="end"/>
      </w:r>
      <w:r w:rsidR="00F34A9B" w:rsidRPr="00A9434B">
        <w:fldChar w:fldCharType="end"/>
      </w:r>
      <w:r w:rsidR="00F34A9B" w:rsidRPr="00A9434B">
        <w:t>.</w:t>
      </w:r>
    </w:p>
    <w:p w14:paraId="15036127" w14:textId="311D2B42" w:rsidR="00DF1AF7" w:rsidRPr="00A9434B" w:rsidRDefault="007B5DBB" w:rsidP="006E13B2">
      <w:pPr>
        <w:pBdr>
          <w:top w:val="single" w:sz="4" w:space="1" w:color="auto"/>
          <w:left w:val="single" w:sz="4" w:space="1" w:color="auto"/>
          <w:bottom w:val="single" w:sz="4" w:space="1" w:color="auto"/>
          <w:right w:val="single" w:sz="4" w:space="1" w:color="auto"/>
        </w:pBdr>
        <w:shd w:val="clear" w:color="auto" w:fill="E7E6E6" w:themeFill="background2"/>
        <w:jc w:val="center"/>
      </w:pPr>
      <w:r w:rsidRPr="007B5DBB">
        <w:rPr>
          <w:noProof/>
        </w:rPr>
        <w:drawing>
          <wp:inline distT="0" distB="0" distL="0" distR="0" wp14:anchorId="4711400B" wp14:editId="4B38FE81">
            <wp:extent cx="6111240" cy="32232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11240" cy="3223260"/>
                    </a:xfrm>
                    <a:prstGeom prst="rect">
                      <a:avLst/>
                    </a:prstGeom>
                  </pic:spPr>
                </pic:pic>
              </a:graphicData>
            </a:graphic>
          </wp:inline>
        </w:drawing>
      </w:r>
    </w:p>
    <w:p w14:paraId="27052AB8" w14:textId="0E4578D7" w:rsidR="00017C04" w:rsidRPr="00B301D7" w:rsidRDefault="00F50AF9" w:rsidP="00B301D7">
      <w:pPr>
        <w:pStyle w:val="Caption"/>
        <w:pBdr>
          <w:top w:val="single" w:sz="4" w:space="1" w:color="auto"/>
          <w:left w:val="single" w:sz="4" w:space="1" w:color="auto"/>
          <w:bottom w:val="single" w:sz="4" w:space="1" w:color="auto"/>
          <w:right w:val="single" w:sz="4" w:space="1" w:color="auto"/>
        </w:pBdr>
        <w:shd w:val="clear" w:color="auto" w:fill="E7E6E6" w:themeFill="background2"/>
        <w:rPr>
          <w:i/>
        </w:rPr>
      </w:pPr>
      <w:bookmarkStart w:id="285" w:name="_heading=h.pkwqa1" w:colFirst="0" w:colLast="0"/>
      <w:bookmarkStart w:id="286" w:name="_Ref104896726"/>
      <w:bookmarkStart w:id="287" w:name="_Ref127955863"/>
      <w:bookmarkStart w:id="288" w:name="_Toc147418308"/>
      <w:bookmarkEnd w:id="285"/>
      <w:r w:rsidRPr="00B301D7">
        <w:rPr>
          <w:bCs w:val="0"/>
        </w:rPr>
        <w:t>Figure 6</w:t>
      </w:r>
      <w:r w:rsidR="00DF1AF7" w:rsidRPr="00B301D7">
        <w:rPr>
          <w:bCs w:val="0"/>
        </w:rPr>
        <w:t>.</w:t>
      </w:r>
      <w:r w:rsidR="007C7AC3">
        <w:fldChar w:fldCharType="begin"/>
      </w:r>
      <w:r w:rsidR="007C7AC3">
        <w:instrText xml:space="preserve"> SEQ Figure_6. \* ARABIC </w:instrText>
      </w:r>
      <w:r w:rsidR="007C7AC3">
        <w:fldChar w:fldCharType="separate"/>
      </w:r>
      <w:r w:rsidR="0011368C">
        <w:rPr>
          <w:noProof/>
        </w:rPr>
        <w:t>13</w:t>
      </w:r>
      <w:r w:rsidR="007C7AC3">
        <w:rPr>
          <w:noProof/>
        </w:rPr>
        <w:fldChar w:fldCharType="end"/>
      </w:r>
      <w:bookmarkEnd w:id="286"/>
      <w:r w:rsidR="00E36BDC" w:rsidRPr="00A9434B">
        <w:t>.</w:t>
      </w:r>
      <w:r w:rsidRPr="00B301D7">
        <w:t xml:space="preserve"> </w:t>
      </w:r>
      <w:r w:rsidRPr="00B301D7">
        <w:rPr>
          <w:b w:val="0"/>
        </w:rPr>
        <w:t xml:space="preserve">Lionfish are now invading the western Atlantic Ocean, from North Carolina to Brazil. </w:t>
      </w:r>
      <w:bookmarkEnd w:id="287"/>
      <w:r w:rsidRPr="00B301D7">
        <w:rPr>
          <w:b w:val="0"/>
        </w:rPr>
        <w:t xml:space="preserve">Photo credit: Oren Klein – </w:t>
      </w:r>
      <w:r w:rsidR="0018534A">
        <w:rPr>
          <w:rFonts w:eastAsiaTheme="minorEastAsia"/>
          <w:b w:val="0"/>
          <w:bCs w:val="0"/>
          <w:lang w:eastAsia="ja-JP"/>
        </w:rPr>
        <w:t xml:space="preserve">under license </w:t>
      </w:r>
      <w:r w:rsidRPr="00B301D7">
        <w:rPr>
          <w:b w:val="0"/>
        </w:rPr>
        <w:t>CC BY 4.0</w:t>
      </w:r>
      <w:bookmarkEnd w:id="288"/>
    </w:p>
    <w:p w14:paraId="43627D0E" w14:textId="218B1785" w:rsidR="00A7208D" w:rsidRPr="00A9434B" w:rsidRDefault="1B4F93D9" w:rsidP="7971424E">
      <w:pPr>
        <w:pStyle w:val="Default"/>
        <w:pBdr>
          <w:top w:val="single" w:sz="4" w:space="1" w:color="auto"/>
          <w:left w:val="single" w:sz="4" w:space="1" w:color="auto"/>
          <w:bottom w:val="single" w:sz="4" w:space="1" w:color="auto"/>
          <w:right w:val="single" w:sz="4" w:space="1" w:color="auto"/>
        </w:pBdr>
        <w:shd w:val="clear" w:color="auto" w:fill="E7E6E6" w:themeFill="background2"/>
        <w:rPr>
          <w:rFonts w:ascii="Times New Roman" w:hAnsi="Times New Roman" w:cs="Times New Roman"/>
        </w:rPr>
      </w:pPr>
      <w:r w:rsidRPr="00A9434B">
        <w:rPr>
          <w:rFonts w:ascii="Times New Roman" w:hAnsi="Times New Roman" w:cs="Times New Roman"/>
        </w:rPr>
        <w:t xml:space="preserve">In </w:t>
      </w:r>
      <w:r w:rsidR="0E79AD57" w:rsidRPr="00A9434B">
        <w:rPr>
          <w:rFonts w:ascii="Times New Roman" w:hAnsi="Times New Roman" w:cs="Times New Roman"/>
        </w:rPr>
        <w:t xml:space="preserve">a </w:t>
      </w:r>
      <w:r w:rsidRPr="00A9434B">
        <w:rPr>
          <w:rFonts w:ascii="Times New Roman" w:hAnsi="Times New Roman" w:cs="Times New Roman"/>
        </w:rPr>
        <w:t xml:space="preserve">global hotspot </w:t>
      </w:r>
      <w:r w:rsidR="00F806B6" w:rsidRPr="00A9434B">
        <w:rPr>
          <w:rFonts w:ascii="Times New Roman" w:hAnsi="Times New Roman" w:cs="Times New Roman"/>
        </w:rPr>
        <w:t>(</w:t>
      </w:r>
      <w:r w:rsidR="00571A0C">
        <w:rPr>
          <w:rFonts w:ascii="Times New Roman" w:hAnsi="Times New Roman" w:cs="Times New Roman"/>
          <w:b/>
          <w:iCs/>
        </w:rPr>
        <w:t>G</w:t>
      </w:r>
      <w:r w:rsidR="000840F9" w:rsidRPr="00673554">
        <w:rPr>
          <w:rFonts w:ascii="Times New Roman" w:hAnsi="Times New Roman" w:cs="Times New Roman"/>
          <w:b/>
          <w:iCs/>
        </w:rPr>
        <w:t>lossary</w:t>
      </w:r>
      <w:r w:rsidR="000840F9" w:rsidRPr="00A9434B">
        <w:rPr>
          <w:rFonts w:ascii="Times New Roman" w:hAnsi="Times New Roman" w:cs="Times New Roman"/>
        </w:rPr>
        <w:t xml:space="preserve">) </w:t>
      </w:r>
      <w:r w:rsidRPr="00A9434B">
        <w:rPr>
          <w:rFonts w:ascii="Times New Roman" w:hAnsi="Times New Roman" w:cs="Times New Roman"/>
        </w:rPr>
        <w:t>of marine</w:t>
      </w:r>
      <w:r w:rsidR="00C12647">
        <w:rPr>
          <w:rFonts w:ascii="Times New Roman" w:hAnsi="Times New Roman" w:cs="Times New Roman"/>
        </w:rPr>
        <w:t xml:space="preserve"> </w:t>
      </w:r>
      <w:r w:rsidR="00B301D7" w:rsidRPr="00B301D7">
        <w:rPr>
          <w:rFonts w:ascii="Times New Roman" w:hAnsi="Times New Roman" w:cs="Times New Roman"/>
        </w:rPr>
        <w:t>invasive alien species</w:t>
      </w:r>
      <w:r w:rsidRPr="00A9434B">
        <w:rPr>
          <w:rFonts w:ascii="Times New Roman" w:hAnsi="Times New Roman" w:cs="Times New Roman"/>
        </w:rPr>
        <w:t xml:space="preserve">, the Mediterranean Sea, a survey of rocky reef fish assemblages in 30 marine protected areas did not </w:t>
      </w:r>
      <w:r w:rsidR="7A07384D" w:rsidRPr="00A9434B">
        <w:rPr>
          <w:rFonts w:ascii="Times New Roman" w:hAnsi="Times New Roman" w:cs="Times New Roman"/>
        </w:rPr>
        <w:t xml:space="preserve">find </w:t>
      </w:r>
      <w:r w:rsidRPr="00A9434B">
        <w:rPr>
          <w:rFonts w:ascii="Times New Roman" w:hAnsi="Times New Roman" w:cs="Times New Roman"/>
        </w:rPr>
        <w:t xml:space="preserve">evidence </w:t>
      </w:r>
      <w:r w:rsidR="7A07384D" w:rsidRPr="00A9434B">
        <w:rPr>
          <w:rFonts w:ascii="Times New Roman" w:hAnsi="Times New Roman" w:cs="Times New Roman"/>
        </w:rPr>
        <w:t xml:space="preserve">for </w:t>
      </w:r>
      <w:r w:rsidRPr="00A9434B">
        <w:rPr>
          <w:rFonts w:ascii="Times New Roman" w:hAnsi="Times New Roman" w:cs="Times New Roman"/>
        </w:rPr>
        <w:t>any ef</w:t>
      </w:r>
      <w:r w:rsidR="2E95F41F" w:rsidRPr="00A9434B">
        <w:rPr>
          <w:rFonts w:ascii="Times New Roman" w:hAnsi="Times New Roman" w:cs="Times New Roman"/>
        </w:rPr>
        <w:t xml:space="preserve">fect of marine protected areas </w:t>
      </w:r>
      <w:r w:rsidRPr="00A9434B">
        <w:rPr>
          <w:rFonts w:ascii="Times New Roman" w:hAnsi="Times New Roman" w:cs="Times New Roman"/>
        </w:rPr>
        <w:t xml:space="preserve">on </w:t>
      </w:r>
      <w:r w:rsidR="650DE4E4" w:rsidRPr="00A9434B">
        <w:rPr>
          <w:rFonts w:ascii="Times New Roman" w:hAnsi="Times New Roman" w:cs="Times New Roman"/>
        </w:rPr>
        <w:t>invasive alien species</w:t>
      </w:r>
      <w:r w:rsidRPr="00A9434B">
        <w:rPr>
          <w:rFonts w:ascii="Times New Roman" w:hAnsi="Times New Roman" w:cs="Times New Roman"/>
        </w:rPr>
        <w:t xml:space="preserve"> </w:t>
      </w:r>
      <w:r w:rsidR="00DF2318" w:rsidRPr="00A9434B">
        <w:rPr>
          <w:rFonts w:ascii="Times New Roman" w:hAnsi="Times New Roman" w:cs="Times New Roman"/>
        </w:rPr>
        <w:fldChar w:fldCharType="begin"/>
      </w:r>
      <w:r w:rsidR="0006613E">
        <w:rPr>
          <w:rFonts w:ascii="Times New Roman" w:hAnsi="Times New Roman" w:cs="Times New Roman"/>
        </w:rPr>
        <w:instrText xml:space="preserve"> ADDIN ZOTERO_ITEM CSL_CITATION {"citationID":"a1saub1bqq7","properties":{"formattedCitation":"(Guidetti et al., 2014)","plainCitation":"(Guidetti et al., 2014)","noteIndex":0},"citationItems":[{"id":14034,"uris":["http://zotero.org/groups/2352922/items/EU8M9P2K"],"itemData":{"id":14034,"type":"article-journal","abstract":"Marine protected areas (MPAs) were acknowledged globally as effective tools to mitigate the threats to oceans caused by fishing. Several studies assessed the effectiveness of individual MPAs in protecting fish assemblages, but regional assessments of multiple MPAs are scarce. Moreover, empirical evidence on the role of MPAs in contrasting the propagation of non-indigenous-species (NIS) and thermophilic species (ThS) is missing. We simultaneously investigated here the role of MPAs in reversing the effects of overfishing and in limiting the spread of NIS and ThS. The Mediterranean Sea was selected as study area as it is a region where 1) MPAs are numerous, 2) fishing has affected species and ecosystems, and 3) the arrival of NIS and the northward expansion of ThS took place. Fish surveys were done in well-enforced no-take MPAs (HP), partially-protected MPAs (IP) and fished areas (F) at 30 locations across the Mediterranean. Significantly higher fish biomass was found in HP compared to IP MPAs and F. Along a recovery trajectory from F to HP MPAs, IP were similar to F, showing that just well enforced MPAs triggers an effective recovery. Within HP MPAs, trophic structure of fish assemblages resembled a top-heavy biomass pyramid. Although the functional structure of fish assemblages was consistent among HP MPAs, species driving the recovery in HP MPAs differed among locations: this suggests that the recovery trajectories in HP MPAs are likely to be functionally similar (i.e., represented by predictable changes in trophic groups, especially fish predators), but the specific composition of the resulting assemblages may depend on local conditions. Our study did not show any effect of MPAs on NIS and ThS. These results may help provide more robust expectations, at proper regional scale, about the effects of new MPAs that may be established in the Mediterranean Sea and other ecoregions worldwide.","container-title":"PLoS ONE","DOI":"10.1371/journal.pone.0091841","ISSN":"19326203","issue":"4","note":"PMID: 24740479","page":"e91841","title":"Large-scale assessment of mediterranean marine protected areas effects on fish assemblages","URL":"http://dx.plos.org/10.1371/journal.pone.0091841","volume":"9","author":[{"family":"Guidetti","given":"Paolo"},{"family":"Baiata","given":"Pasquale"},{"family":"Ballesteros","given":"Enric"},{"family":"Di Franco","given":"Antonio"},{"family":"Hereu","given":"Bernat"},{"family":"Macpherson","given":"Enrique"},{"family":"Micheli","given":"Fiorenza"},{"family":"Pais","given":"Antonio"},{"family":"Panzalis","given":"Pieraugusto"},{"family":"Rosenberg","given":"Andrew A."},{"family":"Zabala","given":"Mikel"},{"family":"Sala","given":"Enric"}],"editor":[{"family":"MacKenzie","given":"Brian R."}],"issued":{"date-parts":[["2014",4]]}},"label":"page"}],"schema":"https://github.com/citation-style-language/schema/raw/master/csl-citation.json"} </w:instrText>
      </w:r>
      <w:r w:rsidR="00DF2318" w:rsidRPr="00A9434B">
        <w:rPr>
          <w:rFonts w:ascii="Times New Roman" w:hAnsi="Times New Roman" w:cs="Times New Roman"/>
        </w:rPr>
        <w:fldChar w:fldCharType="separate"/>
      </w:r>
      <w:r w:rsidR="00C71E80" w:rsidRPr="00A9434B">
        <w:rPr>
          <w:rFonts w:ascii="Times New Roman" w:hAnsi="Times New Roman" w:cs="Times New Roman"/>
        </w:rPr>
        <w:t>(Guidetti et al., 2014)</w:t>
      </w:r>
      <w:r w:rsidR="00DF2318" w:rsidRPr="00A9434B">
        <w:rPr>
          <w:rFonts w:ascii="Times New Roman" w:hAnsi="Times New Roman" w:cs="Times New Roman"/>
        </w:rPr>
        <w:fldChar w:fldCharType="end"/>
      </w:r>
      <w:r w:rsidR="00F34A9B" w:rsidRPr="00A9434B">
        <w:rPr>
          <w:rFonts w:ascii="Times New Roman" w:hAnsi="Times New Roman" w:cs="Times New Roman"/>
        </w:rPr>
        <w:fldChar w:fldCharType="begin">
          <w:fldData xml:space="preserve">PEVuZE5vdGU+PENpdGU+PEF1dGhvcj5HdWlkZXR0aTwvQXV0aG9yPjxZZWFyPjIwMTQ8L1llYXI+
PFJlY051bT42MjwvUmVjTnVtPjxEaXNwbGF5VGV4dD4oR3VpZGV0dGksIEJhaWF0YSBldCBhbC4g
MjAxNCk8L0Rpc3BsYXlUZXh0PjxyZWNvcmQ+PHJlYy1udW1iZXI+NjI8L3JlYy1udW1iZXI+PGZv
cmVpZ24ta2V5cz48a2V5IGFwcD0iRU4iIGRiLWlkPSIyZnBzMnJwd2NwdHdheGVkejlvcHJ6dm1h
d2Z4ZWY5cGZwYTIiIHRpbWVzdGFtcD0iMTYyMDcyMjU5NCI+NjI8L2tleT48L2ZvcmVpZ24ta2V5
cz48cmVmLXR5cGUgbmFtZT0iSm91cm5hbCBBcnRpY2xlIj4xNzwvcmVmLXR5cGU+PGNvbnRyaWJ1
dG9ycz48YXV0aG9ycz48YXV0aG9yPkd1aWRldHRpLCBQLjwvYXV0aG9yPjxhdXRob3I+QmFpYXRh
LCBQLjwvYXV0aG9yPjxhdXRob3I+QmFsbGVzdGVyb3MsIEUuPC9hdXRob3I+PGF1dGhvcj5EaSBG
cmFuY28sIEEuPC9hdXRob3I+PGF1dGhvcj5IZXJldSwgQi48L2F1dGhvcj48YXV0aG9yPk1hY3Bo
ZXJzb24sIEUuPC9hdXRob3I+PGF1dGhvcj5NaWNoZWxpLCBGLjwvYXV0aG9yPjxhdXRob3I+UGFp
cywgQS48L2F1dGhvcj48YXV0aG9yPlBhbnphbGlzLCBQLjwvYXV0aG9yPjxhdXRob3I+Um9zZW5i
ZXJnLCBBLiBBLjwvYXV0aG9yPjxhdXRob3I+WmFiYWxhLCBNLjwvYXV0aG9yPjxhdXRob3I+U2Fs
YSwgRS48L2F1dGhvcj48L2F1dGhvcnM+PC9jb250cmlidXRvcnM+PGF1dGgtYWRkcmVzcz5Vbml2
IE5pY2UgU29waGlhIEFudGlwb2xpcywgRmFjIFNjaSwgRUEgRUNPTUVSUyA0MjI4LCBGLTA2MTg5
IE5pY2UsIEZyYW5jZSYjeEQ7Q29OSVNNYSwgUm9tZSwgSXRhbHkmI3hEO0NFQUIgQ1NJQywgQ3Ry
IEVzdHVkaXMgQXZhbmNhdHMgQmxhbmVzLCBBY2NlcyBDYWxhIFN0IEZyYW5jZSwgQmxhbmVzLCBT
cGFpbiYjeEQ7VW5pdiBCYXJjZWxvbmEsIERlcHQgRWNvbCwgRS0wODAyOCBCYXJjZWxvbmEsIFNw
YWluJiN4RDtTdGFuZm9yZCBVbml2LCBIb3BraW5zIE1hcmluZSBTdG4sIFBhY2lmaWMgR3JvdmUs
IENBIDkzOTUwIFVTQSYjeEQ7VW5pdiBTYXNzYXJpLCBMYWIgQWNxdWFjb2x0dXJhICZhbXA7IEdl
c3QgUmlzb3JzZSBBY3F1YXQsIFNleiBTY2kgWm9vdGVjbiwgRGlwYXJ0aW1lbnRvIEFncmFyaWEs
IEktMDcxMDAgU2Fzc2FyaSwgSXRhbHkmI3hEO01hcmluZSBQcm90ZWN0ZWQgQXJlYSBUYXZvbGFy
YSBQdW50YSBDb2RhIENhdmFsbG8sIE9sYmlhLCBJdGFseSYjeEQ7VW5pb24gQ29uY2VybmVkIFNj
aWVudGlzdHMsIENhbWJyaWRnZSwgTUEgVVNBJiN4RDtOYXRsIEdlb2cgU29jLCBXYXNoaW5ndG9u
LCBEQyBVU0E8L2F1dGgtYWRkcmVzcz48dGl0bGVzPjx0aXRsZT5MYXJnZS1TY2FsZSBBc3Nlc3Nt
ZW50IG9mIE1lZGl0ZXJyYW5lYW4gTWFyaW5lIFByb3RlY3RlZCBBcmVhcyBFZmZlY3RzIG9uIEZp
c2ggQXNzZW1ibGFnZXM8L3RpdGxlPjxzZWNvbmRhcnktdGl0bGU+UGxvcyBPbmU8L3NlY29uZGFy
eS10aXRsZT48YWx0LXRpdGxlPlBsb3MgT25lPC9hbHQtdGl0bGU+PC90aXRsZXM+PHBlcmlvZGlj
YWw+PGZ1bGwtdGl0bGU+UGxvcyBPbmU8L2Z1bGwtdGl0bGU+PGFiYnItMT5QbG9zIE9uZTwvYWJi
ci0xPjwvcGVyaW9kaWNhbD48YWx0LXBlcmlvZGljYWw+PGZ1bGwtdGl0bGU+UGxvcyBPbmU8L2Z1
bGwtdGl0bGU+PGFiYnItMT5QbG9zIE9uZTwvYWJici0xPjwvYWx0LXBlcmlvZGljYWw+PHZvbHVt
ZT45PC92b2x1bWU+PG51bWJlcj40PC9udW1iZXI+PGtleXdvcmRzPjxrZXl3b3JkPnNwZWNpZXMg
cmljaG5lc3M8L2tleXdvcmQ+PGtleXdvcmQ+dHJvcGhpYyBjYXNjYWRlczwva2V5d29yZD48a2V5
d29yZD5yZXNlcnZlczwva2V5d29yZD48a2V5d29yZD5zZWE8L2tleXdvcmQ+PGtleXdvcmQ+ZnJh
bWV3b3JrPC9rZXl3b3JkPjxrZXl3b3JkPmJpb21hc3M8L2tleXdvcmQ+PGtleXdvcmQ+c2l6ZTwv
a2V5d29yZD48a2V5d29yZD5oZXRlcm9nZW5laXR5PC9rZXl3b3JkPjxrZXl3b3JkPm5vcnRod2Vz
dGVybjwva2V5d29yZD48a2V5d29yZD50cmFqZWN0b3JpZXM8L2tleXdvcmQ+PC9rZXl3b3Jkcz48
ZGF0ZXM+PHllYXI+MjAxNDwveWVhcj48cHViLWRhdGVzPjxkYXRlPkFwciAxNjwvZGF0ZT48L3B1
Yi1kYXRlcz48L2RhdGVzPjxpc2JuPjE5MzItNjIwMzwvaXNibj48YWNjZXNzaW9uLW51bT5XT1M6
MDAwMzM2ODYzOTAwMDA4PC9hY2Nlc3Npb24tbnVtPjx1cmxzPjxyZWxhdGVkLXVybHM+PHVybD4m
bHQ7R28gdG8gSVNJJmd0OzovL1dPUzowMDAzMzY4NjM5MDAwMDg8L3VybD48L3JlbGF0ZWQtdXJs
cz48L3VybHM+PGVsZWN0cm9uaWMtcmVzb3VyY2UtbnVtPkFSVE4gZTkxODQxJiN4RDsxMC4xMzcx
L2pvdXJuYWwucG9uZS4wMDkxODQxPC9lbGVjdHJvbmljLXJlc291cmNlLW51bT48bGFuZ3VhZ2U+
RW5nbGlzaDwvbGFuZ3VhZ2U+PC9yZWNvcmQ+PC9DaXRlPjwvRW5kTm90ZT5=
</w:fldData>
        </w:fldChar>
      </w:r>
      <w:r w:rsidR="00F34A9B" w:rsidRPr="00A9434B">
        <w:rPr>
          <w:rFonts w:ascii="Times New Roman" w:hAnsi="Times New Roman" w:cs="Times New Roman"/>
        </w:rPr>
        <w:instrText xml:space="preserve"> ADDIN EN.CITE </w:instrText>
      </w:r>
      <w:r w:rsidR="00F34A9B" w:rsidRPr="00A9434B">
        <w:rPr>
          <w:rFonts w:ascii="Times New Roman" w:hAnsi="Times New Roman" w:cs="Times New Roman"/>
        </w:rPr>
        <w:fldChar w:fldCharType="begin">
          <w:fldData xml:space="preserve">PEVuZE5vdGU+PENpdGU+PEF1dGhvcj5HdWlkZXR0aTwvQXV0aG9yPjxZZWFyPjIwMTQ8L1llYXI+
PFJlY051bT42MjwvUmVjTnVtPjxEaXNwbGF5VGV4dD4oR3VpZGV0dGksIEJhaWF0YSBldCBhbC4g
MjAxNCk8L0Rpc3BsYXlUZXh0PjxyZWNvcmQ+PHJlYy1udW1iZXI+NjI8L3JlYy1udW1iZXI+PGZv
cmVpZ24ta2V5cz48a2V5IGFwcD0iRU4iIGRiLWlkPSIyZnBzMnJwd2NwdHdheGVkejlvcHJ6dm1h
d2Z4ZWY5cGZwYTIiIHRpbWVzdGFtcD0iMTYyMDcyMjU5NCI+NjI8L2tleT48L2ZvcmVpZ24ta2V5
cz48cmVmLXR5cGUgbmFtZT0iSm91cm5hbCBBcnRpY2xlIj4xNzwvcmVmLXR5cGU+PGNvbnRyaWJ1
dG9ycz48YXV0aG9ycz48YXV0aG9yPkd1aWRldHRpLCBQLjwvYXV0aG9yPjxhdXRob3I+QmFpYXRh
LCBQLjwvYXV0aG9yPjxhdXRob3I+QmFsbGVzdGVyb3MsIEUuPC9hdXRob3I+PGF1dGhvcj5EaSBG
cmFuY28sIEEuPC9hdXRob3I+PGF1dGhvcj5IZXJldSwgQi48L2F1dGhvcj48YXV0aG9yPk1hY3Bo
ZXJzb24sIEUuPC9hdXRob3I+PGF1dGhvcj5NaWNoZWxpLCBGLjwvYXV0aG9yPjxhdXRob3I+UGFp
cywgQS48L2F1dGhvcj48YXV0aG9yPlBhbnphbGlzLCBQLjwvYXV0aG9yPjxhdXRob3I+Um9zZW5i
ZXJnLCBBLiBBLjwvYXV0aG9yPjxhdXRob3I+WmFiYWxhLCBNLjwvYXV0aG9yPjxhdXRob3I+U2Fs
YSwgRS48L2F1dGhvcj48L2F1dGhvcnM+PC9jb250cmlidXRvcnM+PGF1dGgtYWRkcmVzcz5Vbml2
IE5pY2UgU29waGlhIEFudGlwb2xpcywgRmFjIFNjaSwgRUEgRUNPTUVSUyA0MjI4LCBGLTA2MTg5
IE5pY2UsIEZyYW5jZSYjeEQ7Q29OSVNNYSwgUm9tZSwgSXRhbHkmI3hEO0NFQUIgQ1NJQywgQ3Ry
IEVzdHVkaXMgQXZhbmNhdHMgQmxhbmVzLCBBY2NlcyBDYWxhIFN0IEZyYW5jZSwgQmxhbmVzLCBT
cGFpbiYjeEQ7VW5pdiBCYXJjZWxvbmEsIERlcHQgRWNvbCwgRS0wODAyOCBCYXJjZWxvbmEsIFNw
YWluJiN4RDtTdGFuZm9yZCBVbml2LCBIb3BraW5zIE1hcmluZSBTdG4sIFBhY2lmaWMgR3JvdmUs
IENBIDkzOTUwIFVTQSYjeEQ7VW5pdiBTYXNzYXJpLCBMYWIgQWNxdWFjb2x0dXJhICZhbXA7IEdl
c3QgUmlzb3JzZSBBY3F1YXQsIFNleiBTY2kgWm9vdGVjbiwgRGlwYXJ0aW1lbnRvIEFncmFyaWEs
IEktMDcxMDAgU2Fzc2FyaSwgSXRhbHkmI3hEO01hcmluZSBQcm90ZWN0ZWQgQXJlYSBUYXZvbGFy
YSBQdW50YSBDb2RhIENhdmFsbG8sIE9sYmlhLCBJdGFseSYjeEQ7VW5pb24gQ29uY2VybmVkIFNj
aWVudGlzdHMsIENhbWJyaWRnZSwgTUEgVVNBJiN4RDtOYXRsIEdlb2cgU29jLCBXYXNoaW5ndG9u
LCBEQyBVU0E8L2F1dGgtYWRkcmVzcz48dGl0bGVzPjx0aXRsZT5MYXJnZS1TY2FsZSBBc3Nlc3Nt
ZW50IG9mIE1lZGl0ZXJyYW5lYW4gTWFyaW5lIFByb3RlY3RlZCBBcmVhcyBFZmZlY3RzIG9uIEZp
c2ggQXNzZW1ibGFnZXM8L3RpdGxlPjxzZWNvbmRhcnktdGl0bGU+UGxvcyBPbmU8L3NlY29uZGFy
eS10aXRsZT48YWx0LXRpdGxlPlBsb3MgT25lPC9hbHQtdGl0bGU+PC90aXRsZXM+PHBlcmlvZGlj
YWw+PGZ1bGwtdGl0bGU+UGxvcyBPbmU8L2Z1bGwtdGl0bGU+PGFiYnItMT5QbG9zIE9uZTwvYWJi
ci0xPjwvcGVyaW9kaWNhbD48YWx0LXBlcmlvZGljYWw+PGZ1bGwtdGl0bGU+UGxvcyBPbmU8L2Z1
bGwtdGl0bGU+PGFiYnItMT5QbG9zIE9uZTwvYWJici0xPjwvYWx0LXBlcmlvZGljYWw+PHZvbHVt
ZT45PC92b2x1bWU+PG51bWJlcj40PC9udW1iZXI+PGtleXdvcmRzPjxrZXl3b3JkPnNwZWNpZXMg
cmljaG5lc3M8L2tleXdvcmQ+PGtleXdvcmQ+dHJvcGhpYyBjYXNjYWRlczwva2V5d29yZD48a2V5
d29yZD5yZXNlcnZlczwva2V5d29yZD48a2V5d29yZD5zZWE8L2tleXdvcmQ+PGtleXdvcmQ+ZnJh
bWV3b3JrPC9rZXl3b3JkPjxrZXl3b3JkPmJpb21hc3M8L2tleXdvcmQ+PGtleXdvcmQ+c2l6ZTwv
a2V5d29yZD48a2V5d29yZD5oZXRlcm9nZW5laXR5PC9rZXl3b3JkPjxrZXl3b3JkPm5vcnRod2Vz
dGVybjwva2V5d29yZD48a2V5d29yZD50cmFqZWN0b3JpZXM8L2tleXdvcmQ+PC9rZXl3b3Jkcz48
ZGF0ZXM+PHllYXI+MjAxNDwveWVhcj48cHViLWRhdGVzPjxkYXRlPkFwciAxNjwvZGF0ZT48L3B1
Yi1kYXRlcz48L2RhdGVzPjxpc2JuPjE5MzItNjIwMzwvaXNibj48YWNjZXNzaW9uLW51bT5XT1M6
MDAwMzM2ODYzOTAwMDA4PC9hY2Nlc3Npb24tbnVtPjx1cmxzPjxyZWxhdGVkLXVybHM+PHVybD4m
bHQ7R28gdG8gSVNJJmd0OzovL1dPUzowMDAzMzY4NjM5MDAwMDg8L3VybD48L3JlbGF0ZWQtdXJs
cz48L3VybHM+PGVsZWN0cm9uaWMtcmVzb3VyY2UtbnVtPkFSVE4gZTkxODQxJiN4RDsxMC4xMzcx
L2pvdXJuYWwucG9uZS4wMDkxODQxPC9lbGVjdHJvbmljLXJlc291cmNlLW51bT48bGFuZ3VhZ2U+
RW5nbGlzaDwvbGFuZ3VhZ2U+PC9yZWNvcmQ+PC9DaXRlPjwvRW5kTm90ZT5=
</w:fldData>
        </w:fldChar>
      </w:r>
      <w:r w:rsidR="00F34A9B" w:rsidRPr="00A9434B">
        <w:rPr>
          <w:rFonts w:ascii="Times New Roman" w:hAnsi="Times New Roman" w:cs="Times New Roman"/>
        </w:rPr>
        <w:instrText xml:space="preserve"> ADDIN EN.CITE.DATA </w:instrText>
      </w:r>
      <w:r w:rsidR="00F34A9B" w:rsidRPr="00A9434B">
        <w:rPr>
          <w:rFonts w:ascii="Times New Roman" w:hAnsi="Times New Roman" w:cs="Times New Roman"/>
        </w:rPr>
      </w:r>
      <w:r w:rsidR="00F34A9B" w:rsidRPr="00A9434B">
        <w:rPr>
          <w:rFonts w:ascii="Times New Roman" w:hAnsi="Times New Roman" w:cs="Times New Roman"/>
        </w:rPr>
        <w:fldChar w:fldCharType="end"/>
      </w:r>
      <w:r w:rsidR="00F34A9B" w:rsidRPr="00A9434B">
        <w:rPr>
          <w:rFonts w:ascii="Times New Roman" w:hAnsi="Times New Roman" w:cs="Times New Roman"/>
        </w:rPr>
      </w:r>
      <w:r w:rsidR="00F34A9B" w:rsidRPr="00A9434B">
        <w:rPr>
          <w:rFonts w:ascii="Times New Roman" w:hAnsi="Times New Roman" w:cs="Times New Roman"/>
        </w:rPr>
        <w:fldChar w:fldCharType="end"/>
      </w:r>
      <w:r w:rsidRPr="00A9434B">
        <w:rPr>
          <w:rFonts w:ascii="Times New Roman" w:hAnsi="Times New Roman" w:cs="Times New Roman"/>
        </w:rPr>
        <w:t xml:space="preserve">. There </w:t>
      </w:r>
      <w:r w:rsidR="7A07384D" w:rsidRPr="00A9434B">
        <w:rPr>
          <w:rFonts w:ascii="Times New Roman" w:hAnsi="Times New Roman" w:cs="Times New Roman"/>
        </w:rPr>
        <w:t>is</w:t>
      </w:r>
      <w:r w:rsidRPr="00A9434B">
        <w:rPr>
          <w:rFonts w:ascii="Times New Roman" w:hAnsi="Times New Roman" w:cs="Times New Roman"/>
        </w:rPr>
        <w:t xml:space="preserve"> evidence </w:t>
      </w:r>
      <w:r w:rsidR="0E79AD57" w:rsidRPr="00A9434B">
        <w:rPr>
          <w:rFonts w:ascii="Times New Roman" w:hAnsi="Times New Roman" w:cs="Times New Roman"/>
        </w:rPr>
        <w:t xml:space="preserve">of </w:t>
      </w:r>
      <w:r w:rsidR="12D7843A" w:rsidRPr="00A9434B">
        <w:rPr>
          <w:rFonts w:ascii="Times New Roman" w:hAnsi="Times New Roman" w:cs="Times New Roman"/>
        </w:rPr>
        <w:t xml:space="preserve">up to two times </w:t>
      </w:r>
      <w:r w:rsidRPr="00A9434B">
        <w:rPr>
          <w:rFonts w:ascii="Times New Roman" w:hAnsi="Times New Roman" w:cs="Times New Roman"/>
        </w:rPr>
        <w:t>higher biomass of invasive alien fish in some marine protected areas than in adjacent unprotected areas</w:t>
      </w:r>
      <w:r w:rsidR="2932A521" w:rsidRPr="00A9434B">
        <w:rPr>
          <w:rFonts w:ascii="Times New Roman" w:hAnsi="Times New Roman" w:cs="Times New Roman"/>
        </w:rPr>
        <w:t xml:space="preserve"> </w:t>
      </w:r>
      <w:r w:rsidR="00DF2318" w:rsidRPr="00A9434B">
        <w:rPr>
          <w:rFonts w:ascii="Times New Roman" w:hAnsi="Times New Roman" w:cs="Times New Roman"/>
        </w:rPr>
        <w:fldChar w:fldCharType="begin"/>
      </w:r>
      <w:r w:rsidR="0006613E">
        <w:rPr>
          <w:rFonts w:ascii="Times New Roman" w:hAnsi="Times New Roman" w:cs="Times New Roman"/>
        </w:rPr>
        <w:instrText xml:space="preserve"> ADDIN ZOTERO_ITEM CSL_CITATION {"citationID":"a1tnpb5qsqs","properties":{"formattedCitation":"(Giakoumi et al., 2012)","plainCitation":"(Giakoumi et al., 2012)","noteIndex":0},"citationItems":[{"id":53540,"uris":["http://zotero.org/groups/2352922/items/TN8VFC57"],"itemData":{"id":53540,"type":"article-journal","container-title":"Aquatic Conservation-Marine and Freshwater Ecosystems","DOI":"10.1002/aqc.2273","ISSN":"1052-7613","issue":"6","journalAbbreviation":"Aquat Conserv","language":"English","page":"762-775","title":"Could European marine conservation policy benefit from systematic conservation planning?","volume":"22","author":[{"family":"Giakoumi","given":"Sylvaine"},{"family":"Katsanevakis","given":"S."},{"family":"Vassilopoulou","given":"V."},{"family":"Panayotidis","given":"P."},{"family":"Kavadas","given":"S."},{"family":"Issaris","given":"Y."},{"family":"Kokkali","given":"A."},{"family":"Frantzis","given":"A."},{"family":"Panou","given":"A."},{"family":"Mavrommati","given":"G."}],"issued":{"date-parts":[["2012",9]]}},"label":"page"}],"schema":"https://github.com/citation-style-language/schema/raw/master/csl-citation.json"} </w:instrText>
      </w:r>
      <w:r w:rsidR="00DF2318" w:rsidRPr="00A9434B">
        <w:rPr>
          <w:rFonts w:ascii="Times New Roman" w:hAnsi="Times New Roman" w:cs="Times New Roman"/>
        </w:rPr>
        <w:fldChar w:fldCharType="separate"/>
      </w:r>
      <w:r w:rsidR="00C71E80" w:rsidRPr="00A9434B">
        <w:rPr>
          <w:rFonts w:ascii="Times New Roman" w:hAnsi="Times New Roman" w:cs="Times New Roman"/>
        </w:rPr>
        <w:t>(Giakoumi et al., 2012)</w:t>
      </w:r>
      <w:r w:rsidR="00DF2318" w:rsidRPr="00A9434B">
        <w:rPr>
          <w:rFonts w:ascii="Times New Roman" w:hAnsi="Times New Roman" w:cs="Times New Roman"/>
        </w:rPr>
        <w:fldChar w:fldCharType="end"/>
      </w:r>
      <w:r w:rsidR="5549354F" w:rsidRPr="00A9434B">
        <w:rPr>
          <w:rFonts w:ascii="Times New Roman" w:hAnsi="Times New Roman" w:cs="Times New Roman"/>
        </w:rPr>
        <w:t>, with up to 50</w:t>
      </w:r>
      <w:r w:rsidR="5549354F" w:rsidRPr="00A9434B">
        <w:t xml:space="preserve"> </w:t>
      </w:r>
      <w:r w:rsidR="007033BA" w:rsidRPr="00A9434B">
        <w:rPr>
          <w:rFonts w:ascii="Times New Roman" w:hAnsi="Times New Roman" w:cs="Times New Roman"/>
        </w:rPr>
        <w:t>per cent</w:t>
      </w:r>
      <w:r w:rsidR="5549354F" w:rsidRPr="00A9434B">
        <w:rPr>
          <w:rFonts w:ascii="Times New Roman" w:hAnsi="Times New Roman" w:cs="Times New Roman"/>
        </w:rPr>
        <w:t xml:space="preserve"> of fish </w:t>
      </w:r>
      <w:r w:rsidR="1852D6EF" w:rsidRPr="00A9434B">
        <w:rPr>
          <w:rFonts w:ascii="Times New Roman" w:hAnsi="Times New Roman" w:cs="Times New Roman"/>
        </w:rPr>
        <w:t>biomass in</w:t>
      </w:r>
      <w:r w:rsidR="5549354F" w:rsidRPr="00A9434B">
        <w:rPr>
          <w:rFonts w:ascii="Times New Roman" w:hAnsi="Times New Roman" w:cs="Times New Roman"/>
        </w:rPr>
        <w:t xml:space="preserve"> protected areas being </w:t>
      </w:r>
      <w:r w:rsidR="00801BB3" w:rsidRPr="00801BB3">
        <w:rPr>
          <w:rFonts w:ascii="Times New Roman" w:hAnsi="Times New Roman" w:cs="Times New Roman"/>
        </w:rPr>
        <w:t>invasive alien species</w:t>
      </w:r>
      <w:r w:rsidR="00801BB3" w:rsidRPr="56C59A3A">
        <w:rPr>
          <w:color w:val="000000" w:themeColor="text1"/>
        </w:rPr>
        <w:t xml:space="preserve"> </w:t>
      </w:r>
      <w:r w:rsidR="0050527B" w:rsidRPr="00422F61">
        <w:rPr>
          <w:rFonts w:ascii="Times New Roman" w:hAnsi="Times New Roman" w:cs="Times New Roman"/>
        </w:rPr>
        <w:fldChar w:fldCharType="begin"/>
      </w:r>
      <w:r w:rsidR="002D2756">
        <w:rPr>
          <w:rFonts w:ascii="Times New Roman" w:hAnsi="Times New Roman" w:cs="Times New Roman"/>
        </w:rPr>
        <w:instrText xml:space="preserve"> ADDIN ZOTERO_ITEM CSL_CITATION {"citationID":"a1nqmig1l67","properties":{"formattedCitation":"(Giakoumi, Pey, et al., 2019)","plainCitation":"(Giakoumi, Pey, et al., 2019)","noteIndex":0},"citationItems":[{"id":27466,"uris":["http://zotero.org/groups/2352922/items/6E97WZ55","http://zotero.org/groups/2352922/items/9ZLDX6E3"],"itemData":{"id":27466,"type":"article-journal","container-title":"Ecological Applications","DOI":"10.1002/eap.1809","ISSN":"1051-0761, 1939-5582","issue":"1","journalAbbreviation":"Ecol Appl","language":"en","page":"e01809","source":"DOI.org (Crossref)","title":"Exploring the relationships between marine protected areas and invasive fish in the world's most invaded sea","URL":"https://onlinelibrary.wiley.com/doi/10.1002/eap.1809","volume":"29","author":[{"family":"Giakoumi","given":"Sylvaine"},{"family":"Pey","given":"Alexis"},{"family":"Di Franco","given":"Antonio"},{"family":"Francour","given":"Patrice"},{"family":"Kizilkaya","given":"Zafer"},{"family":"Arda","given":"Yaprak"},{"family":"Raybaud","given":"Virginie"},{"family":"Guidetti","given":"Paolo"}],"accessed":{"date-parts":[["2021",7,8]]},"issued":{"date-parts":[["2019",1]]}},"label":"page"}],"schema":"https://github.com/citation-style-language/schema/raw/master/csl-citation.json"} </w:instrText>
      </w:r>
      <w:r w:rsidR="0050527B" w:rsidRPr="00422F61">
        <w:rPr>
          <w:rFonts w:ascii="Times New Roman" w:hAnsi="Times New Roman" w:cs="Times New Roman"/>
        </w:rPr>
        <w:fldChar w:fldCharType="separate"/>
      </w:r>
      <w:r w:rsidR="00C71E80" w:rsidRPr="004E7F3A">
        <w:rPr>
          <w:rFonts w:ascii="Times New Roman" w:hAnsi="Times New Roman" w:cs="Times New Roman"/>
        </w:rPr>
        <w:t>(Giakoumi, Pey, et al., 2019)</w:t>
      </w:r>
      <w:r w:rsidR="0050527B" w:rsidRPr="00422F61">
        <w:rPr>
          <w:rFonts w:ascii="Times New Roman" w:hAnsi="Times New Roman" w:cs="Times New Roman"/>
        </w:rPr>
        <w:fldChar w:fldCharType="end"/>
      </w:r>
      <w:r w:rsidR="0050527B" w:rsidRPr="00422F61">
        <w:rPr>
          <w:rFonts w:ascii="Times New Roman" w:hAnsi="Times New Roman" w:cs="Times New Roman"/>
        </w:rPr>
        <w:t xml:space="preserve">. </w:t>
      </w:r>
      <w:r w:rsidRPr="004E7F3A">
        <w:rPr>
          <w:rFonts w:ascii="Times New Roman" w:hAnsi="Times New Roman" w:cs="Times New Roman"/>
        </w:rPr>
        <w:t>An</w:t>
      </w:r>
      <w:r w:rsidRPr="00A9434B">
        <w:rPr>
          <w:rFonts w:ascii="Times New Roman" w:hAnsi="Times New Roman" w:cs="Times New Roman"/>
        </w:rPr>
        <w:t xml:space="preserve"> assessment of the vulnerability of 142 Mediterranean Sea marine protected areas to invasive fishes and algae </w:t>
      </w:r>
      <w:r w:rsidR="0E79AD57" w:rsidRPr="00A9434B">
        <w:rPr>
          <w:rFonts w:ascii="Times New Roman" w:hAnsi="Times New Roman" w:cs="Times New Roman"/>
        </w:rPr>
        <w:t xml:space="preserve">found </w:t>
      </w:r>
      <w:r w:rsidRPr="00A9434B">
        <w:rPr>
          <w:rFonts w:ascii="Times New Roman" w:hAnsi="Times New Roman" w:cs="Times New Roman"/>
        </w:rPr>
        <w:t>that Levantine marine protected areas</w:t>
      </w:r>
      <w:r w:rsidR="5B53FCA1" w:rsidRPr="00A9434B">
        <w:rPr>
          <w:rFonts w:ascii="Times New Roman" w:hAnsi="Times New Roman" w:cs="Times New Roman"/>
        </w:rPr>
        <w:t xml:space="preserve"> </w:t>
      </w:r>
      <w:r w:rsidRPr="00A9434B">
        <w:rPr>
          <w:rFonts w:ascii="Times New Roman" w:hAnsi="Times New Roman" w:cs="Times New Roman"/>
        </w:rPr>
        <w:t xml:space="preserve">are dominated by invasive </w:t>
      </w:r>
      <w:r w:rsidR="18F92B64" w:rsidRPr="00A9434B">
        <w:rPr>
          <w:rFonts w:ascii="Times New Roman" w:hAnsi="Times New Roman" w:cs="Times New Roman"/>
        </w:rPr>
        <w:t xml:space="preserve">alien </w:t>
      </w:r>
      <w:r w:rsidRPr="00A9434B">
        <w:rPr>
          <w:rFonts w:ascii="Times New Roman" w:hAnsi="Times New Roman" w:cs="Times New Roman"/>
          <w:bdr w:val="none" w:sz="0" w:space="0" w:color="auto" w:frame="1"/>
          <w:lang w:eastAsia="et-EE"/>
        </w:rPr>
        <w:t xml:space="preserve">species </w:t>
      </w:r>
      <w:r w:rsidR="00DF2318" w:rsidRPr="00A9434B">
        <w:rPr>
          <w:rFonts w:ascii="Times New Roman" w:hAnsi="Times New Roman" w:cs="Times New Roman"/>
          <w:bdr w:val="none" w:sz="0" w:space="0" w:color="auto" w:frame="1"/>
          <w:lang w:eastAsia="et-EE"/>
        </w:rPr>
        <w:fldChar w:fldCharType="begin"/>
      </w:r>
      <w:r w:rsidR="0006613E">
        <w:rPr>
          <w:rFonts w:ascii="Times New Roman" w:hAnsi="Times New Roman" w:cs="Times New Roman"/>
          <w:bdr w:val="none" w:sz="0" w:space="0" w:color="auto" w:frame="1"/>
          <w:lang w:eastAsia="et-EE"/>
        </w:rPr>
        <w:instrText xml:space="preserve"> ADDIN ZOTERO_ITEM CSL_CITATION {"citationID":"akn0e1mpof","properties":{"formattedCitation":"(D\\uc0\\u8217{}Amen &amp; Azzurro, 2020)","plainCitation":"(D’Amen &amp; Azzurro, 2020)","noteIndex":0},"citationItems":[{"id":31755,"uris":["http://zotero.org/groups/2352922/items/WRWJBHUY","http://zotero.org/groups/2352922/items/P8ZQT5H5"],"itemData":{"id":31755,"type":"article-journal","abstract":"Mediterranean marine protected areas (MPAs), designed to achieve long-term nature conservation, are progressively conquered by invasive species of tropical origin, posing novel challenges for managers and policymakers of the 21st century. In this study, we assessed the vulnerability of 142 coastal Mediterranean MPAs to nine of the most invasive fishes under current and future climatic conditions. We predicted invasive species’ habitat suitability using an ensemble modelling approach, calibrating models on the entire distribution of the species. We categorized three risk levels for Mediterranean MPAs, based on the assumption that more suitable habitat conditions make protected areas more prone to invasion. Future projections forecasted an increase of suitable areas for all considered species in the Mediterranean basin. In the Levantine Sea, almost all MPAs are at high risk of invasion by the considered species both in the current and future scenarios. MPAs located in the other Mediterranean sectors have currently a low suitability for most invasive species, but their risk level will increase overall by 2050, especially in the South Adriatic Sea and off South Western Italy. By identifying spatial priorities in a global change context, we fill critical information gaps on the vulnerability of MPAs to the future expansion of warm-water invaders.","container-title":"ICES Journal of Marine Science","DOI":"10.1093/icesjms/fsz207","ISSN":"1054-3139","issue":"1","journalAbbreviation":"ICES Journal of Marine Science","page":"388-397","source":"Silverchair","title":"Lessepsian fish invasion in Mediterranean marine protected areas: a risk assessment under climate change scenarios","title-short":"Lessepsian fish invasion in Mediterranean marine protected areas","URL":"https://doi.org/10.1093/icesjms/fsz207","volume":"77","author":[{"family":"D’Amen","given":"M"},{"family":"Azzurro","given":"E"}],"accessed":{"date-parts":[["2021",11,25]]},"issued":{"date-parts":[["2020",1,1]]}},"label":"page"}],"schema":"https://github.com/citation-style-language/schema/raw/master/csl-citation.json"} </w:instrText>
      </w:r>
      <w:r w:rsidR="00DF2318" w:rsidRPr="00A9434B">
        <w:rPr>
          <w:rFonts w:ascii="Times New Roman" w:hAnsi="Times New Roman" w:cs="Times New Roman"/>
          <w:bdr w:val="none" w:sz="0" w:space="0" w:color="auto" w:frame="1"/>
          <w:lang w:eastAsia="et-EE"/>
        </w:rPr>
        <w:fldChar w:fldCharType="separate"/>
      </w:r>
      <w:r w:rsidR="00C71E80" w:rsidRPr="00A9434B">
        <w:rPr>
          <w:rFonts w:ascii="Times New Roman" w:hAnsi="Times New Roman" w:cs="Times New Roman"/>
        </w:rPr>
        <w:t>(D’Amen &amp; Azzurro, 2020)</w:t>
      </w:r>
      <w:r w:rsidR="00DF2318" w:rsidRPr="00A9434B">
        <w:rPr>
          <w:rFonts w:ascii="Times New Roman" w:hAnsi="Times New Roman" w:cs="Times New Roman"/>
          <w:bdr w:val="none" w:sz="0" w:space="0" w:color="auto" w:frame="1"/>
          <w:lang w:eastAsia="et-EE"/>
        </w:rPr>
        <w:fldChar w:fldCharType="end"/>
      </w:r>
      <w:r w:rsidR="00F34A9B" w:rsidRPr="00A9434B">
        <w:rPr>
          <w:rFonts w:ascii="Times New Roman" w:hAnsi="Times New Roman" w:cs="Times New Roman"/>
        </w:rPr>
        <w:fldChar w:fldCharType="begin">
          <w:fldData xml:space="preserve">PEVuZE5vdGU+PENpdGU+PEF1dGhvcj5EJmFwb3M7QW1lbjwvQXV0aG9yPjxZZWFyPjIwMjA8L1ll
YXI+PFJlY051bT42NDwvUmVjTnVtPjxEaXNwbGF5VGV4dD4oRCZhcG9zO0FtZW4gYW5kIEF6enVy
cm8gMjAyMCk8L0Rpc3BsYXlUZXh0PjxyZWNvcmQ+PHJlYy1udW1iZXI+NjQ8L3JlYy1udW1iZXI+
PGZvcmVpZ24ta2V5cz48a2V5IGFwcD0iRU4iIGRiLWlkPSIyZnBzMnJwd2NwdHdheGVkejlvcHJ6
dm1hd2Z4ZWY5cGZwYTIiIHRpbWVzdGFtcD0iMTYyMDcyMjY2NCI+NjQ8L2tleT48L2ZvcmVpZ24t
a2V5cz48cmVmLXR5cGUgbmFtZT0iSm91cm5hbCBBcnRpY2xlIj4xNzwvcmVmLXR5cGU+PGNvbnRy
aWJ1dG9ycz48YXV0aG9ycz48YXV0aG9yPkQmYXBvcztBbWVuLCBNLjwvYXV0aG9yPjxhdXRob3I+
QXp6dXJybywgRS48L2F1dGhvcj48L2F1dGhvcnM+PC9jb250cmlidXRvcnM+PGF1dGgtYWRkcmVz
cz5JbnN0IEVudmlyb25tIFByb3RlY3QgJmFtcDsgUmVzLCBJU1BSQSwgSS01NzEyMiBMaXZvcm5v
LCBJdGFseSYjeEQ7U3RheiBab29sIEFudG9uIERvaHJuLCBWaWxsYSBDb211bmFsZSwgSS04MDEy
MSBOYXBsZXMsIEl0YWx5PC9hdXRoLWFkZHJlc3M+PHRpdGxlcz48dGl0bGU+TGVzc2Vwc2lhbiBm
aXNoIGludmFzaW9uIGluIE1lZGl0ZXJyYW5lYW4gbWFyaW5lIHByb3RlY3RlZCBhcmVhczogYSBy
aXNrIGFzc2Vzc21lbnQgdW5kZXIgY2xpbWF0ZSBjaGFuZ2Ugc2NlbmFyaW9zPC90aXRsZT48c2Vj
b25kYXJ5LXRpdGxlPkljZXMgSm91cm5hbCBvZiBNYXJpbmUgU2NpZW5jZTwvc2Vjb25kYXJ5LXRp
dGxlPjxhbHQtdGl0bGU+SWNlcyBKIE1hciBTY2k8L2FsdC10aXRsZT48L3RpdGxlcz48cGVyaW9k
aWNhbD48ZnVsbC10aXRsZT5JY2VzIEpvdXJuYWwgb2YgTWFyaW5lIFNjaWVuY2U8L2Z1bGwtdGl0
bGU+PGFiYnItMT5JY2VzIEogTWFyIFNjaTwvYWJici0xPjwvcGVyaW9kaWNhbD48YWx0LXBlcmlv
ZGljYWw+PGZ1bGwtdGl0bGU+SWNlcyBKb3VybmFsIG9mIE1hcmluZSBTY2llbmNlPC9mdWxsLXRp
dGxlPjxhYmJyLTE+SWNlcyBKIE1hciBTY2k8L2FiYnItMT48L2FsdC1wZXJpb2RpY2FsPjxwYWdl
cz4zODgtMzk3PC9wYWdlcz48dm9sdW1lPjc3PC92b2x1bWU+PG51bWJlcj4xPC9udW1iZXI+PGtl
eXdvcmRzPjxrZXl3b3JkPmdsb2JhbCBjaGFuZ2U8L2tleXdvcmQ+PGtleXdvcmQ+aW52YXNpb24g
cmlzazwva2V5d29yZD48a2V5d29yZD5pbnZhc2l2ZSBzcGVjaWVzPC9rZXl3b3JkPjxrZXl3b3Jk
Pm1hcmluZSBjb25zZXJ2YXRpb248L2tleXdvcmQ+PGtleXdvcmQ+bWVkaXRlcnJhbmVhbiBzZWE8
L2tleXdvcmQ+PGtleXdvcmQ+cHJvdGVjdGVkIGFyZWEgbmV0d29yazwva2V5d29yZD48a2V5d29y
ZD5saW9uZmlzaCBwdGVyb2lzLW1pbGVzPC9rZXl3b3JkPjxrZXl3b3JkPmJpb2xvZ2ljYWwgaW52
YXNpb25zPC9rZXl3b3JkPjxrZXl3b3JkPmRpc3RyaWJ1dGlvbiBtb2RlbHM8L2tleXdvcmQ+PGtl
eXdvcmQ+c3BlY2llcyByaWNobmVzczwva2V5d29yZD48a2V5d29yZD5zZWE8L2tleXdvcmQ+PGtl
eXdvcmQ+Y29uc2VydmF0aW9uPC9rZXl3b3JkPjxrZXl3b3JkPnJlc2VydmVzPC9rZXl3b3JkPjxr
ZXl3b3JkPmltcGFjdHM8L2tleXdvcmQ+PGtleXdvcmQ+cGxhbnQ8L2tleXdvcmQ+PGtleXdvcmQ+
YmlvZGl2ZXJzaXR5PC9rZXl3b3JkPjwva2V5d29yZHM+PGRhdGVzPjx5ZWFyPjIwMjA8L3llYXI+
PHB1Yi1kYXRlcz48ZGF0ZT5KYW4tRmViPC9kYXRlPjwvcHViLWRhdGVzPjwvZGF0ZXM+PGlzYm4+
MTA1NC0zMTM5PC9pc2JuPjxhY2Nlc3Npb24tbnVtPldPUzowMDA1MTg1MzAyMDAwMzI8L2FjY2Vz
c2lvbi1udW0+PHVybHM+PHJlbGF0ZWQtdXJscz48dXJsPiZsdDtHbyB0byBJU0kmZ3Q7Oi8vV09T
OjAwMDUxODUzMDIwMDAzMjwvdXJsPjwvcmVsYXRlZC11cmxzPjwvdXJscz48ZWxlY3Ryb25pYy1y
ZXNvdXJjZS1udW0+MTAuMTA5My9pY2Vzam1zL2ZzejIwNzwvZWxlY3Ryb25pYy1yZXNvdXJjZS1u
dW0+PGxhbmd1YWdlPkVuZ2xpc2g8L2xhbmd1YWdlPjwvcmVjb3JkPjwvQ2l0ZT48L0VuZE5vdGU+
</w:fldData>
        </w:fldChar>
      </w:r>
      <w:r w:rsidR="00F34A9B" w:rsidRPr="00A9434B">
        <w:rPr>
          <w:rFonts w:ascii="Times New Roman" w:hAnsi="Times New Roman" w:cs="Times New Roman"/>
        </w:rPr>
        <w:instrText xml:space="preserve"> ADDIN EN.CITE </w:instrText>
      </w:r>
      <w:r w:rsidR="00F34A9B" w:rsidRPr="00A9434B">
        <w:rPr>
          <w:rFonts w:ascii="Times New Roman" w:hAnsi="Times New Roman" w:cs="Times New Roman"/>
        </w:rPr>
        <w:fldChar w:fldCharType="begin">
          <w:fldData xml:space="preserve">PEVuZE5vdGU+PENpdGU+PEF1dGhvcj5EJmFwb3M7QW1lbjwvQXV0aG9yPjxZZWFyPjIwMjA8L1ll
YXI+PFJlY051bT42NDwvUmVjTnVtPjxEaXNwbGF5VGV4dD4oRCZhcG9zO0FtZW4gYW5kIEF6enVy
cm8gMjAyMCk8L0Rpc3BsYXlUZXh0PjxyZWNvcmQ+PHJlYy1udW1iZXI+NjQ8L3JlYy1udW1iZXI+
PGZvcmVpZ24ta2V5cz48a2V5IGFwcD0iRU4iIGRiLWlkPSIyZnBzMnJwd2NwdHdheGVkejlvcHJ6
dm1hd2Z4ZWY5cGZwYTIiIHRpbWVzdGFtcD0iMTYyMDcyMjY2NCI+NjQ8L2tleT48L2ZvcmVpZ24t
a2V5cz48cmVmLXR5cGUgbmFtZT0iSm91cm5hbCBBcnRpY2xlIj4xNzwvcmVmLXR5cGU+PGNvbnRy
aWJ1dG9ycz48YXV0aG9ycz48YXV0aG9yPkQmYXBvcztBbWVuLCBNLjwvYXV0aG9yPjxhdXRob3I+
QXp6dXJybywgRS48L2F1dGhvcj48L2F1dGhvcnM+PC9jb250cmlidXRvcnM+PGF1dGgtYWRkcmVz
cz5JbnN0IEVudmlyb25tIFByb3RlY3QgJmFtcDsgUmVzLCBJU1BSQSwgSS01NzEyMiBMaXZvcm5v
LCBJdGFseSYjeEQ7U3RheiBab29sIEFudG9uIERvaHJuLCBWaWxsYSBDb211bmFsZSwgSS04MDEy
MSBOYXBsZXMsIEl0YWx5PC9hdXRoLWFkZHJlc3M+PHRpdGxlcz48dGl0bGU+TGVzc2Vwc2lhbiBm
aXNoIGludmFzaW9uIGluIE1lZGl0ZXJyYW5lYW4gbWFyaW5lIHByb3RlY3RlZCBhcmVhczogYSBy
aXNrIGFzc2Vzc21lbnQgdW5kZXIgY2xpbWF0ZSBjaGFuZ2Ugc2NlbmFyaW9zPC90aXRsZT48c2Vj
b25kYXJ5LXRpdGxlPkljZXMgSm91cm5hbCBvZiBNYXJpbmUgU2NpZW5jZTwvc2Vjb25kYXJ5LXRp
dGxlPjxhbHQtdGl0bGU+SWNlcyBKIE1hciBTY2k8L2FsdC10aXRsZT48L3RpdGxlcz48cGVyaW9k
aWNhbD48ZnVsbC10aXRsZT5JY2VzIEpvdXJuYWwgb2YgTWFyaW5lIFNjaWVuY2U8L2Z1bGwtdGl0
bGU+PGFiYnItMT5JY2VzIEogTWFyIFNjaTwvYWJici0xPjwvcGVyaW9kaWNhbD48YWx0LXBlcmlv
ZGljYWw+PGZ1bGwtdGl0bGU+SWNlcyBKb3VybmFsIG9mIE1hcmluZSBTY2llbmNlPC9mdWxsLXRp
dGxlPjxhYmJyLTE+SWNlcyBKIE1hciBTY2k8L2FiYnItMT48L2FsdC1wZXJpb2RpY2FsPjxwYWdl
cz4zODgtMzk3PC9wYWdlcz48dm9sdW1lPjc3PC92b2x1bWU+PG51bWJlcj4xPC9udW1iZXI+PGtl
eXdvcmRzPjxrZXl3b3JkPmdsb2JhbCBjaGFuZ2U8L2tleXdvcmQ+PGtleXdvcmQ+aW52YXNpb24g
cmlzazwva2V5d29yZD48a2V5d29yZD5pbnZhc2l2ZSBzcGVjaWVzPC9rZXl3b3JkPjxrZXl3b3Jk
Pm1hcmluZSBjb25zZXJ2YXRpb248L2tleXdvcmQ+PGtleXdvcmQ+bWVkaXRlcnJhbmVhbiBzZWE8
L2tleXdvcmQ+PGtleXdvcmQ+cHJvdGVjdGVkIGFyZWEgbmV0d29yazwva2V5d29yZD48a2V5d29y
ZD5saW9uZmlzaCBwdGVyb2lzLW1pbGVzPC9rZXl3b3JkPjxrZXl3b3JkPmJpb2xvZ2ljYWwgaW52
YXNpb25zPC9rZXl3b3JkPjxrZXl3b3JkPmRpc3RyaWJ1dGlvbiBtb2RlbHM8L2tleXdvcmQ+PGtl
eXdvcmQ+c3BlY2llcyByaWNobmVzczwva2V5d29yZD48a2V5d29yZD5zZWE8L2tleXdvcmQ+PGtl
eXdvcmQ+Y29uc2VydmF0aW9uPC9rZXl3b3JkPjxrZXl3b3JkPnJlc2VydmVzPC9rZXl3b3JkPjxr
ZXl3b3JkPmltcGFjdHM8L2tleXdvcmQ+PGtleXdvcmQ+cGxhbnQ8L2tleXdvcmQ+PGtleXdvcmQ+
YmlvZGl2ZXJzaXR5PC9rZXl3b3JkPjwva2V5d29yZHM+PGRhdGVzPjx5ZWFyPjIwMjA8L3llYXI+
PHB1Yi1kYXRlcz48ZGF0ZT5KYW4tRmViPC9kYXRlPjwvcHViLWRhdGVzPjwvZGF0ZXM+PGlzYm4+
MTA1NC0zMTM5PC9pc2JuPjxhY2Nlc3Npb24tbnVtPldPUzowMDA1MTg1MzAyMDAwMzI8L2FjY2Vz
c2lvbi1udW0+PHVybHM+PHJlbGF0ZWQtdXJscz48dXJsPiZsdDtHbyB0byBJU0kmZ3Q7Oi8vV09T
OjAwMDUxODUzMDIwMDAzMjwvdXJsPjwvcmVsYXRlZC11cmxzPjwvdXJscz48ZWxlY3Ryb25pYy1y
ZXNvdXJjZS1udW0+MTAuMTA5My9pY2Vzam1zL2ZzejIwNzwvZWxlY3Ryb25pYy1yZXNvdXJjZS1u
dW0+PGxhbmd1YWdlPkVuZ2xpc2g8L2xhbmd1YWdlPjwvcmVjb3JkPjwvQ2l0ZT48L0VuZE5vdGU+
</w:fldData>
        </w:fldChar>
      </w:r>
      <w:r w:rsidR="00F34A9B" w:rsidRPr="00A9434B">
        <w:rPr>
          <w:rFonts w:ascii="Times New Roman" w:hAnsi="Times New Roman" w:cs="Times New Roman"/>
        </w:rPr>
        <w:instrText xml:space="preserve"> ADDIN EN.CITE.DATA </w:instrText>
      </w:r>
      <w:r w:rsidR="00F34A9B" w:rsidRPr="00A9434B">
        <w:rPr>
          <w:rFonts w:ascii="Times New Roman" w:hAnsi="Times New Roman" w:cs="Times New Roman"/>
        </w:rPr>
      </w:r>
      <w:r w:rsidR="00F34A9B" w:rsidRPr="00A9434B">
        <w:rPr>
          <w:rFonts w:ascii="Times New Roman" w:hAnsi="Times New Roman" w:cs="Times New Roman"/>
        </w:rPr>
        <w:fldChar w:fldCharType="end"/>
      </w:r>
      <w:r w:rsidR="00F34A9B" w:rsidRPr="00A9434B">
        <w:rPr>
          <w:rFonts w:ascii="Times New Roman" w:hAnsi="Times New Roman" w:cs="Times New Roman"/>
        </w:rPr>
      </w:r>
      <w:r w:rsidR="00F34A9B" w:rsidRPr="00A9434B">
        <w:rPr>
          <w:rFonts w:ascii="Times New Roman" w:hAnsi="Times New Roman" w:cs="Times New Roman"/>
        </w:rPr>
        <w:fldChar w:fldCharType="end"/>
      </w:r>
      <w:r w:rsidRPr="00A9434B">
        <w:rPr>
          <w:rFonts w:ascii="Times New Roman" w:hAnsi="Times New Roman" w:cs="Times New Roman"/>
        </w:rPr>
        <w:t>.</w:t>
      </w:r>
      <w:r w:rsidR="513DF1EE" w:rsidRPr="00A9434B">
        <w:rPr>
          <w:rFonts w:ascii="Times New Roman" w:hAnsi="Times New Roman" w:cs="Times New Roman"/>
        </w:rPr>
        <w:t xml:space="preserve"> </w:t>
      </w:r>
      <w:r w:rsidR="7A07384D" w:rsidRPr="00A9434B">
        <w:rPr>
          <w:rFonts w:ascii="Times New Roman" w:hAnsi="Times New Roman" w:cs="Times New Roman"/>
        </w:rPr>
        <w:t xml:space="preserve">Effective invasive alien species policy for marine protected areas should therefore </w:t>
      </w:r>
      <w:r w:rsidR="5C13F6CE" w:rsidRPr="00A9434B">
        <w:rPr>
          <w:rFonts w:ascii="Times New Roman" w:hAnsi="Times New Roman" w:cs="Times New Roman"/>
        </w:rPr>
        <w:t>include</w:t>
      </w:r>
      <w:r w:rsidR="7A07384D" w:rsidRPr="00A9434B">
        <w:rPr>
          <w:rFonts w:ascii="Times New Roman" w:hAnsi="Times New Roman" w:cs="Times New Roman"/>
        </w:rPr>
        <w:t xml:space="preserve"> a strong focus on prevention, along with context-specific environmental management to minimize the suitability of local habitats to invasion</w:t>
      </w:r>
      <w:r w:rsidR="20B62CC1" w:rsidRPr="00A9434B">
        <w:rPr>
          <w:rFonts w:ascii="Times New Roman" w:hAnsi="Times New Roman" w:cs="Times New Roman"/>
        </w:rPr>
        <w:t xml:space="preserve"> as currently proposed in the Action Plan Concerning Species Introduction and Invasive Species in the Mediterranean Sea </w:t>
      </w:r>
      <w:r w:rsidR="0050527B" w:rsidRPr="00A9434B">
        <w:rPr>
          <w:rFonts w:ascii="Times New Roman" w:hAnsi="Times New Roman" w:cs="Times New Roman"/>
        </w:rPr>
        <w:fldChar w:fldCharType="begin"/>
      </w:r>
      <w:r w:rsidR="0006613E">
        <w:rPr>
          <w:rFonts w:ascii="Times New Roman" w:hAnsi="Times New Roman" w:cs="Times New Roman"/>
        </w:rPr>
        <w:instrText xml:space="preserve"> ADDIN ZOTERO_ITEM CSL_CITATION {"citationID":"ar4c4jka5p","properties":{"formattedCitation":"(UNEP, 2014)","plainCitation":"(UNEP, 2014)","noteIndex":0},"citationItems":[{"id":54696,"uris":["http://zotero.org/groups/2352922/items/ZIY9XD6B"],"itemData":{"id":54696,"type":"webpage","container-title":"UNDP","language":"en","title":"Action Plan concerning species introductions and invasive species in the Mediterranean Sea","URL":"https://www.undp.org/turkiye/publications/action-plan-concerning-species-introductions-and-invasive-species-mediterranean-sea","author":[{"literal":"UNEP"}],"accessed":{"date-parts":[["2023",3,7]]},"issued":{"date-parts":[["2014"]]}},"label":"page"}],"schema":"https://github.com/citation-style-language/schema/raw/master/csl-citation.json"} </w:instrText>
      </w:r>
      <w:r w:rsidR="0050527B" w:rsidRPr="00A9434B">
        <w:rPr>
          <w:rFonts w:ascii="Times New Roman" w:hAnsi="Times New Roman" w:cs="Times New Roman"/>
        </w:rPr>
        <w:fldChar w:fldCharType="separate"/>
      </w:r>
      <w:r w:rsidR="00C71E80" w:rsidRPr="00A9434B">
        <w:rPr>
          <w:rFonts w:ascii="Times New Roman" w:hAnsi="Times New Roman" w:cs="Times New Roman"/>
        </w:rPr>
        <w:t>(UNEP, 2014)</w:t>
      </w:r>
      <w:r w:rsidR="0050527B" w:rsidRPr="00A9434B">
        <w:rPr>
          <w:rFonts w:ascii="Times New Roman" w:hAnsi="Times New Roman" w:cs="Times New Roman"/>
        </w:rPr>
        <w:fldChar w:fldCharType="end"/>
      </w:r>
      <w:r w:rsidR="0050527B" w:rsidRPr="00A9434B">
        <w:rPr>
          <w:rFonts w:ascii="Times New Roman" w:hAnsi="Times New Roman" w:cs="Times New Roman"/>
        </w:rPr>
        <w:t>.</w:t>
      </w:r>
    </w:p>
    <w:p w14:paraId="3CFA9A47" w14:textId="77777777" w:rsidR="00017C04" w:rsidRDefault="00F50AF9" w:rsidP="008521D1">
      <w:pPr>
        <w:pStyle w:val="Heading2"/>
      </w:pPr>
      <w:bookmarkStart w:id="289" w:name="_Toc74056300"/>
      <w:bookmarkStart w:id="290" w:name="_Toc181953160"/>
      <w:bookmarkStart w:id="291" w:name="_Toc133428311"/>
      <w:bookmarkStart w:id="292" w:name="_Toc133428788"/>
      <w:bookmarkStart w:id="293" w:name="_Toc147417583"/>
      <w:r>
        <w:t>Legal and regulatory options across geopolitical scales.</w:t>
      </w:r>
      <w:bookmarkEnd w:id="289"/>
      <w:bookmarkEnd w:id="290"/>
      <w:bookmarkEnd w:id="291"/>
      <w:bookmarkEnd w:id="292"/>
      <w:bookmarkEnd w:id="293"/>
    </w:p>
    <w:p w14:paraId="74FD7D7E" w14:textId="341ADEF5" w:rsidR="00017C04" w:rsidRDefault="00F50AF9">
      <w:pPr>
        <w:rPr>
          <w:i/>
        </w:rPr>
      </w:pPr>
      <w:r>
        <w:t>This section presents and discusses strengthening legal and regulatory instruments at multilateral scales (</w:t>
      </w:r>
      <w:r w:rsidR="00422F61">
        <w:rPr>
          <w:rFonts w:eastAsia="Calibri Light"/>
          <w:b/>
        </w:rPr>
        <w:t>Table</w:t>
      </w:r>
      <w:r>
        <w:rPr>
          <w:b/>
        </w:rPr>
        <w:t xml:space="preserve"> 6.4</w:t>
      </w:r>
      <w:r>
        <w:t>). The goal is to present the main strategies by which agreements, laws and regulatory instruments</w:t>
      </w:r>
      <w:r w:rsidR="005D0083">
        <w:t xml:space="preserve"> and</w:t>
      </w:r>
      <w:r>
        <w:t xml:space="preserve"> voluntary codes relevant at broad geopolitical scales can be strengthened. The options presented focus on the need for clear national strategies, embedded in a regional context</w:t>
      </w:r>
      <w:r w:rsidR="005D0083">
        <w:t xml:space="preserve"> and</w:t>
      </w:r>
      <w:r>
        <w:t xml:space="preserve"> framed by coordinated multilateral environmental agreements.</w:t>
      </w:r>
    </w:p>
    <w:p w14:paraId="3BC43399" w14:textId="77777777" w:rsidR="00017C04" w:rsidRDefault="00F50AF9" w:rsidP="00801BB3">
      <w:pPr>
        <w:pStyle w:val="Heading3"/>
      </w:pPr>
      <w:bookmarkStart w:id="294" w:name="_heading=h.1opuj5n" w:colFirst="0" w:colLast="0"/>
      <w:bookmarkStart w:id="295" w:name="_Toc231021097"/>
      <w:bookmarkStart w:id="296" w:name="_Toc133428312"/>
      <w:bookmarkEnd w:id="294"/>
      <w:r>
        <w:lastRenderedPageBreak/>
        <w:t>Link national invasive alien species strategies into regional plans to align efforts and complement national strategies.</w:t>
      </w:r>
      <w:bookmarkEnd w:id="295"/>
      <w:bookmarkEnd w:id="296"/>
    </w:p>
    <w:p w14:paraId="70FC52EA" w14:textId="050AE2E4" w:rsidR="00017C04" w:rsidRDefault="2F958343" w:rsidP="56C59A3A">
      <w:r>
        <w:t xml:space="preserve">The drivers </w:t>
      </w:r>
      <w:r w:rsidR="5ECBF6AA">
        <w:t>facil</w:t>
      </w:r>
      <w:r w:rsidR="0A8B787C">
        <w:t>i</w:t>
      </w:r>
      <w:r w:rsidR="5ECBF6AA">
        <w:t xml:space="preserve">tating </w:t>
      </w:r>
      <w:r>
        <w:t>invasive alien species are transboundary in nature (</w:t>
      </w:r>
      <w:r w:rsidRPr="0B8DB0CC">
        <w:rPr>
          <w:b/>
          <w:bCs/>
        </w:rPr>
        <w:t>Chapter 3</w:t>
      </w:r>
      <w:r>
        <w:t xml:space="preserve">, </w:t>
      </w:r>
      <w:r w:rsidRPr="0B8DB0CC">
        <w:rPr>
          <w:b/>
          <w:bCs/>
        </w:rPr>
        <w:t xml:space="preserve">sections 3.1.1 </w:t>
      </w:r>
      <w:r>
        <w:t>and</w:t>
      </w:r>
      <w:r w:rsidRPr="0B8DB0CC">
        <w:rPr>
          <w:b/>
          <w:bCs/>
        </w:rPr>
        <w:t xml:space="preserve"> 3.1.3</w:t>
      </w:r>
      <w:r>
        <w:t>), and their impacts are rarely restricted within political boundaries (</w:t>
      </w:r>
      <w:r w:rsidRPr="0B8DB0CC">
        <w:rPr>
          <w:b/>
          <w:bCs/>
        </w:rPr>
        <w:t>Chapter 4</w:t>
      </w:r>
      <w:r>
        <w:t>,</w:t>
      </w:r>
      <w:r w:rsidRPr="0B8DB0CC">
        <w:rPr>
          <w:b/>
          <w:bCs/>
        </w:rPr>
        <w:t xml:space="preserve"> section 4.3</w:t>
      </w:r>
      <w:r>
        <w:t xml:space="preserve">, </w:t>
      </w:r>
      <w:r w:rsidRPr="0B8DB0CC">
        <w:rPr>
          <w:b/>
          <w:bCs/>
        </w:rPr>
        <w:t>4.4</w:t>
      </w:r>
      <w:r>
        <w:t>,</w:t>
      </w:r>
      <w:r w:rsidRPr="0B8DB0CC">
        <w:rPr>
          <w:b/>
          <w:bCs/>
        </w:rPr>
        <w:t xml:space="preserve"> 4.5</w:t>
      </w:r>
      <w:r>
        <w:t>,</w:t>
      </w:r>
      <w:r w:rsidRPr="0B8DB0CC">
        <w:rPr>
          <w:b/>
          <w:bCs/>
        </w:rPr>
        <w:t xml:space="preserve"> 4.6</w:t>
      </w:r>
      <w:r>
        <w:t>). Actions by individual countries are therefore not enough to mitigate the drivers and address the impacts of invasive alien species. Therefore, effective responses are based on shared objectives, means</w:t>
      </w:r>
      <w:r w:rsidR="005D0083">
        <w:t xml:space="preserve"> and</w:t>
      </w:r>
      <w:r>
        <w:t xml:space="preserve"> approaches across legal and regulatory instruments, while also being supported by cross national collaborative actions. The need for countries to work together to identify, share information on, and coordinate around common priorities on invasive alien species could be a priority in any future or renegotiation of regional agreements. Efforts in this direction are in place in multiple trading blocs like the Southern Common Market (MERCOSUR) and the European Union </w:t>
      </w:r>
      <w:r w:rsidR="2B9353FC" w:rsidRPr="00A9434B">
        <w:rPr>
          <w:rFonts w:eastAsia="Calibri Light"/>
        </w:rPr>
        <w:t>(</w:t>
      </w:r>
      <w:r w:rsidR="00B9562C" w:rsidRPr="00673554">
        <w:rPr>
          <w:rFonts w:eastAsia="Calibri Light"/>
          <w:b/>
          <w:iCs/>
        </w:rPr>
        <w:fldChar w:fldCharType="begin"/>
      </w:r>
      <w:r w:rsidR="00B9562C" w:rsidRPr="00673554">
        <w:rPr>
          <w:rFonts w:eastAsia="Calibri Light"/>
          <w:b/>
          <w:iCs/>
        </w:rPr>
        <w:instrText xml:space="preserve"> REF _Ref104898540 \h  \* MERGEFORMAT </w:instrText>
      </w:r>
      <w:r w:rsidR="00B9562C" w:rsidRPr="00673554">
        <w:rPr>
          <w:rFonts w:eastAsia="Calibri Light"/>
          <w:b/>
          <w:iCs/>
        </w:rPr>
      </w:r>
      <w:r w:rsidR="00B9562C" w:rsidRPr="00673554">
        <w:rPr>
          <w:rFonts w:eastAsia="Calibri Light"/>
          <w:b/>
          <w:iCs/>
        </w:rPr>
        <w:fldChar w:fldCharType="separate"/>
      </w:r>
      <w:r w:rsidR="0011368C" w:rsidRPr="00673554">
        <w:rPr>
          <w:b/>
          <w:iCs/>
        </w:rPr>
        <w:t>Box 6.9</w:t>
      </w:r>
      <w:r w:rsidR="00B9562C" w:rsidRPr="00673554">
        <w:rPr>
          <w:rFonts w:eastAsia="Calibri Light"/>
          <w:b/>
          <w:iCs/>
        </w:rPr>
        <w:fldChar w:fldCharType="end"/>
      </w:r>
      <w:r w:rsidR="2B9353FC" w:rsidRPr="00A9434B">
        <w:rPr>
          <w:rFonts w:eastAsia="Calibri Light"/>
        </w:rPr>
        <w:t>).</w:t>
      </w:r>
      <w:r>
        <w:t xml:space="preserve"> Ensuring this coordination may be the most effective means of reducing the risk of new </w:t>
      </w:r>
      <w:r w:rsidR="31F74181">
        <w:t xml:space="preserve">invasive alien species </w:t>
      </w:r>
      <w:r>
        <w:t>and further spread of invasive alien species. Moreover, the gains achieved by placing national policy priorities within the context of regional and international instruments outweigh the investment required for any country deciding to go “solo”. This is clearly evidenced by the existing web of policy ties across geographic scales that transcend the invasive alien species issue.</w:t>
      </w:r>
    </w:p>
    <w:p w14:paraId="1B05CF26" w14:textId="6ED4A754" w:rsidR="00017C04" w:rsidRPr="00273868" w:rsidRDefault="00F50AF9" w:rsidP="00C12647">
      <w:pPr>
        <w:keepNext/>
        <w:pBdr>
          <w:top w:val="single" w:sz="8" w:space="1" w:color="000000"/>
          <w:left w:val="single" w:sz="8" w:space="1" w:color="000000"/>
          <w:bottom w:val="single" w:sz="8" w:space="1" w:color="000000"/>
          <w:right w:val="single" w:sz="8" w:space="1" w:color="000000"/>
          <w:between w:val="nil"/>
        </w:pBdr>
        <w:shd w:val="clear" w:color="auto" w:fill="E7E6E6"/>
      </w:pPr>
      <w:bookmarkStart w:id="297" w:name="_heading=h.48pi1tg" w:colFirst="0" w:colLast="0"/>
      <w:bookmarkStart w:id="298" w:name="_Ref104898540"/>
      <w:bookmarkStart w:id="299" w:name="_Toc147418618"/>
      <w:bookmarkEnd w:id="297"/>
      <w:r w:rsidRPr="00C12647">
        <w:rPr>
          <w:b/>
          <w:color w:val="000000"/>
        </w:rPr>
        <w:t>Box 6</w:t>
      </w:r>
      <w:r w:rsidR="001E57B1" w:rsidRPr="00273868">
        <w:t>.</w:t>
      </w:r>
      <w:r w:rsidR="001E57B1" w:rsidRPr="00C12647">
        <w:rPr>
          <w:b/>
          <w:bCs/>
        </w:rPr>
        <w:fldChar w:fldCharType="begin"/>
      </w:r>
      <w:r w:rsidR="001E57B1" w:rsidRPr="00C12647">
        <w:rPr>
          <w:b/>
          <w:bCs/>
        </w:rPr>
        <w:instrText xml:space="preserve"> SEQ Box_6. \* ARABIC </w:instrText>
      </w:r>
      <w:r w:rsidR="001E57B1" w:rsidRPr="00C12647">
        <w:rPr>
          <w:b/>
          <w:bCs/>
        </w:rPr>
        <w:fldChar w:fldCharType="separate"/>
      </w:r>
      <w:r w:rsidR="0011368C" w:rsidRPr="00C12647">
        <w:rPr>
          <w:b/>
          <w:bCs/>
          <w:noProof/>
        </w:rPr>
        <w:t>9</w:t>
      </w:r>
      <w:r w:rsidR="001E57B1" w:rsidRPr="00C12647">
        <w:rPr>
          <w:b/>
          <w:bCs/>
        </w:rPr>
        <w:fldChar w:fldCharType="end"/>
      </w:r>
      <w:bookmarkEnd w:id="298"/>
      <w:r w:rsidR="00E36BDC" w:rsidRPr="00C12647">
        <w:rPr>
          <w:b/>
          <w:bCs/>
        </w:rPr>
        <w:t>.</w:t>
      </w:r>
      <w:r w:rsidRPr="00C12647">
        <w:rPr>
          <w:b/>
          <w:bCs/>
        </w:rPr>
        <w:t xml:space="preserve"> </w:t>
      </w:r>
      <w:bookmarkStart w:id="300" w:name="_Hlk129686778"/>
      <w:r w:rsidRPr="00C12647">
        <w:rPr>
          <w:b/>
          <w:bCs/>
        </w:rPr>
        <w:t>From Regional policy to national priorities: MERCOSUR and European Union cases</w:t>
      </w:r>
      <w:bookmarkEnd w:id="299"/>
      <w:bookmarkEnd w:id="300"/>
    </w:p>
    <w:p w14:paraId="48E8AD43" w14:textId="77305A28" w:rsidR="00017C04" w:rsidRPr="00C12647" w:rsidRDefault="00F50AF9" w:rsidP="00C12647">
      <w:pPr>
        <w:pBdr>
          <w:top w:val="single" w:sz="8" w:space="1" w:color="000000"/>
          <w:left w:val="single" w:sz="8" w:space="1" w:color="000000"/>
          <w:bottom w:val="single" w:sz="8" w:space="1" w:color="000000"/>
          <w:right w:val="single" w:sz="8" w:space="1" w:color="000000"/>
        </w:pBdr>
        <w:shd w:val="clear" w:color="auto" w:fill="E7E6E6" w:themeFill="background2"/>
        <w:rPr>
          <w:rStyle w:val="fontstyle21"/>
          <w:rFonts w:ascii="Times New Roman" w:eastAsia="Times New Roman" w:hAnsi="Times New Roman"/>
        </w:rPr>
      </w:pPr>
      <w:bookmarkStart w:id="301" w:name="_heading=h.2nusc19" w:colFirst="0" w:colLast="0"/>
      <w:bookmarkStart w:id="302" w:name="_Hlk129686663"/>
      <w:bookmarkEnd w:id="301"/>
      <w:r w:rsidRPr="00C12647">
        <w:t xml:space="preserve">MERCOSUR is a regional trade agreement whose members are Argentina, Brazil, Paraguay, Uruguay and Venezuela. These countries have agreed on several regional commitments promoting action on invasive alien species: MERCOSUR Biodiversity </w:t>
      </w:r>
      <w:r w:rsidRPr="00273868">
        <w:rPr>
          <w:rStyle w:val="fontstyle21"/>
          <w:rFonts w:ascii="Times New Roman" w:hAnsi="Times New Roman"/>
        </w:rPr>
        <w:t xml:space="preserve">Declaration </w:t>
      </w:r>
      <w:r w:rsidR="00BA7215" w:rsidRPr="00273868">
        <w:fldChar w:fldCharType="begin"/>
      </w:r>
      <w:r w:rsidR="0006613E">
        <w:instrText xml:space="preserve"> ADDIN ZOTERO_ITEM CSL_CITATION {"citationID":"WqwABP9e","properties":{"formattedCitation":"(2006)","plainCitation":"(2006)","noteIndex":0},"citationItems":[{"id":54817,"uris":["http://zotero.org/groups/2352922/items/8R4KPTP2"],"itemData":{"id":54817,"type":"document","title":"Anexo III: Declaración De Los Ministros De Medio Ambiente Sobre Estrategia De Biodiversidad Del Mercosur","URL":"https://ambiente.mercosur.int/MD_upload/Archivos/1/File/biblioteca/pdf/Biodiversidad/Estrategia_Biodiversidad_Mercosur.pdf","author":[{"literal":"MERCOSUR"}],"accessed":{"date-parts":[["2023",3,28]]},"issued":{"date-parts":[["2006"]]}},"label":"page","suppress-author":true}],"schema":"https://github.com/citation-style-language/schema/raw/master/csl-citation.json"} </w:instrText>
      </w:r>
      <w:r w:rsidR="00BA7215" w:rsidRPr="00273868">
        <w:fldChar w:fldCharType="separate"/>
      </w:r>
      <w:r w:rsidR="00BA7215" w:rsidRPr="00273868">
        <w:t>(2006)</w:t>
      </w:r>
      <w:r w:rsidR="00BA7215" w:rsidRPr="00273868">
        <w:fldChar w:fldCharType="end"/>
      </w:r>
      <w:r w:rsidR="7845BBAD" w:rsidRPr="00273868">
        <w:rPr>
          <w:rStyle w:val="fontstyle21"/>
          <w:rFonts w:ascii="Times New Roman" w:hAnsi="Times New Roman"/>
        </w:rPr>
        <w:t>;</w:t>
      </w:r>
      <w:r w:rsidRPr="00273868">
        <w:rPr>
          <w:rStyle w:val="fontstyle21"/>
          <w:rFonts w:ascii="Times New Roman" w:hAnsi="Times New Roman"/>
        </w:rPr>
        <w:t xml:space="preserve"> Article 7 of the MERCOSUR Environment Framework and the Work Plan of the MERCOSUR Working Group, which acknowledges the need for managing priority invasive alien species. Also, the MERCOSUR </w:t>
      </w:r>
      <w:r w:rsidR="009011F3">
        <w:rPr>
          <w:rStyle w:val="fontstyle21"/>
          <w:rFonts w:ascii="Times New Roman" w:hAnsi="Times New Roman"/>
        </w:rPr>
        <w:t>working subgroup on the environment (</w:t>
      </w:r>
      <w:r w:rsidRPr="00273868">
        <w:rPr>
          <w:rStyle w:val="fontstyle21"/>
          <w:rFonts w:ascii="Times New Roman" w:hAnsi="Times New Roman"/>
        </w:rPr>
        <w:t>SGT6</w:t>
      </w:r>
      <w:r w:rsidR="009011F3">
        <w:rPr>
          <w:rStyle w:val="fontstyle21"/>
          <w:rFonts w:ascii="Times New Roman" w:hAnsi="Times New Roman"/>
        </w:rPr>
        <w:t>)</w:t>
      </w:r>
      <w:r w:rsidRPr="00273868">
        <w:rPr>
          <w:rStyle w:val="fontstyle21"/>
          <w:rFonts w:ascii="Times New Roman" w:hAnsi="Times New Roman"/>
        </w:rPr>
        <w:t xml:space="preserve"> acknowledged the need to define a joint work plan on invasive alien species, including prevention, control and eradication priority actions, as part </w:t>
      </w:r>
      <w:r w:rsidR="006E0767" w:rsidRPr="00273868">
        <w:rPr>
          <w:rStyle w:val="fontstyle21"/>
          <w:rFonts w:ascii="Times New Roman" w:hAnsi="Times New Roman"/>
        </w:rPr>
        <w:t xml:space="preserve">of multilateral environmental agreements and </w:t>
      </w:r>
      <w:r w:rsidRPr="00273868">
        <w:rPr>
          <w:rStyle w:val="fontstyle21"/>
          <w:rFonts w:ascii="Times New Roman" w:hAnsi="Times New Roman"/>
        </w:rPr>
        <w:t xml:space="preserve">the MERCOSUR Framework Agreement on the Environment </w:t>
      </w:r>
      <w:r w:rsidR="00097FF1" w:rsidRPr="00273868">
        <w:rPr>
          <w:rStyle w:val="fontstyle21"/>
          <w:rFonts w:ascii="Times New Roman" w:hAnsi="Times New Roman"/>
          <w:highlight w:val="yellow"/>
        </w:rPr>
        <w:fldChar w:fldCharType="begin"/>
      </w:r>
      <w:r w:rsidR="0006613E">
        <w:rPr>
          <w:rStyle w:val="fontstyle21"/>
          <w:rFonts w:ascii="Times New Roman" w:hAnsi="Times New Roman"/>
          <w:highlight w:val="yellow"/>
        </w:rPr>
        <w:instrText xml:space="preserve"> ADDIN ZOTERO_ITEM CSL_CITATION {"citationID":"u0W5DOia","properties":{"formattedCitation":"(LXIV Ordinary Meeting, 2017)","plainCitation":"(LXIV Ordinary Meeting, 2017)","noteIndex":0},"citationItems":[{"id":54777,"uris":["http://zotero.org/groups/2352922/items/BR3J436G"],"itemData":{"id":54777,"type":"webpage","title":"SIM - Document Details","URL":"https://documentos.mercosur.int/public/reuniones/doc/6499","author":[{"literal":"LXIV Ordinary Meeting"}],"accessed":{"date-parts":[["2023",3,14]]},"issued":{"date-parts":[["2017"]]}},"label":"page"}],"schema":"https://github.com/citation-style-language/schema/raw/master/csl-citation.json"} </w:instrText>
      </w:r>
      <w:r w:rsidR="00097FF1" w:rsidRPr="00273868">
        <w:rPr>
          <w:rStyle w:val="fontstyle21"/>
          <w:rFonts w:ascii="Times New Roman" w:hAnsi="Times New Roman"/>
          <w:highlight w:val="yellow"/>
        </w:rPr>
        <w:fldChar w:fldCharType="separate"/>
      </w:r>
      <w:r w:rsidR="00A92887" w:rsidRPr="00273868">
        <w:t>(LXIV Ordinary Meeting, 2017)</w:t>
      </w:r>
      <w:r w:rsidR="00097FF1" w:rsidRPr="00273868">
        <w:rPr>
          <w:rStyle w:val="fontstyle21"/>
          <w:rFonts w:ascii="Times New Roman" w:hAnsi="Times New Roman"/>
          <w:highlight w:val="yellow"/>
        </w:rPr>
        <w:fldChar w:fldCharType="end"/>
      </w:r>
      <w:r w:rsidR="7845BBAD" w:rsidRPr="00273868">
        <w:rPr>
          <w:rStyle w:val="fontstyle21"/>
          <w:rFonts w:ascii="Times New Roman" w:hAnsi="Times New Roman"/>
        </w:rPr>
        <w:t>.</w:t>
      </w:r>
      <w:r w:rsidRPr="00273868">
        <w:rPr>
          <w:rStyle w:val="fontstyle21"/>
          <w:rFonts w:ascii="Times New Roman" w:hAnsi="Times New Roman"/>
        </w:rPr>
        <w:t xml:space="preserve"> The adoption </w:t>
      </w:r>
      <w:r w:rsidR="006E0767" w:rsidRPr="00273868">
        <w:rPr>
          <w:rStyle w:val="fontstyle21"/>
          <w:rFonts w:ascii="Times New Roman" w:hAnsi="Times New Roman"/>
        </w:rPr>
        <w:t xml:space="preserve">of risk assessment </w:t>
      </w:r>
      <w:r w:rsidRPr="00273868">
        <w:rPr>
          <w:rStyle w:val="fontstyle21"/>
          <w:rFonts w:ascii="Times New Roman" w:hAnsi="Times New Roman"/>
        </w:rPr>
        <w:t xml:space="preserve">protocols for introduction of species and MERCOSUR Resolution GMC 38/2019 on Guidelines for the Prevention, Control and Mitigation of Invasive Alien Species to reduce impacts on biodiversity, environment, health, production, economy and culture, </w:t>
      </w:r>
      <w:r w:rsidR="006E0767">
        <w:rPr>
          <w:rStyle w:val="fontstyle21"/>
          <w:rFonts w:ascii="Times New Roman" w:hAnsi="Times New Roman"/>
        </w:rPr>
        <w:t>is</w:t>
      </w:r>
      <w:r w:rsidRPr="00273868">
        <w:rPr>
          <w:rStyle w:val="fontstyle21"/>
          <w:rFonts w:ascii="Times New Roman" w:hAnsi="Times New Roman"/>
        </w:rPr>
        <w:t xml:space="preserve"> one of the recent regional agreements </w:t>
      </w:r>
      <w:r w:rsidR="00097FF1" w:rsidRPr="00273868">
        <w:rPr>
          <w:rStyle w:val="fontstyle21"/>
          <w:rFonts w:ascii="Times New Roman" w:hAnsi="Times New Roman"/>
        </w:rPr>
        <w:fldChar w:fldCharType="begin"/>
      </w:r>
      <w:r w:rsidR="0006613E">
        <w:rPr>
          <w:rStyle w:val="fontstyle21"/>
          <w:rFonts w:ascii="Times New Roman" w:hAnsi="Times New Roman"/>
        </w:rPr>
        <w:instrText xml:space="preserve"> ADDIN ZOTERO_ITEM CSL_CITATION {"citationID":"hR4P5AZC","properties":{"formattedCitation":"(MERCOSUR, 2019)","plainCitation":"(MERCOSUR, 2019)","noteIndex":0},"citationItems":[{"id":54779,"uris":["http://zotero.org/groups/2352922/items/6KVST8MM"],"itemData":{"id":54779,"type":"webpage","title":"Guidelines For The Development Of A Plan For The Prevention, Monitoring, Control And Mitigation Of Invasive Alien Specie","URL":"https://normas.mercosur.int/public/normativas/3769","author":[{"literal":"MERCOSUR"}],"accessed":{"date-parts":[["2023",3,14]]},"issued":{"date-parts":[["2019"]]}},"label":"page"}],"schema":"https://github.com/citation-style-language/schema/raw/master/csl-citation.json"} </w:instrText>
      </w:r>
      <w:r w:rsidR="00097FF1" w:rsidRPr="00273868">
        <w:rPr>
          <w:rStyle w:val="fontstyle21"/>
          <w:rFonts w:ascii="Times New Roman" w:hAnsi="Times New Roman"/>
        </w:rPr>
        <w:fldChar w:fldCharType="separate"/>
      </w:r>
      <w:r w:rsidR="00A92887" w:rsidRPr="00273868">
        <w:t>(MERCOSUR, 2019)</w:t>
      </w:r>
      <w:r w:rsidR="00097FF1" w:rsidRPr="00273868">
        <w:rPr>
          <w:rStyle w:val="fontstyle21"/>
          <w:rFonts w:ascii="Times New Roman" w:hAnsi="Times New Roman"/>
        </w:rPr>
        <w:fldChar w:fldCharType="end"/>
      </w:r>
      <w:r w:rsidR="00097FF1" w:rsidRPr="00273868">
        <w:rPr>
          <w:rStyle w:val="fontstyle21"/>
          <w:rFonts w:ascii="Times New Roman" w:hAnsi="Times New Roman"/>
        </w:rPr>
        <w:t>.</w:t>
      </w:r>
    </w:p>
    <w:p w14:paraId="3FF51B35" w14:textId="4E2A3334" w:rsidR="00815E0B" w:rsidRPr="00273868" w:rsidRDefault="00815E0B" w:rsidP="00C12647">
      <w:pPr>
        <w:pBdr>
          <w:top w:val="single" w:sz="8" w:space="1" w:color="000000"/>
          <w:left w:val="single" w:sz="8" w:space="1" w:color="000000"/>
          <w:bottom w:val="single" w:sz="8" w:space="1" w:color="000000"/>
          <w:right w:val="single" w:sz="8" w:space="1" w:color="000000"/>
        </w:pBdr>
        <w:shd w:val="clear" w:color="auto" w:fill="E7E6E6" w:themeFill="background2"/>
        <w:rPr>
          <w:color w:val="000000"/>
        </w:rPr>
      </w:pPr>
      <w:bookmarkStart w:id="303" w:name="_heading=h.1302m92" w:colFirst="0" w:colLast="0"/>
      <w:bookmarkStart w:id="304" w:name="_Hlk129686481"/>
      <w:bookmarkEnd w:id="302"/>
      <w:bookmarkEnd w:id="303"/>
      <w:r w:rsidRPr="00273868">
        <w:rPr>
          <w:rStyle w:val="fontstyle21"/>
          <w:rFonts w:ascii="Times New Roman" w:hAnsi="Times New Roman"/>
        </w:rPr>
        <w:t xml:space="preserve">These agreements have not been reflected in </w:t>
      </w:r>
      <w:r w:rsidR="006E0767">
        <w:rPr>
          <w:rStyle w:val="fontstyle21"/>
          <w:rFonts w:ascii="Times New Roman" w:hAnsi="Times New Roman"/>
        </w:rPr>
        <w:t>A</w:t>
      </w:r>
      <w:r w:rsidRPr="00273868">
        <w:rPr>
          <w:rStyle w:val="fontstyle21"/>
          <w:rFonts w:ascii="Times New Roman" w:hAnsi="Times New Roman"/>
        </w:rPr>
        <w:t xml:space="preserve">ctions </w:t>
      </w:r>
      <w:r w:rsidR="006E0767">
        <w:rPr>
          <w:rStyle w:val="fontstyle21"/>
          <w:rFonts w:ascii="Times New Roman" w:hAnsi="Times New Roman"/>
        </w:rPr>
        <w:t>p</w:t>
      </w:r>
      <w:r w:rsidRPr="00273868">
        <w:rPr>
          <w:rStyle w:val="fontstyle21"/>
          <w:rFonts w:ascii="Times New Roman" w:hAnsi="Times New Roman"/>
        </w:rPr>
        <w:t xml:space="preserve">lans or </w:t>
      </w:r>
      <w:r w:rsidRPr="00273868">
        <w:t xml:space="preserve">in practical measures to deal with invasive alien species in different MERCOSUR countries. Two exceptions are Argentina and Brazil, both of which developed </w:t>
      </w:r>
      <w:r w:rsidR="006E0767" w:rsidRPr="00273868">
        <w:t xml:space="preserve">a national strategy on invasive alien species </w:t>
      </w:r>
      <w:r w:rsidR="00097FF1" w:rsidRPr="00273868">
        <w:fldChar w:fldCharType="begin"/>
      </w:r>
      <w:r w:rsidR="0006613E">
        <w:instrText xml:space="preserve"> ADDIN ZOTERO_ITEM CSL_CITATION {"citationID":"a1cdhqeit2n","properties":{"formattedCitation":"(GEF, 2016; Minist\\uc0\\u233{}rio do Meio Ambiente/Secretaria de Biodiversidade, 2018)","plainCitation":"(GEF, 2016; Ministério do Meio Ambiente/Secretaria de Biodiversidade, 2018)","noteIndex":0},"citationItems":[{"id":54787,"uris":["http://zotero.org/groups/2352922/items/C6RCVJ6E"],"itemData":{"id":54787,"type":"report","page":"69","title":"Comissão Nacional De Biodiversidade Resolução Nº 7, De 29 De Maio De 2018","URL":"https://www.gov.br/mma/pt-br/assuntos/biodiversidade/fauna-e-flora/especies-exoticas-invasoras/resconabio072018estratgianacionalparaespciesexticasinvasoras.pdf","author":[{"literal":"Ministério do Meio Ambiente/Secretaria de Biodiversidade"}],"accessed":{"date-parts":[["2023",3,14]]},"issued":{"date-parts":[["2018"]]}}},{"id":54781,"uris":["http://zotero.org/groups/2352922/items/3IQTEYFR"],"itemData":{"id":54781,"type":"webpage","abstract":"El Ministerio de Ambiente y Desarrollo Sostenible de la Nación (MAyDS) trabajó de manera federal e interinstitucional en la formulación e implementación de la Estrategia Nacional sobre Especies Exóticas Invasoras (ENEEI) para minimizar el impacto de las invasiones biológicas sobre los recursos naturales, la diversidad biológica, los servicios ecosistémicos, la economía, la salud pública y la cultura.","container-title":"Argentina.gob.ar","genre":"Global Environment Facility","language":"es","title":"Proyecto ENEEI","URL":"https://www.argentina.gob.ar/ambiente/biodiversidad/exoticas-invasoras/proyecto","author":[{"literal":"GEF"}],"accessed":{"date-parts":[["2023",3,14]]},"issued":{"date-parts":[["2016"]]}}}],"schema":"https://github.com/citation-style-language/schema/raw/master/csl-citation.json"} </w:instrText>
      </w:r>
      <w:r w:rsidR="00097FF1" w:rsidRPr="00273868">
        <w:fldChar w:fldCharType="separate"/>
      </w:r>
      <w:r w:rsidR="00017441" w:rsidRPr="00273868">
        <w:t>(GEF, 2016; Ministério do Meio Ambiente/Secretaria de Biodiversidade, 2018)</w:t>
      </w:r>
      <w:r w:rsidR="00097FF1" w:rsidRPr="00273868">
        <w:fldChar w:fldCharType="end"/>
      </w:r>
      <w:r w:rsidR="00B03992" w:rsidRPr="00273868">
        <w:t>.</w:t>
      </w:r>
      <w:r w:rsidR="00AB10EB" w:rsidRPr="00273868">
        <w:t xml:space="preserve"> </w:t>
      </w:r>
      <w:r w:rsidRPr="00273868">
        <w:t xml:space="preserve">Uruguay recently included the promotion of the control of invasive alien species as a general goal in their National Strategy of Biodiversity (Uruguay: </w:t>
      </w:r>
      <w:r w:rsidR="00B03992" w:rsidRPr="00273868">
        <w:rPr>
          <w:highlight w:val="yellow"/>
        </w:rPr>
        <w:fldChar w:fldCharType="begin"/>
      </w:r>
      <w:r w:rsidR="0006613E">
        <w:rPr>
          <w:highlight w:val="yellow"/>
        </w:rPr>
        <w:instrText xml:space="preserve"> ADDIN ZOTERO_ITEM CSL_CITATION {"citationID":"a1g0t2tlduv","properties":{"formattedCitation":"\\uldash{(MVOTMA-DINAMA, 2016)}","plainCitation":"(MVOTMA-DINAMA, 2016)","dontUpdate":true,"noteIndex":0},"citationItems":[{"id":54784,"uris":["http://zotero.org/groups/2352922/items/JWIVKR83"],"itemData":{"id":54784,"type":"report","language":"es","publisher":"Ministerio de Vivienda, Ordenamiento Territorial y Medio Ambiente","source":"Zotero","title":"Estrategia Nacional para la Conservación y Uso Sostenible de la Diversidad Biológica del Uruguay 2016-2020","author":[{"literal":"MVOTMA"},{"literal":"Ministerio de Relaciones Exteriores"},{"literal":"UNDP"}],"issued":{"date-parts":[["2016"]]}}}],"schema":"https://github.com/citation-style-language/schema/raw/master/csl-citation.json"} </w:instrText>
      </w:r>
      <w:r w:rsidR="00B03992" w:rsidRPr="00273868">
        <w:rPr>
          <w:highlight w:val="yellow"/>
        </w:rPr>
        <w:fldChar w:fldCharType="separate"/>
      </w:r>
      <w:r w:rsidR="00B03992" w:rsidRPr="00273868">
        <w:t>MVOTMA-DINAMA, 2016)</w:t>
      </w:r>
      <w:r w:rsidR="00B03992" w:rsidRPr="00273868">
        <w:rPr>
          <w:highlight w:val="yellow"/>
        </w:rPr>
        <w:fldChar w:fldCharType="end"/>
      </w:r>
      <w:r w:rsidR="005D0083">
        <w:t xml:space="preserve"> and</w:t>
      </w:r>
      <w:r w:rsidRPr="00273868">
        <w:t xml:space="preserve">, in Paraguay, the national policies of invasive alien species are related to Wild Life Law and Resolutions 1184-85 </w:t>
      </w:r>
      <w:r w:rsidR="00477709" w:rsidRPr="00273868">
        <w:fldChar w:fldCharType="begin"/>
      </w:r>
      <w:r w:rsidR="0006613E">
        <w:instrText xml:space="preserve"> ADDIN ZOTERO_ITEM CSL_CITATION {"citationID":"74zr25py","properties":{"formattedCitation":"(SEAM, 2006)","plainCitation":"(SEAM, 2006)","noteIndex":0},"citationItems":[{"id":54800,"uris":["http://zotero.org/groups/2352922/items/CQUX8U97"],"itemData":{"id":54800,"type":"document","language":"es","title":"Resolución N° 1.185/06 - Por la cual se establecen los Términos Oficiales de Referencia para la introducción de especies exóticas de flora.","URL":"https://www.ecolex.org/details/legislation/resolucion-n-118506-por-la-cual-se-establecen-los-terminos-oficiales-de-referencia-para-la-introduccion-de-especies-exoticas-de-flora-lex-faoc087501/","author":[{"literal":"SEAM"}],"issued":{"date-parts":[["2006"]]}},"label":"page"}],"schema":"https://github.com/citation-style-language/schema/raw/master/csl-citation.json"} </w:instrText>
      </w:r>
      <w:r w:rsidR="00477709" w:rsidRPr="00273868">
        <w:fldChar w:fldCharType="separate"/>
      </w:r>
      <w:r w:rsidR="00BA7215" w:rsidRPr="00273868">
        <w:t>(SEAM, 2006)</w:t>
      </w:r>
      <w:r w:rsidR="00477709" w:rsidRPr="00273868">
        <w:fldChar w:fldCharType="end"/>
      </w:r>
      <w:r w:rsidRPr="00273868">
        <w:t xml:space="preserve">, which </w:t>
      </w:r>
      <w:r w:rsidR="008855F3" w:rsidRPr="00273868">
        <w:t>deal with</w:t>
      </w:r>
      <w:r w:rsidRPr="00273868">
        <w:t xml:space="preserve"> control of introduction of exotic fauna and flora species.</w:t>
      </w:r>
    </w:p>
    <w:p w14:paraId="39218736" w14:textId="5D7DA642" w:rsidR="00815E0B" w:rsidRPr="00A9434B" w:rsidRDefault="00801BB3" w:rsidP="00C12647">
      <w:pPr>
        <w:pBdr>
          <w:top w:val="single" w:sz="8" w:space="1" w:color="000000"/>
          <w:left w:val="single" w:sz="8" w:space="1" w:color="000000"/>
          <w:bottom w:val="single" w:sz="8" w:space="1" w:color="000000"/>
          <w:right w:val="single" w:sz="8" w:space="1" w:color="000000"/>
        </w:pBdr>
        <w:shd w:val="clear" w:color="auto" w:fill="E7E6E6" w:themeFill="background2"/>
      </w:pPr>
      <w:bookmarkStart w:id="305" w:name="_Hlk129685831"/>
      <w:bookmarkEnd w:id="304"/>
      <w:r w:rsidRPr="00273868">
        <w:t xml:space="preserve">The European Union as a party to the CBD took actions </w:t>
      </w:r>
      <w:r w:rsidR="7845BBAD" w:rsidRPr="00273868">
        <w:t xml:space="preserve">to ensure its policies comply with Article 8h </w:t>
      </w:r>
      <w:r w:rsidR="00CF4F7B" w:rsidRPr="00273868">
        <w:t>of the Convention, on</w:t>
      </w:r>
      <w:r w:rsidR="7845BBAD" w:rsidRPr="00273868">
        <w:t xml:space="preserve"> invasive alien species. </w:t>
      </w:r>
      <w:bookmarkEnd w:id="305"/>
      <w:r w:rsidR="7845BBAD" w:rsidRPr="00273868">
        <w:t>In 2014 the European Union agreed to a legislative text related to invasive alien species, adopted by the European Parliament and the European Council: Prevention and Management of Invasive Alien Species, E</w:t>
      </w:r>
      <w:r w:rsidR="006013B7" w:rsidRPr="00273868">
        <w:t xml:space="preserve">uropean </w:t>
      </w:r>
      <w:r w:rsidR="7845BBAD" w:rsidRPr="00273868">
        <w:t>U</w:t>
      </w:r>
      <w:r w:rsidR="006013B7" w:rsidRPr="00273868">
        <w:t>nion</w:t>
      </w:r>
      <w:r w:rsidR="7845BBAD" w:rsidRPr="00273868">
        <w:t xml:space="preserve"> Regulation 1143/2014 </w:t>
      </w:r>
      <w:r w:rsidR="00815E0B" w:rsidRPr="00273868">
        <w:fldChar w:fldCharType="begin"/>
      </w:r>
      <w:r w:rsidR="0006613E">
        <w:instrText xml:space="preserve"> ADDIN ZOTERO_ITEM CSL_CITATION {"citationID":"a6tuq87j9","properties":{"formattedCitation":"(Council of the European Communities, 2014)","plainCitation":"(Council of the European Communities, 2014)","noteIndex":0},"citationItems":[{"id":32575,"uris":["http://zotero.org/groups/2352922/items/AERA5TAG"],"itemData":{"id":32575,"type":"document","title":"Regulation (EU) No 1143/2014 of the European Parliament and of the Council of 22 October 2014 on the prevention and management of the introduction and spread of invasive alien species. OJEU L317:35–55","URL":"https://eur-lex.europa.eu/legal-content/EN/TXT/?uri=OJ:JOL_2014_317_R_0003","author":[{"literal":"Council of the European Communities"}],"issued":{"date-parts":[["2014"]]}},"label":"page"}],"schema":"https://github.com/citation-style-language/schema/raw/master/csl-citation.json"} </w:instrText>
      </w:r>
      <w:r w:rsidR="00815E0B" w:rsidRPr="00273868">
        <w:fldChar w:fldCharType="separate"/>
      </w:r>
      <w:r w:rsidR="00C71E80" w:rsidRPr="00273868">
        <w:t>(Council of the European Communities, 2014)</w:t>
      </w:r>
      <w:r w:rsidR="00815E0B" w:rsidRPr="00273868">
        <w:fldChar w:fldCharType="end"/>
      </w:r>
      <w:r w:rsidR="7845BBAD" w:rsidRPr="00273868">
        <w:t xml:space="preserve">, fulfilling Action 16 of Target 5 of the European Union 2020 Biodiversity Strategy, as well as Aichi Target 9 of the Strategic Plan for Biodiversity 2011–2020 under the CBD </w:t>
      </w:r>
      <w:r w:rsidR="00815E0B" w:rsidRPr="00273868">
        <w:fldChar w:fldCharType="begin"/>
      </w:r>
      <w:r w:rsidR="0006613E">
        <w:instrText xml:space="preserve"> ADDIN ZOTERO_ITEM CSL_CITATION {"citationID":"a20dcli3ovb","properties":{"formattedCitation":"(Baquero et al., 2021)","plainCitation":"(Baquero et al., 2021)","noteIndex":0},"citationItems":[{"id":32572,"uris":["http://zotero.org/groups/2352922/items/AM4N2W24"],"itemData":{"id":32572,"type":"article-journal","container-title":"Environmental Science &amp; Policy","DOI":"10.1016/j.envsci.2021.02.007","note":"ISBN: 1462-9011\npublisher: Elsevier","page":"21-28","title":"Are the EU biosecurity legislative frameworks sufficiently effective to prevent biological invasions in the Natura 2000 network?–A case study in Mediterranean Europe","volume":"120","author":[{"family":"Baquero","given":"Rocío A."},{"family":"Ayllón","given":"Daniel"},{"family":"Nicola","given":"Graciela G."}],"issued":{"date-parts":[["2021"]]}},"label":"page"}],"schema":"https://github.com/citation-style-language/schema/raw/master/csl-citation.json"} </w:instrText>
      </w:r>
      <w:r w:rsidR="00815E0B" w:rsidRPr="00273868">
        <w:fldChar w:fldCharType="separate"/>
      </w:r>
      <w:r w:rsidR="00C71E80" w:rsidRPr="00273868">
        <w:t>(Baquero et al., 2021)</w:t>
      </w:r>
      <w:r w:rsidR="00815E0B" w:rsidRPr="00273868">
        <w:fldChar w:fldCharType="end"/>
      </w:r>
      <w:r w:rsidR="7845BBAD" w:rsidRPr="00273868">
        <w:t>. This adoption resulted in the immediate existence of an enforceable law for all Member States (January 2015</w:t>
      </w:r>
      <w:r w:rsidRPr="00273868">
        <w:t>)</w:t>
      </w:r>
      <w:r w:rsidR="7845BBAD" w:rsidRPr="00273868">
        <w:t xml:space="preserve">. This Regulation </w:t>
      </w:r>
      <w:r w:rsidR="7845BBAD" w:rsidRPr="00273868">
        <w:lastRenderedPageBreak/>
        <w:t>also emphasizes prevention, early warning systems</w:t>
      </w:r>
      <w:r w:rsidR="005D0083">
        <w:t xml:space="preserve"> and</w:t>
      </w:r>
      <w:r w:rsidR="7845BBAD" w:rsidRPr="00273868">
        <w:t xml:space="preserve"> rapid response, while also recognizing that when prevention fails, eradication </w:t>
      </w:r>
      <w:r w:rsidR="00BE6463" w:rsidRPr="00273868">
        <w:t>i</w:t>
      </w:r>
      <w:r w:rsidR="7845BBAD" w:rsidRPr="00273868">
        <w:t>s the best management alternative, a</w:t>
      </w:r>
      <w:r w:rsidR="00BE6463" w:rsidRPr="00273868">
        <w:t xml:space="preserve">longside </w:t>
      </w:r>
      <w:r w:rsidR="7845BBAD" w:rsidRPr="00273868">
        <w:t xml:space="preserve">long-term control measures. In summary, </w:t>
      </w:r>
      <w:r w:rsidR="006013B7" w:rsidRPr="00273868">
        <w:t>R</w:t>
      </w:r>
      <w:r w:rsidR="7845BBAD" w:rsidRPr="00273868">
        <w:t xml:space="preserve">egulation 1143/2014 allowed overcoming the limited </w:t>
      </w:r>
      <w:r w:rsidRPr="00273868">
        <w:t xml:space="preserve">coordination </w:t>
      </w:r>
      <w:r w:rsidR="7845BBAD" w:rsidRPr="00273868">
        <w:t>of national strategies on invasive alien species</w:t>
      </w:r>
      <w:r w:rsidR="00C12647">
        <w:t xml:space="preserve"> </w:t>
      </w:r>
      <w:r w:rsidRPr="00273868">
        <w:t>assisted by an information system, the European Alien Species Information Network (EASIN)</w:t>
      </w:r>
      <w:r w:rsidRPr="00273868">
        <w:rPr>
          <w:rStyle w:val="FootnoteReference"/>
        </w:rPr>
        <w:footnoteReference w:id="11"/>
      </w:r>
      <w:r w:rsidRPr="00273868">
        <w:t xml:space="preserve"> including an early warning system supporting early detection of invasive alien species of Union concern in Europe. It stimulates strengthening of ecosystem resilience through restoration linking with other policies, e.g., the Marine Strategy Framework Directive and the Water Framework Directive</w:t>
      </w:r>
      <w:r w:rsidR="7845BBAD" w:rsidRPr="00273868">
        <w:t xml:space="preserve"> to improve the control of aquatic invasive alien species in European Union countries </w:t>
      </w:r>
      <w:r w:rsidR="00500A91" w:rsidRPr="00273868">
        <w:fldChar w:fldCharType="begin"/>
      </w:r>
      <w:r w:rsidR="0006613E">
        <w:instrText xml:space="preserve"> ADDIN ZOTERO_ITEM CSL_CITATION {"citationID":"dcSdNa3m","properties":{"formattedCitation":"(Boon et al., 2020; Council of the European Communities, 2008)","plainCitation":"(Boon et al., 2020; Council of the European Communities, 2008)","noteIndex":0},"citationItems":[{"id":32703,"uris":["http://zotero.org/groups/2352922/items/7MYNB456"],"itemData":{"id":32703,"type":"article-journal","abstract":"Although the European Water Framework Directive (WFD) does not refer explicitly to alien species (AS), it is clear that invasive AS (IAS) are considered a pressure on WFD water bodies. This article discusses the results of a questionnaire sent to all EU Member States, demonstrating considerable variability in the way that AS data are used in implementing the WFD. Responses were received from 18 countries.Most countries define AS in a similar way, but there are discrepancies, for example, in the use of historical dates to determine whether or not a species is considered non-native biogeographically. All countries have developed lists of AS, but those specific for WFD assessments are only used at present in the UK and the Republic of Ireland.Few countries monitor AS specifically for the WFD, or assess the risk that IAS are likely to cause water bodies to fail to achieve Good Ecological Status. This article discusses the results of a questionnaire sent to all EU Member States, demonstrating considerable variability in the way that AS data are used in implementing the WFD. Perhaps the most important difference among countries is in the use of AS data in WFD classification; many countries assume that classification methods take account of the impacts of AS, whereas separate ‘downgrading’ procedures that modify classification based on the presence and impact of IAS are used more rarely. New approaches merit further consideration, such as the application of ‘biopollution indices’ to highlight the impact of AS without affecting WFD classification. Alien species feature to some extent in river basin management plans, but more emphasis on action is needed. In addition, closer links with the Marine Strategy Framework Directive and with the 2014 EU Regulation on alien species are required to improve the control of aquatic AS.","container-title":"Biological Invasions","DOI":"10.1007/s10530-020-02201-z","ISSN":"1573-1464","issue":"4","journalAbbreviation":"Biol Invasions","language":"en","page":"1497-1512","source":"Springer Link","title":"Alien species and the EU Water Framework Directive: a comparative assessment of European approaches","title-short":"Alien species and the EU Water Framework Directive","URL":"https://doi.org/10.1007/s10530-020-02201-z","volume":"22","author":[{"family":"Boon","given":"Philip J."},{"family":"Clarke","given":"Stacey A."},{"family":"Copp","given":"Gordon H."}],"accessed":{"date-parts":[["2021",4,12]]},"issued":{"date-parts":[["2020",4,1]]}},"label":"page"},{"id":32574,"uris":["http://zotero.org/groups/2352922/items/FQLCSIKH"],"itemData":{"id":32574,"type":"document","note":"no unique identifier","title":"Directive 2008/56/EC of the European Parliament and of the Council of 17 June 2008 establishing a framework for community action in the field of marine environmental policy (Marine Strategy Framework Directive). OJEU L164:19–40","URL":"https://faolex.fao.org/docs/pdf/eur80075.pdf","author":[{"literal":"Council of the European Communities"}],"issued":{"date-parts":[["2008"]]}},"label":"page"}],"schema":"https://github.com/citation-style-language/schema/raw/master/csl-citation.json"} </w:instrText>
      </w:r>
      <w:r w:rsidR="00500A91" w:rsidRPr="00273868">
        <w:fldChar w:fldCharType="separate"/>
      </w:r>
      <w:r w:rsidR="00B3470F" w:rsidRPr="00273868">
        <w:t>(Boon et al., 2020; Council of the European Communities, 2008)</w:t>
      </w:r>
      <w:r w:rsidR="00500A91" w:rsidRPr="00273868">
        <w:fldChar w:fldCharType="end"/>
      </w:r>
      <w:r w:rsidR="00630618" w:rsidRPr="00273868">
        <w:t xml:space="preserve">. </w:t>
      </w:r>
      <w:r w:rsidR="6B163DDB" w:rsidRPr="00273868">
        <w:t xml:space="preserve">An interesting component of the European legislation is that it includes an obligation for Member States, at </w:t>
      </w:r>
      <w:r w:rsidR="009011F3">
        <w:t>A</w:t>
      </w:r>
      <w:r w:rsidR="6B163DDB" w:rsidRPr="00273868">
        <w:t xml:space="preserve">rt. 13, </w:t>
      </w:r>
      <w:r w:rsidRPr="00273868">
        <w:t>to enforce an action plan addressing relevant pathways of introduction of invasive alien species, thus focusing on prevention rather than on reaction to new invasive</w:t>
      </w:r>
      <w:r>
        <w:t xml:space="preserve"> alien species</w:t>
      </w:r>
      <w:r w:rsidR="6B163DDB" w:rsidRPr="00A9434B">
        <w:t>.</w:t>
      </w:r>
    </w:p>
    <w:p w14:paraId="78802DC7" w14:textId="77777777" w:rsidR="00017C04" w:rsidRDefault="00F50AF9" w:rsidP="00C12647">
      <w:pPr>
        <w:pStyle w:val="Heading3"/>
        <w:ind w:left="720"/>
      </w:pPr>
      <w:bookmarkStart w:id="306" w:name="_heading=h.3mzq4wv"/>
      <w:bookmarkStart w:id="307" w:name="_heading=h.2250f4o" w:colFirst="0" w:colLast="0"/>
      <w:bookmarkStart w:id="308" w:name="_Toc1804569054"/>
      <w:bookmarkStart w:id="309" w:name="_Toc133428313"/>
      <w:bookmarkEnd w:id="306"/>
      <w:bookmarkEnd w:id="307"/>
      <w:r>
        <w:t>Increase coordination across multilateral environmental agreements.</w:t>
      </w:r>
      <w:bookmarkEnd w:id="308"/>
      <w:bookmarkEnd w:id="309"/>
    </w:p>
    <w:p w14:paraId="686928CC" w14:textId="38600E37" w:rsidR="00017C04" w:rsidRPr="00801BB3" w:rsidRDefault="00F50AF9" w:rsidP="00801BB3">
      <w:pPr>
        <w:pBdr>
          <w:top w:val="nil"/>
          <w:left w:val="nil"/>
          <w:bottom w:val="nil"/>
          <w:right w:val="nil"/>
          <w:between w:val="nil"/>
          <w:bar w:val="nil"/>
        </w:pBdr>
        <w:spacing w:before="120"/>
        <w:rPr>
          <w:i/>
          <w:kern w:val="22"/>
        </w:rPr>
      </w:pPr>
      <w:r>
        <w:t>Over the past decade, there has been widespread adoption of multilateral environmental agreements (</w:t>
      </w:r>
      <w:r>
        <w:rPr>
          <w:b/>
        </w:rPr>
        <w:t>section 6.1.3</w:t>
      </w:r>
      <w:r>
        <w:t>). However, this pool of multilateral legal and regulatory instruments is piecemeal in the way the pathways and impacts of invasive alien species are addressed. One way to overcome this is to consider a more comprehensive international approach that focuses on sustainable development via the protection of biodiversity and maintaining good quality of life. The Inter-agency Liaison Group on Invasive Alien Species established by the Executive Secretary of the CBD was central to this process, but has been inactive for several years. However, at COP15, Parties invited “the Secretariat of the United Nations Economic and Social Council, the World Customs Organization [WCO], the International Plant Protection Convention [IPPC], the World Organisation for Animal Health [WOAH], the World Health Organization [WHO], the Food and Agriculture Organization of the United Nations [FAO] and its Codex Alimentarius, the Secretariat of the Convention on International Trade in Endangered Species of Wild Fauna and Flora [CITES]</w:t>
      </w:r>
      <w:r w:rsidR="005D0083">
        <w:t xml:space="preserve"> and</w:t>
      </w:r>
      <w:r>
        <w:t xml:space="preserve"> the Invasive Species Specialist Group [ISSG]</w:t>
      </w:r>
      <w:r w:rsidR="009011F3">
        <w:t xml:space="preserve"> </w:t>
      </w:r>
      <w:r>
        <w:t>of the International Union for Conservation of Nature [IUCN], within the scope of their respective mandates, to support the national implementation of the Kunming-Montreal Global Biodiversity Framework with regard to targets and actions related to invasive alien species, including their monitoring and reporting</w:t>
      </w:r>
      <w:r w:rsidR="651A92C8" w:rsidRPr="00CF4F7B">
        <w:t>”</w:t>
      </w:r>
      <w:r w:rsidR="00DE0E9F">
        <w:fldChar w:fldCharType="begin"/>
      </w:r>
      <w:r w:rsidR="0006613E">
        <w:instrText xml:space="preserve"> ADDIN ZOTERO_ITEM CSL_CITATION {"citationID":"WnEolYJR","properties":{"formattedCitation":"(CBD, 2022c)","plainCitation":"(CBD, 2022c)","noteIndex":0},"citationItems":[{"id":54823,"uris":["http://zotero.org/groups/2352922/items/ALQHAEC3"],"itemData":{"id":54823,"type":"paper-conference","collection-title":"CBD/COP/DEC/15/27","container-title":"Decision adopted by the conference of the parties to the convention on biological diversity","event-place":"Montreal, Canada","event-title":"Fifteenth meeting of Conference of the parties to the Convention on Biological Diversity","language":"en","publisher":"Convention on Biodiversity, United Nations Environment Programme","publisher-place":"Montreal, Canada","source":"Zotero","title":"15/27. Invasive alien species","URL":"https://www.cbd.int/doc/decisions/cop-15/cop-15-dec-27-en.pdf","author":[{"literal":"CBD"}],"issued":{"date-parts":[["2022"]]}}}],"schema":"https://github.com/citation-style-language/schema/raw/master/csl-citation.json"} </w:instrText>
      </w:r>
      <w:r w:rsidR="00DE0E9F">
        <w:fldChar w:fldCharType="separate"/>
      </w:r>
      <w:r w:rsidR="00DE0E9F" w:rsidRPr="00DE0E9F">
        <w:t>(CBD, 2022c)</w:t>
      </w:r>
      <w:r w:rsidR="00DE0E9F">
        <w:fldChar w:fldCharType="end"/>
      </w:r>
      <w:r w:rsidR="651A92C8" w:rsidRPr="00A9434B">
        <w:t>.</w:t>
      </w:r>
    </w:p>
    <w:p w14:paraId="254EFD8B" w14:textId="177772F2" w:rsidR="00017C04" w:rsidRDefault="00F50AF9">
      <w:r>
        <w:t>While discussions leading to an increase in coordination across multilateral instruments is more likely to take place for global scale instruments due to their global scale implications, coordination of regional multilateral instruments faces many difficulties and obstacles, particularly in developing countries. Linguistic, cultural</w:t>
      </w:r>
      <w:r w:rsidR="005D0083">
        <w:t xml:space="preserve"> and</w:t>
      </w:r>
      <w:r>
        <w:t xml:space="preserve"> political differences within regions also pose major obstacles for coordination. </w:t>
      </w:r>
      <w:r w:rsidR="2B9353FC" w:rsidRPr="00A9434B">
        <w:t>As discussed by</w:t>
      </w:r>
      <w:r w:rsidR="009011F3">
        <w:t xml:space="preserve"> </w:t>
      </w:r>
      <w:r w:rsidR="00500A91" w:rsidRPr="00A9434B">
        <w:fldChar w:fldCharType="begin"/>
      </w:r>
      <w:r w:rsidR="00500A91" w:rsidRPr="00A9434B">
        <w:instrText xml:space="preserve"> ADDIN EN.CITE &lt;EndNote&gt;&lt;Cite&gt;&lt;Author&gt;Burgiel&lt;/Author&gt;&lt;Year&gt;2015&lt;/Year&gt;&lt;RecNum&gt;31&lt;/RecNum&gt;&lt;DisplayText&gt;(Burgiel 2015)&lt;/DisplayText&gt;&lt;record&gt;&lt;rec-number&gt;31&lt;/rec-number&gt;&lt;foreign-keys&gt;&lt;key app="EN" db-id="2fps2rpwcptwaxedz9oprzvmawfxef9pfpa2" timestamp="1620720957"&gt;31&lt;/key&gt;&lt;/foreign-keys&gt;&lt;ref-type name="Book Section"&gt;5&lt;/ref-type&gt;&lt;contributors&gt;&lt;authors&gt;&lt;author&gt;Burgiel, Stanley W&lt;/author&gt;&lt;/authors&gt;&lt;secondary-authors&gt;&lt;author&gt;Keller, Reuben P. &lt;/author&gt;&lt;author&gt;Cadotte, Marc W.&lt;/author&gt;&lt;author&gt;Sandiford, Glenn &lt;/author&gt;&lt;/secondary-authors&gt;&lt;/contributors&gt;&lt;titles&gt;&lt;title&gt;From global to local: integrating policy frameworks for the prevention and management of invasive species&lt;/title&gt;&lt;secondary-title&gt;Invasive Species in a Globalized World: Ecological, Social, And Legal Perspectives On Policy&lt;/secondary-title&gt;&lt;/titles&gt;&lt;pages&gt;283-302&lt;/pages&gt;&lt;dates&gt;&lt;year&gt;2015&lt;/year&gt;&lt;/dates&gt;&lt;pub-location&gt;Chicago&lt;/pub-location&gt;&lt;publisher&gt;University of Chicago Press.&lt;/publisher&gt;&lt;urls&gt;&lt;/urls&gt;&lt;/record&gt;&lt;/Cite&gt;&lt;/EndNote&gt;</w:instrText>
      </w:r>
      <w:r w:rsidR="00500A91" w:rsidRPr="00A9434B">
        <w:fldChar w:fldCharType="separate"/>
      </w:r>
      <w:r w:rsidR="00500A91" w:rsidRPr="00A9434B">
        <w:fldChar w:fldCharType="begin"/>
      </w:r>
      <w:r w:rsidR="0014002B">
        <w:instrText xml:space="preserve"> ADDIN ZOTERO_ITEM CSL_CITATION {"citationID":"a23u73ukrfc","properties":{"formattedCitation":"(Burgiel, 2015)","plainCitation":"(Burgiel, 2015)","dontUpdate":true,"noteIndex":0},"citationItems":[{"id":53583,"uris":["http://zotero.org/groups/2352922/items/QNKBXCTV"],"itemData":{"id":53583,"type":"chapter","container-title":"Invasive Species in a Globalized World: Ecological, Social, And Legal Perspectives On Policy","event-place":"Chicago","note":"DOI: 10.7208/chicago/9780226166216.003.0013","page":"283-302","publisher":"University of Chicago Press.","publisher-place":"Chicago","title":"From global to local: integrating policy frameworks for the prevention and management of invasive species","author":[{"family":"Burgiel","given":"Stanley W."}],"editor":[{"family":"Keller","given":"Reuben P."},{"family":"Cadotte","given":"Marc W."},{"family":"Sandiford","given":"Glenn"}],"issued":{"date-parts":[["2015"]]}},"label":"page"}],"schema":"https://github.com/citation-style-language/schema/raw/master/csl-citation.json"} </w:instrText>
      </w:r>
      <w:r w:rsidR="00500A91" w:rsidRPr="00A9434B">
        <w:fldChar w:fldCharType="separate"/>
      </w:r>
      <w:r w:rsidR="00C71E80" w:rsidRPr="00A9434B">
        <w:t xml:space="preserve">Burgiel </w:t>
      </w:r>
      <w:r w:rsidR="009011F3">
        <w:t>(</w:t>
      </w:r>
      <w:r w:rsidR="00C71E80" w:rsidRPr="00A9434B">
        <w:t>2015)</w:t>
      </w:r>
      <w:r w:rsidR="00500A91" w:rsidRPr="00A9434B">
        <w:fldChar w:fldCharType="end"/>
      </w:r>
      <w:r w:rsidR="00500A91" w:rsidRPr="00A9434B">
        <w:fldChar w:fldCharType="end"/>
      </w:r>
      <w:r w:rsidR="2B9353FC" w:rsidRPr="00A9434B">
        <w:t>,</w:t>
      </w:r>
      <w:r>
        <w:t xml:space="preserve"> the Caribbean region is an example of the difficulties of integrating regional policy instruments due to multitude of languages and historical affiliations, the status of overseas territories</w:t>
      </w:r>
      <w:r w:rsidR="005D0083">
        <w:t xml:space="preserve"> and</w:t>
      </w:r>
      <w:r>
        <w:t xml:space="preserve"> political issues. That said, the efforts of regional intergovernmental or nongovernmental entities provide a primer for building synergies and increasing coordination across legal and regulatory instruments </w:t>
      </w:r>
      <w:r w:rsidR="001E57B1" w:rsidRPr="00A9434B">
        <w:fldChar w:fldCharType="begin"/>
      </w:r>
      <w:r w:rsidR="001E57B1" w:rsidRPr="00A9434B">
        <w:instrText xml:space="preserve"> ADDIN EN.CITE &lt;EndNote&gt;&lt;Cite&gt;&lt;Author&gt;Burgiel&lt;/Author&gt;&lt;Year&gt;2015&lt;/Year&gt;&lt;RecNum&gt;31&lt;/RecNum&gt;&lt;DisplayText&gt;(Burgiel 2015)&lt;/DisplayText&gt;&lt;record&gt;&lt;rec-number&gt;31&lt;/rec-number&gt;&lt;foreign-keys&gt;&lt;key app="EN" db-id="2fps2rpwcptwaxedz9oprzvmawfxef9pfpa2" timestamp="1620720957"&gt;31&lt;/key&gt;&lt;/foreign-keys&gt;&lt;ref-type name="Book Section"&gt;5&lt;/ref-type&gt;&lt;contributors&gt;&lt;authors&gt;&lt;author&gt;Burgiel, Stanley W&lt;/author&gt;&lt;/authors&gt;&lt;secondary-authors&gt;&lt;author&gt;Keller, Reuben P. &lt;/author&gt;&lt;author&gt;Cadotte, Marc W.&lt;/author&gt;&lt;author&gt;Sandiford, Glenn &lt;/author&gt;&lt;/secondary-authors&gt;&lt;/contributors&gt;&lt;titles&gt;&lt;title&gt;From global to local: integrating policy frameworks for the prevention and management of invasive species&lt;/title&gt;&lt;secondary-title&gt;Invasive Species in a Globalized World: Ecological, Social, And Legal Perspectives On Policy&lt;/secondary-title&gt;&lt;/titles&gt;&lt;pages&gt;283-302&lt;/pages&gt;&lt;dates&gt;&lt;year&gt;2015&lt;/year&gt;&lt;/dates&gt;&lt;pub-location&gt;Chicago&lt;/pub-location&gt;&lt;publisher&gt;University of Chicago Press.&lt;/publisher&gt;&lt;urls&gt;&lt;/urls&gt;&lt;/record&gt;&lt;/Cite&gt;&lt;/EndNote&gt;</w:instrText>
      </w:r>
      <w:r w:rsidR="001E57B1" w:rsidRPr="00A9434B">
        <w:fldChar w:fldCharType="separate"/>
      </w:r>
      <w:r w:rsidR="00500A91" w:rsidRPr="00A9434B">
        <w:fldChar w:fldCharType="begin"/>
      </w:r>
      <w:r w:rsidR="0006613E">
        <w:instrText xml:space="preserve"> ADDIN ZOTERO_ITEM CSL_CITATION {"citationID":"5EaDtSwH","properties":{"formattedCitation":"(Burgiel, 2015)","plainCitation":"(Burgiel, 2015)","noteIndex":0},"citationItems":[{"id":53583,"uris":["http://zotero.org/groups/2352922/items/QNKBXCTV"],"itemData":{"id":53583,"type":"chapter","container-title":"Invasive Species in a Globalized World: Ecological, Social, And Legal Perspectives On Policy","event-place":"Chicago","note":"DOI: 10.7208/chicago/9780226166216.003.0013","page":"283-302","publisher":"University of Chicago Press.","publisher-place":"Chicago","title":"From global to local: integrating policy frameworks for the prevention and management of invasive species","author":[{"family":"Burgiel","given":"Stanley W."}],"editor":[{"family":"Keller","given":"Reuben P."},{"family":"Cadotte","given":"Marc W."},{"family":"Sandiford","given":"Glenn"}],"issued":{"date-parts":[["2015"]]}},"label":"page"}],"schema":"https://github.com/citation-style-language/schema/raw/master/csl-citation.json"} </w:instrText>
      </w:r>
      <w:r w:rsidR="00500A91" w:rsidRPr="00A9434B">
        <w:fldChar w:fldCharType="separate"/>
      </w:r>
      <w:r w:rsidR="00C71E80" w:rsidRPr="00A9434B">
        <w:t>(Burgiel, 2015)</w:t>
      </w:r>
      <w:r w:rsidR="00500A91" w:rsidRPr="00A9434B">
        <w:fldChar w:fldCharType="end"/>
      </w:r>
      <w:r w:rsidR="001E57B1" w:rsidRPr="00A9434B">
        <w:fldChar w:fldCharType="end"/>
      </w:r>
      <w:r w:rsidR="2B9353FC" w:rsidRPr="00A9434B">
        <w:t>.</w:t>
      </w:r>
    </w:p>
    <w:p w14:paraId="62617265" w14:textId="514D9629" w:rsidR="00017C04" w:rsidRPr="00C12647" w:rsidRDefault="00F50AF9" w:rsidP="00C12647">
      <w:pPr>
        <w:pStyle w:val="Heading3"/>
        <w:ind w:left="720"/>
        <w:rPr>
          <w:color w:val="000000"/>
        </w:rPr>
      </w:pPr>
      <w:bookmarkStart w:id="310" w:name="_heading=h.haapch" w:colFirst="0" w:colLast="0"/>
      <w:bookmarkStart w:id="311" w:name="_Toc1690926482"/>
      <w:bookmarkStart w:id="312" w:name="_Toc133428314"/>
      <w:bookmarkEnd w:id="310"/>
      <w:r>
        <w:lastRenderedPageBreak/>
        <w:t xml:space="preserve">Embed in multilateral agreements </w:t>
      </w:r>
      <w:r w:rsidR="00CA169F">
        <w:t>mechanisms to enhance</w:t>
      </w:r>
      <w:r>
        <w:t xml:space="preserve"> coordination and information exchange between policy instruments</w:t>
      </w:r>
      <w:bookmarkEnd w:id="311"/>
      <w:bookmarkEnd w:id="312"/>
    </w:p>
    <w:p w14:paraId="4F6E6FAC" w14:textId="48FDE478" w:rsidR="00017C04" w:rsidRDefault="2F958343">
      <w:r>
        <w:t xml:space="preserve">The inherent complexity in managing </w:t>
      </w:r>
      <w:r w:rsidR="545296B4">
        <w:t>biological invasions</w:t>
      </w:r>
      <w:r>
        <w:t xml:space="preserve"> could be countered by communication and information exchange among a wide range of stakeholders including across national borders</w:t>
      </w:r>
      <w:r w:rsidR="005D0083">
        <w:t xml:space="preserve"> and</w:t>
      </w:r>
      <w:r>
        <w:t xml:space="preserve"> across government agencies, the private sector, the scientific and research community</w:t>
      </w:r>
      <w:r w:rsidR="005D0083">
        <w:t xml:space="preserve"> and</w:t>
      </w:r>
      <w:r>
        <w:t xml:space="preserve"> the general public. A system for communication and information exchange would be supported by a well-functioning infrastructure. Effective decision-making for alien species is only possible with timely access to scientific and technical information. Embedding the need of institutions that facilitate/mandate information generation and exchange into multilateral agreements can provide a mechanism to achieve the goals of existing agreements and provide information for the application of guidance documents. At a minimum, identification and monitoring of alien species would be part of the mandate of the proposed knowledge-generating institutions. Most of the international legal instruments, agreements</w:t>
      </w:r>
      <w:r w:rsidR="005D0083">
        <w:t xml:space="preserve"> and</w:t>
      </w:r>
      <w:r>
        <w:t xml:space="preserve"> texts relevant to invasive alien species highlight the importance of risk analysis principles, notification procedures</w:t>
      </w:r>
      <w:r w:rsidR="005D0083">
        <w:t xml:space="preserve"> and</w:t>
      </w:r>
      <w:r>
        <w:t xml:space="preserve"> information exchange. Examples of information exchange infrastructures include the CBD Access and Benefit-sharing Clearing-House</w:t>
      </w:r>
      <w:r w:rsidR="005D0083">
        <w:t xml:space="preserve"> and</w:t>
      </w:r>
      <w:r>
        <w:t xml:space="preserve"> the FAO Forest invasive species home. However, information is usually sectorized in instrument focused clearing houses. There is also a problem with limited exchange of information across government agencies, and from the scientific and research community to policymakers and the public (</w:t>
      </w:r>
      <w:r w:rsidRPr="0B8DB0CC">
        <w:rPr>
          <w:b/>
          <w:bCs/>
        </w:rPr>
        <w:t>section 6.6</w:t>
      </w:r>
      <w:r>
        <w:t>).</w:t>
      </w:r>
    </w:p>
    <w:p w14:paraId="5ABEF14D" w14:textId="68E073A6" w:rsidR="00017C04" w:rsidRDefault="00F50AF9">
      <w:pPr>
        <w:spacing w:after="0"/>
      </w:pPr>
      <w:r>
        <w:t xml:space="preserve">The need for an organizing (multi)national authority is clear due to the fragmented nature of existing policy instruments, which limits the capacity of a coordinated and unified response to the invasive alien species problem </w:t>
      </w:r>
      <w:r w:rsidR="003648D2" w:rsidRPr="00A9434B">
        <w:rPr>
          <w:rFonts w:eastAsia="Calibri Light"/>
        </w:rPr>
        <w:fldChar w:fldCharType="begin"/>
      </w:r>
      <w:r w:rsidR="0006613E">
        <w:rPr>
          <w:rFonts w:eastAsia="Calibri Light"/>
        </w:rPr>
        <w:instrText xml:space="preserve"> ADDIN ZOTERO_ITEM CSL_CITATION {"citationID":"a1vaf53lghv","properties":{"formattedCitation":"(Shine et al., 2000; Stoett, 2007)","plainCitation":"(Shine et al., 2000; Stoett, 2007)","noteIndex":0},"citationItems":[{"id":30156,"uris":["http://zotero.org/groups/2352922/items/V3QBL2ER"],"itemData":{"id":30156,"type":"book","collection-number":"No. 40","collection-title":"Environmental Policy and Law Paper","event-place":"Gland, Switzerland Cambridge and Bonn","ISBN":"2-8317-0548-7","publisher":"IUCN","publisher-place":"Gland, Switzerland Cambridge and Bonn","title":"A guide to designing legal and institutional frameworks on alien invasive species","URL":"https://www.nobanis.org/globalassets/articlesreports/a-guide-to-designing-legal-framework-on-ias.pdf","author":[{"family":"Shine","given":"C."},{"family":"Williams","given":"Nattley"},{"family":"Gündling","given":"Lothar"}],"issued":{"date-parts":[["2000"]]}},"label":"page"},{"id":56669,"uris":["http://zotero.org/groups/2352922/items/6MYVB4YP","http://zotero.org/groups/2352922/items/AADLXSAH","http://zotero.org/groups/2352922/items/GSRMTZSR"],"itemData":{"id":56669,"type":"article-journal","container-title":"Environmental Politics","DOI":"10.1080/09644010701251672","ISSN":"0964-4016, 1743-8934","issue":"3","journalAbbreviation":"Environmental Politics","language":"en","page":"433-452","source":"DOI.org (Crossref)","title":"Counter-bioinvasion: Conceptual and governance challenges","title-short":"Counter-bioinvasion","URL":"http://www.tandfonline.com/doi/full/10.1080/09644010701251672","volume":"16","author":[{"family":"Stoett","given":"Peter"}],"accessed":{"date-parts":[["2023",6,8]]},"issued":{"date-parts":[["2007",6]]}},"label":"page"}],"schema":"https://github.com/citation-style-language/schema/raw/master/csl-citation.json"} </w:instrText>
      </w:r>
      <w:r w:rsidR="003648D2" w:rsidRPr="00A9434B">
        <w:rPr>
          <w:rFonts w:eastAsia="Calibri Light"/>
        </w:rPr>
        <w:fldChar w:fldCharType="separate"/>
      </w:r>
      <w:r w:rsidR="0006613E" w:rsidRPr="0006613E">
        <w:t>(Shine et al., 2000; Stoett, 2007)</w:t>
      </w:r>
      <w:r w:rsidR="003648D2" w:rsidRPr="00A9434B">
        <w:rPr>
          <w:rFonts w:eastAsia="Calibri Light"/>
        </w:rPr>
        <w:fldChar w:fldCharType="end"/>
      </w:r>
      <w:r w:rsidR="00B35872" w:rsidRPr="00A9434B">
        <w:rPr>
          <w:rFonts w:eastAsia="Calibri Light"/>
        </w:rPr>
        <w:t>.</w:t>
      </w:r>
      <w:r>
        <w:t xml:space="preserve"> The benefits of creating such an organizing (multi)national authority are the capacity to:</w:t>
      </w:r>
    </w:p>
    <w:p w14:paraId="6A3BEC50" w14:textId="77777777" w:rsidR="00017C04" w:rsidRPr="00801BB3" w:rsidRDefault="00F50AF9" w:rsidP="00801BB3">
      <w:pPr>
        <w:pStyle w:val="ListParagraph"/>
        <w:numPr>
          <w:ilvl w:val="0"/>
          <w:numId w:val="73"/>
        </w:numPr>
        <w:spacing w:before="0"/>
      </w:pPr>
      <w:r w:rsidRPr="00801BB3">
        <w:t>Coordinate policy across national agencies and countries within a trading block;</w:t>
      </w:r>
    </w:p>
    <w:p w14:paraId="17E5B4FF" w14:textId="5894E1A5" w:rsidR="00017C04" w:rsidRPr="00801BB3" w:rsidRDefault="00F50AF9" w:rsidP="00801BB3">
      <w:pPr>
        <w:pStyle w:val="ListParagraph"/>
        <w:numPr>
          <w:ilvl w:val="0"/>
          <w:numId w:val="73"/>
        </w:numPr>
      </w:pPr>
      <w:r w:rsidRPr="00801BB3">
        <w:t>Unify risk analysis of invasive</w:t>
      </w:r>
      <w:r w:rsidRPr="56C59A3A">
        <w:rPr>
          <w:color w:val="000000" w:themeColor="text1"/>
        </w:rPr>
        <w:t xml:space="preserve"> </w:t>
      </w:r>
      <w:r w:rsidR="68866F67" w:rsidRPr="56C59A3A">
        <w:rPr>
          <w:color w:val="000000" w:themeColor="text1"/>
        </w:rPr>
        <w:t>alien</w:t>
      </w:r>
      <w:r w:rsidR="68866F67" w:rsidRPr="00801BB3">
        <w:t xml:space="preserve"> </w:t>
      </w:r>
      <w:r w:rsidRPr="00801BB3">
        <w:t>species introduction pathways, and how these risk analyses are implemented by relevant authorities;</w:t>
      </w:r>
    </w:p>
    <w:p w14:paraId="625D5EBF" w14:textId="77777777" w:rsidR="00017C04" w:rsidRPr="00801BB3" w:rsidRDefault="00F50AF9" w:rsidP="00801BB3">
      <w:pPr>
        <w:pStyle w:val="ListParagraph"/>
        <w:numPr>
          <w:ilvl w:val="0"/>
          <w:numId w:val="73"/>
        </w:numPr>
      </w:pPr>
      <w:r w:rsidRPr="00801BB3">
        <w:t>Develop effective early detection and rapid-response activities;</w:t>
      </w:r>
    </w:p>
    <w:p w14:paraId="3308A37F" w14:textId="016C6F4D" w:rsidR="00017C04" w:rsidRPr="00801BB3" w:rsidRDefault="00F50AF9" w:rsidP="00801BB3">
      <w:pPr>
        <w:pStyle w:val="ListParagraph"/>
        <w:numPr>
          <w:ilvl w:val="0"/>
          <w:numId w:val="73"/>
        </w:numPr>
      </w:pPr>
      <w:r w:rsidRPr="00801BB3">
        <w:t>Promote the exchange of information among all the stakeholders and Indigenous Peoples and local communities involved in the prevention, control</w:t>
      </w:r>
      <w:r w:rsidR="005D0083">
        <w:t xml:space="preserve"> and</w:t>
      </w:r>
      <w:r w:rsidRPr="00801BB3">
        <w:t xml:space="preserve"> eradication of invasive alien species;</w:t>
      </w:r>
    </w:p>
    <w:p w14:paraId="6D751E5E" w14:textId="77777777" w:rsidR="00017C04" w:rsidRPr="00801BB3" w:rsidRDefault="00F50AF9" w:rsidP="00801BB3">
      <w:pPr>
        <w:pStyle w:val="ListParagraph"/>
        <w:numPr>
          <w:ilvl w:val="0"/>
          <w:numId w:val="73"/>
        </w:numPr>
      </w:pPr>
      <w:r w:rsidRPr="00801BB3">
        <w:t>Enhance the capacity to be cost effective in preventing and mitigating strategies given the interdependence of management;</w:t>
      </w:r>
    </w:p>
    <w:p w14:paraId="411AF72E" w14:textId="37F68090" w:rsidR="00017C04" w:rsidRPr="00801BB3" w:rsidRDefault="00F50AF9" w:rsidP="00801BB3">
      <w:pPr>
        <w:pStyle w:val="ListParagraph"/>
        <w:numPr>
          <w:ilvl w:val="0"/>
          <w:numId w:val="73"/>
        </w:numPr>
      </w:pPr>
      <w:r w:rsidRPr="00801BB3">
        <w:t>Enhance the capacity to synthesize and integrate information from international agreements, regional/national agencies, sectorial initiatives</w:t>
      </w:r>
      <w:r w:rsidR="005D0083">
        <w:t xml:space="preserve"> and</w:t>
      </w:r>
      <w:r w:rsidRPr="00801BB3">
        <w:t xml:space="preserve"> university research.</w:t>
      </w:r>
    </w:p>
    <w:p w14:paraId="42898371" w14:textId="277CDAE1" w:rsidR="00017C04" w:rsidRDefault="00F50AF9">
      <w:r>
        <w:t xml:space="preserve">An example of such a multilateral coordinating body is the Committee for Environmental Protection (CEP) which has, for example, developed a Non-Native Species Manual for activities of the nations active in the Antarctic </w:t>
      </w:r>
      <w:r w:rsidR="00CF6DBB" w:rsidRPr="00A9434B">
        <w:rPr>
          <w:rFonts w:eastAsia="Calibri Light"/>
        </w:rPr>
        <w:t>(</w:t>
      </w:r>
      <w:r w:rsidR="00CF6DBB" w:rsidRPr="00673554">
        <w:rPr>
          <w:rFonts w:eastAsia="Calibri Light"/>
          <w:b/>
          <w:bCs/>
          <w:iCs/>
        </w:rPr>
        <w:fldChar w:fldCharType="begin"/>
      </w:r>
      <w:r w:rsidR="00CF6DBB" w:rsidRPr="00673554">
        <w:rPr>
          <w:rFonts w:eastAsia="Calibri Light"/>
          <w:b/>
          <w:bCs/>
          <w:iCs/>
        </w:rPr>
        <w:instrText xml:space="preserve"> REF _Ref104898553 \h  \* MERGEFORMAT </w:instrText>
      </w:r>
      <w:r w:rsidR="00CF6DBB" w:rsidRPr="00673554">
        <w:rPr>
          <w:rFonts w:eastAsia="Calibri Light"/>
          <w:b/>
          <w:bCs/>
          <w:iCs/>
        </w:rPr>
      </w:r>
      <w:r w:rsidR="00CF6DBB" w:rsidRPr="00673554">
        <w:rPr>
          <w:rFonts w:eastAsia="Calibri Light"/>
          <w:b/>
          <w:bCs/>
          <w:iCs/>
        </w:rPr>
        <w:fldChar w:fldCharType="separate"/>
      </w:r>
      <w:r w:rsidR="0011368C" w:rsidRPr="00673554">
        <w:rPr>
          <w:b/>
          <w:bCs/>
          <w:iCs/>
        </w:rPr>
        <w:t>Box 6.10</w:t>
      </w:r>
      <w:r w:rsidR="00CF6DBB" w:rsidRPr="00673554">
        <w:rPr>
          <w:rFonts w:eastAsia="Calibri Light"/>
          <w:b/>
          <w:bCs/>
          <w:iCs/>
        </w:rPr>
        <w:fldChar w:fldCharType="end"/>
      </w:r>
      <w:r w:rsidR="00CF6DBB" w:rsidRPr="00A9434B">
        <w:rPr>
          <w:rFonts w:eastAsia="Calibri Light"/>
        </w:rPr>
        <w:t>)</w:t>
      </w:r>
      <w:r w:rsidR="00DF1AF7" w:rsidRPr="00A9434B">
        <w:rPr>
          <w:rFonts w:eastAsia="Calibri Light"/>
        </w:rPr>
        <w:t>.</w:t>
      </w:r>
    </w:p>
    <w:p w14:paraId="308456D3" w14:textId="4913C99D" w:rsidR="00017C04" w:rsidRPr="00801BB3" w:rsidRDefault="00F50AF9" w:rsidP="00801BB3">
      <w:pPr>
        <w:pStyle w:val="Caption"/>
        <w:pBdr>
          <w:top w:val="single" w:sz="4" w:space="1" w:color="auto"/>
          <w:left w:val="single" w:sz="4" w:space="4" w:color="auto"/>
          <w:bottom w:val="single" w:sz="4" w:space="1" w:color="auto"/>
          <w:right w:val="single" w:sz="4" w:space="4" w:color="auto"/>
        </w:pBdr>
        <w:shd w:val="clear" w:color="auto" w:fill="E7E6E6" w:themeFill="background2"/>
      </w:pPr>
      <w:bookmarkStart w:id="313" w:name="_heading=h.319y80a" w:colFirst="0" w:colLast="0"/>
      <w:bookmarkStart w:id="314" w:name="_Ref104898553"/>
      <w:bookmarkStart w:id="315" w:name="_Toc147418619"/>
      <w:bookmarkEnd w:id="313"/>
      <w:r w:rsidRPr="00801BB3">
        <w:rPr>
          <w:bCs w:val="0"/>
        </w:rPr>
        <w:t>Box 6</w:t>
      </w:r>
      <w:r w:rsidR="003E1F63" w:rsidRPr="00801BB3">
        <w:rPr>
          <w:bCs w:val="0"/>
        </w:rPr>
        <w:t>.</w:t>
      </w:r>
      <w:r w:rsidR="007C7AC3">
        <w:fldChar w:fldCharType="begin"/>
      </w:r>
      <w:r w:rsidR="007C7AC3">
        <w:instrText xml:space="preserve"> SEQ Box_6. \* ARABIC </w:instrText>
      </w:r>
      <w:r w:rsidR="007C7AC3">
        <w:fldChar w:fldCharType="separate"/>
      </w:r>
      <w:r w:rsidR="0011368C">
        <w:rPr>
          <w:noProof/>
        </w:rPr>
        <w:t>10</w:t>
      </w:r>
      <w:r w:rsidR="007C7AC3">
        <w:rPr>
          <w:noProof/>
        </w:rPr>
        <w:fldChar w:fldCharType="end"/>
      </w:r>
      <w:bookmarkEnd w:id="314"/>
      <w:r w:rsidR="00E36BDC" w:rsidRPr="00A9434B">
        <w:t>.</w:t>
      </w:r>
      <w:r w:rsidRPr="00801BB3">
        <w:t xml:space="preserve"> The Committee for Environmental Protection as a coordinating body for Antarctic alien species problems</w:t>
      </w:r>
      <w:bookmarkEnd w:id="315"/>
    </w:p>
    <w:p w14:paraId="6003AF26" w14:textId="40E8E552" w:rsidR="00017C04" w:rsidRDefault="00F50AF9" w:rsidP="00801BB3">
      <w:pPr>
        <w:pBdr>
          <w:top w:val="single" w:sz="4" w:space="1" w:color="auto"/>
          <w:left w:val="single" w:sz="4" w:space="4" w:color="auto"/>
          <w:bottom w:val="single" w:sz="4" w:space="1" w:color="auto"/>
          <w:right w:val="single" w:sz="4" w:space="4" w:color="auto"/>
        </w:pBdr>
        <w:shd w:val="clear" w:color="auto" w:fill="E7E6E6" w:themeFill="background2"/>
      </w:pPr>
      <w:r>
        <w:rPr>
          <w:b/>
        </w:rPr>
        <w:t xml:space="preserve">Policy context: </w:t>
      </w:r>
      <w:r>
        <w:t>Policies that are relevant to biodiversity and to ecosystem services in the Antarctic region are developed, usually independently, by the Antarctic Treaty Consultative Parties (ATCPs), the Commission for the Conservation of Antarctic Living Resources (CCAMLR)</w:t>
      </w:r>
      <w:r w:rsidR="005D0083">
        <w:t xml:space="preserve"> and</w:t>
      </w:r>
      <w:r>
        <w:t xml:space="preserve"> by the States responsible for the islands in the Southern Ocean (north of 60°S). The ATCPs are advised by the Committee for Environmental Protection (CEP), established by the Protocol on Environmental Protection to the Antarctic Treaty of 1991</w:t>
      </w:r>
      <w:r w:rsidR="005D0083">
        <w:t xml:space="preserve"> and</w:t>
      </w:r>
      <w:r>
        <w:t xml:space="preserve"> by the Scientific Committee on Antarctic Research (SCAR), a committee of the International Science Council (Protocol Article 10.2; </w:t>
      </w:r>
      <w:r w:rsidR="006260F1">
        <w:rPr>
          <w:b/>
        </w:rPr>
        <w:t xml:space="preserve">Supplementary </w:t>
      </w:r>
      <w:r>
        <w:rPr>
          <w:b/>
        </w:rPr>
        <w:t>material 6.1</w:t>
      </w:r>
      <w:r>
        <w:t>).</w:t>
      </w:r>
    </w:p>
    <w:p w14:paraId="08631E1F" w14:textId="5998E5DD" w:rsidR="00017C04" w:rsidRDefault="00F50AF9" w:rsidP="00801BB3">
      <w:pPr>
        <w:pBdr>
          <w:top w:val="single" w:sz="4" w:space="1" w:color="auto"/>
          <w:left w:val="single" w:sz="4" w:space="4" w:color="auto"/>
          <w:bottom w:val="single" w:sz="4" w:space="1" w:color="auto"/>
          <w:right w:val="single" w:sz="4" w:space="4" w:color="auto"/>
        </w:pBdr>
        <w:shd w:val="clear" w:color="auto" w:fill="E7E6E6" w:themeFill="background2"/>
      </w:pPr>
      <w:r>
        <w:rPr>
          <w:b/>
        </w:rPr>
        <w:lastRenderedPageBreak/>
        <w:t>Invasive alien species</w:t>
      </w:r>
      <w:r>
        <w:t xml:space="preserve">: Based on the advice of the CEP, the ATCPs have placed significant focus on preventing invasive alien species introductions to and impacts on the area south of 60°S. </w:t>
      </w:r>
      <w:r w:rsidR="00DF1AF7" w:rsidRPr="00A9434B">
        <w:rPr>
          <w:rFonts w:eastAsia="Calibri Light"/>
        </w:rPr>
        <w:t xml:space="preserve">Current guidance for doing so is encapsulated in the Non-Native Species Manual </w:t>
      </w:r>
      <w:r w:rsidR="005201B4">
        <w:rPr>
          <w:rFonts w:eastAsia="Calibri Light"/>
        </w:rPr>
        <w:t xml:space="preserve">of the CEP </w:t>
      </w:r>
      <w:r w:rsidR="00BA4F91" w:rsidRPr="00A9434B">
        <w:rPr>
          <w:rFonts w:eastAsia="Calibri Light"/>
        </w:rPr>
        <w:fldChar w:fldCharType="begin"/>
      </w:r>
      <w:r w:rsidR="0006613E">
        <w:rPr>
          <w:rFonts w:eastAsia="Calibri Light"/>
        </w:rPr>
        <w:instrText xml:space="preserve"> ADDIN ZOTERO_ITEM CSL_CITATION {"citationID":"a23vu01odlr","properties":{"formattedCitation":"(ATCM, 2019)","plainCitation":"(ATCM, 2019)","noteIndex":0},"citationItems":[{"id":25018,"uris":["http://zotero.org/groups/2352922/items/J6DEL9XN"],"itemData":{"id":25018,"type":"book","event-place":"Buenos Aires","number-of-pages":"47","publisher":"Secretariat of the Antarctic Treaty","publisher-place":"Buenos Aires","title":"Non-Native Species Manual","URL":"https://documents.ats.aq/ATCM42/WW/ATCM42_WW008_e.pdf","author":[{"literal":"ATCM"}],"issued":{"date-parts":[["2019"]]}},"label":"page"}],"schema":"https://github.com/citation-style-language/schema/raw/master/csl-citation.json"} </w:instrText>
      </w:r>
      <w:r w:rsidR="00BA4F91" w:rsidRPr="00A9434B">
        <w:rPr>
          <w:rFonts w:eastAsia="Calibri Light"/>
        </w:rPr>
        <w:fldChar w:fldCharType="separate"/>
      </w:r>
      <w:r w:rsidR="00C71E80" w:rsidRPr="00A9434B">
        <w:t>(ATCM, 2019)</w:t>
      </w:r>
      <w:r w:rsidR="00BA4F91" w:rsidRPr="00A9434B">
        <w:rPr>
          <w:rFonts w:eastAsia="Calibri Light"/>
        </w:rPr>
        <w:fldChar w:fldCharType="end"/>
      </w:r>
      <w:r w:rsidR="005201B4">
        <w:rPr>
          <w:rFonts w:eastAsia="Calibri Light"/>
        </w:rPr>
        <w:t>,</w:t>
      </w:r>
      <w:r w:rsidR="00DF1AF7" w:rsidRPr="00A9434B">
        <w:rPr>
          <w:rFonts w:eastAsia="Calibri Light"/>
        </w:rPr>
        <w:t xml:space="preserve"> hereafter the Manual). The Manual covers the unintended introduction of species to the Antarctic region and the movement of species within Antarctica, and is an example of the effective translation of recent research to policy through the </w:t>
      </w:r>
      <w:r w:rsidR="005201B4">
        <w:rPr>
          <w:rFonts w:eastAsia="Calibri Light"/>
        </w:rPr>
        <w:t>CEP</w:t>
      </w:r>
      <w:r w:rsidR="00DF1AF7" w:rsidRPr="00A9434B">
        <w:rPr>
          <w:rFonts w:eastAsia="Calibri Light"/>
        </w:rPr>
        <w:t xml:space="preserve"> (e.g., </w:t>
      </w:r>
      <w:r w:rsidR="00BA4F91" w:rsidRPr="00A9434B">
        <w:rPr>
          <w:rFonts w:eastAsia="Calibri Light"/>
        </w:rPr>
        <w:fldChar w:fldCharType="begin"/>
      </w:r>
      <w:r w:rsidR="0006613E">
        <w:rPr>
          <w:rFonts w:eastAsia="Calibri Light"/>
        </w:rPr>
        <w:instrText xml:space="preserve"> ADDIN ZOTERO_ITEM CSL_CITATION {"citationID":"afk7gl2lir","properties":{"formattedCitation":"\\uldash{(Hughes &amp; Convey, 2010, 2012; Lee &amp; Chown, 2011)}","plainCitation":"(Hughes &amp; Convey, 2010, 2012; Lee &amp; Chown, 2011)","dontUpdate":true,"noteIndex":0},"citationItems":[{"id":30359,"uris":["http://zotero.org/groups/2352922/items/SGYGR2SU"],"itemData":{"id":30359,"type":"article-journal","container-title":"Journal of Environmental Management","DOI":"10.1016/j.jenvman.2011.08.017","issue":"1","language":"eng","page":"52-66","title":"Determining the native/non-native status of newly discovered terrestrial and freshwater species in Antarctica - current knowledge, methodology and management action","URL":"http://europepmc.org/abstract/MED/22054571","volume":"93","author":[{"family":"Hughes","given":"Kevin A."},{"family":"Convey","given":"Peter"}],"issued":{"date-parts":[["2012"]]}},"label":"page"},{"id":29331,"uris":["http://zotero.org/groups/2352922/items/ZIDJK294"],"itemData":{"id":29331,"type":"article-journal","abstract":"Invasions by non-indigenous species are amongst the greatest threats to global biodiversity, causing substantial disruption to, and sometimes local extinction of, individual species and community assemblages which, in turn, can affect ecosystem structure and function. The terrestrial environment of Antarctica consists of many isolated ‘islands’ of ice-free ground. Prolonged isolation makes Antarctic biodiversity vulnerable to human-mediated impacts, in particular (1) the introduction of nonindigenous species from outside Antarctica, and (2) the redistribution of indigenous Antarctic species between biologically distinct areas within the continent. The Protocol on Environmental Protection to the Antarctic Treaty, the primary instrument through which environmental management is addressed within the Antarctic Treaty System, says little about unintentional introduction of non-indigenous species to Antarctica, and nothing speciﬁcally about human-mediated transfer of native species from one area to another. We review the effectiveness of the Antarctic protected area system, the primary means through which area-speciﬁc environmental protection is achieved under the Antarctic Treaty System. This reveals that the measures described in most Antarctic Specially Protected Area (ASPA) and Antarctic Specially Managed Area (ASMA) Management Plans, by themselves, may not be sufﬁcient to (1) minimise the possibility of introduction of plants, animals and microbes not native to the protected area or (2) adequately protect the many unusual assemblages of species, type localities or only known habitats of certain species found in Antarctica. We discuss issues that should be considered in the development of a more effective system, including the implementation of appropriate biosecurity measures across different spatial scales and applied to different biological groups.","container-title":"Global Environmental Change","DOI":"10.1016/j.gloenvcha.2009.09.005","ISSN":"09593780","issue":"1","journalAbbreviation":"Global Environmental Change","language":"en","page":"96-112","source":"DOI.org (Crossref)","title":"The protection of Antarctic terrestrial ecosystems from inter- and intra-continental transfer of non-indigenous species by human activities: A review of current systems and practices","title-short":"The protection of Antarctic terrestrial ecosystems from inter- and intra-continental transfer of non-indigenous species by human activities","URL":"https://linkinghub.elsevier.com/retrieve/pii/S0959378009000764","volume":"20","author":[{"family":"Hughes","given":"Kevin A."},{"family":"Convey","given":"Pete"}],"accessed":{"date-parts":[["2020",4,7]]},"issued":{"date-parts":[["2010",2]]}},"label":"page"},{"id":24188,"uris":["http://zotero.org/groups/2352922/items/DL3ZHT9R"],"itemData":{"id":24188,"type":"article-journal","container-title":"Antarctic Science","DOI":"10.1017/S0954102011000198","issue":"4","page":"337–342","title":"Quantification of intra-regional propagule movements in the Antarctic","volume":"23","author":[{"family":"Lee","given":"Jennifer E"},{"family":"Chown","given":"S L"}],"issued":{"date-parts":[["2011"]]}},"label":"page"}],"schema":"https://github.com/citation-style-language/schema/raw/master/csl-citation.json"} </w:instrText>
      </w:r>
      <w:r w:rsidR="00BA4F91" w:rsidRPr="00A9434B">
        <w:rPr>
          <w:rFonts w:eastAsia="Calibri Light"/>
        </w:rPr>
        <w:fldChar w:fldCharType="separate"/>
      </w:r>
      <w:r w:rsidR="00A70C2A" w:rsidRPr="00A9434B">
        <w:t>Hughes &amp; Convey, 2010, 2012; Lee &amp; Chown, 2011)</w:t>
      </w:r>
      <w:r w:rsidR="00BA4F91" w:rsidRPr="00A9434B">
        <w:rPr>
          <w:rFonts w:eastAsia="Calibri Light"/>
        </w:rPr>
        <w:fldChar w:fldCharType="end"/>
      </w:r>
      <w:r w:rsidR="00DF1AF7" w:rsidRPr="00A9434B">
        <w:rPr>
          <w:rFonts w:eastAsia="Calibri Light"/>
        </w:rPr>
        <w:t xml:space="preserve">. Although the pace of such translation and uptake has been criticized and there is a lack </w:t>
      </w:r>
      <w:r w:rsidR="009011F3">
        <w:rPr>
          <w:rFonts w:eastAsia="Calibri Light"/>
        </w:rPr>
        <w:t xml:space="preserve">of </w:t>
      </w:r>
      <w:r w:rsidR="00DF1AF7" w:rsidRPr="00A9434B">
        <w:rPr>
          <w:rFonts w:eastAsia="Calibri Light"/>
        </w:rPr>
        <w:t>evidence to quantify the implementation of different biosecurity measures across more than a handful of national program</w:t>
      </w:r>
      <w:r w:rsidR="00AD5DB1" w:rsidRPr="00A9434B">
        <w:rPr>
          <w:rFonts w:eastAsia="Calibri Light"/>
        </w:rPr>
        <w:t>me</w:t>
      </w:r>
      <w:r w:rsidR="00DF1AF7" w:rsidRPr="00A9434B">
        <w:rPr>
          <w:rFonts w:eastAsia="Calibri Light"/>
        </w:rPr>
        <w:t>s, the rate of development of responses within the Antarctic Treaty System (ATS) has been relatively rapid, with these responses exceeding those typically expected elsewhere, as measured through a comparison with international respon</w:t>
      </w:r>
      <w:r w:rsidR="00DF1AF7" w:rsidRPr="00CF4F7B">
        <w:rPr>
          <w:rFonts w:eastAsia="Calibri Light"/>
        </w:rPr>
        <w:t>ses to the relevant Aichi Targets of th</w:t>
      </w:r>
      <w:r w:rsidR="008B1BDB" w:rsidRPr="00CF4F7B">
        <w:rPr>
          <w:rFonts w:eastAsia="Calibri Light"/>
        </w:rPr>
        <w:t xml:space="preserve">e </w:t>
      </w:r>
      <w:r w:rsidR="00DF1AF7" w:rsidRPr="00CF4F7B">
        <w:rPr>
          <w:rFonts w:eastAsia="Calibri Light"/>
        </w:rPr>
        <w:t>Strategic Plan for Biodiversity 2011-2020</w:t>
      </w:r>
      <w:r w:rsidR="009236EA" w:rsidRPr="00CF4F7B">
        <w:rPr>
          <w:rFonts w:eastAsia="Calibri Light"/>
        </w:rPr>
        <w:t xml:space="preserve"> </w:t>
      </w:r>
      <w:r w:rsidR="00DF1AF7" w:rsidRPr="00CF4F7B">
        <w:rPr>
          <w:rFonts w:eastAsia="Calibri Light"/>
        </w:rPr>
        <w:fldChar w:fldCharType="begin"/>
      </w:r>
      <w:r w:rsidR="0006613E">
        <w:rPr>
          <w:rFonts w:eastAsia="Calibri Light"/>
        </w:rPr>
        <w:instrText xml:space="preserve"> ADDIN ZOTERO_ITEM CSL_CITATION {"citationID":"abq6jim8","properties":{"formattedCitation":"(Chown et al., 2017)","plainCitation":"(Chown et al., 2017)","noteIndex":0},"citationItems":[{"id":24389,"uris":["http://zotero.org/groups/2352922/items/M7ILGIWJ"],"itemData":{"id":24389,"type":"article-journal","container-title":"PLoS Biology","DOI":"10.1371/journal.pbio.2001656","issue":"3","page":"e2001656","title":"Antarctica and the Strategic Plan for Biodiversity","URL":"https://journals.plos.org/plosbiology/article?id=10.1371/journal.pbio.2001656","volume":"15","author":[{"family":"Chown","given":"Steven L."},{"family":"Brooks","given":"Cassandra M."},{"family":"Terauds","given":"Aleks"},{"family":"Le Bohec","given":"Céline"},{"family":"Klaveren-Impagliazzo","given":"Céline","non-dropping-particle":"van"},{"family":"Whittington","given":"Jason D."},{"family":"Butchart","given":"Stuart H."},{"family":"Coetzee","given":"Bernard W T"},{"family":"Collen","given":"Ben"},{"family":"Convey","given":"Peter"},{"family":"Gaston","given":"Kevin J."},{"family":"Gilbert","given":"Neil"},{"family":"Gill","given":"Mike"},{"family":"Höft","given":"Robert"},{"family":"Johnston","given":"Sam"},{"family":"Kennicutt II","given":"Mahlon C."},{"family":"Kriesell","given":"Hannah J."},{"family":"Le Maho","given":"Yvon"},{"family":"Lynch","given":"Heather J."},{"family":"Palomares","given":"Maria"},{"family":"Puig-Marcó","given":"Roser"},{"family":"Stoett","given":"Peter"},{"family":"McGeoch","given":"Melodie A."}],"issued":{"date-parts":[["2017"]]}},"label":"page"}],"schema":"https://github.com/citation-style-language/schema/raw/master/csl-citation.json"} </w:instrText>
      </w:r>
      <w:r w:rsidR="00DF1AF7" w:rsidRPr="00CF4F7B">
        <w:rPr>
          <w:rFonts w:eastAsia="Calibri Light"/>
        </w:rPr>
        <w:fldChar w:fldCharType="separate"/>
      </w:r>
      <w:r w:rsidR="00C71E80" w:rsidRPr="00CF4F7B">
        <w:t>(Chown et al., 2017)</w:t>
      </w:r>
      <w:r w:rsidR="00DF1AF7" w:rsidRPr="00CF4F7B">
        <w:rPr>
          <w:rFonts w:eastAsia="Calibri Light"/>
        </w:rPr>
        <w:fldChar w:fldCharType="end"/>
      </w:r>
      <w:r w:rsidR="00BA4F91" w:rsidRPr="00CF4F7B">
        <w:rPr>
          <w:rFonts w:eastAsia="Calibri Light"/>
        </w:rPr>
        <w:t>.</w:t>
      </w:r>
      <w:r>
        <w:t xml:space="preserve"> </w:t>
      </w:r>
    </w:p>
    <w:p w14:paraId="5D875284" w14:textId="252D4AE0" w:rsidR="00017C04" w:rsidRDefault="00F50AF9" w:rsidP="00801BB3">
      <w:pPr>
        <w:pBdr>
          <w:top w:val="single" w:sz="4" w:space="1" w:color="auto"/>
          <w:left w:val="single" w:sz="4" w:space="4" w:color="auto"/>
          <w:bottom w:val="single" w:sz="4" w:space="1" w:color="auto"/>
          <w:right w:val="single" w:sz="4" w:space="4" w:color="auto"/>
        </w:pBdr>
        <w:shd w:val="clear" w:color="auto" w:fill="E7E6E6" w:themeFill="background2"/>
      </w:pPr>
      <w:r>
        <w:rPr>
          <w:b/>
        </w:rPr>
        <w:t xml:space="preserve">Practical guidelines: </w:t>
      </w:r>
      <w:r>
        <w:t xml:space="preserve">The Manual has also been supplemented by other practical guidance for those operating in the region. Perhaps the best example is the COMNAP/SCAR Invasive alien Species Voluntary Checklists for Supply Chain Managers </w:t>
      </w:r>
      <w:r w:rsidR="00BA4F91" w:rsidRPr="00A9434B">
        <w:rPr>
          <w:rFonts w:eastAsia="Calibri Light"/>
        </w:rPr>
        <w:fldChar w:fldCharType="begin"/>
      </w:r>
      <w:r w:rsidR="0006613E">
        <w:rPr>
          <w:rFonts w:eastAsia="Calibri Light"/>
        </w:rPr>
        <w:instrText xml:space="preserve"> ADDIN ZOTERO_ITEM CSL_CITATION {"citationID":"a289i8gej0l","properties":{"formattedCitation":"(SCAR &amp; COMNAP, 2019)","plainCitation":"(SCAR &amp; COMNAP, 2019)","noteIndex":0},"citationItems":[{"id":25016,"uris":["http://zotero.org/groups/2352922/items/Y4M6SFQZ"],"itemData":{"id":25016,"type":"report","publisher":"Scientific Committee on Antarctic Research &amp; Council of Managers of National Antarctic Programs","title":"Inter-continental Checklists: For supply chain managers of the National Antarctic Programmes for the reduction in risk of transfer of non</w:instrText>
      </w:r>
      <w:r w:rsidR="0006613E">
        <w:rPr>
          <w:rFonts w:eastAsia="Calibri Light" w:hint="eastAsia"/>
        </w:rPr>
        <w:instrText>‐</w:instrText>
      </w:r>
      <w:r w:rsidR="0006613E">
        <w:rPr>
          <w:rFonts w:eastAsia="Calibri Light"/>
        </w:rPr>
        <w:instrText xml:space="preserve">native species","URL":"https://documents.ats.aq/ATCM42/att/ATCM42_att068_e.pdf","author":[{"literal":"SCAR"},{"literal":"COMNAP"}],"issued":{"date-parts":[["2019"]]}},"label":"page"}],"schema":"https://github.com/citation-style-language/schema/raw/master/csl-citation.json"} </w:instrText>
      </w:r>
      <w:r w:rsidR="00BA4F91" w:rsidRPr="00A9434B">
        <w:rPr>
          <w:rFonts w:eastAsia="Calibri Light"/>
        </w:rPr>
        <w:fldChar w:fldCharType="separate"/>
      </w:r>
      <w:r w:rsidR="00FD65B1" w:rsidRPr="00FD65B1">
        <w:t>(SCAR &amp; COMNAP, 2019)</w:t>
      </w:r>
      <w:r w:rsidR="00BA4F91" w:rsidRPr="00A9434B">
        <w:rPr>
          <w:rFonts w:eastAsia="Calibri Light"/>
        </w:rPr>
        <w:fldChar w:fldCharType="end"/>
      </w:r>
      <w:r w:rsidR="00BA4F91" w:rsidRPr="00A9434B">
        <w:rPr>
          <w:rFonts w:eastAsia="Calibri Light"/>
        </w:rPr>
        <w:t>, which provides practical guidance (and the evidence underlying it) to prevent the introduction of non-indigenous species to Antarctica.</w:t>
      </w:r>
      <w:r>
        <w:t xml:space="preserve"> Other organizations, such as the Antarctic tourism industry body, the International Association of Antarctica Tour Operators (IAATO), have similar guidance for its members </w:t>
      </w:r>
      <w:r w:rsidR="00BA4F91" w:rsidRPr="00A9434B">
        <w:rPr>
          <w:rFonts w:eastAsia="Calibri Light"/>
        </w:rPr>
        <w:fldChar w:fldCharType="begin"/>
      </w:r>
      <w:r w:rsidR="0006613E">
        <w:rPr>
          <w:rFonts w:eastAsia="Calibri Light"/>
        </w:rPr>
        <w:instrText xml:space="preserve"> ADDIN ZOTERO_ITEM CSL_CITATION {"citationID":"a6ve1copqr","properties":{"formattedCitation":"(IAATO, 2020)","plainCitation":"(IAATO, 2020)","noteIndex":0},"citationItems":[{"id":11442,"uris":["http://zotero.org/groups/2352922/items/WE4XX34A"],"itemData":{"id":11442,"type":"document","publisher":"International Association of Antarctic Tour Operators","title":"Boot, clothing and equipment decontamination guidelines for small boat operators","URL":"https://iaato.org/decontamination-guidelines","author":[{"literal":"IAATO"}],"issued":{"date-parts":[["2020"]]}},"label":"page"}],"schema":"https://github.com/citation-style-language/schema/raw/master/csl-citation.json"} </w:instrText>
      </w:r>
      <w:r w:rsidR="00BA4F91" w:rsidRPr="00A9434B">
        <w:rPr>
          <w:rFonts w:eastAsia="Calibri Light"/>
        </w:rPr>
        <w:fldChar w:fldCharType="separate"/>
      </w:r>
      <w:r w:rsidR="00C71E80" w:rsidRPr="00A9434B">
        <w:t>(IAATO, 2020)</w:t>
      </w:r>
      <w:r w:rsidR="00BA4F91" w:rsidRPr="00A9434B">
        <w:rPr>
          <w:rFonts w:eastAsia="Calibri Light"/>
        </w:rPr>
        <w:fldChar w:fldCharType="end"/>
      </w:r>
      <w:r w:rsidR="00BA4F91" w:rsidRPr="00A9434B">
        <w:rPr>
          <w:rFonts w:eastAsia="Calibri Light"/>
        </w:rPr>
        <w:t>.</w:t>
      </w:r>
      <w:r>
        <w:t xml:space="preserve"> In the 2019/2020 season, more than 74,000 tourists visited the Antarctic and numbers are expected to rise.</w:t>
      </w:r>
    </w:p>
    <w:p w14:paraId="595FEB63" w14:textId="5674BEEE" w:rsidR="00BA4F91" w:rsidRPr="00A9434B" w:rsidRDefault="00DF1AF7" w:rsidP="00831AEF">
      <w:pPr>
        <w:pBdr>
          <w:top w:val="single" w:sz="4" w:space="1" w:color="auto"/>
          <w:left w:val="single" w:sz="4" w:space="4" w:color="auto"/>
          <w:bottom w:val="single" w:sz="4" w:space="1" w:color="auto"/>
          <w:right w:val="single" w:sz="4" w:space="4" w:color="auto"/>
        </w:pBdr>
        <w:shd w:val="clear" w:color="auto" w:fill="E7E6E6" w:themeFill="background2"/>
        <w:rPr>
          <w:rFonts w:eastAsia="Calibri Light"/>
        </w:rPr>
      </w:pPr>
      <w:r w:rsidRPr="00A9434B">
        <w:rPr>
          <w:rFonts w:eastAsia="Calibri Light"/>
        </w:rPr>
        <w:t xml:space="preserve">Although the Manual makes reference to marine invasions, including the Practical Guidelines on Ballast Water Exchange in the Antarctic Treaty Area </w:t>
      </w:r>
      <w:r w:rsidR="00BA4F91" w:rsidRPr="00A9434B">
        <w:rPr>
          <w:rFonts w:eastAsia="Calibri Light"/>
        </w:rPr>
        <w:fldChar w:fldCharType="begin"/>
      </w:r>
      <w:r w:rsidR="0006613E">
        <w:rPr>
          <w:rFonts w:eastAsia="Calibri Light"/>
        </w:rPr>
        <w:instrText xml:space="preserve"> ADDIN ZOTERO_ITEM CSL_CITATION {"citationID":"akrppnvegg","properties":{"formattedCitation":"(ATCM, 2006)","plainCitation":"(ATCM, 2006)","noteIndex":0},"citationItems":[{"id":25015,"uris":["http://zotero.org/groups/2352922/items/Y95GFLGW"],"itemData":{"id":25015,"type":"report","publisher":"Antarctic Treaty Consultative  Meeting","title":"Practical Guidelines for Ballast Water Exchange in the Antarctic Treaty Area. Annex to Resolution 3 of 2006 agreed by the Antarctic Treaty Consultative Parties","URL":"http://www.ats.aq","author":[{"literal":"ATCM"}],"issued":{"date-parts":[["2006"]]}},"label":"page"}],"schema":"https://github.com/citation-style-language/schema/raw/master/csl-citation.json"} </w:instrText>
      </w:r>
      <w:r w:rsidR="00BA4F91" w:rsidRPr="00A9434B">
        <w:rPr>
          <w:rFonts w:eastAsia="Calibri Light"/>
        </w:rPr>
        <w:fldChar w:fldCharType="separate"/>
      </w:r>
      <w:r w:rsidR="00C71E80" w:rsidRPr="00A9434B">
        <w:t>(ATCM, 2006)</w:t>
      </w:r>
      <w:r w:rsidR="00BA4F91" w:rsidRPr="00A9434B">
        <w:rPr>
          <w:rFonts w:eastAsia="Calibri Light"/>
        </w:rPr>
        <w:fldChar w:fldCharType="end"/>
      </w:r>
      <w:r w:rsidRPr="00A9434B">
        <w:rPr>
          <w:rFonts w:eastAsia="Calibri Light"/>
        </w:rPr>
        <w:t xml:space="preserve">, it </w:t>
      </w:r>
      <w:r w:rsidR="00D9180C" w:rsidRPr="00A9434B">
        <w:rPr>
          <w:rFonts w:eastAsia="Calibri Light"/>
        </w:rPr>
        <w:t xml:space="preserve">also </w:t>
      </w:r>
      <w:r w:rsidRPr="00A9434B">
        <w:rPr>
          <w:rFonts w:eastAsia="Calibri Light"/>
        </w:rPr>
        <w:t xml:space="preserve">identifies the need for further guidelines for preventing and responding to marine invasive alien species </w:t>
      </w:r>
      <w:r w:rsidR="003648D2" w:rsidRPr="00A9434B">
        <w:rPr>
          <w:rFonts w:eastAsia="Calibri Light"/>
        </w:rPr>
        <w:fldChar w:fldCharType="begin"/>
      </w:r>
      <w:r w:rsidR="0006613E">
        <w:rPr>
          <w:rFonts w:eastAsia="Calibri Light"/>
        </w:rPr>
        <w:instrText xml:space="preserve"> ADDIN ZOTERO_ITEM CSL_CITATION {"citationID":"a1uc8tggi9g","properties":{"formattedCitation":"(McCarthy et al., 2019)","plainCitation":"(McCarthy et al., 2019)","noteIndex":0},"citationItems":[{"id":10553,"uris":["http://zotero.org/groups/2352922/items/3WC88QKZ"],"itemData":{"id":10553,"type":"article-journal","abstract":"Abstract Antarctica is experiencing significant ecological and environmental change, which may facilitate the establishment of non-native marine species. Non-native marine species will interact with other anthropogenic stressors affecting Antarctic ecosystems, such as climate change (warming, ocean acidification) and pollution, with irreversible ramifications for biodiversity and ecosystem services. We review current knowledge of non-native marine species in the Antarctic region, the physical and physiological factors that resist establishment of non-native marine species, changes to resistance under climate change, the role of legislation in limiting marine introductions, and the effect of increasing human activity on vectors and pathways of introduction. Evidence of non-native marine species is limited: just four marine non-native and one cryptogenic species that were likely introduced anthropogenically have been reported freely living in Antarctic or sub-Antarctic waters, but no established populations have been reported; an additional six species have been observed in pathways to Antarctica that are potentially at risk of becoming invasive. We present estimates of the intensity of ship activity across fishing, tourism and research sectors: there may be approximately 180 vessels and 500+ voyages in Antarctic waters annually. However, these estimates are necessarily speculative because relevant data are scarce. To facilitate well-informed policy and management, we make recommendations for future research into the likelihood of marine biological invasions in the Antarctic region.","container-title":"Global Change Biology","DOI":"10.1111/gcb.14600","issue":"7","page":"2221-2241","title":"Antarctica: The final frontier for marine biological invasions","URL":"https://doi.org/10.1111/gcb.14600","volume":"25","author":[{"family":"McCarthy","given":"Arlie H"},{"family":"Peck","given":"Lloyd S"},{"family":"Hughes","given":"Kevin A"},{"family":"Aldridge","given":"David C"}],"issued":{"date-parts":[["2019",7]]}},"label":"page"}],"schema":"https://github.com/citation-style-language/schema/raw/master/csl-citation.json"} </w:instrText>
      </w:r>
      <w:r w:rsidR="003648D2" w:rsidRPr="00A9434B">
        <w:rPr>
          <w:rFonts w:eastAsia="Calibri Light"/>
        </w:rPr>
        <w:fldChar w:fldCharType="separate"/>
      </w:r>
      <w:r w:rsidR="00C71E80" w:rsidRPr="00A9434B">
        <w:t>(McCarthy et al., 2019)</w:t>
      </w:r>
      <w:r w:rsidR="003648D2" w:rsidRPr="00A9434B">
        <w:rPr>
          <w:rFonts w:eastAsia="Calibri Light"/>
        </w:rPr>
        <w:fldChar w:fldCharType="end"/>
      </w:r>
      <w:r w:rsidRPr="00A9434B">
        <w:rPr>
          <w:rFonts w:eastAsia="Calibri Light"/>
        </w:rPr>
        <w:t xml:space="preserve">. The Manual contains a great deal of advice for terrestrial systems, including flow charts on how to respond to introductions. Notwithstanding all of the advice and agreements, Antarctic Treaty policy implementation proceeds through implementation in national law, which is highly variable between the nations that are party to the Antarctic Treaty and Protocol </w:t>
      </w:r>
      <w:r w:rsidR="005A429F" w:rsidRPr="00A9434B">
        <w:rPr>
          <w:rFonts w:eastAsia="Calibri Light"/>
        </w:rPr>
        <w:fldChar w:fldCharType="begin"/>
      </w:r>
      <w:r w:rsidR="0014002B">
        <w:rPr>
          <w:rFonts w:eastAsia="Calibri Light"/>
        </w:rPr>
        <w:instrText xml:space="preserve"> ADDIN ZOTERO_ITEM CSL_CITATION {"citationID":"a1mqjb1rdgo","properties":{"formattedCitation":"(Hughes &amp; Pertierra, 2016)","plainCitation":"(Hughes &amp; Pertierra, 2016)","noteIndex":0},"citationItems":[{"id":52880,"uris":["http://zotero.org/groups/2352922/items/KYCL7QJ7"],"itemData":{"id":52880,"type":"article-journal","abstract":"Antarctic non-native species legislation is contained within the Protocol on Environmental Protection to the Antarctic Treaty, with 2016 marking the 25th anniversary of its adoption. We take this opportunity to evaluate the Antarctic Treaty signatory Parties' collective development and implementation of non-native species policy. In general, scientific and policy outputs have increased in the past decade. However, data detailing Parties' current implementation of biosecurity practices are not readily available. Little widespread, internationally coordinated or systematic monitoring of non-native species establishment has occurred, but available data suggest that establishment of non-native micro-invertebrates may be greatly underestimated. Several recent small-scale plant eradications have been successful, although larger-scale eradications present a greater challenge due to seed bank formation. Invertebrate establishment within research station buildings presents an increasing problem, with mixed eradication success to date. The opportunity now exists to build on earlier successes, such as the ‘CEP Non-native Species Manual’, towards the development of a comprehensive response strategy based upon the principles of prevention, monitoring and response, and applicable to all Antarctic environments. To help facilitate this we identify areas requiring further research and policy development, such as to reduce anthropogenic transfer of indigenous Antarctic species between distinct biogeographic regions, avoid microbial contamination of pristine areas and limit introduction of non-native marine species. A response protocol is proposed for use following the discovery of a potential non-native species within the Antarctica Treaty area, which includes recommendations concerning Parties' initial response and any subsequent eradication or control measures.","container-title":"Biological Conservation","DOI":"10.1016/j.biocon.2016.03.011","ISSN":"0006-3207","journalAbbreviation":"Biological Conservation","language":"en","page":"149-159","source":"ScienceDirect","title":"Evaluation of non-native species policy development and implementation within the Antarctic Treaty area","URL":"https://www.sciencedirect.com/science/article/pii/S0006320716300799","volume":"200","author":[{"family":"Hughes","given":"Kevin A."},{"family":"Pertierra","given":"Luis R."}],"accessed":{"date-parts":[["2022",8,12]]},"issued":{"date-parts":[["2016",8,1]]}},"label":"page"}],"schema":"https://github.com/citation-style-language/schema/raw/master/csl-citation.json"} </w:instrText>
      </w:r>
      <w:r w:rsidR="005A429F" w:rsidRPr="00A9434B">
        <w:rPr>
          <w:rFonts w:eastAsia="Calibri Light"/>
        </w:rPr>
        <w:fldChar w:fldCharType="separate"/>
      </w:r>
      <w:r w:rsidR="0014002B" w:rsidRPr="0014002B">
        <w:t>(Hughes &amp; Pertierra, 2016)</w:t>
      </w:r>
      <w:r w:rsidR="005A429F" w:rsidRPr="00A9434B">
        <w:rPr>
          <w:rFonts w:eastAsia="Calibri Light"/>
        </w:rPr>
        <w:fldChar w:fldCharType="end"/>
      </w:r>
      <w:r w:rsidRPr="00A9434B">
        <w:rPr>
          <w:rFonts w:eastAsia="Calibri Light"/>
        </w:rPr>
        <w:t>. These include all nations that are active in Antarctica.</w:t>
      </w:r>
    </w:p>
    <w:p w14:paraId="4FD61CE4" w14:textId="4C3233E1" w:rsidR="00BA4F91" w:rsidRPr="00A9434B" w:rsidRDefault="00031013" w:rsidP="00831AEF">
      <w:pPr>
        <w:pBdr>
          <w:top w:val="single" w:sz="4" w:space="1" w:color="auto"/>
          <w:left w:val="single" w:sz="4" w:space="4" w:color="auto"/>
          <w:bottom w:val="single" w:sz="4" w:space="1" w:color="auto"/>
          <w:right w:val="single" w:sz="4" w:space="4" w:color="auto"/>
        </w:pBdr>
        <w:shd w:val="clear" w:color="auto" w:fill="E7E6E6" w:themeFill="background2"/>
        <w:rPr>
          <w:rFonts w:eastAsia="Calibri Light"/>
        </w:rPr>
      </w:pPr>
      <w:r w:rsidRPr="00A9434B">
        <w:rPr>
          <w:rFonts w:eastAsia="Calibri Light"/>
          <w:b/>
          <w:bCs/>
        </w:rPr>
        <w:t xml:space="preserve">Progress and prospects: </w:t>
      </w:r>
      <w:r w:rsidR="00BA4F91" w:rsidRPr="00A9434B">
        <w:rPr>
          <w:rFonts w:eastAsia="Calibri Light"/>
        </w:rPr>
        <w:t xml:space="preserve">What should be done to limit the impacts of invasive alien species and the reasons for doing so, are uniformly articulated to the </w:t>
      </w:r>
      <w:r w:rsidR="003442BC" w:rsidRPr="00A9434B">
        <w:rPr>
          <w:rFonts w:eastAsia="Calibri Light"/>
        </w:rPr>
        <w:t xml:space="preserve">ATCPs </w:t>
      </w:r>
      <w:r w:rsidR="00BA4F91" w:rsidRPr="00A9434B">
        <w:rPr>
          <w:rFonts w:eastAsia="Calibri Light"/>
        </w:rPr>
        <w:t xml:space="preserve">via the Manual </w:t>
      </w:r>
      <w:r w:rsidR="005A429F" w:rsidRPr="00A9434B">
        <w:rPr>
          <w:rFonts w:eastAsia="Calibri Light"/>
        </w:rPr>
        <w:fldChar w:fldCharType="begin"/>
      </w:r>
      <w:r w:rsidR="0006613E">
        <w:rPr>
          <w:rFonts w:eastAsia="Calibri Light"/>
        </w:rPr>
        <w:instrText xml:space="preserve"> ADDIN ZOTERO_ITEM CSL_CITATION {"citationID":"a14djdl1li2","properties":{"formattedCitation":"\\uldash{(Antarctic Treaty Consultative Meeting (ATCM), 2019)}","plainCitation":"(Antarctic Treaty Consultative Meeting (ATCM), 2019)","dontUpdate":true,"noteIndex":0},"citationItems":[{"id":25018,"uris":["http://zotero.org/groups/2352922/items/J6DEL9XN"],"itemData":{"id":25018,"type":"book","event-place":"Buenos Aires","number-of-pages":"47","publisher":"Secretariat of the Antarctic Treaty","publisher-place":"Buenos Aires","title":"Non-Native Species Manual","URL":"https://documents.ats.aq/ATCM42/WW/ATCM42_WW008_e.pdf","author":[{"literal":"ATCM"}],"issued":{"date-parts":[["2019"]]}}}],"schema":"https://github.com/citation-style-language/schema/raw/master/csl-citation.json"} </w:instrText>
      </w:r>
      <w:r w:rsidR="005A429F" w:rsidRPr="00A9434B">
        <w:rPr>
          <w:rFonts w:eastAsia="Calibri Light"/>
        </w:rPr>
        <w:fldChar w:fldCharType="separate"/>
      </w:r>
      <w:r w:rsidR="005A429F" w:rsidRPr="00A9434B">
        <w:t>(ATCM), 2019)</w:t>
      </w:r>
      <w:r w:rsidR="005A429F" w:rsidRPr="00A9434B">
        <w:rPr>
          <w:rFonts w:eastAsia="Calibri Light"/>
        </w:rPr>
        <w:fldChar w:fldCharType="end"/>
      </w:r>
      <w:r w:rsidR="00BA4F91" w:rsidRPr="00A9434B">
        <w:rPr>
          <w:rFonts w:eastAsia="Calibri Light"/>
        </w:rPr>
        <w:t>. As a result, considerable progress has therefore been made in addressing the requirements for reducing the introduction and spread of</w:t>
      </w:r>
      <w:r w:rsidR="00214D4D" w:rsidRPr="00A9434B">
        <w:rPr>
          <w:rFonts w:eastAsia="Calibri Light"/>
        </w:rPr>
        <w:t xml:space="preserve"> invasive alien species</w:t>
      </w:r>
      <w:r w:rsidR="00BA4F91" w:rsidRPr="00A9434B">
        <w:rPr>
          <w:rFonts w:eastAsia="Calibri Light"/>
        </w:rPr>
        <w:t xml:space="preserve">, in monitoring the situation, and in responding to new incursions and developing eradication approaches </w:t>
      </w:r>
      <w:r w:rsidR="00BA4F91" w:rsidRPr="00A9434B">
        <w:rPr>
          <w:rFonts w:eastAsia="Calibri Light"/>
        </w:rPr>
        <w:fldChar w:fldCharType="begin"/>
      </w:r>
      <w:r w:rsidR="0014002B">
        <w:rPr>
          <w:rFonts w:eastAsia="Calibri Light"/>
        </w:rPr>
        <w:instrText xml:space="preserve"> ADDIN ZOTERO_ITEM CSL_CITATION {"citationID":"anknn6p0aj","properties":{"formattedCitation":"(Hughes &amp; Convey, 2012; McGeoch et al., 2015)","plainCitation":"(Hughes &amp; Convey, 2012; McGeoch et al., 2015)","noteIndex":0},"citationItems":[{"id":30359,"uris":["http://zotero.org/groups/2352922/items/SGYGR2SU"],"itemData":{"id":30359,"type":"article-journal","container-title":"Journal of Environmental Management","DOI":"10.1016/j.jenvman.2011.08.017","issue":"1","language":"eng","page":"52-66","title":"Determining the native/non-native status of newly discovered terrestrial and freshwater species in Antarctica - current knowledge, methodology and management action","URL":"http://europepmc.org/abstract/MED/22054571","volume":"93","author":[{"family":"Hughes","given":"Kevin A."},{"family":"Convey","given":"Peter"}],"issued":{"date-parts":[["2012"]]}},"label":"page"},{"id":28920,"uris":["http://zotero.org/groups/2352922/items/W24H55GQ"],"itemData":{"id":28920,"type":"article-journal","abstract":"Biological invasion is one of the key threats to the conservation of the broader Antarctic region. We provide an evidence-based assessment of the status of biological invasion in the region as a basis for future monitoring and management. We adapted the indicator framework for global biological invasion monitoring by collating information on (i) numbers of alien species and those invasive species impacting biodiversity (ii) trends in the extinction risks of native species impacted by invasive species and (iii) trends in relevant agreements, management intention and species eradications. Drivers of invasion including risk-associated human activities and trends were also evaluated. The number and trends in activities associated with invasion risk are broadly distributed across the region and increasing. Over 560 alien species from a wide range of taxa occupy the region, concentrated largely on the Southern Ocean Islands, with a high proportion of these considered to be invasive and to have negative biodiversity impacts. There has been a decline in the conservation status of species in the region that are impacted by invasives. Although policy responses to deal with the problem have increased since the 1970s, as have the number of successful eradications, management implementation statistics are patchy and progress in this area less apparent. The Antarctic Biological Invasions Indicator (ABII) provides a system for information exchange across the region and a vehicle for targeted monitoring and surveillance. It also enables inclusion of the region in global efforts to track both IAS and interventions for managing the threat. In a region that appears particularly prone to impacts from alien species, substantial further effort is needed to implement and monitor the effectiveness of management responses. (C) 2015 Elsevier Ltd. All rights reserved.","container-title":"Global Environmental Change","DOI":"10.1016/j.gloenvcha.2014.12.012","ISSN":"0959-3780","language":"English","page":"108-125","title":"Monitoring biological invasion across the broader Antarctic: A baseline and indicator framework","URL":"https://doi.org/10.1016/j.gloenvcha.2014.12.012","volume":"32","author":[{"family":"McGeoch","given":"Melodie A."},{"family":"Shaw","given":"Justine D."},{"family":"Terauds","given":"Aleks"},{"family":"Lee","given":"Jennifer E."},{"family":"Chown","given":"Steven L."}],"issued":{"date-parts":[["2015",5]]}},"label":"page"}],"schema":"https://github.com/citation-style-language/schema/raw/master/csl-citation.json"} </w:instrText>
      </w:r>
      <w:r w:rsidR="00BA4F91" w:rsidRPr="00A9434B">
        <w:rPr>
          <w:rFonts w:eastAsia="Calibri Light"/>
        </w:rPr>
        <w:fldChar w:fldCharType="separate"/>
      </w:r>
      <w:r w:rsidR="0014002B" w:rsidRPr="0014002B">
        <w:t>(Hughes &amp; Convey, 2012; McGeoch et al., 2015)</w:t>
      </w:r>
      <w:r w:rsidR="00BA4F91" w:rsidRPr="00A9434B">
        <w:rPr>
          <w:rFonts w:eastAsia="Calibri Light"/>
        </w:rPr>
        <w:fldChar w:fldCharType="end"/>
      </w:r>
      <w:r w:rsidR="00BA4F91" w:rsidRPr="00A9434B">
        <w:rPr>
          <w:rFonts w:eastAsia="Calibri Light"/>
        </w:rPr>
        <w:t xml:space="preserve">. </w:t>
      </w:r>
    </w:p>
    <w:p w14:paraId="641F2E31" w14:textId="2F11651B" w:rsidR="00735025" w:rsidRPr="00A9434B" w:rsidRDefault="00BA4F91" w:rsidP="00831AEF">
      <w:pPr>
        <w:pBdr>
          <w:top w:val="single" w:sz="4" w:space="1" w:color="auto"/>
          <w:left w:val="single" w:sz="4" w:space="4" w:color="auto"/>
          <w:bottom w:val="single" w:sz="4" w:space="1" w:color="auto"/>
          <w:right w:val="single" w:sz="4" w:space="4" w:color="auto"/>
        </w:pBdr>
        <w:shd w:val="clear" w:color="auto" w:fill="E7E6E6" w:themeFill="background2"/>
      </w:pPr>
      <w:r w:rsidRPr="00A9434B">
        <w:rPr>
          <w:rFonts w:eastAsia="Calibri Light"/>
        </w:rPr>
        <w:t xml:space="preserve">The broader Antarctic region is changing rapidly as a consequence of global climate change </w:t>
      </w:r>
      <w:r w:rsidRPr="00A9434B">
        <w:rPr>
          <w:rFonts w:eastAsia="Calibri Light"/>
        </w:rPr>
        <w:fldChar w:fldCharType="begin"/>
      </w:r>
      <w:r w:rsidR="0006613E">
        <w:rPr>
          <w:rFonts w:eastAsia="Calibri Light"/>
        </w:rPr>
        <w:instrText xml:space="preserve"> ADDIN ZOTERO_ITEM CSL_CITATION {"citationID":"a18iausr57m","properties":{"formattedCitation":"(Le Roux &amp; McGeoch, 2008; Lebouvier et al., 2011; Rintoul et al., 2018; Swart et al., 2018)","plainCitation":"(Le Roux &amp; McGeoch, 2008; Lebouvier et al., 2011; Rintoul et al., 2018; Swart et al., 2018)","noteIndex":0},"citationItems":[{"id":26533,"uris":["http://zotero.org/groups/2352922/items/GGITRPWZ"],"itemData":{"id":26533,"type":"article-journal","container-title":"Climatic Change","DOI":"10.1007/s10584-007-9259-y","page":"309–329","title":"Changes in climate extremes, variability and signature on sub-Antarctic Marion Island","volume":"86","author":[{"family":"Le Roux","given":"P C"},{"family":"McGeoch","given":"Melodie A."}],"issued":{"date-parts":[["2008"]]}},"label":"page"},{"id":22433,"uris":["http://zotero.org/groups/2352922/items/8D9H2WHY"],"itemData":{"id":22433,"type":"article-journal","container-title":"Biological Invasions","DOI":"https://doi.org/10.1007/s10530-011-9946-5","page":"1195–1208","title":"The significance of the sub-Antarctic Kerguelen Islands for the assessment of the vulnerability of native communities to climate change, alien insect invasions and plant viruses","volume":"13","author":[{"family":"Lebouvier","given":"Marc"},{"family":"Laparie","given":"M"},{"family":"Hullé","given":"M"},{"family":"Marais","given":"A"},{"family":"Cozic","given":"Y"},{"family":"Lalouette","given":"L"},{"family":"Vernon","given":"Philippe"},{"family":"Candresse","given":"T"},{"family":"Frenot","given":"Yves"},{"family":"Renault","given":"D"}],"issued":{"date-parts":[["2011"]]}},"label":"page"},{"id":23906,"uris":["http://zotero.org/groups/2352922/items/KDZAQDUV"],"itemData":{"id":23906,"type":"article-journal","container-title":"Nature","DOI":"10.1038/s41586-018-0173-4","page":"233–241","title":"Choosing the future of Antarctica","volume":"558","author":[{"family":"Rintoul","given":"S R"},{"family":"Chown","given":"S L"},{"family":"DeConto","given":"R M"},{"family":"England","given":"M H"},{"family":"Fricker","given":"H A"},{"family":"Masson-Delmotte","given":"V"},{"family":"Naish","given":"T R"},{"family":"Siegert","given":"M J"},{"family":"Xavier","given":"J C"}],"issued":{"date-parts":[["2018"]]}},"label":"page"},{"id":24193,"uris":["http://zotero.org/groups/2352922/items/XJXUVZL8"],"itemData":{"id":24193,"type":"article-journal","container-title":"Nature Geoscience","DOI":"10.1038/s41561-018-0226-1","page":"836–841","title":"Recent Southern Ocean warming and freshening driven by greenhouse gas emissions and ozone depletion","volume":"11","author":[{"family":"Swart","given":"N C"},{"family":"Gille","given":"S T"},{"family":"Fyfe","given":"J C"},{"family":"Gillett","given":"N P"}],"issued":{"date-parts":[["2018"]]}},"label":"page"}],"schema":"https://github.com/citation-style-language/schema/raw/master/csl-citation.json"} </w:instrText>
      </w:r>
      <w:r w:rsidRPr="00A9434B">
        <w:rPr>
          <w:rFonts w:eastAsia="Calibri Light"/>
        </w:rPr>
        <w:fldChar w:fldCharType="separate"/>
      </w:r>
      <w:r w:rsidR="00C71E80" w:rsidRPr="00A9434B">
        <w:t>(Le Roux &amp; McGeoch, 2008; Lebouvier et al., 2011; Rintoul et al., 2018; Swart et al., 2018)</w:t>
      </w:r>
      <w:r w:rsidRPr="00A9434B">
        <w:rPr>
          <w:rFonts w:eastAsia="Calibri Light"/>
        </w:rPr>
        <w:fldChar w:fldCharType="end"/>
      </w:r>
      <w:r w:rsidRPr="00A9434B">
        <w:rPr>
          <w:rFonts w:eastAsia="Calibri Light"/>
        </w:rPr>
        <w:t xml:space="preserve">, with most analyses indicating that risks of establishment, spread and impact of alien species will increase </w:t>
      </w:r>
      <w:r w:rsidRPr="00A9434B">
        <w:rPr>
          <w:rFonts w:eastAsia="Calibri Light"/>
        </w:rPr>
        <w:fldChar w:fldCharType="begin"/>
      </w:r>
      <w:r w:rsidR="0006613E">
        <w:rPr>
          <w:rFonts w:eastAsia="Calibri Light"/>
        </w:rPr>
        <w:instrText xml:space="preserve"> ADDIN ZOTERO_ITEM CSL_CITATION {"citationID":"ag4g9m1i2f","properties":{"unsorted":true,"formattedCitation":"(Frenot et al., 2005; Aronson et al., 2015; Duffy et al., 2017; McClelland et al., 2018; McCarthy et al., 2019; Pertierra et al., 2020)","plainCitation":"(Frenot et al., 2005; Aronson et al., 2015; Duffy et al., 2017; McClelland et al., 2018; McCarthy et al., 2019; Pertierra et al., 2020)","noteIndex":0},"citationItems":[{"id":30608,"uris":["http://zotero.org/groups/2352922/items/XGHAJVIF"],"itemData":{"id":30608,"type":"article-journal","abstract":"Alien microbes, fungi, plants and animals occur on most of the sub-Antarctic islands and some parts of the Antarctic continent. These have arrived over approximately the last two centuries, coincident with human activity in the region. Introduction routes have varied, but are largely associated with movement of people and cargo in connection with industrial, national scientiﬁc program and tourist operations. The large majority of aliens are European in origin. They have both direct and indirect impacts on the functioning of speciespoor Antarctic ecosystems, in particular including substantial loss of local biodiversity and changes to ecosystem processes. With rapid climate change occurring in some parts of Antarctica, elevated numbers of introductions and enhanced success of colonization by aliens are likely, with consequent increases in impacts on ecosystems. Mitigation measures that will substantially reduce the risk of introductions to Antarctica and the sub-Antarctic must focus on reducing propagule loads on humans, and their food, cargo, and transport vessels.","container-title":"Biological Reviews","DOI":"10.1017/S1464793104006542","ISSN":"1464-7931","issue":"1","journalAbbreviation":"Biol. Rev.","language":"en","note":"WOS:000227418900003","page":"45-72","source":"DOI.org (Crossref)","title":"Biological invasions in the Antarctic: extent, impacts and implications","title-short":"Biological invasions in the Antarctic","URL":"http://doi.wiley.com/10.1017/S1464793104006542","volume":"80","author":[{"family":"Frenot","given":"Yves"},{"family":"Chown","given":"Steven L"},{"family":"Whinam","given":"Jennie"},{"family":"Selkirk","given":"Patricia M"},{"family":"Convey","given":"Peter"},{"family":"Skotnicki","given":"Mary"},{"family":"Bergstrom","given":"Dana M"}],"issued":{"date-parts":[["2005",2]]}},"label":"page"},{"id":24404,"uris":["http://zotero.org/groups/2352922/items/QPRJTQ69"],"itemData":{"id":24404,"type":"article-journal","container-title":"Journal of Biogeography","DOI":"10.1111/jbi.12414","issue":"1","page":"1–7","title":"Prospects for the return of shell-crushing crabs to Antarctica","volume":"42","author":[{"family":"Aronson","given":"R B"},{"family":"Frederich","given":"M"},{"family":"Price","given":"R"},{"family":"Thatje","given":"S"}],"issued":{"date-parts":[["2015"]]}},"label":"page"},{"id":28719,"uris":["http://zotero.org/groups/2352922/items/GBVXGCCL"],"itemData":{"id":28719,"type":"article-journal","abstract":"Aim Biological invasions are a substantial threat to Antarctic biodiversity and a priority conservation policy focus for Antarctic Treaty Parties and the sovereign states of surrounding islands. Key to their strategies is prevention, including assessment of establishment risk for alien species. Despite establishment of some of the worst globally invasive species across the Antarctic region, assessments of establishment potential of these species are non-existent. Here, we address this deficit and determine whether these invasive species constitute a significant conservation threat to the broader Antarctic region both now and in response to future regional climate change. Location Antarctica and the Southern Ocean islands (45°–90° S). Methods We used ensemble species distribution models to assess the current and future climate suitability of the Antarctic region for 69 of the worst globally invasive species and 24 insect and plant species that have already established somewhere in the region. Results The Antarctic continent is unsuitable for all of the worst globally invasive species under current conditions, but areas of the Antarctic Peninsula are predicted to become climatically suitable for up to six globally invasive species within the next century. By contrast, all Southern Ocean islands are presently climatically suitable for additional non-native species, with the threat increasing in the future. Main conclusions Our findings demonstrate that climate, which is often cited as a key barrier to alien species establishment, may afford some protection to continental Antarctica, but that this protection is not currently extended to the Southern Ocean islands. Furthermore, existing climatic barriers to alien species establishment will weaken as warming continues across the region. This not only illustrates the value of applying distribution modelling methods to this largely ice-covered region, but demonstrates how these methods can be used to inform targeted surveillance of introduction pathways and sites that have the highest risk of establishment of invasive alien species.","container-title":"Diversity and Distributions","DOI":"10.1111/ddi.12593","ISSN":"1472-4642","issue":"9","journalAbbreviation":"Divers Distrib","language":"en","page":"982-996","source":"DOI.org (Crossref)","title":"Barriers to globally invasive species are weakening across the Antarctic","URL":"http://doi.wiley.com/10.1111/ddi.12593","volume":"23","author":[{"family":"Duffy","given":"Grant A."},{"family":"Coetzee","given":"Bernard W. T."},{"family":"Latombe","given":"Guillaume"},{"family":"Akerman","given":"Alexander H."},{"family":"McGeoch","given":"Melodie A."},{"family":"Chown","given":"Steven L."}],"editor":[{"family":"Thuiller","given":"Wilfried"}],"accessed":{"date-parts":[["2019",12,2]]},"issued":{"date-parts":[["2017",9]]}},"label":"page"},{"id":29078,"uris":["http://zotero.org/groups/2352922/items/92Q5TELD"],"itemData":{"id":29078,"type":"article-journal","abstract":"The considerable threats of invasive rodents to island biodiversity are likely to be compounded by climate change. Forecasts for such interactions have been most pronounced for the Southern Ocean islands where ameliorating conditions are expected to decrease thermal and resource restrictions on rodents. Firm evidence for changing rodent populations in response to climate change, and demonstrations of associated impacts on the terrestrial environment, are nonetheless entirely absent for the region. Using data collected over three decades on sub-Antarctic Marion Island, we tested empirically whether mouse populations have changed through time and whether these changes can be associated significantly with changing abiotic conditions. Changes in invertebrate populations, which have previously been attributed to mouse predation, but with little explicit demographic analysis, were also examined to determine whether they can be associated with changing mouse populations. The total number of mice on the island at annual peak density increased by 430.0% between 1979–1980 and 2008–2011. This increase was due to an advanced breeding season, which was robustly related to the number of precipitation-free days during the non-breeding season. Mice directly reduced invertebrate densities, with biomass losses of up to two orders of magnitude in some habitats. Such invertebrate declines are expected to have significant consequences for ecosystem processes over the long term. Our results demonstrate that as climate change continues to create ameliorating conditions for invasive rodents on sub-Antarctic islands, the severity of their impacts will increase. They also emphasize the importance of rodent eradication for the restoration of invaded islands.","container-title":"Ecological Applications","DOI":"10.1002/eap.1642","ISSN":"1051-0761, 1939-5582","issue":"1","journalAbbreviation":"Ecol Appl","language":"en","page":"212-224","source":"DOI.org (Crossref)","title":"Climate change leads to increasing population density and impacts of a key island invader","URL":"https://onlinelibrary.wiley.com/doi/abs/10.1002/eap.1642","volume":"28","author":[{"family":"McClelland","given":"Gregory T. W."},{"family":"Altwegg","given":"Res"},{"family":"Aarde","given":"Rudi J.","non-dropping-particle":"van"},{"family":"Ferreira","given":"Sam"},{"family":"Burger","given":"Alan E."},{"family":"Chown","given":"Steven L."}],"accessed":{"date-parts":[["2019",12,2]]},"issued":{"date-parts":[["2018",1]]}},"label":"page"},{"id":10553,"uris":["http://zotero.org/groups/2352922/items/3WC88QKZ"],"itemData":{"id":10553,"type":"article-journal","abstract":"Abstract Antarctica is experiencing significant ecological and environmental change, which may facilitate the establishment of non-native marine species. Non-native marine species will interact with other anthropogenic stressors affecting Antarctic ecosystems, such as climate change (warming, ocean acidification) and pollution, with irreversible ramifications for biodiversity and ecosystem services. We review current knowledge of non-native marine species in the Antarctic region, the physical and physiological factors that resist establishment of non-native marine species, changes to resistance under climate change, the role of legislation in limiting marine introductions, and the effect of increasing human activity on vectors and pathways of introduction. Evidence of non-native marine species is limited: just four marine non-native and one cryptogenic species that were likely introduced anthropogenically have been reported freely living in Antarctic or sub-Antarctic waters, but no established populations have been reported; an additional six species have been observed in pathways to Antarctica that are potentially at risk of becoming invasive. We present estimates of the intensity of ship activity across fishing, tourism and research sectors: there may be approximately 180 vessels and 500+ voyages in Antarctic waters annually. However, these estimates are necessarily speculative because relevant data are scarce. To facilitate well-informed policy and management, we make recommendations for future research into the likelihood of marine biological invasions in the Antarctic region.","container-title":"Global Change Biology","DOI":"10.1111/gcb.14600","issue":"7","page":"2221-2241","title":"Antarctica: The final frontier for marine biological invasions","URL":"https://doi.org/10.1111/gcb.14600","volume":"25","author":[{"family":"McCarthy","given":"Arlie H"},{"family":"Peck","given":"Lloyd S"},{"family":"Hughes","given":"Kevin A"},{"family":"Aldridge","given":"David C"}],"issued":{"date-parts":[["2019",7]]}},"label":"page"},{"id":23887,"uris":["http://zotero.org/groups/2352922/items/YMI2XHJS"],"itemData":{"id":23887,"type":"article-journal","container-title":"Journal of Biogeography","DOI":"10.1111/jbi.13780","issue":"3","page":"658–673","title":"Combining correlative and mechanistic niche models with human activity data to elucidate the invasive potential of a sub</w:instrText>
      </w:r>
      <w:r w:rsidR="0006613E">
        <w:rPr>
          <w:rFonts w:eastAsia="Calibri Light" w:hint="eastAsia"/>
        </w:rPr>
        <w:instrText>‐</w:instrText>
      </w:r>
      <w:r w:rsidR="0006613E">
        <w:rPr>
          <w:rFonts w:eastAsia="Calibri Light"/>
        </w:rPr>
        <w:instrText>Antarctic insect","volume":"47","author":[{"family":"Pertierra","given":"L R"},{"family":"Bartlett","given":"J C"},{"family":"Duffy","given":"G A"},{"family":"Vega","given":"G C"},{"family":"Hughes","given":"K A"},{"family":"Hayward","given":"S A L"},{"family":"Convey","given":"P"},{"family":"Olalla</w:instrText>
      </w:r>
      <w:r w:rsidR="0006613E">
        <w:rPr>
          <w:rFonts w:eastAsia="Calibri Light" w:hint="eastAsia"/>
        </w:rPr>
        <w:instrText>‐</w:instrText>
      </w:r>
      <w:r w:rsidR="0006613E">
        <w:rPr>
          <w:rFonts w:eastAsia="Calibri Light"/>
        </w:rPr>
        <w:instrText xml:space="preserve">Tarraga","given":"M A"},{"family":"Aragón","given":"P"}],"issued":{"date-parts":[["2020"]]}},"label":"page"}],"schema":"https://github.com/citation-style-language/schema/raw/master/csl-citation.json"} </w:instrText>
      </w:r>
      <w:r w:rsidRPr="00A9434B">
        <w:rPr>
          <w:rFonts w:eastAsia="Calibri Light"/>
        </w:rPr>
        <w:fldChar w:fldCharType="separate"/>
      </w:r>
      <w:r w:rsidR="00C71E80" w:rsidRPr="00A9434B">
        <w:t>(Frenot et al., 2005; Aronson et al., 2015; Duffy et al., 2017; McClelland et al., 2018; McCarthy et al., 2019; Pertierra et al., 2020)</w:t>
      </w:r>
      <w:r w:rsidRPr="00A9434B">
        <w:rPr>
          <w:rFonts w:eastAsia="Calibri Light"/>
        </w:rPr>
        <w:fldChar w:fldCharType="end"/>
      </w:r>
      <w:r w:rsidRPr="00A9434B">
        <w:rPr>
          <w:rFonts w:eastAsia="Calibri Light"/>
        </w:rPr>
        <w:t xml:space="preserve">. Human activity in the region is also growing due to growth in scientific stations and numbers of science and support personnel, and in numbers of tourists </w:t>
      </w:r>
      <w:r w:rsidR="005A429F" w:rsidRPr="00A9434B">
        <w:rPr>
          <w:rFonts w:eastAsia="Calibri Light"/>
        </w:rPr>
        <w:fldChar w:fldCharType="begin"/>
      </w:r>
      <w:r w:rsidR="0006613E">
        <w:rPr>
          <w:rFonts w:eastAsia="Calibri Light"/>
        </w:rPr>
        <w:instrText xml:space="preserve"> ADDIN ZOTERO_ITEM CSL_CITATION {"citationID":"a1ingu2c5hf","properties":{"formattedCitation":"(Chown &amp; Brooks, 2019)","plainCitation":"(Chown &amp; Brooks, 2019)","noteIndex":0},"citationItems":[{"id":24510,"uris":["http://zotero.org/groups/2352922/items/MEXU3HZS"],"itemData":{"id":24510,"type":"article-journal","container-title":"Annual Review of Environment and Resources","DOI":"10.1146/annurev-environ-101718-033236","page":"1–30","title":"The state and future of Antarctic environments in a global context","URL":"https://doi.org/10.1146/annurev-environ-101718-033236","volume":"44","author":[{"family":"Chown","given":"Steven L."},{"family":"Brooks","given":"Cassandra M."}],"issued":{"date-parts":[["2019"]]}},"label":"page"}],"schema":"https://github.com/citation-style-language/schema/raw/master/csl-citation.json"} </w:instrText>
      </w:r>
      <w:r w:rsidR="005A429F" w:rsidRPr="00A9434B">
        <w:rPr>
          <w:rFonts w:eastAsia="Calibri Light"/>
        </w:rPr>
        <w:fldChar w:fldCharType="separate"/>
      </w:r>
      <w:r w:rsidR="00C71E80" w:rsidRPr="00A9434B">
        <w:t>(Chown &amp; Brooks, 2019)</w:t>
      </w:r>
      <w:r w:rsidR="005A429F" w:rsidRPr="00A9434B">
        <w:rPr>
          <w:rFonts w:eastAsia="Calibri Light"/>
        </w:rPr>
        <w:fldChar w:fldCharType="end"/>
      </w:r>
      <w:r w:rsidRPr="00A9434B">
        <w:rPr>
          <w:rFonts w:eastAsia="Calibri Light"/>
        </w:rPr>
        <w:t xml:space="preserve">. Thus, invasive alien species policy requirements for the future will have to focus especially on what these changes mean for introductions from elsewhere into the Antarctic region. In the face of these challenges, a focus on better and coordinated biosecurity measures, for prevention, and the development of clear surveillance policy and practices to identify and characterize new establishments as they occur is essential, especially for marine systems </w:t>
      </w:r>
      <w:r w:rsidRPr="00A9434B">
        <w:rPr>
          <w:rFonts w:eastAsia="Calibri Light"/>
        </w:rPr>
        <w:fldChar w:fldCharType="begin"/>
      </w:r>
      <w:r w:rsidR="0014002B">
        <w:rPr>
          <w:rFonts w:eastAsia="Calibri Light"/>
        </w:rPr>
        <w:instrText xml:space="preserve"> ADDIN ZOTERO_ITEM CSL_CITATION {"citationID":"a10nh2iiuhe","properties":{"unsorted":true,"formattedCitation":"(Aronson et al., 2015; Hughes et al., 2015; Hughes &amp; Pertierra, 2016)","plainCitation":"(Aronson et al., 2015; Hughes et al., 2015; Hughes &amp; Pertierra, 2016)","noteIndex":0},"citationItems":[{"id":24404,"uris":["http://zotero.org/groups/2352922/items/QPRJTQ69"],"itemData":{"id":24404,"type":"article-journal","container-title":"Journal of Biogeography","DOI":"10.1111/jbi.12414","issue":"1","page":"1–7","title":"Prospects for the return of shell-crushing crabs to Antarctica","volume":"42","author":[{"family":"Aronson","given":"R B"},{"family":"Frederich","given":"M"},{"family":"Price","given":"R"},{"family":"Thatje","given":"S"}],"issued":{"date-parts":[["2015"]]}},"label":"page"},{"id":29103,"uris":["http://zotero.org/groups/2352922/items/3PBFQQPB"],"itemData":{"id":29103,"type":"article-journal","abstract":"Until recently the Antarctic continent and Peninsula have been little impacted by non-native species, compared to other regions of the Earth. However, reports of species introductions are increasing as awareness of biological invasions as a major conservation threat, within the context of increased human activities and climate change scenarios, has grown within the Antarctic community. Given the recent increase in documented reports, here we provide an up-to-date inventory of known terrestrial non-native species introductions, including those subsequently removed since the 1990s, within the Antarctic Treaty area. This builds on earlier syntheses of records published in the mid-2000s, which focused largely on the sub-Antarctic islands, given the dearth of literature available at that time from the continental and maritime Antarctic regions. Reports of non-native species established in the natural environment (i.e. non-synanthropic) are mainly located within the Antarctic Peninsula region and Scotia Arc, with Deception Island, South Shetland Islands, the most impacted area. Non-native plants have generally been removed from sites of introduction, but no established invertebrates have yet been subject to any eradication attempt, despite a recent increase in reports. Legislation within the Protocol on Environmental Protection to the Antarctic Treaty has not kept pace with environmental best practice, potentially presenting difficulties for the practical aspects of non-native species control and eradication. The success of any eradication attempt may be affected by management practices and the biology of the target species under polar conditions. Practical management action is only likely to succeed with greater co-operation and improved communication and engagement by nations and industries operating in the region.","container-title":"Biodiversity and Conservation","DOI":"10.1007/s10531-015-0896-6","ISSN":"0960-3115, 1572-9710","issue":"5","journalAbbreviation":"Biodivers Conserv","language":"en","page":"1031-1055","source":"DOI.org (Crossref)","title":"Biological invasions in terrestrial Antarctica: what is the current status and can we respond?","title-short":"Biological invasions in terrestrial Antarctica","URL":"https://doi.org/10.1007/s10531-015-0896-6","volume":"24","author":[{"family":"Hughes","given":"Kevin A."},{"family":"Pertierra","given":"Luis R."},{"family":"Molina-Montenegro","given":"Marco A."},{"family":"Convey","given":"Peter"}],"accessed":{"date-parts":[["2019",10,15]]},"issued":{"date-parts":[["2015",5]]}},"label":"page"},{"id":52880,"uris":["http://zotero.org/groups/2352922/items/KYCL7QJ7"],"itemData":{"id":52880,"type":"article-journal","abstract":"Antarctic non-native species legislation is contained within the Protocol on Environmental Protection to the Antarctic Treaty, with 2016 marking the 25th anniversary of its adoption. We take this opportunity to evaluate the Antarctic Treaty signatory Parties' collective development and implementation of non-native species policy. In general, scientific and policy outputs have increased in the past decade. However, data detailing Parties' current implementation of biosecurity practices are not readily available. Little widespread, internationally coordinated or systematic monitoring of non-native species establishment has occurred, but available data suggest that establishment of non-native micro-invertebrates may be greatly underestimated. Several recent small-scale plant eradications have been successful, although larger-scale eradications present a greater challenge due to seed bank formation. Invertebrate establishment within research station buildings presents an increasing problem, with mixed eradication success to date. The opportunity now exists to build on earlier successes, such as the ‘CEP Non-native Species Manual’, towards the development of a comprehensive response strategy based upon the principles of prevention, monitoring and response, and applicable to all Antarctic environments. To help facilitate this we identify areas requiring further research and policy development, such as to reduce anthropogenic transfer of indigenous Antarctic species between distinct biogeographic regions, avoid microbial contamination of pristine areas and limit introduction of non-native marine species. A response protocol is proposed for use following the discovery of a potential non-native species within the Antarctica Treaty area, which includes recommendations concerning Parties' initial response and any subsequent eradication or control measures.","container-title":"Biological Conservation","DOI":"10.1016/j.biocon.2016.03.011","ISSN":"0006-3207","journalAbbreviation":"Biological Conservation","language":"en","page":"149-159","source":"ScienceDirect","title":"Evaluation of non-native species policy development and implementation within the Antarctic Treaty area","URL":"https://www.sciencedirect.com/science/article/pii/S0006320716300799","volume":"200","author":[{"family":"Hughes","given":"Kevin A."},{"family":"Pertierra","given":"Luis R."}],"accessed":{"date-parts":[["2022",8,12]]},"issued":{"date-parts":[["2016",8,1]]}},"label":"page"}],"schema":"https://github.com/citation-style-language/schema/raw/master/csl-citation.json"} </w:instrText>
      </w:r>
      <w:r w:rsidRPr="00A9434B">
        <w:rPr>
          <w:rFonts w:eastAsia="Calibri Light"/>
        </w:rPr>
        <w:fldChar w:fldCharType="separate"/>
      </w:r>
      <w:r w:rsidR="0014002B" w:rsidRPr="0014002B">
        <w:t>(Aronson et al., 2015; Hughes et al., 2015; Hughes &amp; Pertierra, 2016)</w:t>
      </w:r>
      <w:r w:rsidRPr="00A9434B">
        <w:rPr>
          <w:rFonts w:eastAsia="Calibri Light"/>
        </w:rPr>
        <w:fldChar w:fldCharType="end"/>
      </w:r>
      <w:r w:rsidRPr="00A9434B">
        <w:rPr>
          <w:rFonts w:eastAsia="Calibri Light"/>
        </w:rPr>
        <w:t>.</w:t>
      </w:r>
      <w:r w:rsidR="007A44C8" w:rsidRPr="00A9434B">
        <w:rPr>
          <w:rFonts w:eastAsia="Calibri Light"/>
        </w:rPr>
        <w:t xml:space="preserve"> </w:t>
      </w:r>
    </w:p>
    <w:p w14:paraId="29FAAB6A" w14:textId="44641302" w:rsidR="00017C04" w:rsidRDefault="09457F53" w:rsidP="008521D1">
      <w:pPr>
        <w:pStyle w:val="Heading2"/>
      </w:pPr>
      <w:bookmarkStart w:id="316" w:name="_Toc74056311"/>
      <w:bookmarkStart w:id="317" w:name="_Toc133428315"/>
      <w:bookmarkStart w:id="318" w:name="_Toc133428789"/>
      <w:bookmarkStart w:id="319" w:name="_Toc147417584"/>
      <w:r w:rsidRPr="00A9434B">
        <w:lastRenderedPageBreak/>
        <w:t xml:space="preserve">Legal and regulatory options at </w:t>
      </w:r>
      <w:bookmarkEnd w:id="316"/>
      <w:r w:rsidR="38022DE9" w:rsidRPr="00A9434B">
        <w:t>national scales</w:t>
      </w:r>
      <w:bookmarkStart w:id="320" w:name="_Toc2001660076"/>
      <w:bookmarkEnd w:id="317"/>
      <w:bookmarkEnd w:id="318"/>
      <w:bookmarkEnd w:id="319"/>
      <w:r w:rsidR="00F50AF9">
        <w:t xml:space="preserve"> </w:t>
      </w:r>
      <w:bookmarkEnd w:id="320"/>
    </w:p>
    <w:p w14:paraId="108ED548" w14:textId="48264713" w:rsidR="00017C04" w:rsidRDefault="00F50AF9">
      <w:r>
        <w:t xml:space="preserve">National investment in invasive alien species prevention and control generally requires governments to take the lead, especially if outcomes are intended to fulfil the public interest </w:t>
      </w:r>
      <w:r w:rsidR="001B439C" w:rsidRPr="00A9434B">
        <w:fldChar w:fldCharType="begin"/>
      </w:r>
      <w:r w:rsidR="0006613E">
        <w:instrText xml:space="preserve"> ADDIN ZOTERO_ITEM CSL_CITATION {"citationID":"a1mniu3454e","properties":{"formattedCitation":"(Early et al., 2016)","plainCitation":"(Early et al., 2016)","noteIndex":0},"citationItems":[{"id":31649,"uris":["http://zotero.org/groups/2352922/items/XMNL6YLF"],"itemData":{"id":31649,"type":"article-journal","abstract":"Invasive alien species (IAS) threaten human livelihoods and biodiversity globally. Increasing globalization facilitates IAS arrival, and environmental changes, including climate change, facilitate IAS establishment. Here we provide the first global, spatial analysis of the terrestrial threat from IAS in light of twenty-first century globalization and environmental change, and evaluate national capacities to prevent and manage species invasions. We find that one-sixth of the global land surface is highly vulnerable to invasion, including substantial areas in developing economies and biodiversity hotspots. The dominant invasion vectors differ between high-income countries (imports, particularly of plants and pets) and low-income countries (air travel). Uniting data on the causes of introduction and establishment can improve early-warning and eradication schemes. Most countries have limited capacity to act against invasions. In particular, we reveal a clear need for proactive invasion strategies in areas with high poverty levels, high biodiversity and low historical levels of invasion.","container-title":"Nature Communications","DOI":"10.1038/ncomms12485","ISSN":"2041-1723","issue":"1","journalAbbreviation":"Nat Commun","language":"en","page":"12485","source":"DOI.org (Crossref)","title":"Global threats from invasive alien species in the twenty-first century and national response capacities","URL":"http://www.nature.com/articles/ncomms12485","volume":"7","author":[{"family":"Early","given":"Regan"},{"family":"Bradley","given":"Bethany A."},{"family":"Dukes","given":"Jeffrey S."},{"family":"Lawler","given":"Joshua J."},{"family":"Olden","given":"Julian D."},{"family":"Blumenthal","given":"Dana M."},{"family":"Gonzalez","given":"Patrick"},{"family":"Grosholz","given":"Edwin D."},{"family":"Ibañez","given":"Ines"},{"family":"Miller","given":"Luke P."},{"family":"Sorte","given":"Cascade J. B."},{"family":"Tatem","given":"Andrew J."}],"issued":{"date-parts":[["2016",8]]}},"label":"page"}],"schema":"https://github.com/citation-style-language/schema/raw/master/csl-citation.json"} </w:instrText>
      </w:r>
      <w:r w:rsidR="001B439C" w:rsidRPr="00A9434B">
        <w:fldChar w:fldCharType="separate"/>
      </w:r>
      <w:r w:rsidR="00C71E80" w:rsidRPr="00A9434B">
        <w:t>(Early et al., 2016)</w:t>
      </w:r>
      <w:r w:rsidR="001B439C" w:rsidRPr="00A9434B">
        <w:fldChar w:fldCharType="end"/>
      </w:r>
      <w:r w:rsidR="27FEF884" w:rsidRPr="00A9434B">
        <w:t>.</w:t>
      </w:r>
      <w:r>
        <w:t xml:space="preserve"> As discussed above, a coordinated approach can indeed be challenging for several reasons, including administrative fragmentation and the need to take into account free trade agreements. To take the lead, each level of government needs the legal mandate to develop its relevant invasive alien species strategy (e.g., </w:t>
      </w:r>
      <w:r w:rsidR="001B439C" w:rsidRPr="00A9434B">
        <w:fldChar w:fldCharType="begin"/>
      </w:r>
      <w:r w:rsidR="0006613E">
        <w:instrText xml:space="preserve"> ADDIN ZOTERO_ITEM CSL_CITATION {"citationID":"a1585rj1fdm","properties":{"formattedCitation":"\\uldash{(Genovesi &amp; Shine, 2004)}","plainCitation":"(Genovesi &amp; Shine, 2004)","dontUpdate":true,"noteIndex":0},"citationItems":[{"id":53391,"uris":["http://zotero.org/groups/2352922/items/SZPC9S9F","http://zotero.org/groups/2352922/items/2YWA55BH"],"itemData":{"id":53391,"type":"report","genre":"Nature and environment","note":"ISBN: 92-871-5488-0","number":"137","publisher":"Council of Europe","title":"European strategy on invasive alien species: Convention on the Conservation of European Wildlife and Habitats (Bern Convention)","URL":"https://www.cbd.int/doc/external/cop-09/bern-01-en.pdf","author":[{"family":"Genovesi","given":"Piero"},{"family":"Shine","given":"Clare"}],"issued":{"date-parts":[["2004"]]}},"label":"page"}],"schema":"https://github.com/citation-style-language/schema/raw/master/csl-citation.json"} </w:instrText>
      </w:r>
      <w:r w:rsidR="001B439C" w:rsidRPr="00A9434B">
        <w:fldChar w:fldCharType="separate"/>
      </w:r>
      <w:r w:rsidR="001B439C" w:rsidRPr="00A9434B">
        <w:t>Genovesi &amp; Shine, 2004)</w:t>
      </w:r>
      <w:r w:rsidR="001B439C" w:rsidRPr="00A9434B">
        <w:fldChar w:fldCharType="end"/>
      </w:r>
      <w:r w:rsidR="27FEF884" w:rsidRPr="00A9434B">
        <w:t xml:space="preserve"> and collect</w:t>
      </w:r>
      <w:r w:rsidR="00D9180C" w:rsidRPr="00A9434B">
        <w:t>ively</w:t>
      </w:r>
      <w:r w:rsidR="27FEF884" w:rsidRPr="00A9434B">
        <w:t xml:space="preserve"> agreed implementation plan (e.g., </w:t>
      </w:r>
      <w:r w:rsidR="001B439C" w:rsidRPr="00A9434B">
        <w:fldChar w:fldCharType="begin"/>
      </w:r>
      <w:r w:rsidR="0006613E">
        <w:instrText xml:space="preserve"> ADDIN ZOTERO_ITEM CSL_CITATION {"citationID":"a2oicm4vcr2","properties":{"formattedCitation":"\\uldash{(National Invasive Species Council, 2008)}","plainCitation":"(National Invasive Species Council, 2008)","dontUpdate":true,"noteIndex":0},"citationItems":[{"id":53384,"uris":["http://zotero.org/groups/2352922/items/85NDZ4NK"],"itemData":{"id":53384,"type":"document","language":"en","note":"National Invasive Species Council","publisher":"National Invasive Species Council","source":"Zotero","title":"2008-2012 National Invasive Species Management Plan","URL":"https://www.landcan.org/pdfs/2008-2012%20National%20Invasive%20Species%20Management%20Plan.pdf","author":[{"literal":"NISC"}],"issued":{"date-parts":[["2008"]]}},"label":"page"}],"schema":"https://github.com/citation-style-language/schema/raw/master/csl-citation.json"} </w:instrText>
      </w:r>
      <w:r w:rsidR="001B439C" w:rsidRPr="00A9434B">
        <w:fldChar w:fldCharType="separate"/>
      </w:r>
      <w:r w:rsidR="001B439C" w:rsidRPr="00A9434B">
        <w:t>National Invasive Species Council, 2008)</w:t>
      </w:r>
      <w:r w:rsidR="001B439C" w:rsidRPr="00A9434B">
        <w:fldChar w:fldCharType="end"/>
      </w:r>
      <w:r w:rsidR="27FEF884" w:rsidRPr="00A9434B">
        <w:t>.</w:t>
      </w:r>
      <w:r>
        <w:t xml:space="preserve"> In addition to these plans, countries could adopt legal and regulatory options to address invasive alien species, such as regulation of import; regulation of possession, trade, transport</w:t>
      </w:r>
      <w:r w:rsidR="005D0083">
        <w:t xml:space="preserve"> and</w:t>
      </w:r>
      <w:r>
        <w:t xml:space="preserve"> reproduction in captivity; regulation of introduction into the wild; mandatory management of pathways of introduction; or mandatory eradication or control actions. </w:t>
      </w:r>
    </w:p>
    <w:p w14:paraId="5298E17A" w14:textId="7C0D935E" w:rsidR="00017C04" w:rsidRDefault="2F958343" w:rsidP="0B8DB0CC">
      <w:pPr>
        <w:rPr>
          <w:b/>
          <w:bCs/>
        </w:rPr>
      </w:pPr>
      <w:r>
        <w:t xml:space="preserve">As with all significant government-led investments, legislative authority is necessary to engage budgetary expenditure </w:t>
      </w:r>
      <w:r w:rsidR="001B439C" w:rsidRPr="00A9434B">
        <w:fldChar w:fldCharType="begin"/>
      </w:r>
      <w:r w:rsidR="0006613E">
        <w:instrText xml:space="preserve"> ADDIN ZOTERO_ITEM CSL_CITATION {"citationID":"a19qsc8brka","properties":{"formattedCitation":"(V. M. Adams et al., 2018)","plainCitation":"(V. M. Adams et al., 2018)","noteIndex":0},"citationItems":[{"id":24600,"uris":["http://zotero.org/groups/2352922/items/ZED5ZBAA"],"itemData":{"id":24600,"type":"article-journal","abstract":"Invasive alien species are a major driver of global biodiversity loss. Constrained conservation budgets demand that threat abatement strategies take into account the heterogeneity of areas in need of protection, such as signiﬁcant ecological and cultural sites, as well as the competing values, preferences, and objectives of stakeholders. We used strategic foresight to assess the threat that invasive alien grasses pose to environmental and Indigenous cultural values on the ﬂoodplains of a comanaged, World Heritage-inscribed national park. We found strategic foresight to be a useful framework to set management priorities that simultaneously conserve biological and cultural diversity. However, it required the development and application of novel ecological and participatory tools and signiﬁcant time, ﬁnancial, and human resources. This was the ﬁrst study to apply strategic foresight to weed management planning in a realistic, culturally complex setting and our work provides an exemplar for the application of the strategic foresight framework and our tools to other contexts.","container-title":"Conservation Letters","DOI":"10.1111/conl.12441","ISSN":"1755263X","issue":"4","journalAbbreviation":"CONSERVATION LETTERS","language":"en","page":"e12441","source":"DOI.org (Crossref)","title":"Conserving biodiversity and Indigenous bush tucker: Practical application of the strategic foresight framework to invasive alien species management planning","title-short":"Conserving biodiversity and Indigenous bush tucker","URL":"http://doi.wiley.com/10.1111/conl.12441","volume":"11","author":[{"family":"Adams","given":"Vanessa M."},{"family":"Douglas","given":"Michael M."},{"family":"Jackson","given":"Sue E."},{"family":"Scheepers","given":"Kelly"},{"family":"Kool","given":"Johnathan T."},{"family":"Setterfield","given":"Samantha A."}],"accessed":{"date-parts":[["2021",2,24]]},"issued":{"date-parts":[["2018",7]]}},"label":"page"}],"schema":"https://github.com/citation-style-language/schema/raw/master/csl-citation.json"} </w:instrText>
      </w:r>
      <w:r w:rsidR="001B439C" w:rsidRPr="00A9434B">
        <w:fldChar w:fldCharType="separate"/>
      </w:r>
      <w:r w:rsidR="00C71E80" w:rsidRPr="00A9434B">
        <w:t>(V. M. Adams et al., 2018)</w:t>
      </w:r>
      <w:r w:rsidR="001B439C" w:rsidRPr="00A9434B">
        <w:fldChar w:fldCharType="end"/>
      </w:r>
      <w:r w:rsidR="001B439C" w:rsidRPr="00A9434B">
        <w:t xml:space="preserve">. </w:t>
      </w:r>
      <w:r w:rsidR="651A92C8" w:rsidRPr="00A9434B">
        <w:t>Q</w:t>
      </w:r>
      <w:r w:rsidR="743B85C3" w:rsidRPr="00A9434B">
        <w:t xml:space="preserve">uarantine, biosecurity, environmental protection or marine protection acts of government </w:t>
      </w:r>
      <w:r w:rsidR="651A92C8" w:rsidRPr="00A9434B">
        <w:t>can form the legislat</w:t>
      </w:r>
      <w:r w:rsidR="004572DE">
        <w:t>ive</w:t>
      </w:r>
      <w:r w:rsidR="651A92C8" w:rsidRPr="00A9434B">
        <w:t xml:space="preserve"> basis for spending</w:t>
      </w:r>
      <w:r w:rsidR="743B85C3" w:rsidRPr="00A9434B">
        <w:t xml:space="preserve"> </w:t>
      </w:r>
      <w:r w:rsidR="001B439C" w:rsidRPr="00A9434B">
        <w:fldChar w:fldCharType="begin"/>
      </w:r>
      <w:r w:rsidR="0006613E">
        <w:instrText xml:space="preserve"> ADDIN ZOTERO_ITEM CSL_CITATION {"citationID":"a6ili1g1eb","properties":{"formattedCitation":"(Genovesi et al., 2015; Py\\uc0\\u353{}ek et al., 2020)","plainCitation":"(Genovesi et al., 2015; Pyšek et al., 2020)","noteIndex":0},"citationItems":[{"id":32789,"uris":["http://zotero.org/groups/2352922/items/KXKXC8EH"],"itemData":{"id":32789,"type":"article-journal","container-title":"Biological Invasions","DOI":"10.1007/s10530-014-0817-8","ISSN":"1387-3547, 1573-1464","issue":"5","journalAbbreviation":"Biol Invasions","language":"en","page":"1307-1311","source":"DOI.org (Crossref)","title":"EU adopts innovative legislation on invasive species: a step towards a global response to biological invasions?","title-short":"EU adopts innovative legislation on invasive species","URL":"http://link.springer.com/10.1007/s10530-014-0817-8","volume":"17","author":[{"family":"Genovesi","given":"Piero"},{"family":"Carboneras","given":"Carles"},{"family":"Vilà","given":"Montserrat"},{"family":"Walton","given":"Paul"}],"accessed":{"date-parts":[["2021",12,7]]},"issued":{"date-parts":[["2015",5]]}},"label":"page"},{"id":27287,"uris":["http://zotero.org/groups/2352922/items/2GRZX84G"],"itemData":{"id":27287,"type":"chapter","container-title":"Global Plant Invasions","event-place":"Cham","note":"DOI: 10.1007/978-3-030-89684-3_7","page":"151-165","publisher":"Springer","publisher-place":"Cham","title":"European plant invasions","author":[{"family":"Pyšek","given":"Petr"},{"family":"Pergl","given":"J"},{"family":"Dawson","given":"W"},{"family":"Essl","given":"F"},{"family":"Kreft","given":"H"},{"family":"Weigelt","given":"P"},{"family":"Winter","given":"M"},{"family":"Kleunen","given":"M","non-dropping-particle":"van"}],"editor":[{"family":"Clements","given":"D R"},{"family":"Upadhyaya","given":"M K"},{"family":"Joshi","given":"S"},{"family":"Shrestha","given":"A"}],"issued":{"date-parts":[["2020"]]}},"label":"page"}],"schema":"https://github.com/citation-style-language/schema/raw/master/csl-citation.json"} </w:instrText>
      </w:r>
      <w:r w:rsidR="001B439C" w:rsidRPr="00A9434B">
        <w:fldChar w:fldCharType="separate"/>
      </w:r>
      <w:r w:rsidR="00C71E80" w:rsidRPr="00A9434B">
        <w:t>(Genovesi et al., 2015; Pyšek et al., 2020)</w:t>
      </w:r>
      <w:r w:rsidR="001B439C" w:rsidRPr="00A9434B">
        <w:fldChar w:fldCharType="end"/>
      </w:r>
      <w:r w:rsidR="743B85C3" w:rsidRPr="00A9434B">
        <w:t>. Once legislative authority is in place then national invasive alien species strategies and management plans can be developed and implemented through</w:t>
      </w:r>
      <w:r w:rsidR="00CF6DBB" w:rsidRPr="00A9434B">
        <w:t xml:space="preserve"> </w:t>
      </w:r>
      <w:r w:rsidR="743B85C3" w:rsidRPr="00A9434B">
        <w:t>collective decision</w:t>
      </w:r>
      <w:r w:rsidR="00941B41">
        <w:t>-</w:t>
      </w:r>
      <w:r w:rsidR="743B85C3" w:rsidRPr="00A9434B">
        <w:t xml:space="preserve">making and a co-investment process following </w:t>
      </w:r>
      <w:r w:rsidR="651A92C8" w:rsidRPr="00A9434B">
        <w:t>(</w:t>
      </w:r>
      <w:r w:rsidR="743B85C3" w:rsidRPr="00A9434B">
        <w:t>as far as possible</w:t>
      </w:r>
      <w:r w:rsidR="651A92C8" w:rsidRPr="00A9434B">
        <w:t>)</w:t>
      </w:r>
      <w:r w:rsidR="743B85C3" w:rsidRPr="00A9434B">
        <w:t xml:space="preserve"> best practice</w:t>
      </w:r>
      <w:r w:rsidR="651A92C8" w:rsidRPr="00A9434B">
        <w:t>s</w:t>
      </w:r>
      <w:r w:rsidR="743B85C3" w:rsidRPr="00A9434B">
        <w:t xml:space="preserve"> (e.g</w:t>
      </w:r>
      <w:r w:rsidR="743B85C3" w:rsidRPr="00215172">
        <w:t>.</w:t>
      </w:r>
      <w:r w:rsidR="1C6D577B" w:rsidRPr="00215172">
        <w:t>,</w:t>
      </w:r>
      <w:r w:rsidR="743B85C3" w:rsidRPr="00215172">
        <w:t xml:space="preserve"> </w:t>
      </w:r>
      <w:r w:rsidR="00555E32" w:rsidRPr="00215172">
        <w:fldChar w:fldCharType="begin"/>
      </w:r>
      <w:r w:rsidR="0006613E">
        <w:instrText xml:space="preserve"> ADDIN ZOTERO_ITEM CSL_CITATION {"citationID":"a2gs2hje4qu","properties":{"formattedCitation":"\\uldash{(Victorian Government, 2010)}","plainCitation":"(Victorian Government, 2010)","dontUpdate":true,"noteIndex":0},"citationItems":[{"id":30077,"uris":["http://zotero.org/groups/2352922/items/U88ZUQW8"],"itemData":{"id":30077,"type":"book","event-place":"Melbourne","ISBN":"978-1-74217-878-3","language":"en","note":"OCLC: 639983779","publisher":"Dept. of Primary Industries","publisher-place":"Melbourne","source":"Open WorldCat","title":"Invasive plants and animals: policy framework","title-short":"Invasive plants and animals","URL":"https://agriculture.vic.gov.au/__data/assets/pdf_file/0009/582255/Invasive-Plants-and-Animals-Policy-Framework-IPAPF.pdf","author":[{"literal":"Victorian Government"}],"issued":{"date-parts":[["2010"]]}},"label":"page"}],"schema":"https://github.com/citation-style-language/schema/raw/master/csl-citation.json"} </w:instrText>
      </w:r>
      <w:r w:rsidR="00555E32" w:rsidRPr="00215172">
        <w:fldChar w:fldCharType="separate"/>
      </w:r>
      <w:r w:rsidR="00555E32" w:rsidRPr="00215172">
        <w:t>Victorian Government, 2010)</w:t>
      </w:r>
      <w:r w:rsidR="00555E32" w:rsidRPr="00215172">
        <w:fldChar w:fldCharType="end"/>
      </w:r>
      <w:r w:rsidR="743B85C3" w:rsidRPr="00215172">
        <w:t xml:space="preserve">. </w:t>
      </w:r>
      <w:r w:rsidR="00801BB3">
        <w:t>National scale benefits from management of biological invasions</w:t>
      </w:r>
      <w:r w:rsidR="7D3F09CD">
        <w:t xml:space="preserve"> </w:t>
      </w:r>
      <w:r>
        <w:t>cannot happen without this legislative authority empowering a government led response.</w:t>
      </w:r>
    </w:p>
    <w:p w14:paraId="4E0EF99C" w14:textId="77777777" w:rsidR="00017C04" w:rsidRDefault="00F50AF9" w:rsidP="00C12647">
      <w:pPr>
        <w:pStyle w:val="Heading3"/>
        <w:ind w:left="720"/>
      </w:pPr>
      <w:bookmarkStart w:id="321" w:name="_heading=h.40ew0vw" w:colFirst="0" w:colLast="0"/>
      <w:bookmarkStart w:id="322" w:name="_Toc1015913554"/>
      <w:bookmarkStart w:id="323" w:name="_Toc133428316"/>
      <w:bookmarkEnd w:id="321"/>
      <w:r>
        <w:t>National invasive alien species strategies that identify the full suite of policy and management needs and priorities.</w:t>
      </w:r>
      <w:bookmarkEnd w:id="322"/>
      <w:bookmarkEnd w:id="323"/>
    </w:p>
    <w:p w14:paraId="2F8AABEA" w14:textId="2BC520A8" w:rsidR="00017C04" w:rsidRDefault="2F958343" w:rsidP="56C59A3A">
      <w:r>
        <w:t>Except for some provisions under the Sanitary and Phytosanitary Agreement, most governments have done relatively little to establish policies and programmes intended to limit the movement of invasive alien species (</w:t>
      </w:r>
      <w:r w:rsidRPr="0B8DB0CC">
        <w:rPr>
          <w:b/>
          <w:bCs/>
        </w:rPr>
        <w:t>section 6.1.3</w:t>
      </w:r>
      <w:r>
        <w:t xml:space="preserve">; </w:t>
      </w:r>
      <w:r w:rsidR="00555E32" w:rsidRPr="00215172">
        <w:fldChar w:fldCharType="begin"/>
      </w:r>
      <w:r w:rsidR="002D2756">
        <w:instrText xml:space="preserve"> ADDIN ZOTERO_ITEM CSL_CITATION {"citationID":"a52up9m4ma","properties":{"formattedCitation":"\\uldash{(Early et al., 2016; Pagad et al., 2020; Turbelin et al., 2017)}","plainCitation":"(Early et al., 2016; Pagad et al., 2020; Turbelin et al., 2017)","dontUpdate":true,"noteIndex":0},"citationItems":[{"id":31649,"uris":["http://zotero.org/groups/2352922/items/XMNL6YLF"],"itemData":{"id":31649,"type":"article-journal","abstract":"Invasive alien species (IAS) threaten human livelihoods and biodiversity globally. Increasing globalization facilitates IAS arrival, and environmental changes, including climate change, facilitate IAS establishment. Here we provide the first global, spatial analysis of the terrestrial threat from IAS in light of twenty-first century globalization and environmental change, and evaluate national capacities to prevent and manage species invasions. We find that one-sixth of the global land surface is highly vulnerable to invasion, including substantial areas in developing economies and biodiversity hotspots. The dominant invasion vectors differ between high-income countries (imports, particularly of plants and pets) and low-income countries (air travel). Uniting data on the causes of introduction and establishment can improve early-warning and eradication schemes. Most countries have limited capacity to act against invasions. In particular, we reveal a clear need for proactive invasion strategies in areas with high poverty levels, high biodiversity and low historical levels of invasion.","container-title":"Nature Communications","DOI":"10.1038/ncomms12485","ISSN":"2041-1723","issue":"1","journalAbbreviation":"Nat Commun","language":"en","page":"12485","source":"DOI.org (Crossref)","title":"Global threats from invasive alien species in the twenty-first century and national response capacities","URL":"http://www.nature.com/articles/ncomms12485","volume":"7","author":[{"family":"Early","given":"Regan"},{"family":"Bradley","given":"Bethany A."},{"family":"Dukes","given":"Jeffrey S."},{"family":"Lawler","given":"Joshua J."},{"family":"Olden","given":"Julian D."},{"family":"Blumenthal","given":"Dana M."},{"family":"Gonzalez","given":"Patrick"},{"family":"Grosholz","given":"Edwin D."},{"family":"Ibañez","given":"Ines"},{"family":"Miller","given":"Luke P."},{"family":"Sorte","given":"Cascade J. B."},{"family":"Tatem","given":"Andrew J."}],"issued":{"date-parts":[["2016",8]]}},"label":"page"},{"id":30289,"uris":["http://zotero.org/groups/2352922/items/C44T2ZZP"],"itemData":{"id":30289,"type":"report","abstract":"Report that formed the input to the BIP Factsheet","license":"Creative Commons Attribution 4.0 International","note":"dimensions: 3420679 Bytes\nDOI: 10.26181/5F7EA2D538147","page":"3420679 Bytes","publisher":"La Trobe","source":"DOI.org (Datacite)","title":"International Adoption of Invasive Alien Species Policy","URL":"https://opal.latrobe.edu.au/articles/report/International_Adoption_of_Invasive_Alien_Species_Policy/13065158","author":[{"family":"Pagad","given":"Shyama"},{"family":"Affleck","given":"Saxbee"},{"family":"McGeoch","given":"Melodie A."}],"accessed":{"date-parts":[["2021",8,25]]},"issued":{"date-parts":[["2020"]]}},"label":"page"},{"id":54813,"uris":["http://zotero.org/groups/2352922/items/82VQQQD2","http://zotero.org/groups/2352922/items/9PPYYPNE","http://zotero.org/groups/2352922/items/3RRFJITZ","http://zotero.org/groups/2352922/items/UJJ4ZERC"],"itemData":{"id":54813,"type":"article-journal","container-title":"Global Ecology and Biogeography","DOI":"10.1111/geb.12517","ISSN":"1466822X","issue":"1","journalAbbreviation":"Global Ecol. Biogeogr.","language":"en","page":"78-92","source":"DOI.org (Crossref)","title":"Mapping the global state of invasive alien species: patterns of invasion and policy responses: Mapping the global state of invasive alien species","title-short":"Mapping the global state of invasive alien species","URL":"https://onlinelibrary.wiley.com/doi/10.1111/geb.12517","volume":"26","author":[{"family":"Turbelin","given":"Anna J."},{"family":"Malamud","given":"Bruce D."},{"family":"Francis","given":"Robert A."}],"accessed":{"date-parts":[["2023",3,28]]},"issued":{"date-parts":[["2017",1]]}},"label":"page"}],"schema":"https://github.com/citation-style-language/schema/raw/master/csl-citation.json"} </w:instrText>
      </w:r>
      <w:r w:rsidR="00555E32" w:rsidRPr="00215172">
        <w:fldChar w:fldCharType="separate"/>
      </w:r>
      <w:r w:rsidR="00555E32" w:rsidRPr="00215172">
        <w:t>Early et al., 2016; Pagad et al., 2020; Turbelin et al., 2017)</w:t>
      </w:r>
      <w:r w:rsidR="00555E32" w:rsidRPr="00215172">
        <w:fldChar w:fldCharType="end"/>
      </w:r>
      <w:r w:rsidR="00315B37" w:rsidRPr="00215172">
        <w:t>.</w:t>
      </w:r>
      <w:r>
        <w:t xml:space="preserve"> Specifically, relatively few countries have invested in a comprehensive </w:t>
      </w:r>
      <w:r w:rsidR="009011F3">
        <w:t>“</w:t>
      </w:r>
      <w:r>
        <w:t>biosecurity</w:t>
      </w:r>
      <w:r w:rsidR="009011F3">
        <w:t>”</w:t>
      </w:r>
      <w:r>
        <w:t xml:space="preserve"> approach or coordinated policies and programmes across relevant sectors for the management of </w:t>
      </w:r>
      <w:r w:rsidR="029C8410">
        <w:t xml:space="preserve">biological invasions </w:t>
      </w:r>
      <w:r>
        <w:t>(</w:t>
      </w:r>
      <w:r w:rsidRPr="0B8DB0CC">
        <w:rPr>
          <w:b/>
          <w:bCs/>
        </w:rPr>
        <w:t>section 6.3.1</w:t>
      </w:r>
      <w:r>
        <w:t xml:space="preserve">). One of the most effective and comprehensive approaches that governments can implement to minimize the spread and impact of invasive alien species is the development of national strategies and associated action plans, such as National Invasive Species Strategies and Action Plans (NISSAPs). Strategies for preventing and controlling </w:t>
      </w:r>
      <w:r w:rsidR="0BC556DB">
        <w:t xml:space="preserve">invasive alien species </w:t>
      </w:r>
      <w:r>
        <w:t xml:space="preserve">can also be incorporated into NBSAPs to ensure policy connections and coherence. NBSAPs could also be used to enhance the coordination between other sectors, as suggested in </w:t>
      </w:r>
      <w:r w:rsidRPr="0B8DB0CC">
        <w:rPr>
          <w:b/>
          <w:bCs/>
        </w:rPr>
        <w:t>section 6.3.1.1</w:t>
      </w:r>
      <w:r>
        <w:t xml:space="preserve">, via a national office as has been the case for the Great Britain Invasive </w:t>
      </w:r>
      <w:r w:rsidR="6A359783">
        <w:t xml:space="preserve">Non-Native </w:t>
      </w:r>
      <w:r>
        <w:t xml:space="preserve">Species Strategy </w:t>
      </w:r>
      <w:r w:rsidR="00F806B6" w:rsidRPr="00A9434B">
        <w:t>(</w:t>
      </w:r>
      <w:r w:rsidR="00315B37" w:rsidRPr="00673554">
        <w:rPr>
          <w:b/>
          <w:iCs/>
        </w:rPr>
        <w:fldChar w:fldCharType="begin"/>
      </w:r>
      <w:r w:rsidR="00315B37" w:rsidRPr="00673554">
        <w:rPr>
          <w:b/>
          <w:iCs/>
        </w:rPr>
        <w:instrText xml:space="preserve"> REF _Ref104898527 \h  \* MERGEFORMAT </w:instrText>
      </w:r>
      <w:r w:rsidR="00315B37" w:rsidRPr="00673554">
        <w:rPr>
          <w:b/>
          <w:iCs/>
        </w:rPr>
      </w:r>
      <w:r w:rsidR="00315B37" w:rsidRPr="00673554">
        <w:rPr>
          <w:b/>
          <w:iCs/>
        </w:rPr>
        <w:fldChar w:fldCharType="separate"/>
      </w:r>
      <w:r w:rsidR="0011368C" w:rsidRPr="00673554">
        <w:rPr>
          <w:b/>
          <w:iCs/>
        </w:rPr>
        <w:t>Box 6.11</w:t>
      </w:r>
      <w:r w:rsidR="00315B37" w:rsidRPr="00673554">
        <w:rPr>
          <w:b/>
          <w:iCs/>
        </w:rPr>
        <w:fldChar w:fldCharType="end"/>
      </w:r>
      <w:r w:rsidR="00315B37" w:rsidRPr="00A9434B">
        <w:t>).</w:t>
      </w:r>
      <w:r>
        <w:t xml:space="preserve"> </w:t>
      </w:r>
    </w:p>
    <w:p w14:paraId="75F20C77" w14:textId="77777777" w:rsidR="00017C04" w:rsidRDefault="00F50AF9">
      <w:pPr>
        <w:spacing w:after="0"/>
      </w:pPr>
      <w:r>
        <w:t>Following the recommendations and considerations included in multiple CBD decisions, strategy and action plans could:</w:t>
      </w:r>
    </w:p>
    <w:p w14:paraId="61D536FA" w14:textId="77777777" w:rsidR="00017C04" w:rsidRDefault="00F50AF9" w:rsidP="00801BB3">
      <w:pPr>
        <w:pStyle w:val="ListParagraph"/>
        <w:numPr>
          <w:ilvl w:val="0"/>
          <w:numId w:val="74"/>
        </w:numPr>
        <w:spacing w:before="0"/>
      </w:pPr>
      <w:r w:rsidRPr="00801BB3">
        <w:t>Define clear and measurable national targets (CBD decision X/2 paragraphs 3(b) and (c)).</w:t>
      </w:r>
    </w:p>
    <w:p w14:paraId="4BAAF780" w14:textId="2A0C1E44" w:rsidR="00017C04" w:rsidRDefault="00F50AF9" w:rsidP="00801BB3">
      <w:pPr>
        <w:pStyle w:val="ListParagraph"/>
        <w:numPr>
          <w:ilvl w:val="0"/>
          <w:numId w:val="74"/>
        </w:numPr>
      </w:pPr>
      <w:r w:rsidRPr="00801BB3">
        <w:t>Mainstream biodiversity, communication, monitoring</w:t>
      </w:r>
      <w:r w:rsidR="005D0083">
        <w:t xml:space="preserve"> and</w:t>
      </w:r>
      <w:r w:rsidRPr="00801BB3">
        <w:t xml:space="preserve"> reporting (CBD decisions X/2 paragraphs 3(d) and (f); XI/8 paragraph 4) into broader environmental, economic</w:t>
      </w:r>
      <w:r w:rsidR="005D0083">
        <w:t xml:space="preserve"> and</w:t>
      </w:r>
      <w:r w:rsidRPr="00801BB3">
        <w:t xml:space="preserve"> social national and local plans (CBD decisions X/2 paragraph 3(d), X/33 paragraph 8(k)).</w:t>
      </w:r>
    </w:p>
    <w:p w14:paraId="78E5CBCE" w14:textId="77777777" w:rsidR="00017C04" w:rsidRDefault="00F50AF9" w:rsidP="00801BB3">
      <w:pPr>
        <w:pStyle w:val="ListParagraph"/>
        <w:numPr>
          <w:ilvl w:val="0"/>
          <w:numId w:val="74"/>
        </w:numPr>
      </w:pPr>
      <w:r w:rsidRPr="00801BB3">
        <w:t>Define funding needs (CBD decisions X/31 paragraph 11 and XI/ paragraph 17).</w:t>
      </w:r>
    </w:p>
    <w:p w14:paraId="22C883AA" w14:textId="77777777" w:rsidR="00017C04" w:rsidRDefault="00F50AF9" w:rsidP="00801BB3">
      <w:pPr>
        <w:pStyle w:val="ListParagraph"/>
        <w:numPr>
          <w:ilvl w:val="0"/>
          <w:numId w:val="74"/>
        </w:numPr>
      </w:pPr>
      <w:r w:rsidRPr="00801BB3">
        <w:t>Have a clear mechanism for providing financial resources (CBD decisions X/26 paragraph 3 and XI/ paragraph 17, 25) and ensuring resource mobilization (CBD decision X/3 paragraph 2).</w:t>
      </w:r>
    </w:p>
    <w:p w14:paraId="016FE4E8" w14:textId="77777777" w:rsidR="00017C04" w:rsidRDefault="00F50AF9" w:rsidP="00801BB3">
      <w:pPr>
        <w:pStyle w:val="ListParagraph"/>
        <w:numPr>
          <w:ilvl w:val="0"/>
          <w:numId w:val="74"/>
        </w:numPr>
      </w:pPr>
      <w:r w:rsidRPr="00801BB3">
        <w:t>Promote cooperation with other multilateral environmental agreements (CBD decisions X/5 paragraph 3 and XI/6 paragraphs 10 and 11), particularly those focused on addressing climate change (X/33 paragraph 8(k) and XI/19 paragraph 7(a)).</w:t>
      </w:r>
    </w:p>
    <w:p w14:paraId="3CAD4B15" w14:textId="77777777" w:rsidR="00017C04" w:rsidRDefault="00F50AF9" w:rsidP="00801BB3">
      <w:pPr>
        <w:pStyle w:val="ListParagraph"/>
        <w:numPr>
          <w:ilvl w:val="0"/>
          <w:numId w:val="74"/>
        </w:numPr>
      </w:pPr>
      <w:r w:rsidRPr="00801BB3">
        <w:lastRenderedPageBreak/>
        <w:t>Have specific considerations for protected areas (CBD decisions X/31 paragraphs 1(c), 11, 26 and XI/2 paragraph 1(a)).</w:t>
      </w:r>
    </w:p>
    <w:p w14:paraId="5F264450" w14:textId="2DF1E0BC" w:rsidR="00017C04" w:rsidRDefault="00F50AF9" w:rsidP="00801BB3">
      <w:pPr>
        <w:pStyle w:val="ListParagraph"/>
        <w:numPr>
          <w:ilvl w:val="0"/>
          <w:numId w:val="74"/>
        </w:numPr>
      </w:pPr>
      <w:r w:rsidRPr="00801BB3">
        <w:t>Have specific considerations for different ecosystems such as marine/coastal (CBD decision X/29 paragraphs 7, 18, 67), islands (CBD decision X/15 paragraph 4(b)), mountains (CBD decision X/30 paragraphs 4, 8)</w:t>
      </w:r>
      <w:r w:rsidR="005D0083">
        <w:t xml:space="preserve"> and</w:t>
      </w:r>
      <w:r w:rsidRPr="00801BB3">
        <w:t xml:space="preserve"> dry and sub-humid lands (CBD decision X/35 paragraph 2(g)).</w:t>
      </w:r>
    </w:p>
    <w:p w14:paraId="5A1794A4" w14:textId="33475175" w:rsidR="00017C04" w:rsidRDefault="00F50AF9" w:rsidP="00801BB3">
      <w:pPr>
        <w:pStyle w:val="ListParagraph"/>
        <w:numPr>
          <w:ilvl w:val="0"/>
          <w:numId w:val="74"/>
        </w:numPr>
      </w:pPr>
      <w:r w:rsidRPr="00801BB3">
        <w:t>Broadly consider the value of nature by engaging multiple sectors (CBD decisions X/32 paragraph 2(g)</w:t>
      </w:r>
      <w:r w:rsidR="005D0083">
        <w:t xml:space="preserve"> and</w:t>
      </w:r>
      <w:r w:rsidRPr="00801BB3">
        <w:t xml:space="preserve"> X/44 paragraph 6).</w:t>
      </w:r>
    </w:p>
    <w:p w14:paraId="55AE40C7" w14:textId="77777777" w:rsidR="00017C04" w:rsidRDefault="00F50AF9" w:rsidP="00801BB3">
      <w:pPr>
        <w:pStyle w:val="ListParagraph"/>
        <w:numPr>
          <w:ilvl w:val="0"/>
          <w:numId w:val="74"/>
        </w:numPr>
      </w:pPr>
      <w:r w:rsidRPr="00801BB3">
        <w:t>Provide positive incentives (direct or indirect) that encourage achievement of biodiversity-friendly outcomes or support activities that promote the conservation and sustainable use of biodiversity (CBD decisions X/44 paragraph 6 and XI/30 paragraphs 3, 6, 7, 9).</w:t>
      </w:r>
    </w:p>
    <w:p w14:paraId="18F7ED09" w14:textId="4A73D3F6" w:rsidR="00017C04" w:rsidRDefault="00F50AF9" w:rsidP="00801BB3">
      <w:pPr>
        <w:pStyle w:val="ListParagraph"/>
        <w:numPr>
          <w:ilvl w:val="0"/>
          <w:numId w:val="74"/>
        </w:numPr>
      </w:pPr>
      <w:r w:rsidRPr="00801BB3">
        <w:t>Consider gender dimensions (CBD decisions X/19 paragraph 5 and XI/9 paragraph 7), Children and youth</w:t>
      </w:r>
      <w:r w:rsidR="009011F3">
        <w:t xml:space="preserve"> </w:t>
      </w:r>
      <w:r w:rsidRPr="00801BB3">
        <w:t>(CBD decision XI/8 B paragraph 1).</w:t>
      </w:r>
    </w:p>
    <w:p w14:paraId="7A4D2478" w14:textId="77777777" w:rsidR="00017C04" w:rsidRDefault="00F50AF9" w:rsidP="00801BB3">
      <w:pPr>
        <w:pStyle w:val="ListParagraph"/>
        <w:numPr>
          <w:ilvl w:val="0"/>
          <w:numId w:val="74"/>
        </w:numPr>
      </w:pPr>
      <w:r w:rsidRPr="00801BB3">
        <w:t>Involve civil society (CBD decisions XI/8 C paragraph 1) and Indigenous and local communities (CBD decisions XI/14 B paragraph 17).</w:t>
      </w:r>
    </w:p>
    <w:p w14:paraId="7C7D0441" w14:textId="4E7E6B88" w:rsidR="00017C04" w:rsidRPr="00C12647" w:rsidRDefault="2F958343" w:rsidP="00801BB3">
      <w:pPr>
        <w:pStyle w:val="Caption"/>
        <w:pBdr>
          <w:top w:val="single" w:sz="4" w:space="1" w:color="auto"/>
          <w:left w:val="single" w:sz="4" w:space="4" w:color="auto"/>
          <w:bottom w:val="single" w:sz="4" w:space="1" w:color="auto"/>
          <w:right w:val="single" w:sz="4" w:space="4" w:color="auto"/>
        </w:pBdr>
        <w:shd w:val="clear" w:color="auto" w:fill="E7E6E6" w:themeFill="background2"/>
        <w:rPr>
          <w:color w:val="000000"/>
        </w:rPr>
      </w:pPr>
      <w:bookmarkStart w:id="324" w:name="_heading=h.2fk6b3p"/>
      <w:bookmarkStart w:id="325" w:name="_Ref104898527"/>
      <w:bookmarkStart w:id="326" w:name="_Toc80780378"/>
      <w:bookmarkStart w:id="327" w:name="_Toc147418620"/>
      <w:bookmarkEnd w:id="324"/>
      <w:r w:rsidRPr="00801BB3">
        <w:t>Box 6</w:t>
      </w:r>
      <w:r w:rsidR="00315B37" w:rsidRPr="00A9434B">
        <w:t>.</w:t>
      </w:r>
      <w:r w:rsidR="007C7AC3">
        <w:fldChar w:fldCharType="begin"/>
      </w:r>
      <w:r w:rsidR="007C7AC3">
        <w:instrText xml:space="preserve"> SEQ Box</w:instrText>
      </w:r>
      <w:r w:rsidR="007C7AC3">
        <w:instrText xml:space="preserve">_6. \* ARABIC </w:instrText>
      </w:r>
      <w:r w:rsidR="007C7AC3">
        <w:fldChar w:fldCharType="separate"/>
      </w:r>
      <w:r w:rsidR="0011368C">
        <w:rPr>
          <w:noProof/>
        </w:rPr>
        <w:t>11</w:t>
      </w:r>
      <w:r w:rsidR="007C7AC3">
        <w:rPr>
          <w:noProof/>
        </w:rPr>
        <w:fldChar w:fldCharType="end"/>
      </w:r>
      <w:bookmarkEnd w:id="325"/>
      <w:r w:rsidR="00E36BDC" w:rsidRPr="00A9434B">
        <w:t>.</w:t>
      </w:r>
      <w:r w:rsidRPr="00801BB3">
        <w:t xml:space="preserve"> Coordinating action against invasive alien species in Great Britain: </w:t>
      </w:r>
      <w:r w:rsidRPr="00C12647">
        <w:rPr>
          <w:color w:val="000000" w:themeColor="text1"/>
        </w:rPr>
        <w:t>Great Britain Invasive Species Strategy and integration with plant and animal health</w:t>
      </w:r>
      <w:bookmarkEnd w:id="326"/>
      <w:bookmarkEnd w:id="327"/>
    </w:p>
    <w:p w14:paraId="63192AC5" w14:textId="2267B240" w:rsidR="00017C04" w:rsidRDefault="00315B37" w:rsidP="00801BB3">
      <w:pPr>
        <w:pBdr>
          <w:top w:val="single" w:sz="4" w:space="1" w:color="auto"/>
          <w:left w:val="single" w:sz="4" w:space="4" w:color="auto"/>
          <w:bottom w:val="single" w:sz="4" w:space="1" w:color="auto"/>
          <w:right w:val="single" w:sz="4" w:space="4" w:color="auto"/>
        </w:pBdr>
        <w:shd w:val="clear" w:color="auto" w:fill="E7E6E6" w:themeFill="background2"/>
      </w:pPr>
      <w:r w:rsidRPr="00A9434B">
        <w:t>The Great Britain Invasive Non-native Species Strategy</w:t>
      </w:r>
      <w:r w:rsidRPr="00A9434B">
        <w:rPr>
          <w:rStyle w:val="FootnoteReference"/>
        </w:rPr>
        <w:t xml:space="preserve"> </w:t>
      </w:r>
      <w:r w:rsidR="00555E32" w:rsidRPr="00A9434B">
        <w:fldChar w:fldCharType="begin"/>
      </w:r>
      <w:r w:rsidR="0006613E">
        <w:instrText xml:space="preserve"> ADDIN ZOTERO_ITEM CSL_CITATION {"citationID":"a2l6d7bmu57","properties":{"formattedCitation":"(Secretariat, Great Britain Non-native Species, 2015)","plainCitation":"(Secretariat, Great Britain Non-native Species, 2015)","noteIndex":0},"citationItems":[{"id":54698,"uris":["http://zotero.org/groups/2352922/items/5KY8IQNF"],"itemData":{"id":54698,"type":"article-journal","language":"en","source":"Zotero","title":"The Great Britain Invasive Non-native Species Strategy","author":[{"literal":"Secretariat, Great Britain Non-native Species"}],"issued":{"date-parts":[["2015"]]}}}],"schema":"https://github.com/citation-style-language/schema/raw/master/csl-citation.json"} </w:instrText>
      </w:r>
      <w:r w:rsidR="00555E32" w:rsidRPr="00A9434B">
        <w:fldChar w:fldCharType="separate"/>
      </w:r>
      <w:r w:rsidR="00C71E80" w:rsidRPr="00A9434B">
        <w:t>(Secretariat, Great Britain Non-native Species, 2015)</w:t>
      </w:r>
      <w:r w:rsidR="00555E32" w:rsidRPr="00A9434B">
        <w:fldChar w:fldCharType="end"/>
      </w:r>
      <w:r w:rsidRPr="00A9434B">
        <w:t xml:space="preserve"> is an example of a National Invasive</w:t>
      </w:r>
      <w:r w:rsidR="00801BB3">
        <w:t xml:space="preserve"> Alien</w:t>
      </w:r>
      <w:r w:rsidRPr="00A9434B">
        <w:t xml:space="preserve"> Species Action Plan.</w:t>
      </w:r>
      <w:r w:rsidR="00F50AF9">
        <w:t xml:space="preserve"> It sets the strategic vision and national objectives for invasive alien species management in Britain and identifies 59 key actions to achieve their delivery. It is a partnership document developed by a combination of government bodies, environmental non-governmental organizations and organizations representing trade and industry.</w:t>
      </w:r>
    </w:p>
    <w:p w14:paraId="578ABCD4" w14:textId="77777777" w:rsidR="00017C04" w:rsidRDefault="00F50AF9" w:rsidP="00801BB3">
      <w:pPr>
        <w:pBdr>
          <w:top w:val="single" w:sz="4" w:space="1" w:color="auto"/>
          <w:left w:val="single" w:sz="4" w:space="4" w:color="auto"/>
          <w:bottom w:val="single" w:sz="4" w:space="1" w:color="auto"/>
          <w:right w:val="single" w:sz="4" w:space="4" w:color="auto"/>
        </w:pBdr>
        <w:shd w:val="clear" w:color="auto" w:fill="E7E6E6" w:themeFill="background2"/>
      </w:pPr>
      <w:r>
        <w:t>The implementation of the Great Britain Strategy is overseen by a Programme Board comprising eleven government departments and delivery bodies. This reflects the wide range of threats posed by invasive alien species. The work of this Board is facilitated by a small secretariat (3.6 staff), which acts as a point of contact for stakeholders, establishes working groups on behalf of the Board to deliver specific actions, coordinates communications activity and runs a risk analysis mechanism.</w:t>
      </w:r>
    </w:p>
    <w:p w14:paraId="007AF520" w14:textId="09B62CF0" w:rsidR="00017C04" w:rsidRDefault="00F50AF9" w:rsidP="00801BB3">
      <w:pPr>
        <w:pBdr>
          <w:top w:val="single" w:sz="4" w:space="1" w:color="auto"/>
          <w:left w:val="single" w:sz="4" w:space="4" w:color="auto"/>
          <w:bottom w:val="single" w:sz="4" w:space="1" w:color="auto"/>
          <w:right w:val="single" w:sz="4" w:space="4" w:color="auto"/>
        </w:pBdr>
        <w:shd w:val="clear" w:color="auto" w:fill="E7E6E6" w:themeFill="background2"/>
      </w:pPr>
      <w:r>
        <w:t>The strategy has been broadly successful and has led, among other things, to the development of an invasive alien species risk analysis mechanism to support the ban on sale of invasive alien species; action plans to tackle key pathways of introduction; two awareness raising campaigns to reduce spread of aquatic organisms and ornamental plants; contingency plans and rapid responses; and a network of local action groups established to help tackle more widespread species (</w:t>
      </w:r>
      <w:r w:rsidR="00947CE1">
        <w:rPr>
          <w:b/>
          <w:iCs/>
        </w:rPr>
        <w:t>G</w:t>
      </w:r>
      <w:r w:rsidR="00FD6CE8" w:rsidRPr="00673554">
        <w:rPr>
          <w:b/>
          <w:iCs/>
        </w:rPr>
        <w:t>lossary</w:t>
      </w:r>
      <w:r>
        <w:t>) in their local area. Examples of success include the eradication of five species from Britain (</w:t>
      </w:r>
      <w:r>
        <w:rPr>
          <w:i/>
        </w:rPr>
        <w:t>Vespa mandarinia</w:t>
      </w:r>
      <w:r>
        <w:t xml:space="preserve"> (northern giant hornet), </w:t>
      </w:r>
      <w:r>
        <w:rPr>
          <w:i/>
        </w:rPr>
        <w:t>Xenopus laevis</w:t>
      </w:r>
      <w:r>
        <w:t xml:space="preserve"> (African clawed frog), </w:t>
      </w:r>
      <w:r>
        <w:rPr>
          <w:i/>
        </w:rPr>
        <w:t>Pimephales promelas</w:t>
      </w:r>
      <w:r>
        <w:t xml:space="preserve"> (fathead minnow), </w:t>
      </w:r>
      <w:r>
        <w:rPr>
          <w:i/>
        </w:rPr>
        <w:t>Ameiurus melas</w:t>
      </w:r>
      <w:r>
        <w:t xml:space="preserve"> (black bullhead), </w:t>
      </w:r>
      <w:r>
        <w:rPr>
          <w:i/>
        </w:rPr>
        <w:t>Lithobates catesbeianus</w:t>
      </w:r>
      <w:r>
        <w:t xml:space="preserve"> (American bullfrog)) and the ongoing eradication campaigns for three others (</w:t>
      </w:r>
      <w:r>
        <w:rPr>
          <w:i/>
        </w:rPr>
        <w:t>Ludwigia grandiflora</w:t>
      </w:r>
      <w:r>
        <w:t xml:space="preserve"> (water primrose), </w:t>
      </w:r>
      <w:r>
        <w:rPr>
          <w:i/>
        </w:rPr>
        <w:t>Myiopsitta monachus</w:t>
      </w:r>
      <w:r>
        <w:t xml:space="preserve"> (monk parakeet) and </w:t>
      </w:r>
      <w:r>
        <w:rPr>
          <w:i/>
        </w:rPr>
        <w:t>Pseudorasbora parva</w:t>
      </w:r>
      <w:r>
        <w:t xml:space="preserve"> (topmouth gudgeon)). Britain has pioneered one of the largest invasive alien bird eradications in the world. In order to protect the indigenous </w:t>
      </w:r>
      <w:r>
        <w:rPr>
          <w:i/>
        </w:rPr>
        <w:t>Oxyura leucocephala</w:t>
      </w:r>
      <w:r>
        <w:t xml:space="preserve"> (white-headed duck), the alien </w:t>
      </w:r>
      <w:r>
        <w:rPr>
          <w:i/>
        </w:rPr>
        <w:t>Oxyura jamaicensis</w:t>
      </w:r>
      <w:r>
        <w:t xml:space="preserve"> (ruddy duck) has been reduced from a peak of over 6,000 individuals in 2001 to a handful of individuals in 2015 </w:t>
      </w:r>
      <w:r w:rsidR="00BE0A92" w:rsidRPr="00A9434B">
        <w:fldChar w:fldCharType="begin"/>
      </w:r>
      <w:r w:rsidR="0006613E">
        <w:instrText xml:space="preserve"> ADDIN ZOTERO_ITEM CSL_CITATION {"citationID":"a1d0lnnaukt","properties":{"formattedCitation":"(Handerson, 2009; Secretariat, Great Britain Non-native Species, 2015)","plainCitation":"(Handerson, 2009; Secretariat, Great Britain Non-native Species, 2015)","noteIndex":0},"citationItems":[{"id":54700,"uris":["http://zotero.org/groups/2352922/items/9WKIS2VR"],"itemData":{"id":54700,"type":"article-journal","container-title":"British Birds","issue":"12","language":"en","page":"680–⁠690","title":"Progress of the UK Ruddy Duck eradication programme","URL":"https://britishbirds.co.uk/content/progress-uk-ruddy-duck-eradication-programme-0","volume":"102","author":[{"family":"Handerson","given":"Iain"}],"accessed":{"date-parts":[["2023",3,7]]},"issued":{"date-parts":[["2009",12,1]]}},"label":"page"},{"id":54698,"uris":["http://zotero.org/groups/2352922/items/5KY8IQNF"],"itemData":{"id":54698,"type":"article-journal","language":"en","source":"Zotero","title":"The Great Britain Invasive Non-native Species Strategy","author":[{"literal":"Secretariat, Great Britain Non-native Species"}],"issued":{"date-parts":[["2015"]]}},"label":"page"}],"schema":"https://github.com/citation-style-language/schema/raw/master/csl-citation.json"} </w:instrText>
      </w:r>
      <w:r w:rsidR="00BE0A92" w:rsidRPr="00A9434B">
        <w:fldChar w:fldCharType="separate"/>
      </w:r>
      <w:r w:rsidR="00C71E80" w:rsidRPr="00A9434B">
        <w:t>(Handerson, 2009; Secretariat, Great Britain Non-native Species, 2015)</w:t>
      </w:r>
      <w:r w:rsidR="00BE0A92" w:rsidRPr="00A9434B">
        <w:fldChar w:fldCharType="end"/>
      </w:r>
      <w:r w:rsidR="00BE0A92" w:rsidRPr="00A9434B">
        <w:t>.</w:t>
      </w:r>
    </w:p>
    <w:p w14:paraId="081A7384" w14:textId="6DF72F65" w:rsidR="00017C04" w:rsidRDefault="00F50AF9" w:rsidP="00801BB3">
      <w:pPr>
        <w:pBdr>
          <w:top w:val="single" w:sz="4" w:space="1" w:color="auto"/>
          <w:left w:val="single" w:sz="4" w:space="4" w:color="auto"/>
          <w:bottom w:val="single" w:sz="4" w:space="1" w:color="auto"/>
          <w:right w:val="single" w:sz="4" w:space="4" w:color="auto"/>
        </w:pBdr>
        <w:shd w:val="clear" w:color="auto" w:fill="E7E6E6" w:themeFill="background2"/>
      </w:pPr>
      <w:r>
        <w:t>However, despite these notable successes, overall indicators show the strategy is having little impact on the total numbers of invasive alien species establishing and spreading in Britain. There are about 2,000 alien species established in the U</w:t>
      </w:r>
      <w:r w:rsidR="009011F3">
        <w:t xml:space="preserve">nited </w:t>
      </w:r>
      <w:r>
        <w:t>K</w:t>
      </w:r>
      <w:r w:rsidR="009011F3">
        <w:t>ingdom</w:t>
      </w:r>
      <w:r>
        <w:t xml:space="preserve">, 10-15 per cent of which are </w:t>
      </w:r>
      <w:r>
        <w:lastRenderedPageBreak/>
        <w:t xml:space="preserve">invasive. Despite the Great Britain Strategy this number is increasing by approximately 10-12 new species per annum. An independent parliamentary enquiry </w:t>
      </w:r>
      <w:r w:rsidR="00315B37" w:rsidRPr="00A9434B">
        <w:fldChar w:fldCharType="begin"/>
      </w:r>
      <w:r w:rsidR="0006613E">
        <w:instrText xml:space="preserve"> ADDIN ZOTERO_ITEM CSL_CITATION {"citationID":"a1qj9ccte31","properties":{"formattedCitation":"(UK Parliament, 2019)","plainCitation":"(UK Parliament, 2019)","noteIndex":0},"citationItems":[{"id":53396,"uris":["http://zotero.org/groups/2352922/items/AZ6HK9EH"],"itemData":{"id":53396,"type":"report","title":"Invasive species - Environmental Audit Committee - House of Commons","URL":"https://publications.parliament.uk/pa/cm201919/cmselect/cmenvaud/88/8804.htm","author":[{"literal":"UK Parliament"}],"accessed":{"date-parts":[["2022",9,14]]},"issued":{"date-parts":[["2019",10,25]]}},"label":"page"}],"schema":"https://github.com/citation-style-language/schema/raw/master/csl-citation.json"} </w:instrText>
      </w:r>
      <w:r w:rsidR="00315B37" w:rsidRPr="00A9434B">
        <w:fldChar w:fldCharType="separate"/>
      </w:r>
      <w:r w:rsidR="009020A3" w:rsidRPr="009020A3">
        <w:t>(UK Parliament, 2019)</w:t>
      </w:r>
      <w:r w:rsidR="00315B37" w:rsidRPr="00A9434B">
        <w:fldChar w:fldCharType="end"/>
      </w:r>
      <w:r>
        <w:t xml:space="preserve"> attributed this increase to the dearth of resources available to tackle invasive alien species, including the lack of an inspectorate to prevent and intercept incursions. Only 0.4 per cent of Great Britain’s total biosecurity budget is spent on invasive alien species despite their being similar, in terms of numbers of harmful organisms, to animal and plant health regimes. Unsurprisingly, other biosecurity regimes with much greater funds and dedicated inspectorates have been largely successful in their objectives by comparison. Indeed, animal and plant health regimes in Britain have prevented the introduction of 98 per cent of listed species in the past 20 years. By comparison, with no invasive alien species inspectorate, attempts to stem the flow of invasive alien species into Britain have been largely unsuccessful, with approximately 25 new invasive alien species establishing in the last 20 years.</w:t>
      </w:r>
    </w:p>
    <w:p w14:paraId="79CE4CD8" w14:textId="6D73FB0D" w:rsidR="00017C04" w:rsidRDefault="00F50AF9" w:rsidP="00801BB3">
      <w:pPr>
        <w:pBdr>
          <w:top w:val="single" w:sz="4" w:space="1" w:color="auto"/>
          <w:left w:val="single" w:sz="4" w:space="4" w:color="auto"/>
          <w:bottom w:val="single" w:sz="4" w:space="1" w:color="auto"/>
          <w:right w:val="single" w:sz="4" w:space="4" w:color="auto"/>
        </w:pBdr>
        <w:shd w:val="clear" w:color="auto" w:fill="E7E6E6" w:themeFill="background2"/>
      </w:pPr>
      <w:r>
        <w:t>Since 2013 the Department for Environment, Food and Rural Affairs in the United Kingdom has been working to develop a more integrated approach to biosecurity, incorporating animal health, plant health and invasive alien species. This has included establishing monthly meetings to review new and developing biosecurity threats across these regimes. Meetings are chaired by the Minister for Biosecurity, Marine and Rural Affairs, and attended by the Chief Vet, Chief Plant Health Officer and Chief Non-native (Alien) Species Officer. To support these meetings, emerging threats from invasive alien species, pests</w:t>
      </w:r>
      <w:r w:rsidR="005D0083">
        <w:t xml:space="preserve"> and</w:t>
      </w:r>
      <w:r>
        <w:t xml:space="preserve"> diseases are reviewed within the same risk matrix. The matrix uses information from existing risk assessments to place organisms according to likelihood of an outbreak and potential impact. Impact is assessed using standardized criteria for economic, environmental and human health, which are then monetized to produce a single metric. This approach provides a straightforward overview of changing biosecurity threats and allows the minister and officials to compare and prioritize threats for action. It has resulted in greater integration across biosecurity regimes and the opportunity to utilize the greater experience of plant and animal health teams to support response to invasive alien species.</w:t>
      </w:r>
    </w:p>
    <w:p w14:paraId="6BD3DB99" w14:textId="6A2B6217" w:rsidR="00A32F18" w:rsidRPr="00EF289E" w:rsidRDefault="00E24760" w:rsidP="00A32F18">
      <w:r>
        <w:t>S</w:t>
      </w:r>
      <w:r w:rsidRPr="00EF289E">
        <w:t>trong</w:t>
      </w:r>
      <w:r w:rsidR="005D0083">
        <w:t xml:space="preserve"> and</w:t>
      </w:r>
      <w:r w:rsidRPr="00EF289E">
        <w:t xml:space="preserve"> implementable </w:t>
      </w:r>
      <w:r w:rsidR="00A32F18" w:rsidRPr="00EF289E">
        <w:t xml:space="preserve">NBSAPs, aligned with international regulatory frameworks, can help to spur the strategic actions and establish the properties required for the successful prevention and control of biological invasions, in alignment with the Kunming-Montreal Global Biodiversity Framework (CBD, 2022a) invasive alien species target (Target 6). Furthermore, </w:t>
      </w:r>
      <w:r w:rsidR="001F26A3">
        <w:t>c</w:t>
      </w:r>
      <w:r w:rsidR="001F26A3" w:rsidRPr="001F26A3">
        <w:t xml:space="preserve">oordinated efforts to strengthen national regulatory instruments </w:t>
      </w:r>
      <w:r w:rsidR="00A32F18" w:rsidRPr="00EF289E">
        <w:t xml:space="preserve">can help address for online trading (aligned with </w:t>
      </w:r>
      <w:r w:rsidR="00351A46">
        <w:t>T</w:t>
      </w:r>
      <w:r w:rsidR="00A32F18" w:rsidRPr="00EF289E">
        <w:t xml:space="preserve">arget 5), the creation of appropriate policies for the development and use of responsible environmentally sound technologies (aligned with </w:t>
      </w:r>
      <w:r w:rsidR="00351A46">
        <w:t>T</w:t>
      </w:r>
      <w:r w:rsidR="00A32F18" w:rsidRPr="00EF289E">
        <w:t xml:space="preserve">arget 17), as well as making available data and information accessible (aligned with </w:t>
      </w:r>
      <w:r w:rsidR="00351A46">
        <w:t>T</w:t>
      </w:r>
      <w:r w:rsidR="00A32F18" w:rsidRPr="00EF289E">
        <w:t>arget 21).</w:t>
      </w:r>
    </w:p>
    <w:p w14:paraId="20A4D64C" w14:textId="47841B0E" w:rsidR="00482974" w:rsidRDefault="00F50AF9" w:rsidP="00507AAF">
      <w:r>
        <w:t xml:space="preserve">It is important to highlight that national action plans should implement existing international standards as a minimum standard but could also take full advantage of the rights under international agreements that allow for stricter protection measures. Also, a key instrument of national action plans is the possibility of creating departments or agencies specifically dedicated to the governance and implementation of invasive alien species legislation. By taking these steps, national strategies can define instruments and processes to ensure </w:t>
      </w:r>
      <w:r w:rsidR="00E72697">
        <w:t xml:space="preserve">the </w:t>
      </w:r>
      <w:r w:rsidR="00AA183F">
        <w:t>need</w:t>
      </w:r>
      <w:r w:rsidR="00E72697">
        <w:t xml:space="preserve"> for </w:t>
      </w:r>
      <w:r>
        <w:t xml:space="preserve">shared </w:t>
      </w:r>
      <w:r w:rsidR="00E72697">
        <w:t>ef</w:t>
      </w:r>
      <w:r w:rsidR="00E72697" w:rsidRPr="00E72697">
        <w:t xml:space="preserve">forts and commitments, and </w:t>
      </w:r>
      <w:r w:rsidR="00AA183F">
        <w:t xml:space="preserve">the </w:t>
      </w:r>
      <w:r w:rsidR="00E72697" w:rsidRPr="00E72697">
        <w:t>understanding of the specific roles</w:t>
      </w:r>
      <w:r>
        <w:t xml:space="preserve"> across sector</w:t>
      </w:r>
      <w:r w:rsidR="00AA183F">
        <w:t>s</w:t>
      </w:r>
      <w:r>
        <w:t xml:space="preserve"> and Indigenous Peoples and local communities</w:t>
      </w:r>
      <w:r w:rsidR="005D0083">
        <w:t xml:space="preserve"> and</w:t>
      </w:r>
      <w:r>
        <w:t xml:space="preserve"> multi-scale coordination of response programmes.</w:t>
      </w:r>
      <w:bookmarkStart w:id="328" w:name="_heading=h.upglbi" w:colFirst="0" w:colLast="0"/>
      <w:bookmarkEnd w:id="328"/>
    </w:p>
    <w:p w14:paraId="57D8A64E" w14:textId="77777777" w:rsidR="00017C04" w:rsidRDefault="00F50AF9" w:rsidP="00C12647">
      <w:pPr>
        <w:pStyle w:val="Heading3"/>
        <w:ind w:left="720"/>
      </w:pPr>
      <w:bookmarkStart w:id="329" w:name="_Toc578654389"/>
      <w:bookmarkStart w:id="330" w:name="_Toc133428317"/>
      <w:r>
        <w:t>Careful delineation of legal authorities that would enable the implementation of risk assessment and surveillance protocols</w:t>
      </w:r>
      <w:bookmarkEnd w:id="329"/>
      <w:bookmarkEnd w:id="330"/>
    </w:p>
    <w:p w14:paraId="68903C3E" w14:textId="3DE9231D" w:rsidR="002C1FA4" w:rsidRPr="00A9434B" w:rsidRDefault="19F6417C" w:rsidP="006B3143">
      <w:r w:rsidRPr="00A9434B">
        <w:t>T</w:t>
      </w:r>
      <w:r w:rsidR="1B4F93D9" w:rsidRPr="00A9434B">
        <w:t xml:space="preserve">he nature of the risks </w:t>
      </w:r>
      <w:r w:rsidRPr="00A9434B">
        <w:t xml:space="preserve">of </w:t>
      </w:r>
      <w:r w:rsidR="00801BB3">
        <w:t xml:space="preserve">invasive alien species </w:t>
      </w:r>
      <w:r w:rsidR="200D1B41" w:rsidRPr="00A9434B">
        <w:t>depends</w:t>
      </w:r>
      <w:r w:rsidR="1B4F93D9" w:rsidRPr="00A9434B">
        <w:t xml:space="preserve"> on the stage of the </w:t>
      </w:r>
      <w:r w:rsidR="15E7050E" w:rsidRPr="00A9434B">
        <w:t xml:space="preserve">biological </w:t>
      </w:r>
      <w:r w:rsidR="1B4F93D9" w:rsidRPr="00A9434B">
        <w:t>invasion</w:t>
      </w:r>
      <w:r w:rsidR="2DD6A2B7" w:rsidRPr="00A9434B">
        <w:t xml:space="preserve"> </w:t>
      </w:r>
      <w:r w:rsidR="00F34A9B" w:rsidRPr="00A9434B">
        <w:fldChar w:fldCharType="begin">
          <w:fldData xml:space="preserve">PEVuZE5vdGU+PENpdGU+PEF1dGhvcj5TcHJpbmdib3JuPC9BdXRob3I+PFllYXI+MjAxMTwvWWVh
cj48UmVjTnVtPjE3MzwvUmVjTnVtPjxEaXNwbGF5VGV4dD4oU3ByaW5nYm9ybiwgUm9tYWdvc2Eg
ZXQgYWwuIDIwMTEsIEVwYW5jaGluLU5pZWxsIDIwMTcpPC9EaXNwbGF5VGV4dD48cmVjb3JkPjxy
ZWMtbnVtYmVyPjE3MzwvcmVjLW51bWJlcj48Zm9yZWlnbi1rZXlzPjxrZXkgYXBwPSJFTiIgZGIt
aWQ9IjJmcHMycnB3Y3B0d2F4ZWR6OW9wcnp2bWF3ZnhlZjlwZnBhMiIgdGltZXN0YW1wPSIxNjI3
OTg0NzgwIj4xNzM8L2tleT48L2ZvcmVpZ24ta2V5cz48cmVmLXR5cGUgbmFtZT0iSm91cm5hbCBB
cnRpY2xlIj4xNzwvcmVmLXR5cGU+PGNvbnRyaWJ1dG9ycz48YXV0aG9ycz48YXV0aG9yPlNwcmlu
Z2Jvcm4sIE0uPC9hdXRob3I+PGF1dGhvcj5Sb21hZ29zYSwgQy4gTS48L2F1dGhvcj48YXV0aG9y
PktlbGxlciwgUi4gUC48L2F1dGhvcj48L2F1dGhvcnM+PC9jb250cmlidXRvcnM+PGF1dGgtYWRk
cmVzcz5Vbml2IENhbGlmIERhdmlzLCBEZXB0IEVudmlyb25tIFNjaSAmYW1wOyBQb2xpY3ksIERh
dmlzLCBDQSA5NTYxNiBVU0EmI3hEO0F1YnVybiBVbml2LCBTY2ggRm9yZXN0cnkgJmFtcDsgV2ls
ZGxpZmUgU2NpLCBDdHIgRm9yZXN0IFN1c3RhaW5hYmlsLCBBdWJ1cm4sIEFMIDM2ODQ5IFVTQSYj
eEQ7VW5pdiBDaGljYWdvLCBQcm9ncmFtIEdsb2JhbCBFbnZpcm9ubSwgQ2hpY2FnbywgSUwgNjA2
MzcgVVNBPC9hdXRoLWFkZHJlc3M+PHRpdGxlcz48dGl0bGU+VGhlIHZhbHVlIG9mIG5vbmluZGln
ZW5vdXMgc3BlY2llcyByaXNrIGFzc2Vzc21lbnQgaW4gaW50ZXJuYXRpb25hbCB0cmFkZTwvdGl0
bGU+PHNlY29uZGFyeS10aXRsZT5FY29sb2dpY2FsIEVjb25vbWljczwvc2Vjb25kYXJ5LXRpdGxl
PjxhbHQtdGl0bGU+RWNvbCBFY29uPC9hbHQtdGl0bGU+PC90aXRsZXM+PHBlcmlvZGljYWw+PGZ1
bGwtdGl0bGU+RWNvbG9naWNhbCBFY29ub21pY3M8L2Z1bGwtdGl0bGU+PGFiYnItMT5FY29sIEVj
b248L2FiYnItMT48L3BlcmlvZGljYWw+PGFsdC1wZXJpb2RpY2FsPjxmdWxsLXRpdGxlPkVjb2xv
Z2ljYWwgRWNvbm9taWNzPC9mdWxsLXRpdGxlPjxhYmJyLTE+RWNvbCBFY29uPC9hYmJyLTE+PC9h
bHQtcGVyaW9kaWNhbD48cGFnZXM+MjE0NS0yMTUzPC9wYWdlcz48dm9sdW1lPjcwPC92b2x1bWU+
PG51bWJlcj4xMTwvbnVtYmVyPjxrZXl3b3Jkcz48a2V5d29yZD5lY29sb2dpY2FsLWVjb25vbWlj
IGRlY2lzaW9uIG1vZGVsPC9rZXl3b3JkPjxrZXl3b3JkPmJpb2Vjb25vbWljPC9rZXl3b3JkPjxr
ZXl3b3JkPmxpdmUgYW5pbWFsIHRyYWRlPC9rZXl3b3JkPjxrZXl3b3JkPmltcG9ydCBwb2xpY3k8
L2tleXdvcmQ+PGtleXdvcmQ+cmVwdGlsZXM8L2tleXdvcmQ+PGtleXdvcmQ+YW1waGliaWFuczwv
a2V5d29yZD48a2V5d29yZD5iaW9sb2dpY2FsIGludmFzaW9uPC9rZXl3b3JkPjxrZXl3b3JkPnBy
ZWRpY3Rpb25zPC9rZXl3b3JkPjxrZXl3b3JkPmludmFzaW9uczwva2V5d29yZD48L2tleXdvcmRz
PjxkYXRlcz48eWVhcj4yMDExPC95ZWFyPjxwdWItZGF0ZXM+PGRhdGU+U2VwIDE1PC9kYXRlPjwv
cHViLWRhdGVzPjwvZGF0ZXM+PGlzYm4+MDkyMS04MDA5PC9pc2JuPjxhY2Nlc3Npb24tbnVtPldP
UzowMDAyOTgyNjYyMDAwMzY8L2FjY2Vzc2lvbi1udW0+PHVybHM+PHJlbGF0ZWQtdXJscz48dXJs
PiZsdDtHbyB0byBJU0kmZ3Q7Oi8vV09TOjAwMDI5ODI2NjIwMDAzNjwvdXJsPjwvcmVsYXRlZC11
cmxzPjwvdXJscz48ZWxlY3Ryb25pYy1yZXNvdXJjZS1udW0+MTAuMTAxNi9qLmVjb2xlY29uLjIw
MTEuMDYuMDE2PC9lbGVjdHJvbmljLXJlc291cmNlLW51bT48bGFuZ3VhZ2U+RW5nbGlzaDwvbGFu
Z3VhZ2U+PC9yZWNvcmQ+PC9DaXRlPjxDaXRlPjxBdXRob3I+RXBhbmNoaW4tTmllbGw8L0F1dGhv
cj48WWVhcj4yMDE3PC9ZZWFyPjxSZWNOdW0+MTc0PC9SZWNOdW0+PHJlY29yZD48cmVjLW51bWJl
cj4xNzQ8L3JlYy1udW1iZXI+PGZvcmVpZ24ta2V5cz48a2V5IGFwcD0iRU4iIGRiLWlkPSIyZnBz
MnJwd2NwdHdheGVkejlvcHJ6dm1hd2Z4ZWY5cGZwYTIiIHRpbWVzdGFtcD0iMTYyNzk4NDgyOSI+
MTc0PC9rZXk+PC9mb3JlaWduLWtleXM+PHJlZi10eXBlIG5hbWU9IkpvdXJuYWwgQXJ0aWNsZSI+
MTc8L3JlZi10eXBlPjxjb250cmlidXRvcnM+PGF1dGhvcnM+PGF1dGhvcj5FcGFuY2hpbi1OaWVs
bCwgUi4gUy48L2F1dGhvcj48L2F1dGhvcnM+PC9jb250cmlidXRvcnM+PGF1dGgtYWRkcmVzcz5S
ZXNvdXJjZXMgRnV0dXJlIEluYywgMTYxNiBQIFN0IE5XLCBXYXNoaW5ndG9uLCBEQyAyMDAzNiBV
U0E8L2F1dGgtYWRkcmVzcz48dGl0bGVzPjx0aXRsZT5FY29ub21pY3Mgb2YgaW52YXNpdmUgc3Bl
Y2llcyBwb2xpY3kgYW5kIG1hbmFnZW1lbnQ8L3RpdGxlPjxzZWNvbmRhcnktdGl0bGU+QmlvbG9n
aWNhbCBJbnZhc2lvbnM8L3NlY29uZGFyeS10aXRsZT48YWx0LXRpdGxlPkJpb2wgSW52YXNpb25z
PC9hbHQtdGl0bGU+PC90aXRsZXM+PHBlcmlvZGljYWw+PGZ1bGwtdGl0bGU+QmlvbG9naWNhbCBJ
bnZhc2lvbnM8L2Z1bGwtdGl0bGU+PGFiYnItMT5CaW9sIEludmFzaW9uczwvYWJici0xPjwvcGVy
aW9kaWNhbD48YWx0LXBlcmlvZGljYWw+PGZ1bGwtdGl0bGU+QmlvbG9naWNhbCBJbnZhc2lvbnM8
L2Z1bGwtdGl0bGU+PGFiYnItMT5CaW9sIEludmFzaW9uczwvYWJici0xPjwvYWx0LXBlcmlvZGlj
YWw+PHBhZ2VzPjMzMzMtMzM1NDwvcGFnZXM+PHZvbHVtZT4xOTwvdm9sdW1lPjxudW1iZXI+MTE8
L251bWJlcj48a2V5d29yZHM+PGtleXdvcmQ+cG9saWN5IGRlc2lnbjwva2V5d29yZD48a2V5d29y
ZD5mb3Jlc3QgYmlvc2VjdXJpdHk8L2tleXdvcmQ+PGtleXdvcmQ+YmlvZWNvbm9taWNzPC9rZXl3
b3JkPjxrZXl3b3JkPmNvc3QtZWZmaWNpZW5jeTwva2V5d29yZD48a2V5d29yZD5wcmV2ZW50aW9u
IGFuZCBjb250cm9sPC9rZXl3b3JkPjxrZXl3b3JkPm1hcmtldC1iYXNlZCBpbnN0cnVtZW50czwv
a2V5d29yZD48a2V5d29yZD5lbWVyYWxkIGFzaCBib3Jlcjwva2V5d29yZD48a2V5d29yZD5yaXNr
LWFzc2Vzc21lbnQ8L2tleXdvcmQ+PGtleXdvcmQ+ZGVjaXNpb24tbWFraW5nPC9rZXl3b3JkPjxr
ZXl3b3JkPmJpb3NlY3VyaXR5IHJlc291cmNlczwva2V5d29yZD48a2V5d29yZD5iaW9sb2dpY2Fs
IGludmFzaW9uczwva2V5d29yZD48a2V5d29yZD5tb2RlbDwva2V5d29yZD48a2V5d29yZD5zdXJ2
ZWlsbGFuY2U8L2tleXdvcmQ+PGtleXdvcmQ+dW5jZXJ0YWludHk8L2tleXdvcmQ+PGtleXdvcmQ+
ZXJhZGljYXRpb248L2tleXdvcmQ+PC9rZXl3b3Jkcz48ZGF0ZXM+PHllYXI+MjAxNzwveWVhcj48
cHViLWRhdGVzPjxkYXRlPk5vdjwvZGF0ZT48L3B1Yi1kYXRlcz48L2RhdGVzPjxpc2JuPjEzODct
MzU0NzwvaXNibj48YWNjZXNzaW9uLW51bT5XT1M6MDAwNDEzOTg4OTAwMDE3PC9hY2Nlc3Npb24t
bnVtPjx1cmxzPjxyZWxhdGVkLXVybHM+PHVybD4mbHQ7R28gdG8gSVNJJmd0OzovL1dPUzowMDA0
MTM5ODg5MDAwMTc8L3VybD48L3JlbGF0ZWQtdXJscz48L3VybHM+PGVsZWN0cm9uaWMtcmVzb3Vy
Y2UtbnVtPjEwLjEwMDcvczEwNTMwLTAxNy0xNDA2LTQ8L2VsZWN0cm9uaWMtcmVzb3VyY2UtbnVt
PjxsYW5ndWFnZT5FbmdsaXNoPC9sYW5ndWFnZT48L3JlY29yZD48L0NpdGU+PC9FbmROb3RlPgB=
</w:fldData>
        </w:fldChar>
      </w:r>
      <w:r w:rsidR="00F34A9B" w:rsidRPr="00A9434B">
        <w:instrText xml:space="preserve"> ADDIN EN.CITE </w:instrText>
      </w:r>
      <w:r w:rsidR="00F34A9B" w:rsidRPr="00A9434B">
        <w:fldChar w:fldCharType="begin">
          <w:fldData xml:space="preserve">PEVuZE5vdGU+PENpdGU+PEF1dGhvcj5TcHJpbmdib3JuPC9BdXRob3I+PFllYXI+MjAxMTwvWWVh
cj48UmVjTnVtPjE3MzwvUmVjTnVtPjxEaXNwbGF5VGV4dD4oU3ByaW5nYm9ybiwgUm9tYWdvc2Eg
ZXQgYWwuIDIwMTEsIEVwYW5jaGluLU5pZWxsIDIwMTcpPC9EaXNwbGF5VGV4dD48cmVjb3JkPjxy
ZWMtbnVtYmVyPjE3MzwvcmVjLW51bWJlcj48Zm9yZWlnbi1rZXlzPjxrZXkgYXBwPSJFTiIgZGIt
aWQ9IjJmcHMycnB3Y3B0d2F4ZWR6OW9wcnp2bWF3ZnhlZjlwZnBhMiIgdGltZXN0YW1wPSIxNjI3
OTg0NzgwIj4xNzM8L2tleT48L2ZvcmVpZ24ta2V5cz48cmVmLXR5cGUgbmFtZT0iSm91cm5hbCBB
cnRpY2xlIj4xNzwvcmVmLXR5cGU+PGNvbnRyaWJ1dG9ycz48YXV0aG9ycz48YXV0aG9yPlNwcmlu
Z2Jvcm4sIE0uPC9hdXRob3I+PGF1dGhvcj5Sb21hZ29zYSwgQy4gTS48L2F1dGhvcj48YXV0aG9y
PktlbGxlciwgUi4gUC48L2F1dGhvcj48L2F1dGhvcnM+PC9jb250cmlidXRvcnM+PGF1dGgtYWRk
cmVzcz5Vbml2IENhbGlmIERhdmlzLCBEZXB0IEVudmlyb25tIFNjaSAmYW1wOyBQb2xpY3ksIERh
dmlzLCBDQSA5NTYxNiBVU0EmI3hEO0F1YnVybiBVbml2LCBTY2ggRm9yZXN0cnkgJmFtcDsgV2ls
ZGxpZmUgU2NpLCBDdHIgRm9yZXN0IFN1c3RhaW5hYmlsLCBBdWJ1cm4sIEFMIDM2ODQ5IFVTQSYj
eEQ7VW5pdiBDaGljYWdvLCBQcm9ncmFtIEdsb2JhbCBFbnZpcm9ubSwgQ2hpY2FnbywgSUwgNjA2
MzcgVVNBPC9hdXRoLWFkZHJlc3M+PHRpdGxlcz48dGl0bGU+VGhlIHZhbHVlIG9mIG5vbmluZGln
ZW5vdXMgc3BlY2llcyByaXNrIGFzc2Vzc21lbnQgaW4gaW50ZXJuYXRpb25hbCB0cmFkZTwvdGl0
bGU+PHNlY29uZGFyeS10aXRsZT5FY29sb2dpY2FsIEVjb25vbWljczwvc2Vjb25kYXJ5LXRpdGxl
PjxhbHQtdGl0bGU+RWNvbCBFY29uPC9hbHQtdGl0bGU+PC90aXRsZXM+PHBlcmlvZGljYWw+PGZ1
bGwtdGl0bGU+RWNvbG9naWNhbCBFY29ub21pY3M8L2Z1bGwtdGl0bGU+PGFiYnItMT5FY29sIEVj
b248L2FiYnItMT48L3BlcmlvZGljYWw+PGFsdC1wZXJpb2RpY2FsPjxmdWxsLXRpdGxlPkVjb2xv
Z2ljYWwgRWNvbm9taWNzPC9mdWxsLXRpdGxlPjxhYmJyLTE+RWNvbCBFY29uPC9hYmJyLTE+PC9h
bHQtcGVyaW9kaWNhbD48cGFnZXM+MjE0NS0yMTUzPC9wYWdlcz48dm9sdW1lPjcwPC92b2x1bWU+
PG51bWJlcj4xMTwvbnVtYmVyPjxrZXl3b3Jkcz48a2V5d29yZD5lY29sb2dpY2FsLWVjb25vbWlj
IGRlY2lzaW9uIG1vZGVsPC9rZXl3b3JkPjxrZXl3b3JkPmJpb2Vjb25vbWljPC9rZXl3b3JkPjxr
ZXl3b3JkPmxpdmUgYW5pbWFsIHRyYWRlPC9rZXl3b3JkPjxrZXl3b3JkPmltcG9ydCBwb2xpY3k8
L2tleXdvcmQ+PGtleXdvcmQ+cmVwdGlsZXM8L2tleXdvcmQ+PGtleXdvcmQ+YW1waGliaWFuczwv
a2V5d29yZD48a2V5d29yZD5iaW9sb2dpY2FsIGludmFzaW9uPC9rZXl3b3JkPjxrZXl3b3JkPnBy
ZWRpY3Rpb25zPC9rZXl3b3JkPjxrZXl3b3JkPmludmFzaW9uczwva2V5d29yZD48L2tleXdvcmRz
PjxkYXRlcz48eWVhcj4yMDExPC95ZWFyPjxwdWItZGF0ZXM+PGRhdGU+U2VwIDE1PC9kYXRlPjwv
cHViLWRhdGVzPjwvZGF0ZXM+PGlzYm4+MDkyMS04MDA5PC9pc2JuPjxhY2Nlc3Npb24tbnVtPldP
UzowMDAyOTgyNjYyMDAwMzY8L2FjY2Vzc2lvbi1udW0+PHVybHM+PHJlbGF0ZWQtdXJscz48dXJs
PiZsdDtHbyB0byBJU0kmZ3Q7Oi8vV09TOjAwMDI5ODI2NjIwMDAzNjwvdXJsPjwvcmVsYXRlZC11
cmxzPjwvdXJscz48ZWxlY3Ryb25pYy1yZXNvdXJjZS1udW0+MTAuMTAxNi9qLmVjb2xlY29uLjIw
MTEuMDYuMDE2PC9lbGVjdHJvbmljLXJlc291cmNlLW51bT48bGFuZ3VhZ2U+RW5nbGlzaDwvbGFu
Z3VhZ2U+PC9yZWNvcmQ+PC9DaXRlPjxDaXRlPjxBdXRob3I+RXBhbmNoaW4tTmllbGw8L0F1dGhv
cj48WWVhcj4yMDE3PC9ZZWFyPjxSZWNOdW0+MTc0PC9SZWNOdW0+PHJlY29yZD48cmVjLW51bWJl
cj4xNzQ8L3JlYy1udW1iZXI+PGZvcmVpZ24ta2V5cz48a2V5IGFwcD0iRU4iIGRiLWlkPSIyZnBz
MnJwd2NwdHdheGVkejlvcHJ6dm1hd2Z4ZWY5cGZwYTIiIHRpbWVzdGFtcD0iMTYyNzk4NDgyOSI+
MTc0PC9rZXk+PC9mb3JlaWduLWtleXM+PHJlZi10eXBlIG5hbWU9IkpvdXJuYWwgQXJ0aWNsZSI+
MTc8L3JlZi10eXBlPjxjb250cmlidXRvcnM+PGF1dGhvcnM+PGF1dGhvcj5FcGFuY2hpbi1OaWVs
bCwgUi4gUy48L2F1dGhvcj48L2F1dGhvcnM+PC9jb250cmlidXRvcnM+PGF1dGgtYWRkcmVzcz5S
ZXNvdXJjZXMgRnV0dXJlIEluYywgMTYxNiBQIFN0IE5XLCBXYXNoaW5ndG9uLCBEQyAyMDAzNiBV
U0E8L2F1dGgtYWRkcmVzcz48dGl0bGVzPjx0aXRsZT5FY29ub21pY3Mgb2YgaW52YXNpdmUgc3Bl
Y2llcyBwb2xpY3kgYW5kIG1hbmFnZW1lbnQ8L3RpdGxlPjxzZWNvbmRhcnktdGl0bGU+QmlvbG9n
aWNhbCBJbnZhc2lvbnM8L3NlY29uZGFyeS10aXRsZT48YWx0LXRpdGxlPkJpb2wgSW52YXNpb25z
PC9hbHQtdGl0bGU+PC90aXRsZXM+PHBlcmlvZGljYWw+PGZ1bGwtdGl0bGU+QmlvbG9naWNhbCBJ
bnZhc2lvbnM8L2Z1bGwtdGl0bGU+PGFiYnItMT5CaW9sIEludmFzaW9uczwvYWJici0xPjwvcGVy
aW9kaWNhbD48YWx0LXBlcmlvZGljYWw+PGZ1bGwtdGl0bGU+QmlvbG9naWNhbCBJbnZhc2lvbnM8
L2Z1bGwtdGl0bGU+PGFiYnItMT5CaW9sIEludmFzaW9uczwvYWJici0xPjwvYWx0LXBlcmlvZGlj
YWw+PHBhZ2VzPjMzMzMtMzM1NDwvcGFnZXM+PHZvbHVtZT4xOTwvdm9sdW1lPjxudW1iZXI+MTE8
L251bWJlcj48a2V5d29yZHM+PGtleXdvcmQ+cG9saWN5IGRlc2lnbjwva2V5d29yZD48a2V5d29y
ZD5mb3Jlc3QgYmlvc2VjdXJpdHk8L2tleXdvcmQ+PGtleXdvcmQ+YmlvZWNvbm9taWNzPC9rZXl3
b3JkPjxrZXl3b3JkPmNvc3QtZWZmaWNpZW5jeTwva2V5d29yZD48a2V5d29yZD5wcmV2ZW50aW9u
IGFuZCBjb250cm9sPC9rZXl3b3JkPjxrZXl3b3JkPm1hcmtldC1iYXNlZCBpbnN0cnVtZW50czwv
a2V5d29yZD48a2V5d29yZD5lbWVyYWxkIGFzaCBib3Jlcjwva2V5d29yZD48a2V5d29yZD5yaXNr
LWFzc2Vzc21lbnQ8L2tleXdvcmQ+PGtleXdvcmQ+ZGVjaXNpb24tbWFraW5nPC9rZXl3b3JkPjxr
ZXl3b3JkPmJpb3NlY3VyaXR5IHJlc291cmNlczwva2V5d29yZD48a2V5d29yZD5iaW9sb2dpY2Fs
IGludmFzaW9uczwva2V5d29yZD48a2V5d29yZD5tb2RlbDwva2V5d29yZD48a2V5d29yZD5zdXJ2
ZWlsbGFuY2U8L2tleXdvcmQ+PGtleXdvcmQ+dW5jZXJ0YWludHk8L2tleXdvcmQ+PGtleXdvcmQ+
ZXJhZGljYXRpb248L2tleXdvcmQ+PC9rZXl3b3Jkcz48ZGF0ZXM+PHllYXI+MjAxNzwveWVhcj48
cHViLWRhdGVzPjxkYXRlPk5vdjwvZGF0ZT48L3B1Yi1kYXRlcz48L2RhdGVzPjxpc2JuPjEzODct
MzU0NzwvaXNibj48YWNjZXNzaW9uLW51bT5XT1M6MDAwNDEzOTg4OTAwMDE3PC9hY2Nlc3Npb24t
bnVtPjx1cmxzPjxyZWxhdGVkLXVybHM+PHVybD4mbHQ7R28gdG8gSVNJJmd0OzovL1dPUzowMDA0
MTM5ODg5MDAwMTc8L3VybD48L3JlbGF0ZWQtdXJscz48L3VybHM+PGVsZWN0cm9uaWMtcmVzb3Vy
Y2UtbnVtPjEwLjEwMDcvczEwNTMwLTAxNy0xNDA2LTQ8L2VsZWN0cm9uaWMtcmVzb3VyY2UtbnVt
PjxsYW5ndWFnZT5FbmdsaXNoPC9sYW5ndWFnZT48L3JlY29yZD48L0NpdGU+PC9FbmROb3RlPgB=
</w:fldData>
        </w:fldChar>
      </w:r>
      <w:r w:rsidR="00F34A9B" w:rsidRPr="00A9434B">
        <w:instrText xml:space="preserve"> ADDIN EN.CITE.DATA </w:instrText>
      </w:r>
      <w:r w:rsidR="00F34A9B" w:rsidRPr="00A9434B">
        <w:fldChar w:fldCharType="end"/>
      </w:r>
      <w:r w:rsidR="00F34A9B" w:rsidRPr="00A9434B">
        <w:fldChar w:fldCharType="separate"/>
      </w:r>
      <w:r w:rsidR="00DD5445" w:rsidRPr="00A9434B">
        <w:fldChar w:fldCharType="begin"/>
      </w:r>
      <w:r w:rsidR="0006613E">
        <w:instrText xml:space="preserve"> ADDIN ZOTERO_ITEM CSL_CITATION {"citationID":"a1v5v2n1ik1","properties":{"formattedCitation":"(Epanchin-Niell, 2017; Springborn et al., 2011)","plainCitation":"(Epanchin-Niell, 2017; Springborn et al., 2011)","noteIndex":0},"citationItems":[{"id":53897,"uris":["http://zotero.org/groups/2352922/items/RHQHDGF2","http://zotero.org/groups/2352922/items/CWGRRPBP"],"itemData":{"id":53897,"type":"article-journal","abstract":"This article examines the use of economic analysis to inform bioinvasion management, with particular focus on forest resources. Economics is key for understanding invasion processes, impacts, and decision-making. Biological invasions are driven by and affect economic activities at multiple scales and stages of an invasion. Bioeconomic modeling seeks to inform how resources can be optimally allocated across invasion management activities-including prevention, surveillance programs for early detection and management, and controlling invasion populations and spread-to minimize the long-term costs and damages. Economic analysis facilitates understanding of decisions by public and private decision-makers, gaps between these, and the design of policies to achieve socially desirable outcomes. Private decision-makers may undercontrol invasions relative to socially optimal levels, because they generally account for their own costs and benefits of control but less often for broader ecosystem impacts or future spread across the landscape. Economic analysis considers approaches for increasing private invasion management and evaluates feedbacks between ecological and economic systems that can affect policy outcomes. Future research should continue evaluation and design of control strategies across the biosecurity continuum and across species to enhance cost-effectiveness, better incorporate uncertainty into policy design, increase focus on incentives and behavioral tools to influence private behaviors that affect invasion spread, and incorporate invasive species consideration within broader systems-focused science. In addition, challenges in valuing biodiversity and ecosystem service impacts and the costs and effectiveness of control measures are key data gaps. Greater collaboration between decision-makers and researchers will facilitate development and communication of usable economic research.","container-title":"Biological Invasions","DOI":"10.1007/s10530-017-1406-4","ISSN":"1387-3547","issue":"11","note":"type: Journal Article","page":"3333-3354","title":"Economics of invasive species policy and management","URL":"&lt;Go to ISI&gt;://WOS:000413988900017","volume":"19","author":[{"family":"Epanchin-Niell","given":"Rebecca S."}],"issued":{"date-parts":[["2017"]]}},"label":"page"},{"id":53437,"uris":["http://zotero.org/groups/2352922/items/ILFMP8BS"],"itemData":{"id":53437,"type":"article-journal","container-title":"Ecological Economics","DOI":"10.1016/j.ecolecon.2011.06.016","ISSN":"0921-8009","issue":"11","language":"English","note":"number: 11","page":"2145-2153","title":"The value of nonindigenous species risk assessment in international trade","volume":"70","author":[{"family":"Springborn","given":"M."},{"family":"Romagosa","given":"C. M."},{"family":"Keller","given":"R. P."}],"issued":{"date-parts":[["2011",9,15]]}},"label":"page"}],"schema":"https://github.com/citation-style-language/schema/raw/master/csl-citation.json"} </w:instrText>
      </w:r>
      <w:r w:rsidR="00DD5445" w:rsidRPr="00A9434B">
        <w:fldChar w:fldCharType="separate"/>
      </w:r>
      <w:r w:rsidR="00C71E80" w:rsidRPr="00A9434B">
        <w:t>(Epanchin-Niell, 2017; Springborn et al., 2011)</w:t>
      </w:r>
      <w:r w:rsidR="00DD5445" w:rsidRPr="00A9434B">
        <w:fldChar w:fldCharType="end"/>
      </w:r>
      <w:r w:rsidR="00F34A9B" w:rsidRPr="00A9434B">
        <w:fldChar w:fldCharType="end"/>
      </w:r>
      <w:r w:rsidR="1B4F93D9" w:rsidRPr="00A9434B">
        <w:t>.</w:t>
      </w:r>
      <w:r w:rsidR="359FEEE5" w:rsidRPr="00A9434B">
        <w:t xml:space="preserve"> </w:t>
      </w:r>
      <w:r w:rsidR="0B0E1BF4" w:rsidRPr="00A9434B">
        <w:t xml:space="preserve">In </w:t>
      </w:r>
      <w:r w:rsidR="66EE6C1F" w:rsidRPr="00A9434B">
        <w:t xml:space="preserve">the introduction </w:t>
      </w:r>
      <w:r w:rsidR="4C2B4B5F" w:rsidRPr="00A9434B">
        <w:t>stage</w:t>
      </w:r>
      <w:r w:rsidR="66EE6C1F" w:rsidRPr="00A9434B">
        <w:t>, p</w:t>
      </w:r>
      <w:r w:rsidR="1B4F93D9" w:rsidRPr="00A9434B">
        <w:t>reventing or minimi</w:t>
      </w:r>
      <w:r w:rsidR="008A2992" w:rsidRPr="00A9434B">
        <w:t>z</w:t>
      </w:r>
      <w:r w:rsidR="1B4F93D9" w:rsidRPr="00A9434B">
        <w:t xml:space="preserve">ing </w:t>
      </w:r>
      <w:r w:rsidR="090BB01E" w:rsidRPr="00A9434B">
        <w:t>alien species</w:t>
      </w:r>
      <w:r w:rsidR="02582EC6" w:rsidRPr="00A9434B">
        <w:t xml:space="preserve"> arrivals</w:t>
      </w:r>
      <w:r w:rsidR="009E7753" w:rsidRPr="00A9434B">
        <w:t xml:space="preserve"> </w:t>
      </w:r>
      <w:r w:rsidR="0084676F" w:rsidRPr="00A9434B">
        <w:t>is achieved through</w:t>
      </w:r>
      <w:r w:rsidR="0B6643CF" w:rsidRPr="00A9434B">
        <w:t xml:space="preserve"> </w:t>
      </w:r>
      <w:r w:rsidR="66417EF5" w:rsidRPr="00A9434B">
        <w:t>actions</w:t>
      </w:r>
      <w:r w:rsidR="1B4F93D9" w:rsidRPr="00A9434B">
        <w:t xml:space="preserve"> that address both intentional and unintentional introductions. </w:t>
      </w:r>
      <w:r w:rsidR="4C47F67B" w:rsidRPr="00A9434B">
        <w:t>Prevention is also best achieved when c</w:t>
      </w:r>
      <w:r w:rsidR="4C99FE75" w:rsidRPr="00A9434B">
        <w:t>learly defin</w:t>
      </w:r>
      <w:r w:rsidR="4C47F67B" w:rsidRPr="00A9434B">
        <w:t>ing</w:t>
      </w:r>
      <w:r w:rsidR="4C99FE75" w:rsidRPr="00A9434B">
        <w:t xml:space="preserve"> “who” has the authority for </w:t>
      </w:r>
      <w:r w:rsidR="4C99FE75" w:rsidRPr="00A9434B">
        <w:lastRenderedPageBreak/>
        <w:t>the detection of pot</w:t>
      </w:r>
      <w:r w:rsidR="668ADB0E" w:rsidRPr="00A9434B">
        <w:t>e</w:t>
      </w:r>
      <w:r w:rsidR="4C99FE75" w:rsidRPr="00A9434B">
        <w:t xml:space="preserve">ntial invasive </w:t>
      </w:r>
      <w:r w:rsidR="2CAE04A7" w:rsidRPr="00A9434B">
        <w:t xml:space="preserve">alien </w:t>
      </w:r>
      <w:r w:rsidR="416AE7DF" w:rsidRPr="00A9434B">
        <w:t>species and</w:t>
      </w:r>
      <w:r w:rsidR="4C99FE75" w:rsidRPr="00A9434B">
        <w:t xml:space="preserve"> understanding </w:t>
      </w:r>
      <w:r w:rsidR="4C47F67B" w:rsidRPr="00A9434B">
        <w:t xml:space="preserve">which </w:t>
      </w:r>
      <w:r w:rsidR="1C753932" w:rsidRPr="00A9434B">
        <w:t xml:space="preserve">responsible bodies of </w:t>
      </w:r>
      <w:r w:rsidR="4C99FE75" w:rsidRPr="00A9434B">
        <w:t>the legal and regulatory framework</w:t>
      </w:r>
      <w:r w:rsidR="4C47F67B" w:rsidRPr="00A9434B">
        <w:t xml:space="preserve">, such as Phytosanitary (defined under </w:t>
      </w:r>
      <w:r w:rsidR="00F206FC" w:rsidRPr="00A9434B">
        <w:t xml:space="preserve">the </w:t>
      </w:r>
      <w:r w:rsidR="4C47F67B" w:rsidRPr="00A9434B">
        <w:t>IPPC) and animal health (defined under WOAH) mandates,</w:t>
      </w:r>
      <w:r w:rsidR="4C99FE75" w:rsidRPr="00A9434B">
        <w:t xml:space="preserve"> allow</w:t>
      </w:r>
      <w:r w:rsidR="4C47F67B" w:rsidRPr="00A9434B">
        <w:t xml:space="preserve"> </w:t>
      </w:r>
      <w:r w:rsidR="4C99FE75" w:rsidRPr="00A9434B">
        <w:t>actions.</w:t>
      </w:r>
      <w:r w:rsidR="05036683" w:rsidRPr="00A9434B">
        <w:t xml:space="preserve"> </w:t>
      </w:r>
      <w:r w:rsidR="5FE0D58B" w:rsidRPr="00A9434B">
        <w:t>A</w:t>
      </w:r>
      <w:r w:rsidR="05036683" w:rsidRPr="00A9434B">
        <w:t xml:space="preserve">ctions designed to </w:t>
      </w:r>
      <w:r w:rsidR="157A752A" w:rsidRPr="00A9434B">
        <w:t>prevent</w:t>
      </w:r>
      <w:r w:rsidR="05036683" w:rsidRPr="00A9434B">
        <w:t xml:space="preserve"> establishment</w:t>
      </w:r>
      <w:r w:rsidR="5AB61982" w:rsidRPr="00A9434B">
        <w:t xml:space="preserve"> of potential invasive alien species</w:t>
      </w:r>
      <w:r w:rsidR="05036683" w:rsidRPr="00A9434B">
        <w:t xml:space="preserve"> are termed </w:t>
      </w:r>
      <w:r w:rsidR="009011F3">
        <w:t>“</w:t>
      </w:r>
      <w:r w:rsidR="05036683" w:rsidRPr="00A9434B">
        <w:t>early detection</w:t>
      </w:r>
      <w:r w:rsidR="3E393CAF" w:rsidRPr="00A9434B">
        <w:t xml:space="preserve"> and </w:t>
      </w:r>
      <w:r w:rsidR="05036683" w:rsidRPr="00A9434B">
        <w:t>rapid response</w:t>
      </w:r>
      <w:r w:rsidR="009011F3">
        <w:t>”</w:t>
      </w:r>
      <w:r w:rsidR="05036683" w:rsidRPr="00A9434B">
        <w:t xml:space="preserve"> (EDRR), with the desired response eradication of the incipient </w:t>
      </w:r>
      <w:r w:rsidR="00801BB3">
        <w:t xml:space="preserve">invasive alien species </w:t>
      </w:r>
      <w:r w:rsidR="00C225BF" w:rsidRPr="00A9434B">
        <w:fldChar w:fldCharType="begin"/>
      </w:r>
      <w:r w:rsidR="0006613E">
        <w:instrText xml:space="preserve"> ADDIN ZOTERO_ITEM CSL_CITATION {"citationID":"af3b4dq01b","properties":{"formattedCitation":"(Meyerson &amp; Simberloff, 2020)","plainCitation":"(Meyerson &amp; Simberloff, 2020)","noteIndex":0},"citationItems":[{"id":53379,"uris":["http://zotero.org/groups/2352922/items/DHQKDADU"],"itemData":{"id":53379,"type":"article-journal","container-title":"Biological Invasions","issue":"1","title":"Special Issue: Early Detection and Rapid Response","URL":"https://link.springer.com/journal/10530/volumes-and-issues/22-1?fbclid=IwAR3cO07H9rnlnalHbCVrxDlu1tvRiWLAFT_BLMjPbhq9mIHzfe2RomI5Rww","volume":"22","editor":[{"family":"Meyerson","given":"L. A."},{"family":"Simberloff","given":"D."}],"issued":{"date-parts":[["2020"]]}},"label":"page"}],"schema":"https://github.com/citation-style-language/schema/raw/master/csl-citation.json"} </w:instrText>
      </w:r>
      <w:r w:rsidR="00C225BF" w:rsidRPr="00A9434B">
        <w:fldChar w:fldCharType="separate"/>
      </w:r>
      <w:r w:rsidR="00C71E80" w:rsidRPr="00A9434B">
        <w:t>(Meyerson &amp; Simberloff, 2020)</w:t>
      </w:r>
      <w:r w:rsidR="00C225BF" w:rsidRPr="00A9434B">
        <w:fldChar w:fldCharType="end"/>
      </w:r>
      <w:r w:rsidR="05036683" w:rsidRPr="00A9434B">
        <w:t>.</w:t>
      </w:r>
    </w:p>
    <w:p w14:paraId="5C36529F" w14:textId="33F4E6E7" w:rsidR="00017C04" w:rsidRDefault="00F50AF9">
      <w:bookmarkStart w:id="331" w:name="_heading=h.3ep43zb" w:colFirst="0" w:colLast="0"/>
      <w:bookmarkEnd w:id="331"/>
      <w:r>
        <w:t xml:space="preserve">Policies aimed at preventing or minimizing the possible effects of intentional introductions need to consider who is the responsible body for providing transport and introduction permits. The actions of these offices should focus on providing permits for proposed planned introductions and should be based on information coming from risk assessment procedures such as the Australian Weed Risk Assessment </w:t>
      </w:r>
      <w:r w:rsidR="00F34A9B" w:rsidRPr="00A9434B">
        <w:fldChar w:fldCharType="begin"/>
      </w:r>
      <w:r w:rsidR="0006613E">
        <w:instrText xml:space="preserve"> ADDIN ZOTERO_ITEM CSL_CITATION {"citationID":"ankcjokn9p","properties":{"formattedCitation":"(Pheloung et al., 1999)","plainCitation":"(Pheloung et al., 1999)","noteIndex":0},"citationItems":[{"id":28758,"uris":["http://zotero.org/groups/2352922/items/L8KFFVZE"],"itemData":{"id":28758,"type":"article-journal","container-title":"Journal of Environmental Management","DOI":"10.1006/jema.1999.0297","ISSN":"03014797","issue":"4","journalAbbreviation":"Journal of Environmental Management","language":"en","page":"239-251","source":"DOI.org (Crossref)","title":"A weed risk assessment model for use as a biosecurity tool evaluating plant introductions","URL":"https://linkinghub.elsevier.com/retrieve/pii/S0301479799902979","volume":"57","author":[{"family":"Pheloung","given":"P.C."},{"family":"Williams","given":"P.A."},{"family":"Halloy","given":"S.R."}],"accessed":{"date-parts":[["2019",10,23]]},"issued":{"date-parts":[["1999",12]]}},"label":"page"}],"schema":"https://github.com/citation-style-language/schema/raw/master/csl-citation.json"} </w:instrText>
      </w:r>
      <w:r w:rsidR="00F34A9B" w:rsidRPr="00A9434B">
        <w:fldChar w:fldCharType="separate"/>
      </w:r>
      <w:r w:rsidR="00C71E80" w:rsidRPr="00A9434B">
        <w:t>(Pheloung et al., 1999)</w:t>
      </w:r>
      <w:r w:rsidR="00F34A9B" w:rsidRPr="00A9434B">
        <w:fldChar w:fldCharType="end"/>
      </w:r>
      <w:r w:rsidR="1B4F93D9" w:rsidRPr="00A9434B">
        <w:t xml:space="preserve">, the </w:t>
      </w:r>
      <w:r w:rsidR="414A3EEC" w:rsidRPr="00A9434B">
        <w:t>Plant Protection and Quarantine weed risk assessment (</w:t>
      </w:r>
      <w:r w:rsidR="1B4F93D9" w:rsidRPr="00A9434B">
        <w:t>PPQ WRA</w:t>
      </w:r>
      <w:r w:rsidR="00BE2A81" w:rsidRPr="00A9434B">
        <w:t>;</w:t>
      </w:r>
      <w:r w:rsidR="001906A6" w:rsidRPr="00A9434B">
        <w:t xml:space="preserve"> </w:t>
      </w:r>
      <w:r w:rsidR="00F34A9B" w:rsidRPr="00A9434B">
        <w:fldChar w:fldCharType="begin"/>
      </w:r>
      <w:r w:rsidR="0006613E">
        <w:instrText xml:space="preserve"> ADDIN ZOTERO_ITEM CSL_CITATION {"citationID":"a2hltkov0m3","properties":{"formattedCitation":"\\uldash{(Koop et al., 2012)}","plainCitation":"(Koop et al., 2012)","dontUpdate":true,"noteIndex":0},"citationItems":[{"id":53506,"uris":["http://zotero.org/groups/2352922/items/7I9VKGVG"],"itemData":{"id":53506,"type":"article-journal","container-title":"Biological Invasions","DOI":"10.1007/s10530-011-0061-4","ISSN":"1387-3547","issue":"2","language":"English","page":"273-294","title":"Development and validation of a weed screening tool for the United States","volume":"14","author":[{"family":"Koop","given":"A. L."},{"family":"Fowler","given":"L."},{"family":"Newton","given":"L. P."},{"family":"Caton","given":"B. P."}],"issued":{"date-parts":[["2012",2]]}},"label":"page"}],"schema":"https://github.com/citation-style-language/schema/raw/master/csl-citation.json"} </w:instrText>
      </w:r>
      <w:r w:rsidR="00F34A9B" w:rsidRPr="00A9434B">
        <w:fldChar w:fldCharType="separate"/>
      </w:r>
      <w:r w:rsidR="00BE0A92" w:rsidRPr="00A9434B">
        <w:t>Koop et al., 2012</w:t>
      </w:r>
      <w:r w:rsidR="00F34A9B" w:rsidRPr="00A9434B">
        <w:fldChar w:fldCharType="end"/>
      </w:r>
      <w:r w:rsidR="009011F3">
        <w:t>)</w:t>
      </w:r>
      <w:r w:rsidR="005D0083">
        <w:t xml:space="preserve"> and</w:t>
      </w:r>
      <w:r w:rsidR="1B4F93D9" w:rsidRPr="00A9434B">
        <w:t xml:space="preserve"> the Non-native Species Secretariat (NNSS) Risk Assessment Scheme for Great Britain</w:t>
      </w:r>
      <w:r w:rsidR="1D17AC97" w:rsidRPr="00A9434B">
        <w:t xml:space="preserve"> </w:t>
      </w:r>
      <w:r w:rsidR="00F34A9B" w:rsidRPr="00A9434B">
        <w:fldChar w:fldCharType="begin"/>
      </w:r>
      <w:r w:rsidR="0006613E">
        <w:instrText xml:space="preserve"> ADDIN ZOTERO_ITEM CSL_CITATION {"citationID":"a2m5d8e1ks3","properties":{"formattedCitation":"(NAPRA Network, 2010)","plainCitation":"(NAPRA Network, 2010)","noteIndex":0},"citationItems":[{"id":53479,"uris":["http://zotero.org/groups/2352922/items/ZEWBVDPP"],"itemData":{"id":53479,"type":"article-journal","container-title":"Non-native Species Secretariat","note":"No unique identifier","title":"Risk assessment scheme for non-native species in Great Britain","author":[{"literal":"NAPRA Network"}],"issued":{"date-parts":[["2010"]]}},"label":"page"}],"schema":"https://github.com/citation-style-language/schema/raw/master/csl-citation.json"} </w:instrText>
      </w:r>
      <w:r w:rsidR="00F34A9B" w:rsidRPr="00A9434B">
        <w:fldChar w:fldCharType="separate"/>
      </w:r>
      <w:r w:rsidR="00E452E2" w:rsidRPr="00E452E2">
        <w:t>(NAPRA Network, 2010)</w:t>
      </w:r>
      <w:r w:rsidR="00F34A9B" w:rsidRPr="00A9434B">
        <w:fldChar w:fldCharType="end"/>
      </w:r>
      <w:r w:rsidR="1B4F93D9" w:rsidRPr="00A9434B">
        <w:t>.</w:t>
      </w:r>
      <w:r>
        <w:t xml:space="preserve"> </w:t>
      </w:r>
      <w:bookmarkStart w:id="332" w:name="_Toc74056312"/>
      <w:r>
        <w:t>In the context of transport and introduction</w:t>
      </w:r>
      <w:bookmarkEnd w:id="332"/>
      <w:r>
        <w:t>, a policy of inspection and/or treatment at the port of departure can duplicate the effect of other policy of inspection and/or treatment at a port of entry. However, if a departure and arrival policy is established, policy integration would require an international agreement. A key part of such agreement is aligning the authorities with the mandate of inspection and/or treatment.</w:t>
      </w:r>
    </w:p>
    <w:p w14:paraId="2B0C962C" w14:textId="77777777" w:rsidR="00017C04" w:rsidRDefault="00F50AF9" w:rsidP="00801BB3">
      <w:pPr>
        <w:pStyle w:val="Heading3"/>
      </w:pPr>
      <w:bookmarkStart w:id="333" w:name="_heading=h.1tuee74" w:colFirst="0" w:colLast="0"/>
      <w:bookmarkStart w:id="334" w:name="_Toc2141038538"/>
      <w:bookmarkStart w:id="335" w:name="_Toc133428318"/>
      <w:bookmarkEnd w:id="333"/>
      <w:r>
        <w:t>Embed both surveillance and monitoring into policy instruments focused on invasion management</w:t>
      </w:r>
      <w:bookmarkEnd w:id="334"/>
      <w:bookmarkEnd w:id="335"/>
    </w:p>
    <w:p w14:paraId="181C8E06" w14:textId="554AFDD0" w:rsidR="006713A7" w:rsidRPr="00A9434B" w:rsidRDefault="00801BB3" w:rsidP="006B3143">
      <w:r>
        <w:t xml:space="preserve">Invasive alien species can cross borders and, therefore, preventing their introduction </w:t>
      </w:r>
      <w:r w:rsidR="00AD7AB6" w:rsidRPr="00A9434B">
        <w:t>can only be achieved with</w:t>
      </w:r>
      <w:r w:rsidR="006713A7" w:rsidRPr="00A9434B">
        <w:t xml:space="preserve"> </w:t>
      </w:r>
      <w:r w:rsidR="00AD7AB6" w:rsidRPr="00A9434B">
        <w:t xml:space="preserve">pre-border, border and post-border </w:t>
      </w:r>
      <w:r w:rsidR="006713A7" w:rsidRPr="00A9434B">
        <w:t xml:space="preserve">surveillance systems </w:t>
      </w:r>
      <w:r w:rsidR="006C5C06" w:rsidRPr="00A9434B">
        <w:fldChar w:fldCharType="begin"/>
      </w:r>
      <w:r w:rsidR="0006613E">
        <w:instrText xml:space="preserve"> ADDIN ZOTERO_ITEM CSL_CITATION {"citationID":"a10th6e8bg7","properties":{"formattedCitation":"(Anderson et al., 2017; Poland &amp; Rassati, 2019)","plainCitation":"(Anderson et al., 2017; Poland &amp; Rassati, 2019)","noteIndex":0},"citationItems":[{"id":53216,"uris":["http://zotero.org/groups/2352922/items/R572UQ9B","http://zotero.org/groups/2352922/items/YM3ZJE8Z"],"itemData":{"id":53216,"type":"article-journal","container-title":"Crop Protection","DOI":"10.1016/j.cropro.2017.05.023","ISSN":"02612194","journalAbbreviation":"Crop Protection","language":"en","page":"8-20","source":"DOI.org (Crossref)","title":"Australian plant biosecurity surveillance systems","URL":"https://linkinghub.elsevier.com/retrieve/pii/S0261219417301461","volume":"100","author":[{"family":"Anderson","given":"Chris"},{"family":"Low-Choy","given":"Samantha"},{"family":"Whittle","given":"Peter"},{"family":"Taylor","given":"Sharyn"},{"family":"Gambley","given":"Cherie"},{"family":"Smith","given":"Linda"},{"family":"Gillespie","given":"Peter"},{"family":"Löcker","given":"Holger"},{"family":"Davis","given":"Richard"},{"family":"Dominiak","given":"Bernie"}],"accessed":{"date-parts":[["2022",9,5]]},"issued":{"date-parts":[["2017",10]]}},"label":"page"},{"id":53224,"uris":["http://zotero.org/groups/2352922/items/N8NWAEVD"],"itemData":{"id":53224,"type":"article-journal","container-title":"Journal of Pest Science","DOI":"10.1007/s10340-018-1004-y","ISSN":"1612-4758, 1612-4766","issue":"1","journalAbbreviation":"J Pest Sci","language":"en","page":"37-49","source":"DOI.org (Crossref)","title":"Improved biosecurity surveillance of non-native forest insects: a review of current methods","title-short":"Improved biosecurity surveillance of non-native forest insects","URL":"http://link.springer.com/10.1007/s10340-018-1004-y","volume":"92","author":[{"family":"Poland","given":"Therese M."},{"family":"Rassati","given":"Davide"}],"accessed":{"date-parts":[["2022",9,5]]},"issued":{"date-parts":[["2019",1]]}},"label":"page"}],"schema":"https://github.com/citation-style-language/schema/raw/master/csl-citation.json"} </w:instrText>
      </w:r>
      <w:r w:rsidR="006C5C06" w:rsidRPr="00A9434B">
        <w:fldChar w:fldCharType="separate"/>
      </w:r>
      <w:r w:rsidR="00017441" w:rsidRPr="00017441">
        <w:t>(Anderson et al., 2017; Poland &amp; Rassati, 2019)</w:t>
      </w:r>
      <w:r w:rsidR="006C5C06" w:rsidRPr="00A9434B">
        <w:fldChar w:fldCharType="end"/>
      </w:r>
      <w:r w:rsidR="006713A7" w:rsidRPr="00A9434B">
        <w:t xml:space="preserve">. </w:t>
      </w:r>
      <w:r w:rsidR="00AD7AB6" w:rsidRPr="00A9434B">
        <w:t>Successfully controlling</w:t>
      </w:r>
      <w:r w:rsidR="006713A7" w:rsidRPr="00A9434B">
        <w:t xml:space="preserve"> invasive alien species or preventing </w:t>
      </w:r>
      <w:r w:rsidR="00AD7AB6" w:rsidRPr="00A9434B">
        <w:t xml:space="preserve">biological </w:t>
      </w:r>
      <w:r w:rsidR="006713A7" w:rsidRPr="00A9434B">
        <w:t xml:space="preserve">reinvasions </w:t>
      </w:r>
      <w:r w:rsidR="00AD7AB6" w:rsidRPr="00A9434B">
        <w:t>relies on</w:t>
      </w:r>
      <w:r w:rsidR="006713A7" w:rsidRPr="00A9434B">
        <w:t xml:space="preserve"> long-term monitoring for early detection and rapid response</w:t>
      </w:r>
      <w:r w:rsidR="00CC7EBA" w:rsidRPr="00A9434B">
        <w:t xml:space="preserve"> </w:t>
      </w:r>
      <w:r w:rsidR="006C5C06" w:rsidRPr="00A9434B">
        <w:fldChar w:fldCharType="begin"/>
      </w:r>
      <w:r w:rsidR="0006613E">
        <w:instrText xml:space="preserve"> ADDIN ZOTERO_ITEM CSL_CITATION {"citationID":"a1kg4gjp21o","properties":{"formattedCitation":"(Amorim et al., 2014; European Environment Agency, 2010b; Franklin et al., 2011; Oswalt et al., 2021; Roy &amp; Roy, 2008)","plainCitation":"(Amorim et al., 2014; European Environment Agency, 2010b; Franklin et al., 2011; Oswalt et al., 2021; Roy &amp; Roy, 2008)","noteIndex":0},"citationItems":[{"id":53215,"uris":["http://zotero.org/groups/2352922/items/ZQLAUFAI"],"itemData":{"id":53215,"type":"article-journal","abstract":"Here we develop a framework to design multi-species monitoring networks using species distribution models and conservation planning tools to optimize the location of monitoring stations to detect potential range shifts driven by climate change. For this study, we focused on seven bat species in Northern Portugal (Western Europe). Maximum entropy modelling was used to predict the likely occurrence of those species under present and future climatic conditions. By comparing present and future predicted distributions, we identified areas where each species is likely to gain, lose or maintain suitable climatic space. We then used a decision support tool (the Marxan software) to design three optimized monitoring networks considering: a) changes in species likely occurrence, b) species conservation status, and c) level of volunteer commitment. For present climatic conditions, species distribution models revealed that areas suitable for most species occur in the north-eastern part of the region. However, areas predicted to become climatically suitable in the future shifted towards west. The three simulated monitoring networks, adaptable for an unpredictable volunteer commitment, included 28, 54 and 110 sampling locations respectively, distributed across the study area and covering the potential full range of conditions where species range shifts may occur. Our results show that our framework outperforms the traditional approach that only considers current species ranges, in allocating monitoring stations distributed across different categories of predicted shifts in species distributions. This study presents a straightforward framework to design monitoring schemes aimed specifically at testing hypotheses about where and when species ranges may shift with climatic changes, while also ensuring surveillance of general population trends.","container-title":"PLoS ONE","DOI":"10.1371/journal.pone.0087291","ISSN":"1932-6203","issue":"1","journalAbbreviation":"PLOS ONE","language":"en","note":"publisher: Public Library of Science","page":"e87291","source":"PLoS Journals","title":"Designing Optimized Multi-Species Monitoring Networks to Detect Range Shifts Driven by Climate Change: A Case Study with Bats in the North of Portugal","title-short":"Designing Optimized Multi-Species Monitoring Networks to Detect Range Shifts Driven by Climate Change","URL":"https://journals.plos.org/plosone/article?id=10.1371/journal.pone.0087291","volume":"9","author":[{"family":"Amorim","given":"Francisco"},{"family":"Carvalho","given":"Sílvia B."},{"family":"Honrado","given":"João"},{"family":"Rebelo","given":"Hugo"}],"accessed":{"date-parts":[["2022",9,5]]},"issued":{"date-parts":[["2014",1,27]]}},"label":"page"},{"id":53221,"uris":["http://zotero.org/groups/2352922/items/2RQ6CLTS"],"itemData":{"id":53221,"type":"report","event-place":"Copenhagen","genre":"EEA Technical report","note":"ISSN: 1725-2237\nDOI 10.2800/4167","number":"5","page":"47","publisher-place":"Copenhagen","title":"Towards an early warning and information system for invasive alien species (IAS) threatening biodiversity in Europe","author":[{"literal":"European Environment Agency"}],"issued":{"date-parts":[["2010"]]}},"label":"page"},{"id":53223,"uris":["http://zotero.org/groups/2352922/items/JLWLP576"],"itemData":{"</w:instrText>
      </w:r>
      <w:r w:rsidR="0006613E">
        <w:rPr>
          <w:rFonts w:hint="eastAsia"/>
        </w:rPr>
        <w:instrText>id":53223,"type":"article-journal","container-title":"American Journal of Botany","issue":"3","note":"ISBN: 0002-9122\npublisher: Wiley Online Library","page":"559-571","title":"Planning, implementing, and monitoring multiple</w:instrText>
      </w:r>
      <w:r w:rsidR="0006613E">
        <w:rPr>
          <w:rFonts w:hint="eastAsia"/>
        </w:rPr>
        <w:instrText>‐</w:instrText>
      </w:r>
      <w:r w:rsidR="0006613E">
        <w:rPr>
          <w:rFonts w:hint="eastAsia"/>
        </w:rPr>
        <w:instrText xml:space="preserve">species habitat conservation </w:instrText>
      </w:r>
      <w:r w:rsidR="0006613E">
        <w:instrText xml:space="preserve">plans","URL":"http://www.jstor.org/stable/41149205","volume":"98","author":[{"family":"Franklin","given":"Janet"},{"family":"Regan","given":"Helen M."},{"family":"Hierl","given":"Lauren A."},{"family":"Deutschman","given":"Douglas H."},{"family":"Johnson","given":"Brenda S."},{"family":"Winchell","given":"Clark S."}],"issued":{"date-parts":[["2011"]]}},"label":"page"},{"id":53220,"uris":["http://zotero.org/groups/2352922/items/42AW662Q"],"itemData":{"id":53220,"type":"chapter","container-title":"Invasive Species in Forests and Rangelands of the United States: A Comprehensive Science Synthesis for the United States Forest Sector","event-place":"Heidelberg, Germany","note":"DOI: 10.1007/978-3-030-45367-1_10","page":"231-242","publisher":"Springer International Publishing","publisher-place":"Heidelberg, Germany","title":"Inventory and Monitoring of Invasive Species","author":[{"family":"Oswalt","given":"Sonja"},{"family":"Oswalt","given":"Chris"},{"family":"Crall","given":"Alycia"},{"family":"Rabaglia","given":"Robert"},{"family":"Schwartz","given":"Michael K."},{"family":"Kerns","given":"Becky K."},{"family":"Poland","given":"Therese M."},{"family":"Patel-Weynand","given":"Toral"},{"family":"Finch","given":"Deborah M."},{"family":"Ford Miniat","given":"Chelcy"},{"family":"Hayes","given":"Deborah C."},{"family":"Lopez","given":"Vanessa M."}],"issued":{"date-parts":[["2021"]]}},"label":"page"},{"id":53219,"uris":["http://zotero.org/groups/2352922/items/SSZP2NRQ"],"itemData":{"id":53219,"type":"report","note":"No unique identifier","publisher":"DAISIE project deliverables.","title":"Deliverable: Review of invasive alien species monitoring in Europe including a plan for an early warning network.","author":[{"family":"Roy","given":"H. E."},{"family":"Roy","given":"D. B."}],"issued":{"date-parts":[["2008"]]}},"label":"page"}],"schema":"https://github.com/citation-style-language/schema/raw/master/csl-citation.json"} </w:instrText>
      </w:r>
      <w:r w:rsidR="006C5C06" w:rsidRPr="00A9434B">
        <w:fldChar w:fldCharType="separate"/>
      </w:r>
      <w:r w:rsidR="00065870" w:rsidRPr="00065870">
        <w:t>(Amorim et al., 2014; European Environment Agency, 2010b; Franklin et al., 2011; Oswalt et al., 2021; Roy &amp; Roy, 2008)</w:t>
      </w:r>
      <w:r w:rsidR="006C5C06" w:rsidRPr="00A9434B">
        <w:fldChar w:fldCharType="end"/>
      </w:r>
      <w:r w:rsidR="006713A7" w:rsidRPr="00A9434B">
        <w:t>. These activities are essential to minimizing their impacts, developing economically efficient and ecologically relevant management program</w:t>
      </w:r>
      <w:r w:rsidR="00C13F61" w:rsidRPr="00A9434B">
        <w:t>me</w:t>
      </w:r>
      <w:r w:rsidR="006713A7" w:rsidRPr="00A9434B">
        <w:t>s</w:t>
      </w:r>
      <w:r w:rsidR="005D0083">
        <w:t xml:space="preserve"> and</w:t>
      </w:r>
      <w:r w:rsidR="006713A7" w:rsidRPr="00A9434B">
        <w:t xml:space="preserve"> promoting citizen engagement and educational outreach </w:t>
      </w:r>
      <w:r w:rsidR="006C5C06" w:rsidRPr="00A9434B">
        <w:fldChar w:fldCharType="begin"/>
      </w:r>
      <w:r w:rsidR="0006613E">
        <w:instrText xml:space="preserve"> ADDIN ZOTERO_ITEM CSL_CITATION {"citationID":"a9gbgbtr65","properties":{"formattedCitation":"(McGeoch &amp; Squires, 2015; Oswalt et al., 2021)","plainCitation":"(McGeoch &amp; Squires, 2015; Oswalt et al., 2021)","noteIndex":0},"citationItems":[{"id":53218,"uris":["http://zotero.org/groups/2352922/items/ESKA6PRX"],"itemData":{"id":53218,"type":"document","publisher":"GEO BON Technical Series 2","title":"An essential variable approach to monitoring biological invasions: Guide for countries","URL":"https://www.geobon.org/downloads/biodiversity-monitoring/technical-reports/GEOBON/2015/Monitoring-Biological-Invasions.pdf","author":[{"family":"McGeoch","given":"Melodie A."},{"family":"Squires","given":"Z. E."}],"contributor":[{"family":"Blackburn","given":"T. M."},{"family":"Roy","given":"H. E."},{"family":"Wilson","given":"J. R. U."}],"issued":{"date-parts":[["2015"]]}},"label":"page"},{"id":53220,"uris":["http://zotero.org/groups/2352922/items/42AW662Q"],"itemData":{"id":53220,"type":"chapter","container-title":"Invasive Species in Forests and Rangelands of the United States: A Comprehensive Science Synthesis for the United States Forest Sector","event-place":"Heidelberg, Germany","note":"DOI: 10.1007/978-3-030-45367-1_10","page":"231-242","publisher":"Springer International Publishing","publisher-place":"Heidelberg, Germany","title":"Inventory and Monitoring of Invasive Species","author":[{"family":"Oswalt","given":"Sonja"},{"family":"Oswalt","given":"Chris"},{"family":"Crall","given":"Alycia"},{"family":"Rabaglia","given":"Robert"},{"family":"Schwartz","given":"Michael K."},{"family":"Kerns","given":"Becky K."},{"family":"Poland","given":"Therese M."},{"family":"Patel-Weynand","given":"Toral"},{"family":"Finch","given":"Deborah M."},{"family":"Ford Miniat","given":"Chelcy"},{"family":"Hayes","given":"Deborah C."},{"family":"Lopez","given":"Vanessa M."}],"issued":{"date-parts":[["2021"]]}},"label":"page"}],"schema":"https://github.com/citation-style-language/schema/raw/master/csl-citation.json"} </w:instrText>
      </w:r>
      <w:r w:rsidR="006C5C06" w:rsidRPr="00A9434B">
        <w:fldChar w:fldCharType="separate"/>
      </w:r>
      <w:r w:rsidR="00065870" w:rsidRPr="00065870">
        <w:t>(McGeoch &amp; Squires, 2015; Oswalt et al., 2021)</w:t>
      </w:r>
      <w:r w:rsidR="006C5C06" w:rsidRPr="00A9434B">
        <w:fldChar w:fldCharType="end"/>
      </w:r>
      <w:r w:rsidR="006713A7" w:rsidRPr="00A9434B">
        <w:t>. Furthermore, these activities a</w:t>
      </w:r>
      <w:r w:rsidR="001C1880" w:rsidRPr="00A9434B">
        <w:t>r</w:t>
      </w:r>
      <w:r w:rsidR="006713A7" w:rsidRPr="00A9434B">
        <w:t>e at the core of CBD Guiding Principle 5: Research and monitoring</w:t>
      </w:r>
      <w:r w:rsidR="009D4056" w:rsidRPr="00A9434B">
        <w:t xml:space="preserve"> </w:t>
      </w:r>
      <w:r w:rsidR="005B6449" w:rsidRPr="00A9434B">
        <w:fldChar w:fldCharType="begin"/>
      </w:r>
      <w:r w:rsidR="0006613E">
        <w:instrText xml:space="preserve"> ADDIN ZOTERO_ITEM CSL_CITATION {"citationID":"a2n4iv475or","properties":{"formattedCitation":"(CBD, 2002)","plainCitation":"(CBD, 2002)","noteIndex":0},"citationItems":[{"id":30011,"uris":["http://zotero.org/groups/2352922/items/9EVDWKMU","http://zotero.org/groups/2352922/items/TPXNITQT"],"itemData":{"id":30011,"type":"paper-conference","collection-title":"Annex of UNEP/CBD/COP/DEC/VI/23","container-title":"COP 6 Decision VI/23","event-place":"The Hague, Netherlands","event-title":"COP 6","language":"en","license":"Copyright 2001-2011, Secretariat of the Convention on Biological Diversity","publisher":"Convention on Biodiversity, United Nations Environment Programme","publisher-place":"The Hague, Netherlands","title":"Alien species that threaten ecosystems, habitats or species","URL":"https://www.cbd.int/decision/cop/?id=7197","author":[{"literal":"CBD"}],"accessed":{"date-parts":[["2021",8,16]]},"issued":{"date-parts":[["2002",4,7]]}},"label":"page"}],"schema":"https://github.com/citation-style-language/schema/raw/master/csl-citation.json"} </w:instrText>
      </w:r>
      <w:r w:rsidR="005B6449" w:rsidRPr="00A9434B">
        <w:fldChar w:fldCharType="separate"/>
      </w:r>
      <w:r w:rsidR="00713CE0" w:rsidRPr="00713CE0">
        <w:t>(CBD, 2002)</w:t>
      </w:r>
      <w:r w:rsidR="005B6449" w:rsidRPr="00A9434B">
        <w:fldChar w:fldCharType="end"/>
      </w:r>
      <w:r w:rsidR="006713A7" w:rsidRPr="00A9434B">
        <w:t xml:space="preserve"> </w:t>
      </w:r>
      <w:r>
        <w:t>and are considered a fundamental tool to address the problem of invasive alien species</w:t>
      </w:r>
      <w:r w:rsidR="006713A7" w:rsidRPr="00A9434B">
        <w:t>. Continuous monitoring systems that use essential biodiversity variables (</w:t>
      </w:r>
      <w:r w:rsidR="009F72C2" w:rsidRPr="00A9434B">
        <w:t>EBV</w:t>
      </w:r>
      <w:r w:rsidR="00052841" w:rsidRPr="00A9434B">
        <w:t>s</w:t>
      </w:r>
      <w:r w:rsidR="0085609A">
        <w:t xml:space="preserve">; </w:t>
      </w:r>
      <w:r w:rsidR="00947CE1">
        <w:rPr>
          <w:b/>
          <w:iCs/>
        </w:rPr>
        <w:t>G</w:t>
      </w:r>
      <w:r w:rsidR="00D011B4" w:rsidRPr="00673554">
        <w:rPr>
          <w:b/>
          <w:iCs/>
        </w:rPr>
        <w:t>lossary</w:t>
      </w:r>
      <w:r w:rsidR="0085609A" w:rsidRPr="00947CE1">
        <w:t>;</w:t>
      </w:r>
      <w:r w:rsidR="00D011B4" w:rsidRPr="00673554">
        <w:rPr>
          <w:b/>
          <w:iCs/>
        </w:rPr>
        <w:t xml:space="preserve"> </w:t>
      </w:r>
      <w:r w:rsidR="006713A7" w:rsidRPr="00673554">
        <w:rPr>
          <w:b/>
          <w:iCs/>
        </w:rPr>
        <w:t>section 6.6</w:t>
      </w:r>
      <w:r w:rsidR="006713A7" w:rsidRPr="00A9434B">
        <w:t xml:space="preserve">) can also help evaluate the effectiveness of </w:t>
      </w:r>
      <w:r w:rsidR="007B755A" w:rsidRPr="00A9434B">
        <w:t>policy</w:t>
      </w:r>
      <w:r w:rsidR="006713A7" w:rsidRPr="00A9434B">
        <w:t xml:space="preserve"> and management strategies and fill a fundamental knowledge gap in environmental policy.</w:t>
      </w:r>
    </w:p>
    <w:p w14:paraId="1A8144F0" w14:textId="68A1ABF2" w:rsidR="006713A7" w:rsidRPr="00A9434B" w:rsidRDefault="58CB31EF" w:rsidP="006B3143">
      <w:r w:rsidRPr="00A9434B">
        <w:t xml:space="preserve">For example, the European </w:t>
      </w:r>
      <w:r w:rsidR="006013B7" w:rsidRPr="00A9434B">
        <w:t>Union R</w:t>
      </w:r>
      <w:r w:rsidRPr="00A9434B">
        <w:t xml:space="preserve">egulation 1143/2014 on invasive alien species </w:t>
      </w:r>
      <w:r w:rsidR="006713A7" w:rsidRPr="00A9434B">
        <w:fldChar w:fldCharType="begin"/>
      </w:r>
      <w:r w:rsidR="0006613E">
        <w:instrText xml:space="preserve"> ADDIN ZOTERO_ITEM CSL_CITATION {"citationID":"akun8htduj","properties":{"formattedCitation":"(Council of the European Communities, 2014)","plainCitation":"(Council of the European Communities, 2014)","noteIndex":0},"citationItems":[{"id":32575,"uris":["http://zotero.org/groups/2352922/items/AERA5TAG"],"itemData":{"id":32575,"type":"document","title":"Regulation (EU) No 1143/2014 of the European Parliament and of the Council of 22 October 2014 on the prevention and management of the introduction and spread of invasive alien species. OJEU L317:35–55","URL":"https://eur-lex.europa.eu/legal-content/EN/TXT/?uri=OJ:JOL_2014_317_R_0003","author":[{"literal":"Council of the European Communities"}],"issued":{"date-parts":[["2014"]]}},"label":"page"}],"schema":"https://github.com/citation-style-language/schema/raw/master/csl-citation.json"} </w:instrText>
      </w:r>
      <w:r w:rsidR="006713A7" w:rsidRPr="00A9434B">
        <w:fldChar w:fldCharType="separate"/>
      </w:r>
      <w:r w:rsidR="00C71E80" w:rsidRPr="00A9434B">
        <w:t>(Council of the European Communities, 2014)</w:t>
      </w:r>
      <w:r w:rsidR="006713A7" w:rsidRPr="00A9434B">
        <w:fldChar w:fldCharType="end"/>
      </w:r>
      <w:r w:rsidR="61C73179" w:rsidRPr="00A9434B">
        <w:t xml:space="preserve"> </w:t>
      </w:r>
      <w:r w:rsidR="00801BB3">
        <w:t xml:space="preserve">has specific provisions for member states regarding the implementation of surveillance systems to detect the presence of alien species of Union concern as early as possible and take rapid eradication measures to prevent their establishment. However, as </w:t>
      </w:r>
      <w:r w:rsidR="009011F3">
        <w:t>noted</w:t>
      </w:r>
      <w:r w:rsidR="00801BB3">
        <w:t xml:space="preserve"> by</w:t>
      </w:r>
      <w:r w:rsidRPr="00A9434B">
        <w:t xml:space="preserve"> </w:t>
      </w:r>
      <w:r w:rsidR="00F77855" w:rsidRPr="00A9434B">
        <w:t>Latombe et al.</w:t>
      </w:r>
      <w:r w:rsidR="00F77855">
        <w:t xml:space="preserve"> </w:t>
      </w:r>
      <w:r w:rsidR="006713A7" w:rsidRPr="00A9434B">
        <w:fldChar w:fldCharType="begin"/>
      </w:r>
      <w:r w:rsidR="0006613E">
        <w:instrText xml:space="preserve"> ADDIN ZOTERO_ITEM CSL_CITATION {"citationID":"6Lvu9hhT","properties":{"formattedCitation":"(2017)","plainCitation":"(2017)","noteIndex":0},"citationItems":[{"id":28759,"uris":["http://zotero.org/groups/2352922/items/RDKZXX6M"],"itemData":{"id":28759,"type":"article-journal","abstract":"Managing biological invasions relies on good global coverage of species distributions. Accurate information on alien species distributions, obtained from international policy and cross-border co-operation, is required to evaluate trans-boundary and trading partnership risks. However, a standardized approach for systematically monitoring alien species and tracking biological invasions is still lacking. This Perspective presents a vision for global observation and monitoring of biological invasions. We show how the architecture for tracking biological invasions is provided by a minimum information set of Essential Variables, global collaboration on data sharing and infrastructure, and strategic contributions by countries. We show how this novel, synthetic approach to an observation system for alien species provides a tangible and attainable solution to delivering the information needed to slow the rate of new incursions and reduce the impacts of invaders. We identify three Essential Variables for Invasion Monitoring; alien species occurrence, species alien status and alien species impact. We outline how delivery of this minimum information set by joint, complementary contributions from countries and global community initiatives is possible. Country contributions are made feasible using a modular approach where all countries are able to participate and strategically build their contributions to a global information set over time. The vision we outline will deliver wide-ranging benefits to countries and international efforts to slow the rate of biological invasions and minimize their environmental impacts. These benefits will accrue over time as global coverage and information on alien species increases.","container-title":"Biological Conservation","DOI":"10.1016/j.biocon.2016.06.013","ISSN":"00063207","journalAbbreviation":"Biological Conservation","language":"en","page":"295-308","source":"DOI.org (Crossref)","title":"A vision for global monitoring of biological invasions","URL":"https://linkinghub.elsevier.com/retrieve/pii/S0006320716302373","volume":"213","author":[{"family":"Latombe","given":"Guillaume"},{"family":"Pyšek","given":"Petr"},{"family":"Jeschke","given":"Jonathan M."},{"family":"Blackburn","given":"Tim M."},{"family":"Bacher","given":"Sven"},{"family":"Capinha","given":"César"},{"family":"Costello","given":"Mark J."},{"family":"Fernández","given":"Miguel"},{"family":"Gregory","given":"Richard D."},{"family":"Hobern","given":"Donald"},{"family":"Hui","given":"Cang"},{"family":"Jetz","given":"Walter"},{"family":"Kumschick","given":"Sabrina"},{"family":"McGrannachan","given":"Chris"},{"family":"Pergl","given":"Jan"},{"family":"Roy","given":"Helen E."},{"family":"Scalera","given":"Riccardo"},{"family":"Squires","given":"Zoe E."},{"family":"Wilson","given":"John R.U."},{"family":"Winter","given":"Marten"},{"family":"Genovesi","given":"Piero"},{"family":"McGeoch","given":"Melodie A."}],"issued":{"date-parts":[["2017",9]]}},"label":"page","suppress-author":true}],"schema":"https://github.com/citation-style-language/schema/raw/master/csl-citation.json"} </w:instrText>
      </w:r>
      <w:r w:rsidR="006713A7" w:rsidRPr="00A9434B">
        <w:fldChar w:fldCharType="separate"/>
      </w:r>
      <w:r w:rsidR="00F77855" w:rsidRPr="00F77855">
        <w:t>(2017)</w:t>
      </w:r>
      <w:r w:rsidR="006713A7" w:rsidRPr="00A9434B">
        <w:fldChar w:fldCharType="end"/>
      </w:r>
      <w:r w:rsidRPr="00A9434B">
        <w:t>, in 2010, only 26</w:t>
      </w:r>
      <w:r w:rsidR="00C31587" w:rsidRPr="00A9434B">
        <w:t xml:space="preserve"> per cent</w:t>
      </w:r>
      <w:r w:rsidRPr="00A9434B">
        <w:t xml:space="preserve"> of </w:t>
      </w:r>
      <w:r w:rsidR="00801BB3">
        <w:t>countries reported the establishment of national surveillance systems and monitoring activity.</w:t>
      </w:r>
      <w:r w:rsidRPr="00A9434B">
        <w:t xml:space="preserve"> Additionally, the capacity to detect and react promptly to new invasions or re-invasions is often limited (see, for example, </w:t>
      </w:r>
      <w:r w:rsidR="006713A7" w:rsidRPr="00A9434B">
        <w:fldChar w:fldCharType="begin"/>
      </w:r>
      <w:r w:rsidR="002D2756">
        <w:instrText xml:space="preserve"> ADDIN ZOTERO_ITEM CSL_CITATION {"citationID":"a1oir5h8dmh","properties":{"formattedCitation":"(Genovesi, 2005)","plainCitation":"(Genovesi, 2005)","dontUpdate":true,"noteIndex":0},"citationItems":[{"id":28885,"uris":["http://zotero.org/groups/2352922/items/8VWLN9WF","http://zotero.org/groups/2352922/items/87672FJI"],"itemData":{"id":28885,"type":"article-journal","abstract":"Eradication of alien species is a key conservation tool to mitigate the impacts caused by biologic inva-sions. The aim of the present paper is to review the eradications successfully completed in Europe and to discuss the main limits to a wider application of this management option in the region. On the basis of the available literature – including conference proceedings, national reports to the Bern Convention, etc. – a total of 37 eradication programmes have been recorded. Thirty-three eradications were carried out on islands and four on the mainland. The rat (Rattus spp.) has been the most common target (n  25, 67%), followed by the rabbit (n  4). In many cases, these eradications determined a significant recovery of native biodiversity. Differently to other regions of the world, no eradications of alien inverte-brates and marine organisms have been recorded; regarding invasive alien plants, it appears that only some very localized removals have been completed so far in Europe. The limited number of eradications carried out in Europe so far is probably due to the limited awareness of the public and the decision makers, the inadequacy of the legal framework, and the scarcity of resources. Synthetic guidelines for improving the ability of European states to respond to aliens incursions are presented.","container-title":"Biological Invasions","language":"en","page":"127–133","source":"CiteSeer","title":"Eradications of invasive alien species in Europe: a review","title-short":"Eradications of invasive alien species in Europe","URL":"http://files/32007/Genovesi - Eradications of invasive alien species in Europe .pdf","author":[{"family":"Genovesi","given":"Piero"}],"issued":{"date-parts":[["2005"]]}},"label":"page"}],"schema":"https://github.com/citation-style-language/schema/raw/master/csl-citation.json"} </w:instrText>
      </w:r>
      <w:r w:rsidR="006713A7" w:rsidRPr="00A9434B">
        <w:fldChar w:fldCharType="separate"/>
      </w:r>
      <w:r w:rsidR="00C71E80" w:rsidRPr="00A9434B">
        <w:t>Genovesi, 2005)</w:t>
      </w:r>
      <w:r w:rsidR="006713A7" w:rsidRPr="00A9434B">
        <w:fldChar w:fldCharType="end"/>
      </w:r>
      <w:r w:rsidRPr="00A9434B">
        <w:t xml:space="preserve"> and is usually not comparable across countries </w:t>
      </w:r>
      <w:r w:rsidR="000C4C57" w:rsidRPr="00A9434B">
        <w:fldChar w:fldCharType="begin"/>
      </w:r>
      <w:r w:rsidR="0006613E">
        <w:instrText xml:space="preserve"> ADDIN ZOTERO_ITEM CSL_CITATION {"citationID":"MKHXtvQw","properties":{"formattedCitation":"(Latombe et al., 2017)","plainCitation":"(Latombe et al., 2017)","noteIndex":0},"citationItems":[{"id":28759,"uris":["http://zotero.org/groups/2352922/items/RDKZXX6M"],"itemData":{"id":28759,"type":"article-journal","abstract":"Managing biological invasions relies on good global coverage of species distributions. Accurate information on alien species distributions, obtained from international policy and cross-border co-operation, is required to evaluate trans-boundary and trading partnership risks. However, a standardized approach for systematically monitoring alien species and tracking biological invasions is still lacking. This Perspective presents a vision for global observation and monitoring of biological invasions. We show how the architecture for tracking biological invasions is provided by a minimum information set of Essential Variables, global collaboration on data sharing and infrastructure, and strategic contributions by countries. We show how this novel, synthetic approach to an observation system for alien species provides a tangible and attainable solution to delivering the information needed to slow the rate of new incursions and reduce the impacts of invaders. We identify three Essential Variables for Invasion Monitoring; alien species occurrence, species alien status and alien species impact. We outline how delivery of this minimum information set by joint, complementary contributions from countries and global community initiatives is possible. Country contributions are made feasible using a modular approach where all countries are able to participate and strategically build their contributions to a global information set over time. The vision we outline will deliver wide-ranging benefits to countries and international efforts to slow the rate of biological invasions and minimize their environmental impacts. These benefits will accrue over time as global coverage and information on alien species increases.","container-title":"Biological Conservation","DOI":"10.1016/j.biocon.2016.06.013","ISSN":"00063207","journalAbbreviation":"Biological Conservation","language":"en","page":"295-308","source":"DOI.org (Crossref)","title":"A vision for global monitoring of biological invasions","URL":"https://linkinghub.elsevier.com/retrieve/pii/S0006320716302373","volume":"213","author":[{"family":"Latombe","given":"Guillaume"},{"family":"Pyšek","given":"Petr"},{"family":"Jeschke","given":"Jonathan M."},{"family":"Blackburn","given":"Tim M."},{"family":"Bacher","given":"Sven"},{"family":"Capinha","given":"César"},{"family":"Costello","given":"Mark J."},{"family":"Fernández","given":"Miguel"},{"family":"Gregory","given":"Richard D."},{"family":"Hobern","given":"Donald"},{"family":"Hui","given":"Cang"},{"family":"Jetz","given":"Walter"},{"family":"Kumschick","given":"Sabrina"},{"family":"McGrannachan","given":"Chris"},{"family":"Pergl","given":"Jan"},{"family":"Roy","given":"Helen E."},{"family":"Scalera","given":"Riccardo"},{"family":"Squires","given":"Zoe E."},{"family":"Wilson","given":"John R.U."},{"family":"Winter","given":"Marten"},{"family":"Genovesi","given":"Piero"},{"family":"McGeoch","given":"Melodie A."}],"issued":{"date-parts":[["2017",9]]}},"label":"page"}],"schema":"https://github.com/citation-style-language/schema/raw/master/csl-citation.json"} </w:instrText>
      </w:r>
      <w:r w:rsidR="000C4C57" w:rsidRPr="00A9434B">
        <w:fldChar w:fldCharType="separate"/>
      </w:r>
      <w:r w:rsidR="00C71E80" w:rsidRPr="00A9434B">
        <w:t>(Latombe et al., 2017)</w:t>
      </w:r>
      <w:r w:rsidR="000C4C57" w:rsidRPr="00A9434B">
        <w:fldChar w:fldCharType="end"/>
      </w:r>
      <w:r w:rsidRPr="00A9434B">
        <w:t>. Furthermore, when monitoring takes place, it occurs at multiple unconnected scales -</w:t>
      </w:r>
      <w:r w:rsidR="00683C4A">
        <w:t xml:space="preserve"> </w:t>
      </w:r>
      <w:r w:rsidRPr="00A9434B">
        <w:t>from national program</w:t>
      </w:r>
      <w:r w:rsidR="0078356F" w:rsidRPr="00A9434B">
        <w:t>me</w:t>
      </w:r>
      <w:r w:rsidRPr="00A9434B">
        <w:t>s to local</w:t>
      </w:r>
      <w:r w:rsidR="0A10F72A" w:rsidRPr="00A9434B">
        <w:t xml:space="preserve"> </w:t>
      </w:r>
      <w:r w:rsidRPr="00A9434B">
        <w:t xml:space="preserve">citizen science </w:t>
      </w:r>
      <w:r w:rsidR="00F806B6" w:rsidRPr="00A9434B">
        <w:t>(</w:t>
      </w:r>
      <w:r w:rsidR="00947CE1">
        <w:rPr>
          <w:b/>
          <w:iCs/>
        </w:rPr>
        <w:t>G</w:t>
      </w:r>
      <w:r w:rsidR="00C43372" w:rsidRPr="00673554">
        <w:rPr>
          <w:b/>
          <w:iCs/>
        </w:rPr>
        <w:t>lossary</w:t>
      </w:r>
      <w:r w:rsidR="00C43372" w:rsidRPr="00A9434B">
        <w:t xml:space="preserve">) </w:t>
      </w:r>
      <w:r w:rsidR="53EF8AFE" w:rsidRPr="00A9434B">
        <w:t>initiatives</w:t>
      </w:r>
      <w:r w:rsidRPr="00A9434B">
        <w:t xml:space="preserve"> </w:t>
      </w:r>
      <w:r w:rsidR="006713A7" w:rsidRPr="00A9434B">
        <w:fldChar w:fldCharType="begin"/>
      </w:r>
      <w:r w:rsidR="0006613E">
        <w:instrText xml:space="preserve"> ADDIN ZOTERO_ITEM CSL_CITATION {"citationID":"ae3gugitba","properties":{"formattedCitation":"(McGeoch &amp; Squires, 2015; Oswalt et al., 2021)","plainCitation":"(McGeoch &amp; Squires, 2015; Oswalt et al., 2021)","noteIndex":0},"citationItems":[{"id":53218,"uris":["http://zotero.org/groups/2352922/items/ESKA6PRX"],"itemData":{"id":53218,"type":"document","publisher":"GEO BON Technical Series 2","title":"An essential variable approach to monitoring biological invasions: Guide for countries","URL":"https://www.geobon.org/downloads/biodiversity-monitoring/technical-reports/GEOBON/2015/Monitoring-Biological-Invasions.pdf","author":[{"family":"McGeoch","given":"Melodie A."},{"family":"Squires","given":"Z. E."}],"contributor":[{"family":"Blackburn","given":"T. M."},{"family":"Roy","given":"H. E."},{"family":"Wilson","given":"J. R. U."}],"issued":{"date-parts":[["2015"]]}},"label":"page"},{"id":53220,"uris":["http://zotero.org/groups/2352922/items/42AW662Q"],"itemData":{"id":53220,"type":"chapter","container-title":"Invasive Species in Forests and Rangelands of the United States: A Comprehensive Science Synthesis for the United States Forest Sector","event-place":"Heidelberg, Germany","note":"DOI: 10.1007/978-3-030-45367-1_10","page":"231-242","publisher":"Springer International Publishing","publisher-place":"Heidelberg, Germany","title":"Inventory and Monitoring of Invasive Species","author":[{"family":"Oswalt","given":"Sonja"},{"family":"Oswalt","given":"Chris"},{"family":"Crall","given":"Alycia"},{"family":"Rabaglia","given":"Robert"},{"family":"Schwartz","given":"Michael K."},{"family":"Kerns","given":"Becky K."},{"family":"Poland","given":"Therese M."},{"family":"Patel-Weynand","given":"Toral"},{"family":"Finch","given":"Deborah M."},{"family":"Ford Miniat","given":"Chelcy"},{"family":"Hayes","given":"Deborah C."},{"family":"Lopez","given":"Vanessa M."}],"issued":{"date-parts":[["2021"]]}},"label":"page"}],"schema":"https://github.com/citation-style-language/schema/raw/master/csl-citation.json"} </w:instrText>
      </w:r>
      <w:r w:rsidR="006713A7" w:rsidRPr="00A9434B">
        <w:fldChar w:fldCharType="separate"/>
      </w:r>
      <w:r w:rsidR="00065870" w:rsidRPr="00065870">
        <w:t>(McGeoch &amp; Squires, 2015; Oswalt et al., 2021)</w:t>
      </w:r>
      <w:r w:rsidR="006713A7" w:rsidRPr="00A9434B">
        <w:fldChar w:fldCharType="end"/>
      </w:r>
      <w:r w:rsidRPr="00A9434B">
        <w:t>, which further complicates their interoperability. As a result, which agency oversees surveillance and monitoring activities, and where/when/how such activities occur</w:t>
      </w:r>
      <w:r w:rsidR="1255E379" w:rsidRPr="00A9434B">
        <w:t>,</w:t>
      </w:r>
      <w:r w:rsidRPr="00A9434B">
        <w:t xml:space="preserve"> varies widely between countries.</w:t>
      </w:r>
    </w:p>
    <w:p w14:paraId="6C3E7B57" w14:textId="0340AD93" w:rsidR="351E0D24" w:rsidRPr="00A9434B" w:rsidRDefault="008C206F" w:rsidP="006B3143">
      <w:r w:rsidRPr="00A9434B">
        <w:t>T</w:t>
      </w:r>
      <w:r>
        <w:t>echnical scientific</w:t>
      </w:r>
      <w:r w:rsidRPr="00A9434B">
        <w:t xml:space="preserve"> </w:t>
      </w:r>
      <w:r w:rsidR="006713A7" w:rsidRPr="00A9434B">
        <w:t>bodies must be tasked with continuous monitoring activities, diagnosis, risk assessment, storage and circulation of information, reporting, identification</w:t>
      </w:r>
      <w:r w:rsidR="005D0083">
        <w:t xml:space="preserve"> and</w:t>
      </w:r>
      <w:r w:rsidR="006713A7" w:rsidRPr="00A9434B">
        <w:t xml:space="preserve"> enforcement of appropriate responses. At a higher level, a global monitoring system is a critical tool to be included </w:t>
      </w:r>
      <w:r w:rsidR="006713A7" w:rsidRPr="00A9434B">
        <w:lastRenderedPageBreak/>
        <w:t xml:space="preserve">in </w:t>
      </w:r>
      <w:r w:rsidR="00F372B4" w:rsidRPr="00A9434B">
        <w:t>multilateral</w:t>
      </w:r>
      <w:r w:rsidR="006713A7" w:rsidRPr="00A9434B">
        <w:t xml:space="preserve"> environmental agreements to manage biological invasions effectively. This goal is within reach, as pointed out by </w:t>
      </w:r>
      <w:r w:rsidR="000C4C57" w:rsidRPr="00A9434B">
        <w:t xml:space="preserve">Latombe et al. </w:t>
      </w:r>
      <w:r w:rsidR="005B6449" w:rsidRPr="00A9434B">
        <w:fldChar w:fldCharType="begin"/>
      </w:r>
      <w:r w:rsidR="0006613E">
        <w:instrText xml:space="preserve"> ADDIN ZOTERO_ITEM CSL_CITATION {"citationID":"ae8gajujgf","properties":{"formattedCitation":"(2017)","plainCitation":"(2017)","noteIndex":0},"citationItems":[{"id":28759,"uris":["http://zotero.org/groups/2352922/items/RDKZXX6M"],"itemData":{"id":28759,"type":"article-journal","abstract":"Managing biological invasions relies on good global coverage of species distributions. Accurate information on alien species distributions, obtained from international policy and cross-border co-operation, is required to evaluate trans-boundary and trading partnership risks. However, a standardized approach for systematically monitoring alien species and tracking biological invasions is still lacking. This Perspective presents a vision for global observation and monitoring of biological invasions. We show how the architecture for tracking biological invasions is provided by a minimum information set of Essential Variables, global collaboration on data sharing and infrastructure, and strategic contributions by countries. We show how this novel, synthetic approach to an observation system for alien species provides a tangible and attainable solution to delivering the information needed to slow the rate of new incursions and reduce the impacts of invaders. We identify three Essential Variables for Invasion Monitoring; alien species occurrence, species alien status and alien species impact. We outline how delivery of this minimum information set by joint, complementary contributions from countries and global community initiatives is possible. Country contributions are made feasible using a modular approach where all countries are able to participate and strategically build their contributions to a global information set over time. The vision we outline will deliver wide-ranging benefits to countries and international efforts to slow the rate of biological invasions and minimize their environmental impacts. These benefits will accrue over time as global coverage and information on alien species increases.","container-title":"Biological Conservation","DOI":"10.1016/j.biocon.2016.06.013","ISSN":"00063207","journalAbbreviation":"Biological Conservation","language":"en","page":"295-308","source":"DOI.org (Crossref)","title":"A vision for global monitoring of biological invasions","URL":"https://linkinghub.elsevier.com/retrieve/pii/S0006320716302373","volume":"213","author":[{"family":"Latombe","given":"Guillaume"},{"family":"Pyšek","given":"Petr"},{"family":"Jeschke","given":"Jonathan M."},{"family":"Blackburn","given":"Tim M."},{"family":"Bacher","given":"Sven"},{"family":"Capinha","given":"César"},{"family":"Costello","given":"Mark J."},{"family":"Fernández","given":"Miguel"},{"family":"Gregory","given":"Richard D."},{"family":"Hobern","given":"Donald"},{"family":"Hui","given":"Cang"},{"family":"Jetz","given":"Walter"},{"family":"Kumschick","given":"Sabrina"},{"family":"McGrannachan","given":"Chris"},{"family":"Pergl","given":"Jan"},{"family":"Roy","given":"Helen E."},{"family":"Scalera","given":"Riccardo"},{"family":"Squires","given":"Zoe E."},{"family":"Wilson","given":"John R.U."},{"family":"Winter","given":"Marten"},{"family":"Genovesi","given":"Piero"},{"family":"McGeoch","given":"Melodie A."}],"issued":{"date-parts":[["2017",9]]}},"label":"page","suppress-author":true}],"schema":"https://github.com/citation-style-language/schema/raw/master/csl-citation.json"} </w:instrText>
      </w:r>
      <w:r w:rsidR="005B6449" w:rsidRPr="00A9434B">
        <w:fldChar w:fldCharType="separate"/>
      </w:r>
      <w:r w:rsidR="00C71E80" w:rsidRPr="00A9434B">
        <w:t>(2017)</w:t>
      </w:r>
      <w:r w:rsidR="005B6449" w:rsidRPr="00A9434B">
        <w:fldChar w:fldCharType="end"/>
      </w:r>
      <w:r w:rsidR="006713A7" w:rsidRPr="00A9434B">
        <w:t xml:space="preserve">. </w:t>
      </w:r>
    </w:p>
    <w:p w14:paraId="340EA7EE" w14:textId="77777777" w:rsidR="00877CA9" w:rsidRPr="00A9434B" w:rsidRDefault="46392FDA" w:rsidP="00801BB3">
      <w:pPr>
        <w:pStyle w:val="Heading3"/>
      </w:pPr>
      <w:bookmarkStart w:id="336" w:name="_Toc741737823"/>
      <w:bookmarkStart w:id="337" w:name="_Toc133428319"/>
      <w:r w:rsidRPr="00A9434B">
        <w:t>Develop policy and regulatory instruments to underpin innovative management program</w:t>
      </w:r>
      <w:r w:rsidR="0078356F" w:rsidRPr="00A9434B">
        <w:t>me</w:t>
      </w:r>
      <w:r w:rsidRPr="00A9434B">
        <w:t>s.</w:t>
      </w:r>
      <w:bookmarkEnd w:id="336"/>
      <w:bookmarkEnd w:id="337"/>
    </w:p>
    <w:p w14:paraId="314D3419" w14:textId="7BBD0422" w:rsidR="00877CA9" w:rsidRPr="00A9434B" w:rsidRDefault="00CC71B1" w:rsidP="006B3143">
      <w:r w:rsidRPr="00A9434B">
        <w:t>N</w:t>
      </w:r>
      <w:r w:rsidR="28B7F009" w:rsidRPr="00A9434B">
        <w:t xml:space="preserve">ew technologies </w:t>
      </w:r>
      <w:r w:rsidR="00266953" w:rsidRPr="00A9434B">
        <w:t xml:space="preserve">can be </w:t>
      </w:r>
      <w:r w:rsidR="28B7F009" w:rsidRPr="00A9434B">
        <w:t xml:space="preserve">developed or translated from other contexts to improve any aspect of </w:t>
      </w:r>
      <w:r w:rsidR="00266953" w:rsidRPr="00A9434B">
        <w:t xml:space="preserve">innovative </w:t>
      </w:r>
      <w:r w:rsidR="28B7F009" w:rsidRPr="00A9434B">
        <w:t>management</w:t>
      </w:r>
      <w:r w:rsidR="00266953" w:rsidRPr="00A9434B">
        <w:t xml:space="preserve"> programmes</w:t>
      </w:r>
      <w:r w:rsidR="28B7F009" w:rsidRPr="00A9434B">
        <w:t xml:space="preserve"> </w:t>
      </w:r>
      <w:r w:rsidR="00266953" w:rsidRPr="00A9434B">
        <w:t xml:space="preserve">for </w:t>
      </w:r>
      <w:r w:rsidRPr="00A9434B">
        <w:t>biological invasions</w:t>
      </w:r>
      <w:r w:rsidR="00266953" w:rsidRPr="00A9434B">
        <w:t xml:space="preserve"> </w:t>
      </w:r>
      <w:r w:rsidR="00877CA9" w:rsidRPr="00A9434B">
        <w:fldChar w:fldCharType="begin"/>
      </w:r>
      <w:r w:rsidR="0006613E">
        <w:instrText xml:space="preserve"> ADDIN ZOTERO_ITEM CSL_CITATION {"citationID":"a127u8bdouq","properties":{"formattedCitation":"(van Rees et al., 2022)","plainCitation":"(van Rees et al., 2022)","noteIndex":0},"citationItems":[{"id":52616,"uris":["http://zotero.org/groups/2352922/items/99U2QPR5"],"itemData":{"id":52616,"type":"article-journal","abstract":"Invasive alien species (IAS) are a rising threat to biodiversity, national security, and regional economies, with impacts in the hundreds of billions of U.S. dollars annually. Proactive or predictive approaches guided by scientific knowledge are essential to keeping pace with growing impacts of invasions under climate change. Although the rapid development of diverse technologies and approaches has produced tools with the potential to greatly accelerate invasion research and management, innovation has far outpaced implementation and coordination. Technological and methodological syntheses are urgently needed to close the growing implementation gap and facilitate interdisciplinary collaboration and synergy among evolving disciplines. A broad review is necessary to demonstrate the utility and relevance of work in diverse fields to generate actionable science for the ongoing invasion crisis. Here, we review such advances in relevant fields including remote sensing, epidemiology, big data analytics, environmental DNA (eDNA) sampling, genomics, and others, and present a generalized framework for distilling existing and emerging data into products for proactive IAS research and management. This integrated workflow provides a pathway for scientists and practitioners in diverse disciplines to contribute to applied invasion biology in a coordinated, synergistic, and scalable manner.","container-title":"Biological Reviews","DOI":"10.1111/brv.12859","ISSN":"1469-185X","issue":"4","language":"en","note":"_eprint: https://onlinelibrary.wiley.com/doi/pdf/10.1111/brv.12859","page":"1712-1735","source":"Wiley Online Library","title":"A framework to integrate innovations in invasion science for proactive management","URL":"https://onlinelibrary.wiley.com/doi/abs/10.1111/brv.12859","volume":"97","author":[{"family":"Rees","given":"Charles B.","non-dropping-particle":"van"},{"family":"Hand","given":"Brian K."},{"family":"Carter","given":"Sean C."},{"family":"Bargeron","given":"Chuck"},{"family":"Cline","given":"Timothy J."},{"family":"Daniel","given":"Wesley"},{"family":"Ferrante","given":"Jason A."},{"family":"Gaddis","given":"Keith"},{"family":"Hunter","given":"Margaret E."},{"family":"Jarnevich","given":"Catherine S."},{"family":"McGeoch","given":"Melodie A."},{"family":"Morisette","given":"Jeffrey T."},{"family":"Neilson","given":"Matthew E."},{"family":"Roy","given":"Helen E."},{"family":"Rozance","given":"Mary Ann"},{"family":"Sepulveda","given":"Adam"},{"family":"Wallace","given":"Rebekah D."},{"family":"Whited","given":"Diane"},{"family":"Wilcox","given":"Taylor"},{"family":"Kimball","given":"John S."},{"family":"Luikart","given":"Gordon"}],"accessed":{"date-parts":[["2022",7,25]]},"issued":{"date-parts":[["2022"]]}},"label":"page"}],"schema":"https://github.com/citation-style-language/schema/raw/master/csl-citation.json"} </w:instrText>
      </w:r>
      <w:r w:rsidR="00877CA9" w:rsidRPr="00A9434B">
        <w:fldChar w:fldCharType="separate"/>
      </w:r>
      <w:r w:rsidR="00C71E80" w:rsidRPr="00A9434B">
        <w:t>(van Rees et al., 2022)</w:t>
      </w:r>
      <w:r w:rsidR="00877CA9" w:rsidRPr="00A9434B">
        <w:fldChar w:fldCharType="end"/>
      </w:r>
      <w:r w:rsidR="28B7F009" w:rsidRPr="00A9434B">
        <w:t>. Innovation is the translation of invention through proof</w:t>
      </w:r>
      <w:r w:rsidR="62FBED27" w:rsidRPr="00A9434B">
        <w:t>-</w:t>
      </w:r>
      <w:r w:rsidR="28B7F009" w:rsidRPr="00A9434B">
        <w:t>of</w:t>
      </w:r>
      <w:r w:rsidR="6CA7E406" w:rsidRPr="00A9434B">
        <w:t>-</w:t>
      </w:r>
      <w:r w:rsidR="28B7F009" w:rsidRPr="00A9434B">
        <w:t>concept to readiness to be deployed</w:t>
      </w:r>
      <w:r w:rsidR="009011F3">
        <w:t xml:space="preserve">, leading </w:t>
      </w:r>
      <w:r w:rsidR="28B7F009" w:rsidRPr="00A9434B">
        <w:t xml:space="preserve">to desirable outcomes </w:t>
      </w:r>
      <w:r w:rsidR="00877CA9" w:rsidRPr="00A9434B">
        <w:fldChar w:fldCharType="begin"/>
      </w:r>
      <w:r w:rsidR="0006613E">
        <w:instrText xml:space="preserve"> ADDIN ZOTERO_ITEM CSL_CITATION {"citationID":"a19ipaml9v","properties":{"formattedCitation":"(Baregheh et al., 2009)","plainCitation":"(Baregheh et al., 2009)","noteIndex":0},"citationItems":[{"id":53386,"uris":["http://zotero.org/groups/2352922/items/SGEYKUZM"],"itemData":{"id":53386,"type":"article-journal","abstract":"Purpose – This paper aims to undertake a content analysis of extant definitions of “innovation” as a basis for proposing an integrative definition of organizational “innovation”. Design/methodology/approach – A literature review was used to generate a representative pool of definitions of organizational innovation, including definitions from the different disciplinary literatures of economics, innovation and entrepreneurship, business and management, and technology, science and engineering. A content analysis of these definitions was conducted in order to surface the key attributes mentioned in the definitions, and to profile the descriptors used in relation to each attribute. Findings – The key attributes in the paper present in definitions were identified as: nature of innovation; type of innovation; stages of innovation, social context; means of innovation; and aim of innovation. These attributes are defined, descriptors assigned to them, and both a diagrammatic definition and a textual definition of organizational innovation are proposed. Originality/value – As a concept that is owned and discussed by many business disciplines, “innovation” has many different definitions that align with the dominant paradigm of the respective disciplines. Building on these diverse definitions, this paper proposes a general and integrative definition of organizational “innovation” that encompasses the different perspectives on, and aspects of, innovation, and captures its essence.","container-title":"Management Decision","DOI":"10.1108/00251740910984578","ISSN":"0025-1747","issue":"8","note":"publisher: Emerald Group Publishing Limited","page":"1323-1339","source":"Emerald Insight","title":"Towards a multidisciplinary definition of innovation","URL":"https://doi.org/10.1108/00251740910984578","volume":"47","author":[{"family":"Baregheh","given":"Anahita"},{"family":"Rowley","given":"Jennifer"},{"family":"Sambrook","given":"Sally"}],"accessed":{"date-parts":[["2022",9,14]]},"issued":{"date-parts":[["2009",1,1]]}},"label":"page"}],"schema":"https://github.com/citation-style-language/schema/raw/master/csl-citation.json"} </w:instrText>
      </w:r>
      <w:r w:rsidR="00877CA9" w:rsidRPr="00A9434B">
        <w:fldChar w:fldCharType="separate"/>
      </w:r>
      <w:r w:rsidR="00C71E80" w:rsidRPr="00A9434B">
        <w:t>(Baregheh et al., 2009)</w:t>
      </w:r>
      <w:r w:rsidR="00877CA9" w:rsidRPr="00A9434B">
        <w:fldChar w:fldCharType="end"/>
      </w:r>
      <w:r w:rsidR="28B7F009" w:rsidRPr="00A9434B">
        <w:t xml:space="preserve">. </w:t>
      </w:r>
      <w:r w:rsidR="00266953" w:rsidRPr="00A9434B">
        <w:t>F</w:t>
      </w:r>
      <w:r w:rsidR="28B7F009" w:rsidRPr="00A9434B">
        <w:t xml:space="preserve">rameworks </w:t>
      </w:r>
      <w:r w:rsidR="00266953" w:rsidRPr="00A9434B">
        <w:t>can</w:t>
      </w:r>
      <w:r w:rsidR="28B7F009" w:rsidRPr="00A9434B">
        <w:t xml:space="preserve"> drive innovation in management</w:t>
      </w:r>
      <w:r w:rsidR="00266953" w:rsidRPr="00A9434B">
        <w:t xml:space="preserve"> of biological invasions, particularly in the context of public good outcomes </w:t>
      </w:r>
      <w:r w:rsidR="000C4C57" w:rsidRPr="00A9434B">
        <w:fldChar w:fldCharType="begin"/>
      </w:r>
      <w:r w:rsidR="0006613E">
        <w:instrText xml:space="preserve"> ADDIN ZOTERO_ITEM CSL_CITATION {"citationID":"SoNWNMys","properties":{"formattedCitation":"(van Rees et al., 2022)","plainCitation":"(van Rees et al., 2022)","noteIndex":0},"citationItems":[{"id":52616,"uris":["http://zotero.org/groups/2352922/items/99U2QPR5"],"itemData":{"id":52616,"type":"article-journal","abstract":"Invasive alien species (IAS) are a rising threat to biodiversity, national security, and regional economies, with impacts in the hundreds of billions of U.S. dollars annually. Proactive or predictive approaches guided by scientific knowledge are essential to keeping pace with growing impacts of invasions under climate change. Although the rapid development of diverse technologies and approaches has produced tools with the potential to greatly accelerate invasion research and management, innovation has far outpaced implementation and coordination. Technological and methodological syntheses are urgently needed to close the growing implementation gap and facilitate interdisciplinary collaboration and synergy among evolving disciplines. A broad review is necessary to demonstrate the utility and relevance of work in diverse fields to generate actionable science for the ongoing invasion crisis. Here, we review such advances in relevant fields including remote sensing, epidemiology, big data analytics, environmental DNA (eDNA) sampling, genomics, and others, and present a generalized framework for distilling existing and emerging data into products for proactive IAS research and management. This integrated workflow provides a pathway for scientists and practitioners in diverse disciplines to contribute to applied invasion biology in a coordinated, synergistic, and scalable manner.","container-title":"Biological Reviews","DOI":"10.1111/brv.12859","ISSN":"1469-185X","issue":"4","language":"en","note":"_eprint: https://onlinelibrary.wiley.com/doi/pdf/10.1111/brv.12859","page":"1712-1735","source":"Wiley Online Library","title":"A framework to integrate innovations in invasion science for proactive management","URL":"https://onlinelibrary.wiley.com/doi/abs/10.1111/brv.12859","volume":"97","author":[{"family":"Rees","given":"Charles B.","non-dropping-particle":"van"},{"family":"Hand","given":"Brian K."},{"family":"Carter","given":"Sean C."},{"family":"Bargeron","given":"Chuck"},{"family":"Cline","given":"Timothy J."},{"family":"Daniel","given":"Wesley"},{"family":"Ferrante","given":"Jason A."},{"family":"Gaddis","given":"Keith"},{"family":"Hunter","given":"Margaret E."},{"family":"Jarnevich","given":"Catherine S."},{"family":"McGeoch","given":"Melodie A."},{"family":"Morisette","given":"Jeffrey T."},{"family":"Neilson","given":"Matthew E."},{"family":"Roy","given":"Helen E."},{"family":"Rozance","given":"Mary Ann"},{"family":"Sepulveda","given":"Adam"},{"family":"Wallace","given":"Rebekah D."},{"family":"Whited","given":"Diane"},{"family":"Wilcox","given":"Taylor"},{"family":"Kimball","given":"John S."},{"family":"Luikart","given":"Gordon"}],"accessed":{"date-parts":[["2022",7,25]]},"issued":{"date-parts":[["2022"]]}},"label":"page"}],"schema":"https://github.com/citation-style-language/schema/raw/master/csl-citation.json"} </w:instrText>
      </w:r>
      <w:r w:rsidR="000C4C57" w:rsidRPr="00A9434B">
        <w:fldChar w:fldCharType="separate"/>
      </w:r>
      <w:r w:rsidR="00C71E80" w:rsidRPr="00A9434B">
        <w:t>(van Rees et al., 2022)</w:t>
      </w:r>
      <w:r w:rsidR="000C4C57" w:rsidRPr="00A9434B">
        <w:fldChar w:fldCharType="end"/>
      </w:r>
      <w:r w:rsidR="28B7F009" w:rsidRPr="00A9434B">
        <w:t xml:space="preserve">. Indeed, government support is also needed to find better solutions to management challenges from idea and blueprint to a full technology readiness level. Not all the technologies needed are available, nor is it clear what future valuable technologies might be. Only through policy development will governments invest in technology development and deployment </w:t>
      </w:r>
      <w:r w:rsidR="00877CA9" w:rsidRPr="00A9434B">
        <w:fldChar w:fldCharType="begin"/>
      </w:r>
      <w:r w:rsidR="0006613E">
        <w:instrText xml:space="preserve"> ADDIN ZOTERO_ITEM CSL_CITATION {"citationID":"a2dc81332pj","properties":{"formattedCitation":"(Burke et al., 2005)","plainCitation":"(Burke et al., 2005)","noteIndex":0},"citationItems":[{"id":53055,"uris":["http://zotero.org/groups/2352922/items/9GKGZPMI"],"itemData":{"id":53055,"type":"book","ISBN":"978-0-471-72237-3","note":"issue: Ed. 2","publisher":"John Wiley &amp; Sons, Inc.","title":"Handbook of environmental management and technology.","author":[{"family":"Burke","given":"Gwendolyn"},{"family":"Singh","given":"Ben Ramnarine"},{"family":"Theodore","given":"Louis"}],"issued":{"date-parts":[["2005"]]}},"label":"page"}],"schema":"https://github.com/citation-style-language/schema/raw/master/csl-citation.json"} </w:instrText>
      </w:r>
      <w:r w:rsidR="00877CA9" w:rsidRPr="00A9434B">
        <w:fldChar w:fldCharType="separate"/>
      </w:r>
      <w:r w:rsidR="00C71E80" w:rsidRPr="00A9434B">
        <w:t>(Burke et al., 2005)</w:t>
      </w:r>
      <w:r w:rsidR="00877CA9" w:rsidRPr="00A9434B">
        <w:fldChar w:fldCharType="end"/>
      </w:r>
      <w:r w:rsidR="28B7F009" w:rsidRPr="00A9434B">
        <w:t>.</w:t>
      </w:r>
    </w:p>
    <w:p w14:paraId="4362E422" w14:textId="5D1B73D1" w:rsidR="008C206F" w:rsidRDefault="007804B8" w:rsidP="008C206F">
      <w:r>
        <w:t>I</w:t>
      </w:r>
      <w:r w:rsidR="00877CA9" w:rsidRPr="00A9434B">
        <w:t xml:space="preserve">nnovation </w:t>
      </w:r>
      <w:r>
        <w:t xml:space="preserve">can be achieved with </w:t>
      </w:r>
      <w:r w:rsidR="00877CA9" w:rsidRPr="00A9434B">
        <w:t>cultural change through community acceptance of the value of the technology interacting with institutional change</w:t>
      </w:r>
      <w:r>
        <w:t>,</w:t>
      </w:r>
      <w:r w:rsidR="00877CA9" w:rsidRPr="00A9434B">
        <w:t xml:space="preserve"> aligning to regulate technology deployment </w:t>
      </w:r>
      <w:r w:rsidR="00877CA9" w:rsidRPr="00A9434B">
        <w:fldChar w:fldCharType="begin"/>
      </w:r>
      <w:r w:rsidR="0006613E">
        <w:instrText xml:space="preserve"> ADDIN ZOTERO_ITEM CSL_CITATION {"citationID":"a1i36lfitir","properties":{"formattedCitation":"(Stilgoe et al., 2020)","plainCitation":"(Stilgoe et al., 2020)","noteIndex":0},"citationItems":[{"id":53054,"uris":["http://zotero.org/groups/2352922/items/VTYEIHHY"],"itemData":{"id":53054,"type":"article-journal","container-title":"Research Policy","DOI":"10.1016/j.respol.2013.05.008","issue":"9","page":"1568-1580","title":"Developing a framework for responsible innovation","volume":"42","author":[{"family":"Stilgoe","given":"Jack"},{"family":"Owen","given":"Richard"},{"family":"Macnaghten","given":"Phil"}],"issued":{"date-parts":[["2020"]]}},"label":"page"}],"schema":"https://github.com/citation-style-language/schema/raw/master/csl-citation.json"} </w:instrText>
      </w:r>
      <w:r w:rsidR="00877CA9" w:rsidRPr="00A9434B">
        <w:fldChar w:fldCharType="separate"/>
      </w:r>
      <w:r w:rsidR="00C71E80" w:rsidRPr="00A9434B">
        <w:t>(Stilgoe et al., 2020)</w:t>
      </w:r>
      <w:r w:rsidR="00877CA9" w:rsidRPr="00A9434B">
        <w:fldChar w:fldCharType="end"/>
      </w:r>
      <w:r w:rsidR="00877CA9" w:rsidRPr="00A9434B">
        <w:t xml:space="preserve">. </w:t>
      </w:r>
      <w:r w:rsidR="002F6942" w:rsidRPr="00A9434B">
        <w:t>Achieving cultural acceptance of technology is not guaranteed and often hinges on obtaining social license and acceptability</w:t>
      </w:r>
      <w:r w:rsidR="00EF1B51" w:rsidRPr="00A9434B">
        <w:t xml:space="preserve"> and </w:t>
      </w:r>
      <w:r w:rsidR="002F6942" w:rsidRPr="00A9434B">
        <w:t>demonstrating that the benefits of the technology outweigh any risks, including ethical considerations.</w:t>
      </w:r>
      <w:r w:rsidR="00877CA9" w:rsidRPr="00A9434B">
        <w:t xml:space="preserve"> Cultural acceptance is never a fixed position </w:t>
      </w:r>
      <w:r w:rsidR="00877CA9" w:rsidRPr="00A9434B">
        <w:fldChar w:fldCharType="begin"/>
      </w:r>
      <w:r w:rsidR="0006613E">
        <w:instrText xml:space="preserve"> ADDIN ZOTERO_ITEM CSL_CITATION {"citationID":"aso39qmhu0","properties":{"formattedCitation":"(Crowley et al., 2017b)","plainCitation":"(Crowley et al., 2017b)","noteIndex":0},"citationItems":[{"id":53382,"uris":["http://zotero.org/groups/2352922/items/XYEPY6WE","http://zotero.org/groups/2352922/items/99UB2FD2"],"itemData":{"id":53382,"type":"article-journal","abstract":"Invasive species management aims to prevent or mitigate the impacts of introduced species but management interventions can themselves generate social impacts that must be understood and addressed. Established approaches for addressing the social implications of invasive species management can be limited in effectiveness and democratic legitimacy. More deliberative, participatory approaches are emerging that allow integration of a broader range of socio-political considerations. Nevertheless, there is a need to ensure that these are rigorous applications of social science. Social impact assessment offers a structured process of identifying, evaluating and addressing social costs and benefits. We highlight its potential value for enabling meaningful public participation in planning and as a key component of integrated assessments of management options. Policy implications. As invasive species management grows in scope and scale, social impact assessment provides a rigorous process for recognising and responding to social concerns. It could therefore produce more democratic, less conflict-prone and more effective interventions.","container-title":"Journal of Applied Ecology","DOI":"10.1111/1365-2664.12817","ISSN":"1365-2664","issue":"2","language":"en","note":"_eprint: https://onlinelibrary.wiley.com/doi/pdf/10.1111/1365-2664.12817","page":"351-357","source":"Wiley Online Library","title":"Invasive species management will benefit from social impact assessment","URL":"https://onlinelibrary.wiley.com/doi/abs/10.1111/1365-2664.12817","volume":"54","author":[{"family":"Crowley","given":"Sarah L."},{"family":"Hinchliffe","given":"Steve"},{"family":"McDonald","given":"Robbie A."}],"accessed":{"date-parts":[["2022",9,14]]},"issued":{"date-parts":[["2017"]]}},"label":"page"}],"schema":"https://github.com/citation-style-language/schema/raw/master/csl-citation.json"} </w:instrText>
      </w:r>
      <w:r w:rsidR="00877CA9" w:rsidRPr="00A9434B">
        <w:fldChar w:fldCharType="separate"/>
      </w:r>
      <w:r w:rsidR="00017441" w:rsidRPr="00017441">
        <w:t>(Crowley et al., 2017b)</w:t>
      </w:r>
      <w:r w:rsidR="00877CA9" w:rsidRPr="00A9434B">
        <w:fldChar w:fldCharType="end"/>
      </w:r>
      <w:r w:rsidR="00877CA9" w:rsidRPr="00A9434B">
        <w:t xml:space="preserve">. Institutional change includes the necessary policy or regulatory environment that will regulate use </w:t>
      </w:r>
      <w:r w:rsidR="00877CA9" w:rsidRPr="00A9434B">
        <w:fldChar w:fldCharType="begin"/>
      </w:r>
      <w:r w:rsidR="0006613E">
        <w:instrText xml:space="preserve"> ADDIN ZOTERO_ITEM CSL_CITATION {"citationID":"ask1j61atd","properties":{"formattedCitation":"(Burke et al., 2005)","plainCitation":"(Burke et al., 2005)","noteIndex":0},"citationItems":[{"id":53055,"uris":["http://zotero.org/groups/2352922/items/9GKGZPMI"],"itemData":{"id":53055,"type":"book","ISBN":"978-0-471-72237-3","note":"issue: Ed. 2","publisher":"John Wiley &amp; Sons, Inc.","title":"Handbook of environmental management and technology.","author":[{"family":"Burke","given":"Gwendolyn"},{"family":"Singh","given":"Ben Ramnarine"},{"family":"Theodore","given":"Louis"}],"issued":{"date-parts":[["2005"]]}},"label":"page"}],"schema":"https://github.com/citation-style-language/schema/raw/master/csl-citation.json"} </w:instrText>
      </w:r>
      <w:r w:rsidR="00877CA9" w:rsidRPr="00A9434B">
        <w:fldChar w:fldCharType="separate"/>
      </w:r>
      <w:r w:rsidR="00C71E80" w:rsidRPr="00A9434B">
        <w:t>(Burke et al., 2005)</w:t>
      </w:r>
      <w:r w:rsidR="00877CA9" w:rsidRPr="00A9434B">
        <w:fldChar w:fldCharType="end"/>
      </w:r>
      <w:r w:rsidR="00877CA9" w:rsidRPr="00A9434B">
        <w:t xml:space="preserve">. An example was the invention and adoption of chemical pesticides for pests, </w:t>
      </w:r>
      <w:r w:rsidR="00D24D5F" w:rsidRPr="00A9434B">
        <w:t>weeds</w:t>
      </w:r>
      <w:r w:rsidR="005D0083">
        <w:t xml:space="preserve"> and</w:t>
      </w:r>
      <w:r w:rsidR="00877CA9" w:rsidRPr="00A9434B">
        <w:t xml:space="preserve"> diseases from the 1940’s. Starting with </w:t>
      </w:r>
      <w:r w:rsidR="005260EA" w:rsidRPr="00A9434B">
        <w:t>dichlorodiphenyltrichloroethane (</w:t>
      </w:r>
      <w:r w:rsidR="00877CA9" w:rsidRPr="00A9434B">
        <w:t>DDT</w:t>
      </w:r>
      <w:r w:rsidR="005260EA" w:rsidRPr="00A9434B">
        <w:t>)</w:t>
      </w:r>
      <w:r w:rsidR="00877CA9" w:rsidRPr="00A9434B">
        <w:t xml:space="preserve">, the consequences of its initial use led to completely national risk-based legislation and regulation on how when and where it could be used. This eventually resulted in DDT being banned as evidence of negative impacts became available </w:t>
      </w:r>
      <w:r w:rsidR="00877CA9" w:rsidRPr="00A9434B">
        <w:fldChar w:fldCharType="begin"/>
      </w:r>
      <w:r w:rsidR="0006613E">
        <w:instrText xml:space="preserve"> ADDIN ZOTERO_ITEM CSL_CITATION {"citationID":"a158v857tda","properties":{"formattedCitation":"(Mansouri et al., 2017)","plainCitation":"(Mansouri et al., 2017)","noteIndex":0},"citationItems":[{"id":53383,"uris":["http://zotero.org/groups/2352922/items/ZB9UAATG"],"itemData":{"id":53383,"type":"article-journal","abstract":"DDT (1,1,1-trichloro-2,2-bis(4-chlorophenyl) ethane) is probably the best known and most useful organochlorine insecticide in the world which was used since 1945 for agricultural purposes and also for vector-borne disease control such as malaria since 1955, until its banishment in most countries by the Stockholm convention for ecologic considerations. However, the World Health Organization allowed its reintroduction only for control of vector-borne diseases in some tropical countries in 2006. Due to its physicochemical properties and specially its persistence related with a half-life up to 30 years, DDT linked to several health and social problems which are due to its accumulation in the environment and its biomagnification properties in living organisms. This manuscript compiles a multidisciplinary review to evaluate primarily (i) the worldwide contamination of DDT and (ii) its (eco) toxicological impact onto living organisms. Secondly, several ways for DDT bioremediation from contaminated environment are discussed. For this, reports on DDT biodegradation capabilities by microorganisms and ways to enhance bioremediation strategies to remove DDT are presented. The different existing strategies for DDT bioremediation are evaluated with their efficiencies and limitations to struggle efficiently this contaminant. Finally, rising new approaches and technological bottlenecks to promote DDT bioremediation are discussed.","container-title":"Applied Biochemistry and Biotechnology","DOI":"10.1007/s12010-016-2214-5","ISSN":"1559-0291","issue":"1","journalAbbreviation":"Appl Biochem Biotechnol","language":"en","page":"309-339","source":"Springer Link","title":"The Environmental Issues of DDT Pollution and Bioremediation: a Multidisciplinary Review","title-short":"The Environmental Issues of DDT Pollution and Bioremediation","URL":"https://doi.org/10.1007/s12010-016-2214-5","volume":"181","author":[{"family":"Mansouri","given":"Ahlem"},{"family":"Cregut","given":"Mickael"},{"family":"Abbes","given":"Chiraz"},{"family":"Durand","given":"Marie-Jose"},{"family":"Landoulsi","given":"Ahmed"},{"family":"Thouand","given":"Gerald"}],"accessed":{"date-parts":[["2022",9,14]]},"issued":{"date-parts":[["2017",1,1]]}},"label":"page"}],"schema":"https://github.com/citation-style-language/schema/raw/master/csl-citation.json"} </w:instrText>
      </w:r>
      <w:r w:rsidR="00877CA9" w:rsidRPr="00A9434B">
        <w:fldChar w:fldCharType="separate"/>
      </w:r>
      <w:r w:rsidR="00C71E80" w:rsidRPr="00A9434B">
        <w:t>(Mansouri et al., 2017)</w:t>
      </w:r>
      <w:r w:rsidR="00877CA9" w:rsidRPr="00A9434B">
        <w:fldChar w:fldCharType="end"/>
      </w:r>
      <w:r w:rsidR="00877CA9" w:rsidRPr="00A9434B">
        <w:t xml:space="preserve">. This nonetheless opened the door for development and application of future generations of less toxic chemicals to which the initial regulations needed to be adapted </w:t>
      </w:r>
      <w:r w:rsidR="00877CA9" w:rsidRPr="00A9434B">
        <w:fldChar w:fldCharType="begin"/>
      </w:r>
      <w:r w:rsidR="0006613E">
        <w:instrText xml:space="preserve"> ADDIN ZOTERO_ITEM CSL_CITATION {"citationID":"ao7cgq2tfl","properties":{"formattedCitation":"(Handford et al., 2015)","plainCitation":"(Handford et al., 2015)","noteIndex":0},"citationItems":[{"id":31078,"uris":["http://zotero.org/groups/2352922/items/G27WJ7LC"],"itemData":{"id":31078,"type":"article-journal","abstract":"Pesticide use is important in agriculture to protect crops and improve productivity. However, pesticides have the potential to cause adverse human health or environmental effects, depending on exposure levels. This review examines existing pesticide legislation worldwide, focusing on the level of harmonization and impacts of differing legislation on food safety and trade. Pesticide legislation varies greatly worldwide, because countries have different requirements, guidelines, and legal limits for plant protection. Developed nations have more stringent regulations than developing countries, which lack the resources and expertise to adequately implement and enforce legislation. Global differences in pesticide legislation act as a technical barrier to trade. International parties such as the European Union (EU), Codex Alimentarius Commission (Codex), and North American Free Trade Agreement (NAFTA) have attempted to harmonize pesticide legislation by providing maximum residue limits (MRLs), but globally these limits remain variable. Globally harmonized pesticide standards would serve to increase productivity, profits, and trade and also enhance the ability to protect public health and the environment. Integr Environ Assess Manag 2015;9999:1–12. © 2015 SETAC","container-title":"Integrated Environmental Assessment and Management","DOI":"10.1002/ieam.1635","ISSN":"1551-3793","issue":"4","language":"en","note":"_eprint: https://onlinelibrary.wiley.com/doi/pdf/10.1002/ieam.1635","page":"525-536","source":"Wiley Online Library","title":"A review of the global pesticide legislation and the scale of challenge in reaching the global harmonization of food safety standards","URL":"https://onlinelibrary.wiley.com/doi/abs/10.1002/ieam.1635","volume":"11","author":[{"family":"Handford","given":"Caroline E"},{"family":"Elliott","given":"Christopher T"},{"family":"Campbell","given":"Katrina"}],"accessed":{"date-parts":[["2021",10,31]]},"issued":{"date-parts":[["2015"]]}},"label":"page"}],"schema":"https://github.com/citation-style-language/schema/raw/master/csl-citation.json"} </w:instrText>
      </w:r>
      <w:r w:rsidR="00877CA9" w:rsidRPr="00A9434B">
        <w:fldChar w:fldCharType="separate"/>
      </w:r>
      <w:r w:rsidR="00C71E80" w:rsidRPr="00A9434B">
        <w:t>(Handford et al., 2015)</w:t>
      </w:r>
      <w:r w:rsidR="00877CA9" w:rsidRPr="00A9434B">
        <w:fldChar w:fldCharType="end"/>
      </w:r>
      <w:r w:rsidR="00877CA9" w:rsidRPr="00A9434B">
        <w:t xml:space="preserve">. Even the most benign chemical pesticides have now increasingly lost public </w:t>
      </w:r>
      <w:r w:rsidR="0017646A" w:rsidRPr="00A9434B">
        <w:t>favours</w:t>
      </w:r>
      <w:r w:rsidR="00877CA9" w:rsidRPr="00A9434B">
        <w:t xml:space="preserve"> based on long-term evidence mediated through changing cultural acceptance </w:t>
      </w:r>
      <w:r w:rsidR="00877CA9" w:rsidRPr="00A9434B">
        <w:fldChar w:fldCharType="begin"/>
      </w:r>
      <w:r w:rsidR="0006613E">
        <w:instrText xml:space="preserve"> ADDIN ZOTERO_ITEM CSL_CITATION {"citationID":"a8lgt29omd","properties":{"formattedCitation":"(Kudsk &amp; Mathiassen, 2020)","plainCitation":"(Kudsk &amp; Mathiassen, 2020)","noteIndex":0},"citationItems":[{"id":53380,"uris":["http://zotero.org/groups/2352922/items/E4ANS3FW"],"itemData":{"id":53380,"type":"article-journal","abstract":"The glyphosate controversy before the renewal of the authorization of glyphosate in the European Union (EU) once again turned the spotlight on pesticide regulation in the EU. In the EU, pesticides are attracting more public attention than in other parts of the world, and many nongovernmental organizations specifically target pesticide regulation, trying to influence politicians and other decision makers. Following an overview of the EU pesticide legislation and the impact hitherto on EU agriculture, this paper outlines the glyphosate controversy and presents the outcome of desk studies conducted in Germany, the United Kingdom, France, and Sweden on the potential effects of a glyphosate ban on agricultural productivity and farm income. All studies concluded that the loss of income depends very much on farm type and cropping practice, but they all reached the conclusion that particularly no-tillage farming/conservation agriculture will be facing severe problems without glyphosate to control weeds and terminate cover crops. No-tillage/conservation agriculture is viewed as an effective strategy to prevent soil erosion and loss of nutrients, which could become larger problems without glyphosate. Other issues highlighted in the studies were the impact on resistance management, as glyphosate is largely seen as a “herbicide-resistance breaker.” Without glyphosate, fundamental changes in farming practices in the EU are required, and it is hard to imagine that they will come without a cost, at least in the short term.","container-title":"Weed Science","DOI":"10.1017/wsc.2019.59","ISSN":"0043-1745, 1550-2759","issue":"3","language":"en","note":"publisher: Cambridge University Press","page":"214-222","source":"Cambridge University Press","title":"Pesticide regulation in the European Union and the glyphosate controversy","URL":"https://www.cambridge.org/core/journals/weed-science/article/abs/pesticide-regulation-in-the-european-union-and-the-glyphosate-controversy/280701D3315D9AF5E80B2EB383CF593D","volume":"68","author":[{"family":"Kudsk","given":"Per"},{"family":"Mathiassen","given":"Solvejg Kopp"}],"accessed":{"date-parts":[["2022",9,14]]},"issued":{"date-parts":[["2020",5]]}},"label":"page"}],"schema":"https://github.com/citation-style-language/schema/raw/master/csl-citation.json"} </w:instrText>
      </w:r>
      <w:r w:rsidR="00877CA9" w:rsidRPr="00A9434B">
        <w:fldChar w:fldCharType="separate"/>
      </w:r>
      <w:r w:rsidR="00C71E80" w:rsidRPr="00A9434B">
        <w:t>(Kudsk &amp; Mathiassen, 2020)</w:t>
      </w:r>
      <w:r w:rsidR="00877CA9" w:rsidRPr="00A9434B">
        <w:fldChar w:fldCharType="end"/>
      </w:r>
      <w:r w:rsidR="00877CA9" w:rsidRPr="00A9434B">
        <w:t xml:space="preserve">. The same processes are necessary in the adoption of any new technology however beneficial, so it is the role of government to manage and respond to this culturally driven policy and regulatory process, without which any benefits from new technologies </w:t>
      </w:r>
      <w:r w:rsidR="008C206F">
        <w:t>towards management of biological invasions will not be obtained.</w:t>
      </w:r>
    </w:p>
    <w:p w14:paraId="79D4665D" w14:textId="0136F95D" w:rsidR="00E36BDC" w:rsidRPr="00A9434B" w:rsidRDefault="00E36BDC" w:rsidP="006B3143"/>
    <w:p w14:paraId="4120858E" w14:textId="77777777" w:rsidR="00017C04" w:rsidRDefault="00F50AF9">
      <w:pPr>
        <w:spacing w:before="0" w:after="0"/>
      </w:pPr>
      <w:bookmarkStart w:id="338" w:name="_heading=h.4du1wux" w:colFirst="0" w:colLast="0"/>
      <w:bookmarkEnd w:id="338"/>
      <w:r>
        <w:br w:type="page"/>
      </w:r>
    </w:p>
    <w:p w14:paraId="17B079FF" w14:textId="77777777" w:rsidR="00017C04" w:rsidRDefault="00F50AF9" w:rsidP="008C206F">
      <w:pPr>
        <w:pStyle w:val="Heading1"/>
        <w:numPr>
          <w:ilvl w:val="1"/>
          <w:numId w:val="10"/>
        </w:numPr>
      </w:pPr>
      <w:bookmarkStart w:id="339" w:name="_Toc133428320"/>
      <w:bookmarkStart w:id="340" w:name="_Toc133428790"/>
      <w:bookmarkStart w:id="341" w:name="_Toc147417585"/>
      <w:r>
        <w:lastRenderedPageBreak/>
        <w:t>Engagement and collaboration with stakeholders and Indigenous Peoples and local communities</w:t>
      </w:r>
      <w:bookmarkStart w:id="342" w:name="_Toc1961428999"/>
      <w:bookmarkEnd w:id="339"/>
      <w:bookmarkEnd w:id="340"/>
      <w:bookmarkEnd w:id="341"/>
      <w:r>
        <w:t xml:space="preserve"> </w:t>
      </w:r>
      <w:bookmarkEnd w:id="342"/>
    </w:p>
    <w:p w14:paraId="02721FB8" w14:textId="5851A6F1" w:rsidR="004155A5" w:rsidRPr="00A9434B" w:rsidRDefault="593597E4" w:rsidP="006B3143">
      <w:r w:rsidRPr="00A9434B">
        <w:t>The e</w:t>
      </w:r>
      <w:r w:rsidR="004155A5" w:rsidRPr="00A9434B">
        <w:t xml:space="preserve">ngagement of stakeholders </w:t>
      </w:r>
      <w:r w:rsidR="00F806B6" w:rsidRPr="00A9434B">
        <w:t>(</w:t>
      </w:r>
      <w:r w:rsidR="006260F1" w:rsidRPr="001523EB">
        <w:rPr>
          <w:b/>
          <w:bCs/>
        </w:rPr>
        <w:t>Chapter 1,</w:t>
      </w:r>
      <w:r w:rsidR="006260F1">
        <w:t xml:space="preserve"> </w:t>
      </w:r>
      <w:r w:rsidR="004155A5" w:rsidRPr="00673554">
        <w:rPr>
          <w:b/>
          <w:iCs/>
        </w:rPr>
        <w:t>section 1.5.1</w:t>
      </w:r>
      <w:r w:rsidR="004155A5" w:rsidRPr="00A9434B">
        <w:t xml:space="preserve"> for the definitions of stakeholder groups) and </w:t>
      </w:r>
      <w:r w:rsidR="001E7B2B" w:rsidRPr="00A9434B">
        <w:t>Indigenous Peoples</w:t>
      </w:r>
      <w:r w:rsidR="004155A5" w:rsidRPr="00A9434B">
        <w:t xml:space="preserve"> and local communities </w:t>
      </w:r>
      <w:r w:rsidR="42EFCCB0" w:rsidRPr="00A9434B">
        <w:t>can</w:t>
      </w:r>
      <w:r w:rsidR="004155A5" w:rsidRPr="00A9434B">
        <w:t xml:space="preserve"> help</w:t>
      </w:r>
      <w:r w:rsidR="7FD545C9" w:rsidRPr="00A9434B">
        <w:t xml:space="preserve"> construct</w:t>
      </w:r>
      <w:r w:rsidR="004155A5" w:rsidRPr="00A9434B">
        <w:t xml:space="preserve"> coherent policy and management plans that are appropriate to local environmental and cultural realities </w:t>
      </w:r>
      <w:r w:rsidR="00CC7EBA" w:rsidRPr="00A9434B">
        <w:t>(e.g.,</w:t>
      </w:r>
      <w:r w:rsidR="000E32E7" w:rsidRPr="00A9434B">
        <w:t xml:space="preserve"> </w:t>
      </w:r>
      <w:r w:rsidRPr="00A9434B">
        <w:fldChar w:fldCharType="begin"/>
      </w:r>
      <w:r w:rsidR="0006613E">
        <w:instrText xml:space="preserve"> ADDIN ZOTERO_ITEM CSL_CITATION {"citationID":"jRrenYva","properties":{"formattedCitation":"(Adriaens et al., 2015; Bravo-Vargas et al., 2019; Bryce et al., 2011; Dehnen-Schmutz et al., 2010; Fischer et al., 2014; Gaertner et al., 2017; Garc\\uc0\\u237{}a-Llorente et al., 2008; S. Liu et al., 2010; Marchante et al., 2017; Novoa et al., 2016; M. S. Reed, 2008; M. S. Reed et al., 2009; M. S. Reed &amp; Curzon, 2015; Shackleton, Adriaens, et al., 2019; Stokes et al., 2006; Touza et al., 2014)","plainCitation":"(Adriaens et al., 2015; Bravo-Vargas et al., 2019; Bryce et al., 2011; Dehnen-Schmutz et al., 2010; Fischer et al., 2014; Gaertner et al., 2017; García-Llorente et al., 2008; S. Liu et al., 2010; Marchante et al., 2017; Novoa et al., 2016; M. S. Reed, 2008; M. S. Reed et al., 2009; M. S. Reed &amp; Curzon, 2015; Shackleton, Adriaens, et al., 2019; Stokes et al., 2006; Touza et al., 2014)","dontUpdate":true,"noteIndex":0},"citationItems":[{"id":30203,"uris":["http://zotero.org/groups/2352922/items/SWY7SWMK"],"itemData":{"id":30203,"type":"article-journal","abstract":"New technologies such as smartphone application software (apps) are increasingly used to reach a wider audience on the subject of invasive alien species (IAS) and to involve the public in recording them. In this paper we present two of the more recent smartphone applications for IAS recording in northwest Europe, the RINSE That’s Invasive! app and the KORINA app. We present an overview of available smartphone apps for IAS recording in Europe and address issues of data integration, data openness, data quality, data harmonisation and database interoperability. Finally, we make some recommendations for future app design.","container-title":"Management of Biological Invasions","DOI":"10.3391/mbi.2015.6.2.12","ISSN":"19898649","issue":"2","journalAbbreviation":"MBI","language":"en","page":"215-225","source":"DOI.org (Crossref)","title":"Trying to engage the crowd in recording invasive alien species in Europe: experiences from two smartphone applications in northwest Europe","title-short":"Trying to engage the crowd in recording invasive alien species in Europe","URL":"http://www.reabic.net/journals/mbi/2015/Issue2.aspx","volume":"6","author":[{"family":"Adriaens","given":"Tim"},{"family":"Sutton-Croft","given":"Michael"},{"family":"Owen","given":"Katy"},{"family":"Brosens","given":"Dimitri"},{"family":"Valkenburg","given":"Johan","dropping-particle":"van"},{"family":"Kilbey","given":"Dave"},{"family":"Groom","given":"Quentin"},{"family":"Ehmig","given":"Carolin"},{"family":"Thürkow","given":"Florian"},{"family":"Hende","given":"Peter Van"},{"family":"Schneider","given":"Katrin"}],"accessed":{"date-parts":[["2019",11,1]]},"issued":{"date-parts":[["2015",6]]}},"label":"page"},{"id":11485,"uris":["http://zotero.org/groups/2352922/items/B3Z795NL"],"itemData":{"id":11485,"type":"article-journal","abstract":"Tree invasions are increasing globally, causing major problems for biodiversity, ecosystem services and human well-being. In South America, conifer invasions occur across many ecosystems and while numerous studies address the ecological consequences of these invasions, little is known about social perceptions and people's attitudes toward their control. The social perceptions on the effect of invasive conifers can include recreational, cultural and conservation dimensions. This study, conducted in the Malalcahuello National Reserve, aims to assess visitor's perception about invasive pines (Pinus spp.) and their effects on the endangered Araucaria araucana forests and determine their willingness to pay for pine control. We used a questionnaire to survey visitors to the reserve in both winter and summer (n = 138 for each season). When confronted with six images of araucaria and pine forests with and without snow, visitors consistently preferred landscapes without pines and disliked those completely dominated by pines the most. Almost half, 46.5%, of the visitors expressed their willingness to pay (WTP) for pine control and after given a brief explanation about pine impacts, this number rose to 79%. Visitors who said they were unwilling to pay argue ethical, aesthetic and pragmatic considerations relating closely to a number of social value systems and beliefs. Our study shows that there is a high variation in how people assess the threat of invasive pine species in natural areas, but education even in a very brief format can help to increase awareness of the problem and build social and financial support for its control.","container-title":"Journal of Environmental Management","DOI":"10.1016/j.jenvman.2018.07.018","ISSN":"10958630","issue":"December 2017","page":"57–66","title":"Do people care about pine invasions? Visitor perceptions and willingness to pay for pine control in a protected area","URL":"https://doi.org/10.1016/j.jenvman.2018.07.018","volume":"229","author":[{"family":"Bravo-Vargas","given":"Valentina"},{"family":"García","given":"Rafael A."},{"family":"Pizarro","given":"J. Cristóbal"},{"family":"Pauchard","given":"Aníbal"}],"issued":{"date-parts":[["2019"]]}},"label":"page"},{"id":11153,"uris":["http://zotero.org/groups/2352922/items/464QZUIG"],"itemData":{"id":11153,"type":"article-journal","abstract":"Successful eradications of harmful invasive species have been mostly confined to islands while control programs in mainland areas remain small, uncoordinated and vulnerable to recolonisation. To allow the recovery of threatened native species, innovative management strategies are required to remove invasives from large areas. We took an adaptive approach to achieve large scale eradication of invasive American mink in North East Scotland. The project was centred on the Cairngorms National Park (Scotland), with the primary aim of protecting endangered water vole populations. The project was initiated by scientists and supported and implemented through a partnership comprising a government agency, national park authority and local fisheries boards. Capitalising on the convergent interests of a diverse range of local stakeholders, we created a coordinated coalition of trained volunteers to detect and trap mink. Starting in montane headwaters, we systematically moved down river catchments, deploying mink rafts, an effective detection and trapping platform. Volunteers took increasing responsibility for raft monitoring and mink trapping as the project progressed. Within 3years, the project removed 376 mink from 10570km2 with the involvement of 186 volunteers. Capture rate within sub-catchments increased with greater connectivity to mink in other sub-catchments and with proximity to the coast where there is more productive habitat. The main factor underpinning the success of this project was functional volunteer participation. The project is a reason for optimism that the tide of invasion can be rolled back on a large scale where the convergent interest of local communities can be harnessed.","container-title":"Biological Conservation","DOI":"10.1016/j.biocon.2010.10.013","ISSN":"0006-3207","issue":"1","journalAbbreviation":"Biological Conservation","language":"en","page":"575-583","source":"ScienceDirect","title":"Turning back the tide of American mink invasion at an unprecedented scale through community participation and adaptive management","URL":"https://doi.org/10.1016/j.biocon.2010.10.013","volume":"144","author":[{"family":"Bryce","given":"Rosalind"},{"family":"Oliver","given":"Matthew K."},{"family":"Davies","given":"Llinos"},{"family":"Gray","given":"Helen"},{"family":"Urquhart","given":"Jamie"},{"family":"Lambin","given":"Xavier"}],"accessed":{"date-parts":[["2021",3,30]]},"issued":{"date-parts":[["2011",1,1]]}},"label":"page"},{"id":23936,"uris":["http://zotero.org/groups/2352922/items/WCBL65B5"],"itemData":{"id":23936,"type":"article-journal","abstract":"The horticultural sector has seen much structural change both nationally and internationally over the last decades, but the implications for plant health have been neglected. We review in the context of the risk of emerging plant diseases recent developments including the movement towards a global horticultural market, the rise of the horticultural industry of many developing countries, and the economic integration of the European Union. North America is typically well ahead of other regions in economic developments, and in horticulture this is shown for example by the growing importance of Mexican growers. Asia is rapidly catching up also in horticulture, with China and India becoming key producers. Australia and New Zealand show the impact of change in horticulture extension services. The Eastern enlargement of the EU is having profound inﬂuences on fruit and vegetable growers both in the new and in the old member countries. Similar developments are taking place in South America and Africa. In all continents, there is a general trend towards fewer and larger horticultural growers, an increasing role of supermarkets and a concentration of the retail pathways. These developments have consequences for the control of plant pathogens and invasive species. Technical issues seem to be of lesser consequence in terms of structural change compared with labour and trade aspects. However, examples can be found where technical innovations have opened up new opportunities or provided solutions to pressing problems, as can be seen in the hardy nursery stock and ornamental industry in the UK. Future technical, economic and social impacts on the sector are likely to play a key role for securing a diverse and reliable food supply for the still expanding world’s population. Recent advances in modelling disease spread in complex networks representing trade pathways should be used to target control of introductions of new plant pathogens. There is a need for more long-term research on how structural change in the horticultural sector will affect and be affected by climate change.","container-title":"Scientia Horticulturae","DOI":"10.1016/j.scienta.2010.02.017","ISSN":"03044238","issue":"1","journalAbbreviation":"Scientia Horticulturae","language":"en","page":"1-15","source":"DOI.org (Crossref)","title":"Structural change in the international horticultural industry: Some implications for plant health","title-short":"Structural change in the international horticultural industry","URL":"https://linkinghub.elsevier.com/retrieve/pii/S0304423810000889","volume":"125","author":[{"family":"Dehnen-Schmutz","given":"Katharina"},{"family":"Holdenrieder","given":"Ottmar"},{"family":"Jeger","given":"Mike J."},{"family":"Pautasso","given":"Marco"}],"accessed":{"date-parts":[["2019",11,6]]},"issued":{"date-parts":[["2010",5]]}},"label":"page"},{"id":11754,"uris":["http://zotero.org/groups/2352922/items/YS62Y5R4"],"itemData":{"id":11754,"type":"article-journal","abstract":"Despite continued critique of the idea of clear boundaries between scientific and lay knowledge, the ‘deficit-model’ of public understanding of ecological issues still seems prevalent in discourses of biodiversity management. Prominent invasion biologists, for example, still argue that citizens need to be educated so that they accept scientists’ views on the management of non-native invasive species. We conducted a questionnaire-based survey with members of the public and professionals in invasive species management (n = 732) in Canada and the UK to investigate commonalities and differences in their perceptions of species and, more importantly, how these perceptions were connected to attitudes towards species management. Both native and non-native mammal and tree species were included. Professionals tended to have more extreme views than the public, especially in relation to nativeness and abundance of a species. In both groups, species that were perceived to be more abundant, non-native, unattractive or harmful to nature and the economy were more likely to be regarded as in need of management. While perceptions of species and attitudes towards management thus often differed between public and professionals, these perceptions were linked to attitudes in very similar ways across the two groups. This suggests that ways of reasoning about invasive species employed by professionals and the public might be more compatible with each other than commonly thought. We recommend that managers and local people engage in open discussion about each other’s beliefs and attitudes prior to an invasive species control programme. This could ultimately reduce conflict over invasive species control.","container-title":"PLoS ONE","DOI":"10.1371/journal.pone.0105495","ISSN":"1932-6203","issue":"8","journalAbbreviation":"PLoS ONE","language":"en","page":"e105495","source":"DOI.org (Crossref)","title":"The Public and Professionals Reason Similarly about the Management of Non-Native Invasive Species: A Quantitative Investigation of the Relationship between Beliefs and Attitudes","title-short":"The Public and Professionals Reason Similarly about the Management of Non-Native Invasive Species","URL":"https://dx.plos.org/10.1371/journal.pone.0105495","volume":"9","author":[{"family":"Fischer","given":"Anke"},{"family":"Selge","given":"Sebastian"},{"family":"Wal","given":"René","non-dropping-particle":"van der"},{"family":"Larson","given":"Brendon M. H."}],"editor":[{"family":"Davies","given":"Zoe G."}],"accessed":{"date-parts":[["2020",5,6]]},"issued":{"date-parts":[["2014",8,29]]}},"label":"page"},{"id":24080,"uris":["http://zotero.org/groups/2352922/items/VM5U8835"],"itemData":{"id":24080,"type":"article-journal","abstract":"Although urban ecosystems are hotspots for biological invasions, the field of invasion science has given scant attention to invasion dynamics and the challenges facing managers in towns and cities. This paper provides an introduction to the growing challenges of understanding and managing invasive species in urban systems, and the context for a special issue of Biological Invasions, comprising 17 papers, that arose from a workshop on “Non-native species in urban environments: patterns, processes, impacts and challenges” held in Stellenbosch, South Africa, in November 2016. Contributions explore the following key questions: Are patterns and processes of urban invasions different from invasions in other contexts? Why is it important to manage non-native species in urban ecosystems? What are the special management needs in an urban context? How can we bridge the gaps between science, management, and policy with regards to biological invasions in urban ecosystems? The papers in this special issue show that patterns and processes of urban invasions differ in many ways from invasions in other contexts, and that managing invasive species in cities poses unique and increasingly complex challenges. Progress in urban invasion science requires further work to: (1) address key limitations that hinder our understanding of invasion dynamics in cities; (2) clarify whether fundamental concepts in the field of invasion science are appropriate for urban ecosystems; (3) integrate insights from invasion science with those from the burgeoning literature on the “Anthropocene biosphere”, novel ecosystems, social-ecological systems, human-wildlife conflicts, urban green infrastructure, urban planning and design, and ecosystem services/disservices.","container-title":"Biological Invasions","DOI":"10.1007/s10530-017-1598-7","ISSN":"1387-3547","issue":"12","language":"English","page":"3461-3469","title":"Non-native species in urban environments: patterns, processes, impacts and challenges","URL":"http://link.springer.com/10.1007/s10530-017-1598-7","volume":"19","author":[{"family":"Gaertner","given":"Mirijam"},{"family":"Wilson","given":"John R. U."},{"family":"Cadotte","given":"Marc W."},{"family":"MacIvor","given":"J. Scott"},{"family":"Zenni","given":"Rafael D."},{"family":"Richardson","given":"David M."}],"issued":{"date-parts":[["2017",12]]}},"label":"page"},{"id":11148,"uris":["http://zotero.org/groups/2352922/items/KPNSRPTQ"],"itemData":{"id":11148,"type":"article-journal","abstract":"Research on biological invasions has traditionally focused on the ecological component of invasive alien species, either without considering or by considering in a restricted way, the knowledge of the social component. An understanding of the human dimension of invasions is critical to effectively tackle the problems associated with invasive alien species. We distributed questionnaires to evaluate the social perceptions and attitudes of different stakeholder groups affected by invasive alien species in the Doñana social–ecological system (SW Spain). Our analysis served to characterize respondents based on their knowledge and perceptions of the impacts of invasive alien species, and the attitudes toward their introduction and eradication. Hierarchical cluster and principal component analyses identified five categories of respondents, and potential support of eradication programs was assessed using a contingent valuation approach. The five stakeholder groups differed in their degree of knowledge, perceptions, attitudes, and willingness to pay for eradication. The fact that different stakeholders have remarkably different perceptions about the impacts and benefits caused by invasive alien species, and different attitudes toward their introduction or eradication should be considered in any decision-making process regarding their management, particularly when developing appropriate educational and informative programs. Consultation with different stakeholders should also be encouraged from the onset of any decision-making process. In this way, trade-offs involved in IAS management are directly addressed and successful implementation of management practices is facilitated.","container-title":"Biological Conservation","DOI":"10.1016/j.biocon.2008.09.003","ISSN":"0006-3207","issue":"12","journalAbbreviation":"Biological Conservation","language":"en","page":"2969-2983","source":"DOI.org (Crossref)","title":"Social perceptions of the impacts and benefits of invasive alien species: Implications for management","title-short":"Social perceptions of the impacts and benefits of invasive alien species","URL":"http://www.sciencedirect.com/science/article/pii/S0006320708003315","volume":"141","author":[{"family":"García-Llorente","given":"Marina"},{"family":"Martín-López","given":"Berta"},{"family":"González","given":"José A."},{"family":"Alcorlo","given":"Paloma"},{"family":"Montes","given":"Carlos"}],"issued":{"date-parts":[["2008"]]}},"label":"page"},{"id":22452,"uris":["http://zotero.org/groups/2352922/items/JJEU344E"],"itemData":{"id":22452,"type":"article-journal","abstract":"There are two issues at the core of invasive species risk management: on the one hand, decision-makers struggle to balance environmental goals against other often competing societal goals such as economic benefits and social welfare; on the other hand, uncertainty often prevails in understanding the invasion process and in communicating invasion risks to the stakeholders. In this paper, we describe how an integrated Deliberative Multi-Criteria Evaluation (DMCE) and fuzzy set approach can tackle these two issues in the analysis of alternative risk management strategies, using the example of European House Borer (EHB, Hylotrupes bajulus Linnaeus). DMCE offers a platform for stakeholders to interact and to make a trade-off decision between multiple goals based on social learning and deliberation. The fuzzy set approach, applied within a DMCE framework, explicitly incorporates the inherent uncertainty in estimating potential EHB impacts and in evaluating participants' subjective preferences. This integrated method, therefore, provides a promising approach for tackling the dual challenges of competing goals and uncertainty in the evaluation of invasive species risk management options.","container-title":"Ecological Economics","DOI":"10.1016/j.ecolecon.2010.07.004","ISSN":"09218009","issue":"12","journalAbbreviation":"Ecological Economics","language":"en","page":"2374-2382","source":"DOI.org (Crossref)","title":"Using an integrated fuzzy set and deliberative multi-criteria evaluation approach to facilitate decision-making in invasive species management","URL":"https://linkinghub.elsevier.com/retrieve/pii/S0921800910002703","volume":"69","author":[{"family":"Liu","given":"Shuang"},{"family":"Proctor","given":"Wendy"},{"family":"Cook","given":"David"}],"accessed":{"date-parts":[["2019",9,11]]},"issued":{"date-parts":[["2010",10]]}},"label":"page"},{"id":22451,"uris":["http://zotero.org/groups/2352922/items/WLNQZXWN"],"itemData":{"id":22451,"type":"article-journal","abstract":"WebMapping and citizen science are increasing their importance as tools both in science communication and in gathering abundant data. Nevertheless, gathering good and plentiful data from citizens when the scientific theme is unknown to them is a demanding challenge. Invasoras.pt is a science communication endeavor that targets the general public and one of its core elements is a WebMapping platform that intends to engage volunteers to geolocate invasive plants in Portugal. Besides gathering data for scientific research and to support management, the platform raises awareness about invasive plants. The platform has been available since March 2013 and receives data from a smartphone application and a Web application. Validated sightings are shown on an online map. All data is available through a Google Fusion Table and GBIF database (open data logic). Several strategies (interactive contents, printed materials, workshops and social media) were used to overcome the challenges of engaging contributors and making them better skilled to contribute with good data. After two years of steady growth in members (ca. 600) and sightings (&gt;5400) the results are better than expected particularly amongst a population not familiarized with either citizen science or invasive plants. The outcomes of the platform and the efficacy of each strategy are analyzed and the accuracy and usefulness of the data are discussed. © 2016 John Wiley &amp; Sons Ltd","container-title":"Transactions in GIS","DOI":"10.1111/tgis.12198","ISSN":"1467-9671","issue":"2","page":"238-252","title":"Using a WebMapping Platform to Engage Volunteers to Collect Data on Invasive Plants Distribution","URL":"https://www.scopus.com/inward/record.uri?eid=2-s2.0-84962252782&amp;doi=10.1111%2ftgis.12198&amp;partnerID=40&amp;md5=85bd318a8b8cc8d6c0153c961acaf1a7","volume":"21","author":[{"family":"Marchante","given":"H."},{"family":"Morais","given":"M.C."},{"family":"Gamela","given":"A."},{"family":"Marchante","given":"E."}],"issued":{"date-parts":[["2017"]]}},"label":"page"},{"id":10792,"uris":["http://zotero.org/groups/2352922/items/W4R38M8M"],"itemData":{"id":10792,"type":"article-journal","container-title":"Environmental Management","DOI":"10.1007/s00267-015-0645-3","ISSN":"0364-152X, 1432-1009","issue":"5","journalAbbreviation":"Environmental Management","language":"en","page":"998-1008","source":"DOI.org (Crossref)","title":"Resolving a Prickly Situation: Involving Stakeholders in Invasive Cactus Management in South Africa","title-short":"Resolving a Prickly Situation","URL":"http://link.springer.com/10.1007/s00267-015-0645-3","volume":"57","author":[{"family":"Novoa","given":"Ana"},{"family":"Kaplan","given":"Haylee"},{"family":"Wilson","given":"John R. U."},{"family":"Richardson","given":"David M."}],"accessed":{"date-parts":[["2019",11,5]]},"issued":{"date-parts":[["2016",5]]}},"label":"page"},{"id":14507,"uris":["http://zotero.org/groups/2352922/items/3PCNMCKC"],"itemData":{"id":14507,"type":"article-journal","abstract":"The complex and dynamic nature of environmental problems requires flexible and transparent decision-making that embraces a diversity of knowledges and values. For this reason, stakeholder participation in environmental decision-making has been increasingly sought and embedded into national and international policy. Although many benefits have been claimed for participation, disillusionment has grown amongst practitioners and stakeholders who have felt let down when these claims are not realised. This review first traces the development of participatory approaches in different disciplinary and geographical contexts, and reviews typologies that can be used to categorise and select participatory methods. It then reviews evidence for normative and pragmatic benefits of participation, and evaluates limitations and drawbacks. Although few of the claims that are made have been tested, there is evidence that stakeholder participation can enhance the quality of environmental decisions by considering more comprehensive information inputs. However, the quality of decisions made through stakeholder participation is strongly dependant on the nature of the process leading to them. Eight features of best practice participation are then identified from a Grounded Theory Analysis of the literature. These features emphasise the need to replace a “tool-kit” approach, which emphasises selecting the relevant tools for the job, with an approach that emphasises participation as a process. It is argued that stakeholder participation needs to be underpinned by a philosophy that emphasises empowerment, equity, trust and learning. Where relevant, participation should be considered as early as possible and throughout the process, representing relevant stakeholders systematically. The process needs to have clear objectives from the outset, and should not overlook the need for highly skilled facilitation. Local and scientific knowledges can be integrated to provide a more comprehensive understanding of complex and dynamic socio-ecological systems and processes. Such knowledge can also be used to evaluate the appropriateness of potential technical and local solutions to environmental problems. Finally, it is argued that to overcome many of its limitations, stakeholder participation must be institutionalised, creating organisational cultures that can facilitate processes where goals are negotiated and outcomes are necessarily uncertain. In this light, participatory processes may seem very risky, but there is growing evidence that if well designed, these perceived risks may be well worth taking. The review concludes by identifying future research needs.","container-title":"Biological Conservation","DOI":"10.1016/J.BIOCON.2008.07.014","ISSN":"0006-3207","issue":"10","page":"2417–2431","title":"Stakeholder participation for environmental management: A literature review","URL":"https://www.sciencedirect.com/science/article/pii/S0006320708002693?via%3Dihub","volume":"141","author":[{"family":"Reed","given":"Mark S."}],"issued":{"date-parts":[["2008",10]]}},"label":"page"},{"id":25158,"uris":["http://zotero.org/groups/2352922/items/4J85BTLR"],"itemData":{"id":25158,"type":"article-journal","abstract":"Upland areas provide UK society with many important functions, goods and services, but have experienced a number of disturbing trends and face an uncertain future. This paper Outlines historic, current and future drivers of environmental, economic, socio-cultural and policy change in UK uplands, and assesses how these have affected or are likely to affect ways in which land is used and the provision of ecosystem services. Information is synthesised into scenarios summarising a range of possible futures anticipated for UK uplands to 2060 and beyond. Finally. innovations in science, technology, governance and policy are evaluated that Could enable uplands to continue providing key ecosystem services under a range of scenarios. The paper concludes that many upland areas will need to be prepared for significant reductions in grazing and prescribed burning. Conversely, other areas Could experience agricultural intensification, for example significant increases in grazing or an expansion of arable or bioenergy crops into upland valleys, due to anticipated increases in global demand for food and energy. These scenarios will take place in the context of climate change. Many may take place together and may interact with each other, with complex and unpredictable implication!; for the upland environment, economy and society. In this context, a number of advances are needed in science. technology and policy to maintain viable upland communities and the future provision of ecosystem services. These may include funding for ecological and hydrological restoration via carbon offsetting or other means. It may also involve advances in ecosystem service modelling, mapping and valuation, which through stakeholder participation Could facilitate more integrated rural planning. New forms of environmental governance need to be explored that can empower those interested in developing upland economies to maintain thriving upland communities, while managing the ecosystem services they provide as efficiently as possible. C 2009 Queen's Printer and Controller of HMSO. Published by Elsevier Ltd. All rights reserved.","container-title":"Land Use Policy","DOI":"10.1016/j.landusepol.2009.09.013","ISSN":"0264-8377","issue":"1","page":"S204–S216","title":"The Future of the Uplands","volume":"26","author":[{"family":"Reed","given":"Mark S."},{"family":"Bonn","given":"A."},{"family":"Slee","given":"W."},{"family":"Beharry-Borg","given":"N."},{"family":"Birch","given":"J."},{"family":"Brown","given":"I."},{"family":"Burt","given":"T. P."},{"family":"Chapman","given":"D."},{"family":"Chapman","given":"P. J."},{"family":"Clay","given":"G. D."},{"family":"Cornell","given":"S. J."},{"family":"Fraser","given":"E. D G"},{"family":"Glass","given":"J. H."},{"family":"Holden","given":"J."},{"family":"Hodgson","given":"J. A."},{"family":"Hubacek","given":"K."},{"family":"Irvine","given":"B."},{"family":"Jin","given":"N."},{"family":"Kirkby","given":"M. J."},{"family":"Kunin","given":"W. E."},{"family":"Moore","given":"O."},{"family":"Moseley","given":"D."},{"family":"Prell","given":"C."},{"family":"Price","given":"M. F."},{"family":"Quinn","given":"C. H."},{"family":"Redpath","given":"S."},{"family":"Reid","given":"C."},{"family":"Stagl","given":"S."},{"family":"Stringer","given":"L. C."},{"family":"Termansen","given":"M."},{"family":"Thorp","given":"S."},{"family":"Towers","given":"W."},{"family":"Worrall","given":"F."}],"issued":{"date-parts":[["2009"]]}},"label":"page"},{"id":24036,"uris":["http://zotero.org/groups/2352922/items/DABRZBE7"],"itemData":{"id":24036,"type":"article-journal","abstract":"There is an increasing recognition that greater stakeholder engagement is needed in the assessment, management and communication of risks around plant and animal health, and biosecurity issues more generally. Despite a growing number of studies considering the knowledge and actions of stakeholders in the governance of biosecurity issues, attempts to systematically identify, categorise or analyse stakeholders in this field are relatively rare. This paper therefore integrates literature from a range of disciplines to generate methodological and theoretical insights that may enable decision-makers to effectively map and analyse biosecurity stakeholders, and enable more transparent, inclusive and adaptive governance of biosecurity. The review starts by defining key terms, before discussing some of the challenges and benefits of effectively representing stakeholders in biosecurity strategies. The paper then reviews a range of theoretical approaches to stakeholder mapping, before critically analysing alternative methods for stakeholder mapping and analysis, which could be used in biosecurity interventions. These theories and methods are then discussed in relation to biosecurity governance, drawing on recent applications of stakeholder mapping in biosecurity policy and practice.","container-title":"Journal of Integrative Environmental Sciences","DOI":"10.1080/1943815X.2014.975723","ISSN":"1943-815X","issue":"1","journalAbbreviation":"Journal of Integrative Environmental Sciences","page":"15-38","source":"Taylor and Francis+NEJM","title":"Stakeholder mapping for the governance of biosecurity: a literature review","title-short":"Stakeholder mapping for the governance of biosecurity","URL":"https://doi.org/10.1080/1943815X.2014.975723","volume":"12","author":[{"family":"Reed","given":"Mark S."},{"family":"Curzon","given":"R."}],"accessed":{"date-parts":[["2020",5,7]]},"issued":{"date-parts":[["2015",1,2]]}},"label":"page"},{"id":29948,"uris":["http://zotero.org/groups/2352922/items/AVRETIRN"],"itemData":{"id":29948,"type":"article-journal","container-title":"Journal of Environmental Management","DOI":"10.1016/j.jenvman.2018.04.044","ISSN":"03014797","journalAbbreviation":"Journal of Environmental Management","language":"en","page":"88-101","source":"DOI.org (Crossref)","title":"Stakeholder engagement in the study and management of invasive alien species","URL":"https://linkinghub.elsevier.com/retrieve/pii/S0301479718304262","volume":"229","author":[{"family":"Shackleton","given":"Ross T."},{"family":"Adriaens","given":"Tim"},{"family":"Brundu","given":"Giuseppe"},{"family":"Dehnen-Schmutz","given":"Katharina"},{"family":"Estévez","given":"Rodrigo A."},{"family":"Fried","given":"Jana"},{"family":"Larson","given":"Brendon M.H."},{"family":"Liu","given":"Shuang"},{"family":"Marchante","given":"Elizabete"},{"family":"Marchante","given":"Hélia"},{"family":"Moshobane","given":"Moleseng C."},{"family":"Novoa","given":"Ana"},{"family":"Reed","given":"Mark"},{"family":"Richardson","given":"David M."}],"accessed":{"date-parts":[["2021",8,16]]},"issued":{"date-parts":[["2019",1]]}},"label":"page"},{"id":11405,"uris":["http://zotero.org/groups/2352922/items/SEVKE7N7"],"itemData":{"id":11405,"type":"article-journal","abstract":"The management of invasive non-native species is a frequent cause of conﬂict in the ﬁeld of biodiversity conservation because perceptions of their costs and beneﬁts diﬀer among stakeholder groups. A lack of cohesion between scientiﬁc researchers, the commercial sector and policy makers lies at the root of a widespread failure to develop and implement sustainable management practices for invasive species. The crisis of this situation is intensiﬁed by drivers stemming from international conventions and directives to address invasive species issues. There are further direct conﬂicts between legislative instruments promoting biodiversity conservation on the one hand while liberalizing trade at the national, European and global level on the other. The island of Ireland provides graphic illustration of the importance of cross-jurisdictional approaches to biological invasions. Using primarily Irish examples in this review, we emphasize the importance of approaching risk assessment, risk reduction and control or eradication policies from a cost-eﬃcient, highly ﬂexible perspective, incorporating linkages between environmental, economic and social objectives. The need for consolidated policies between Northern Ireland and the Republic of Ireland is particularly acute, though few model cross-border mechanisms for such consolidation are available. The importance of engaging aﬀected stakeholders through positive interactions is discussed with regard to reducing the currently fragmented nature of invasive species management between the two jurisdictions.","container-title":"Biodiversity and Conservation","DOI":"10.1007/s10531-005-3137-6","ISSN":"0960-3115, 1572-9710","issue":"8","journalAbbreviation":"Biodivers Conserv","language":"en","page":"2829-2852","source":"DOI.org (Crossref)","title":"The Importance of Stakeholder Engagement in Invasive Species Management: A Cross-jurisdictional Perspective in Ireland","title-short":"The Importance of Stakeholder Engagement in Invasive Species Management","URL":"https://doi.org/10.1007/s10531-005-3137-6","volume":"15","author":[{"family":"Stokes","given":"K. E."},{"family":"O℉Neill","given":"K. P."},{"family":"Montgomery","given":"W. I."},{"family":"Dick","given":"J. T. A."},{"family":"Maggs","given":"C. A."},{"family":"McDonald","given":"R. A."}],"accessed":{"date-parts":[["2019",10,7]]},"issued":{"date-parts":[["2006",7]]}},"label":"page"},{"id":11899,"uris":["http://zotero.org/groups/2352922/items/BHLBTUTI"],"itemData":{"id":11899,"type":"article-journal","abstract":"Debates surrounding the use of policies to avoid further spread of invasive species highlight the need to establish priorities in public resource allocations. We explore the consistency or discrepancy among stakeholder groups involved in the risk and control management of invasive species to identify the extent to which different factors influence stakeholder choices of major relevant plant invaders. Based on stakeholder ranking of invasive plants, we explore the reasons behind stakeholders' support for policy management. Data were collected in Galicia, Spain. A national catalogue of prohibited entry and trade of invasive species has been recently approved. We estimate a rank ordered logit model using information from semi-structured interviews conducted with respondents from four stakeholder groups: public administration sector, ornamental sector, research and social groups. The characteristics of plant invaders that provoke stakeholders to rank a species more highly are wide distribution of plant invaders, existence of public control programmes, use and sale of species in the ornamental sector and media coverage. The influence these aspects have in the selection of top-ranked invaders varies across different stakeholder groups and with stakeholders' level of knowledge, awareness and attitudes towards different potential policy measures. A small group of invaders are perceived as top rated by all stakeholder groups. © 2014 Elsevier B.V.","container-title":"Ecological Economics","DOI":"10.1016/j.ecolecon.2014.06.019","page":"330-341","title":"Explaining the rank order of invasive plants by stakeholder groups","URL":"https://www.scopus.com/inward/record.uri?eid=2-s2.0-84904557494&amp;doi=10.1016%2fj.ecolecon.2014.06.019&amp;partnerID=40&amp;md5=a9aa7d879151df896ce683813a758943","volume":"105","author":[{"family":"Touza","given":"J."},{"family":"Pérez-Alonso","given":"A."},{"family":"Chas-Amil","given":"M.L."},{"family":"Dehnen-Schmutz","given":"K."}],"issued":{"date-parts":[["2014"]]}},"label":"page"}],"schema":"https://github.com/citation-style-language/schema/raw/master/csl-citation.json"} </w:instrText>
      </w:r>
      <w:r w:rsidRPr="00A9434B">
        <w:fldChar w:fldCharType="separate"/>
      </w:r>
      <w:r w:rsidR="00215172" w:rsidRPr="00215172">
        <w:t>Adriaens et al., 2015; Bravo-Vargas et al., 2019; Bryce et al., 2011; Dehnen-Schmutz et al., 2010; Fischer et al., 2014; Gaertner et al., 2017; García-Llorente et al., 2008; S. Liu et al., 2010; Marchante et al., 2017; Novoa et al., 2016; M. S. Reed, 2008; M. S. Reed et al., 2009; M. S. Reed &amp; Curzon, 2015; Shackleton, Adriaens, et al., 2019; Stokes et al., 2006; Touza et al., 2014)</w:t>
      </w:r>
      <w:r w:rsidRPr="00A9434B">
        <w:fldChar w:fldCharType="end"/>
      </w:r>
      <w:r w:rsidR="004155A5" w:rsidRPr="00A9434B">
        <w:t xml:space="preserve">. </w:t>
      </w:r>
      <w:r w:rsidR="0015098F" w:rsidRPr="00A9434B">
        <w:t xml:space="preserve">As outlined </w:t>
      </w:r>
      <w:r w:rsidR="00764F95" w:rsidRPr="00A9434B">
        <w:t>earlier</w:t>
      </w:r>
      <w:r w:rsidR="0015098F" w:rsidRPr="00A9434B">
        <w:t xml:space="preserve"> </w:t>
      </w:r>
      <w:r w:rsidR="00F806B6" w:rsidRPr="00A9434B">
        <w:t>(</w:t>
      </w:r>
      <w:r w:rsidR="00E452E2">
        <w:rPr>
          <w:b/>
          <w:iCs/>
        </w:rPr>
        <w:t>C</w:t>
      </w:r>
      <w:r w:rsidR="00764F95" w:rsidRPr="00673554">
        <w:rPr>
          <w:b/>
          <w:iCs/>
        </w:rPr>
        <w:t>hapter 5</w:t>
      </w:r>
      <w:r w:rsidR="00831AEF" w:rsidRPr="00673554">
        <w:rPr>
          <w:iCs/>
        </w:rPr>
        <w:t>,</w:t>
      </w:r>
      <w:r w:rsidR="00831AEF" w:rsidRPr="00673554">
        <w:rPr>
          <w:b/>
          <w:iCs/>
        </w:rPr>
        <w:t xml:space="preserve"> section 5.</w:t>
      </w:r>
      <w:r w:rsidR="008D781F" w:rsidRPr="00673554">
        <w:rPr>
          <w:b/>
          <w:iCs/>
        </w:rPr>
        <w:t>6.2.1</w:t>
      </w:r>
      <w:r w:rsidR="0015098F" w:rsidRPr="00A9434B">
        <w:t xml:space="preserve">), there are many examples where effective regulatory, social </w:t>
      </w:r>
      <w:r w:rsidR="006412E0" w:rsidRPr="00A9434B">
        <w:t>responsibility</w:t>
      </w:r>
      <w:r w:rsidR="0015098F" w:rsidRPr="00A9434B">
        <w:t xml:space="preserve"> and </w:t>
      </w:r>
      <w:r w:rsidR="006412E0" w:rsidRPr="00A9434B">
        <w:t>incentive-based</w:t>
      </w:r>
      <w:r w:rsidR="0015098F" w:rsidRPr="00A9434B">
        <w:t xml:space="preserve"> systems </w:t>
      </w:r>
      <w:r w:rsidR="00714D49" w:rsidRPr="00A9434B">
        <w:t xml:space="preserve">have and continue to </w:t>
      </w:r>
      <w:r w:rsidR="0015098F" w:rsidRPr="00A9434B">
        <w:t xml:space="preserve">support effective industry and </w:t>
      </w:r>
      <w:r w:rsidR="00714D49" w:rsidRPr="00A9434B">
        <w:t xml:space="preserve">landowner </w:t>
      </w:r>
      <w:r w:rsidR="0015098F" w:rsidRPr="00A9434B">
        <w:t xml:space="preserve">engagement in </w:t>
      </w:r>
      <w:r w:rsidR="00714D49" w:rsidRPr="00A9434B">
        <w:t xml:space="preserve">the </w:t>
      </w:r>
      <w:r w:rsidR="0015098F" w:rsidRPr="00A9434B">
        <w:t xml:space="preserve">prevention and </w:t>
      </w:r>
      <w:r w:rsidR="008C206F">
        <w:t>control</w:t>
      </w:r>
      <w:r w:rsidR="008C206F" w:rsidRPr="00A9434B">
        <w:t xml:space="preserve"> </w:t>
      </w:r>
      <w:r w:rsidR="0015098F" w:rsidRPr="00A9434B">
        <w:t xml:space="preserve">of invasive alien species. </w:t>
      </w:r>
      <w:r w:rsidR="004155A5" w:rsidRPr="00A9434B">
        <w:t xml:space="preserve">This section outlines the context and </w:t>
      </w:r>
      <w:r w:rsidR="3C043753" w:rsidRPr="00A9434B">
        <w:t>summarizes</w:t>
      </w:r>
      <w:r w:rsidR="00A82C91" w:rsidRPr="00A9434B">
        <w:t xml:space="preserve"> the purposes </w:t>
      </w:r>
      <w:r w:rsidR="00574A6A" w:rsidRPr="00A9434B">
        <w:t>of</w:t>
      </w:r>
      <w:r w:rsidR="004155A5" w:rsidRPr="00A9434B">
        <w:t xml:space="preserve"> </w:t>
      </w:r>
      <w:r w:rsidR="00743FC8" w:rsidRPr="00A9434B">
        <w:t xml:space="preserve">engaging </w:t>
      </w:r>
      <w:r w:rsidR="004155A5" w:rsidRPr="00A9434B">
        <w:t xml:space="preserve">stakeholders and </w:t>
      </w:r>
      <w:r w:rsidR="001E7B2B" w:rsidRPr="00A9434B">
        <w:t>Indigenous Peoples</w:t>
      </w:r>
      <w:r w:rsidR="004155A5" w:rsidRPr="00A9434B">
        <w:t xml:space="preserve"> and local communit</w:t>
      </w:r>
      <w:r w:rsidR="00743FC8" w:rsidRPr="00A9434B">
        <w:t>ies</w:t>
      </w:r>
      <w:r w:rsidR="004155A5" w:rsidRPr="00A9434B">
        <w:t xml:space="preserve"> (</w:t>
      </w:r>
      <w:r w:rsidR="00831AEF" w:rsidRPr="00673554">
        <w:rPr>
          <w:b/>
          <w:iCs/>
        </w:rPr>
        <w:t>section</w:t>
      </w:r>
      <w:r w:rsidR="00831AEF" w:rsidRPr="00673554">
        <w:rPr>
          <w:b/>
        </w:rPr>
        <w:t xml:space="preserve"> </w:t>
      </w:r>
      <w:r w:rsidR="004155A5" w:rsidRPr="00673554">
        <w:rPr>
          <w:b/>
          <w:iCs/>
        </w:rPr>
        <w:t>6.4.1</w:t>
      </w:r>
      <w:r w:rsidR="004155A5" w:rsidRPr="00A9434B">
        <w:t>)</w:t>
      </w:r>
      <w:r w:rsidR="174E2016" w:rsidRPr="00A9434B">
        <w:t>. It</w:t>
      </w:r>
      <w:r w:rsidR="004155A5" w:rsidRPr="00A9434B">
        <w:t xml:space="preserve"> assesses the general enabling factors for successful engagement (</w:t>
      </w:r>
      <w:r w:rsidR="00831AEF" w:rsidRPr="00673554">
        <w:rPr>
          <w:b/>
          <w:iCs/>
        </w:rPr>
        <w:t>section</w:t>
      </w:r>
      <w:r w:rsidR="00831AEF" w:rsidRPr="00673554">
        <w:rPr>
          <w:b/>
        </w:rPr>
        <w:t xml:space="preserve"> </w:t>
      </w:r>
      <w:r w:rsidR="004155A5" w:rsidRPr="00673554">
        <w:rPr>
          <w:b/>
          <w:iCs/>
        </w:rPr>
        <w:t>6.4.2</w:t>
      </w:r>
      <w:r w:rsidR="004155A5" w:rsidRPr="00A9434B">
        <w:t xml:space="preserve">), as well as factors contributing to successful collaboration with </w:t>
      </w:r>
      <w:r w:rsidR="001E7B2B" w:rsidRPr="00A9434B">
        <w:t>Indigenous Peoples</w:t>
      </w:r>
      <w:r w:rsidR="004155A5" w:rsidRPr="00A9434B">
        <w:t xml:space="preserve"> and local communities</w:t>
      </w:r>
      <w:r w:rsidR="009315E4" w:rsidRPr="00A9434B">
        <w:t xml:space="preserve"> on </w:t>
      </w:r>
      <w:r w:rsidR="6B9B1D70" w:rsidRPr="00A9434B">
        <w:t>biological</w:t>
      </w:r>
      <w:r w:rsidR="009315E4" w:rsidRPr="00A9434B">
        <w:t xml:space="preserve"> invasions</w:t>
      </w:r>
      <w:r w:rsidR="000A271C" w:rsidRPr="00A9434B">
        <w:t xml:space="preserve"> more specifically</w:t>
      </w:r>
      <w:r w:rsidR="004155A5" w:rsidRPr="00A9434B">
        <w:t xml:space="preserve"> (</w:t>
      </w:r>
      <w:r w:rsidR="00831AEF" w:rsidRPr="00673554">
        <w:rPr>
          <w:b/>
          <w:iCs/>
        </w:rPr>
        <w:t>section</w:t>
      </w:r>
      <w:r w:rsidR="00831AEF" w:rsidRPr="00673554">
        <w:rPr>
          <w:b/>
        </w:rPr>
        <w:t xml:space="preserve"> </w:t>
      </w:r>
      <w:r w:rsidR="004155A5" w:rsidRPr="00673554">
        <w:rPr>
          <w:b/>
          <w:iCs/>
        </w:rPr>
        <w:t>6.4.3</w:t>
      </w:r>
      <w:r w:rsidR="004155A5" w:rsidRPr="00A9434B">
        <w:t>). Finally, the section explores the different governance network options for collaborative action (</w:t>
      </w:r>
      <w:r w:rsidR="00831AEF" w:rsidRPr="00673554">
        <w:rPr>
          <w:b/>
          <w:iCs/>
        </w:rPr>
        <w:t>section</w:t>
      </w:r>
      <w:r w:rsidR="00831AEF" w:rsidRPr="00673554">
        <w:rPr>
          <w:b/>
        </w:rPr>
        <w:t xml:space="preserve"> </w:t>
      </w:r>
      <w:r w:rsidR="004155A5" w:rsidRPr="00673554">
        <w:rPr>
          <w:b/>
          <w:iCs/>
        </w:rPr>
        <w:t>6.4.4</w:t>
      </w:r>
      <w:r w:rsidR="004155A5" w:rsidRPr="00A9434B">
        <w:t>).</w:t>
      </w:r>
    </w:p>
    <w:p w14:paraId="6F377A7B" w14:textId="77777777" w:rsidR="004155A5" w:rsidRPr="00A9434B" w:rsidRDefault="57FB0EFF" w:rsidP="008C206F">
      <w:pPr>
        <w:pStyle w:val="Heading2"/>
      </w:pPr>
      <w:bookmarkStart w:id="343" w:name="_Toc88742696"/>
      <w:bookmarkStart w:id="344" w:name="_Toc88743126"/>
      <w:bookmarkStart w:id="345" w:name="_Toc88743365"/>
      <w:bookmarkStart w:id="346" w:name="_Toc89445591"/>
      <w:bookmarkStart w:id="347" w:name="_Toc89445687"/>
      <w:bookmarkStart w:id="348" w:name="_Toc89771038"/>
      <w:bookmarkStart w:id="349" w:name="_Toc89879490"/>
      <w:bookmarkStart w:id="350" w:name="_Toc133428321"/>
      <w:bookmarkStart w:id="351" w:name="_Toc133428791"/>
      <w:bookmarkStart w:id="352" w:name="_Toc147417586"/>
      <w:bookmarkStart w:id="353" w:name="_Toc90286351"/>
      <w:bookmarkStart w:id="354" w:name="_Toc1866905541"/>
      <w:bookmarkEnd w:id="343"/>
      <w:bookmarkEnd w:id="344"/>
      <w:bookmarkEnd w:id="345"/>
      <w:bookmarkEnd w:id="346"/>
      <w:bookmarkEnd w:id="347"/>
      <w:bookmarkEnd w:id="348"/>
      <w:bookmarkEnd w:id="349"/>
      <w:r w:rsidRPr="00A9434B">
        <w:t>R</w:t>
      </w:r>
      <w:r w:rsidR="2C6F913D" w:rsidRPr="00A9434B">
        <w:t>easons</w:t>
      </w:r>
      <w:r w:rsidRPr="00A9434B">
        <w:t xml:space="preserve"> for inclusive engagement</w:t>
      </w:r>
      <w:bookmarkEnd w:id="350"/>
      <w:bookmarkEnd w:id="351"/>
      <w:bookmarkEnd w:id="352"/>
      <w:r w:rsidR="6C1E7C41" w:rsidRPr="00A9434B">
        <w:t xml:space="preserve"> </w:t>
      </w:r>
      <w:bookmarkEnd w:id="353"/>
      <w:bookmarkEnd w:id="354"/>
    </w:p>
    <w:p w14:paraId="3E62BA12" w14:textId="5AC8B13C" w:rsidR="004155A5" w:rsidRPr="00A9434B" w:rsidRDefault="6C1E7C41" w:rsidP="006B3143">
      <w:r w:rsidRPr="00A9434B">
        <w:t xml:space="preserve">New approaches to </w:t>
      </w:r>
      <w:r w:rsidR="000A7DC2" w:rsidRPr="00A9434B">
        <w:t>governance for biological invasions</w:t>
      </w:r>
      <w:r w:rsidRPr="00A9434B">
        <w:t xml:space="preserve"> reflect broader shifts in environmental governance </w:t>
      </w:r>
      <w:r w:rsidR="004155A5" w:rsidRPr="00A9434B">
        <w:fldChar w:fldCharType="begin"/>
      </w:r>
      <w:r w:rsidR="0006613E">
        <w:instrText xml:space="preserve"> ADDIN ZOTERO_ITEM CSL_CITATION {"citationID":"a2dgtobop1u","properties":{"formattedCitation":"(Chaffin et al., 2014)","plainCitation":"(Chaffin et al., 2014)","noteIndex":0},"citationItems":[{"id":26826,"uris":["http://zotero.org/groups/2352922/items/F6XRHPZX"],"itemData":{"id":26826,"type":"article-journal","abstract":"Adaptive governance is an emergent form of environmental governance that is increasingly called upon by scholars and practitioners to coordinate resource management regimes in the face of the complexity and uncertainty associated with rapid environmental change. Although the term “adaptive governance” is not exclusively applied to the governance of social-ecological systems, related research represents a significant outgrowth of literature on resilience, social-ecological systems, and environmental governance. We present a chronology of major scholarship on adaptive governance, synthesizing efforts to define the concept and identifying the array of governance concepts associated with transformation toward adaptive governance. Based on this synthesis, we define adaptive governance as a range of interactions between actors, networks, organizations, and institutions emerging in pursuit of a desired state for social-ecological systems. In addition, we identify and discuss ambiguities in adaptive governance scholarship such as the roles of adaptive management, crisis, and a desired state for governance of social-ecological systems. Finally, we outline a research agenda to examine whether an adaptive governance approach can become institutionalized under current legal frameworks and political contexts. We suggest a further investigation of the relationship between adaptive governance and the principles of good governance; the roles of power and politics in the emergence of adaptive governance; and potential interventions such as legal reform that may catalyze or enhance governance adaptations or transformation toward adaptive governance.","container-title":"Ecology and Society","DOI":"10.5751/ES-06824-190356","ISSN":"1708-3087","issue":"3","journalAbbreviation":"E&amp;S","language":"en","page":"56","source":"DOI.org (Crossref)","title":"A decade of adaptive governance scholarship: synthesis and future directions","title-short":"A decade of adaptive governance scholarship","URL":"http://www.ecologyandsociety.org/vol19/iss3/art56/","volume":"19","author":[{"family":"Chaffin","given":"Brian C."},{"family":"Gosnell","given":"Hannah"},{"family":"Cosens","given":"Barbara A."}],"accessed":{"date-parts":[["2021",6,14]]},"issued":{"date-parts":[["2014"]]}},"label":"page"}],"schema":"https://github.com/citation-style-language/schema/raw/master/csl-citation.json"} </w:instrText>
      </w:r>
      <w:r w:rsidR="004155A5" w:rsidRPr="00A9434B">
        <w:fldChar w:fldCharType="separate"/>
      </w:r>
      <w:r w:rsidR="00C71E80" w:rsidRPr="00A9434B">
        <w:t>(Chaffin et al., 2014)</w:t>
      </w:r>
      <w:r w:rsidR="004155A5" w:rsidRPr="00A9434B">
        <w:fldChar w:fldCharType="end"/>
      </w:r>
      <w:r w:rsidRPr="00A9434B">
        <w:t>, emphasizing the interconnectivity of ecological and social systems</w:t>
      </w:r>
      <w:r w:rsidR="5C1025ED" w:rsidRPr="00A9434B">
        <w:t xml:space="preserve"> and</w:t>
      </w:r>
      <w:r w:rsidRPr="00A9434B">
        <w:t xml:space="preserve"> the uncertainty associated with complexity and rapid environmental change</w:t>
      </w:r>
      <w:r w:rsidR="1E21F6EB" w:rsidRPr="00A9434B">
        <w:t xml:space="preserve"> (</w:t>
      </w:r>
      <w:r w:rsidR="1E21F6EB" w:rsidRPr="00673554">
        <w:rPr>
          <w:b/>
          <w:iCs/>
        </w:rPr>
        <w:t>section 6.7</w:t>
      </w:r>
      <w:r w:rsidR="1E21F6EB" w:rsidRPr="00A9434B">
        <w:t>)</w:t>
      </w:r>
      <w:r w:rsidR="0CAF7A3D" w:rsidRPr="00A9434B">
        <w:t>.</w:t>
      </w:r>
      <w:r w:rsidRPr="00A9434B">
        <w:t xml:space="preserve"> </w:t>
      </w:r>
      <w:r w:rsidR="79F7C984" w:rsidRPr="00A9434B">
        <w:t>T</w:t>
      </w:r>
      <w:r w:rsidRPr="00A9434B">
        <w:t>he</w:t>
      </w:r>
      <w:r w:rsidR="1E21F6EB" w:rsidRPr="00A9434B">
        <w:t>se</w:t>
      </w:r>
      <w:r w:rsidRPr="00A9434B">
        <w:t xml:space="preserve"> </w:t>
      </w:r>
      <w:r w:rsidR="34156F82" w:rsidRPr="00A9434B">
        <w:t>approaches recogni</w:t>
      </w:r>
      <w:r w:rsidR="006B004D" w:rsidRPr="00A9434B">
        <w:t>z</w:t>
      </w:r>
      <w:r w:rsidR="34156F82" w:rsidRPr="00A9434B">
        <w:t xml:space="preserve">e the </w:t>
      </w:r>
      <w:r w:rsidRPr="00A9434B">
        <w:t xml:space="preserve">need for more integrated multi-level or </w:t>
      </w:r>
      <w:r w:rsidR="00527080" w:rsidRPr="00A9434B">
        <w:t>“</w:t>
      </w:r>
      <w:r w:rsidRPr="00A9434B">
        <w:t>polycentric</w:t>
      </w:r>
      <w:r w:rsidR="00527080" w:rsidRPr="00A9434B">
        <w:t>”</w:t>
      </w:r>
      <w:r w:rsidRPr="00A9434B">
        <w:t xml:space="preserve"> governance </w:t>
      </w:r>
      <w:r w:rsidR="004155A5" w:rsidRPr="00A9434B">
        <w:fldChar w:fldCharType="begin"/>
      </w:r>
      <w:r w:rsidR="0006613E">
        <w:instrText xml:space="preserve"> ADDIN ZOTERO_ITEM CSL_CITATION {"citationID":"a2f7d3161fb","properties":{"formattedCitation":"(Anderies et al., 2013; Bodin, 2017; Lubell, 2013; Ostrom, 2010)","plainCitation":"(Anderies et al., 2013; Bodin, 2017; Lubell, 2013; Ostrom, 2010)","noteIndex":0},"citationItems":[{"id":17433,"uris":["http://zotero.org/groups/2352922/items/33T5CK6V"],"itemData":{"id":17433,"type":"article-journal","abstract":"Globalization, the process by which local social-ecological systems (SESs) are becoming linked in a global network, presents policy scientists and practitioners with unique and difficult challenges. Although local SESs can be extremely complex, when they become more tightly linked in the global system, complexity increases very rapidly as multi-scale and multi-level processes become more important. Here, we argue that addressing these multi-scale and multi-level challenges requires a collection of theories and models. We suggest that the conceptual domains of sustainability, resilience, and robustness provide a sufficiently rich collection of theories and models, but overlapping definitions and confusion about how these conceptual domains articulate with one another reduces their utility. We attempt to eliminate this confusion and illustrate how sustainability, resilience, and robustness can be used in tandem to address the multi-scale and multi-level challenges associated with global change.","container-title":"Ecology and Society","DOI":"10.5751/ES-05178-180208","ISSN":"1708-3087","issue":"2","journalAbbreviation":"E&amp;S","language":"en","page":"8","source":"DOI.org (Crossref)","title":"Aligning Key Concepts for Global Change Policy: Robustness, Resilience, and Sustainability","title-short":"Aligning Key Concepts for Global Change Policy","URL":"http://www.ecologyandsociety.org/vol18/iss2/art8/","volume":"18","author":[{"family":"Anderies","given":"John M."},{"family":"Folke","given":"Carl"},{"family":"Walker","given":"Brian"},{"family":"Ostrom","given":"Elinor"}],"accessed":{"date-parts":[["2020",2,4]]},"issued":{"date-parts":[["2013"]]}},"label":"page"},{"id":29067,"uris":["http://zotero.org/groups/2352922/items/732VQTUE","http://zotero.org/groups/2352922/items/LNYGMDU4"],"itemData":{"id":29067,"type":"article-journal","abstract":"Managing ecosystems is challenging because of the high number of stakeholders, the permeability of man-made political and jurisdictional demarcations in relation to the temporal and spatial extent of biophysical processes, and a limited understanding of complex ecosystem and societal dynamics. Given these conditions, collaborative governance is commonly put forward as the preferred means of addressing environmental problems. Under this paradigm, a deeper understanding of if, when, and how collaboration is effective, and when other means of addressing environmental problems are better suited, is needed. Interdisciplinary research on collaborative networks demonstrates that which actors get involved, with whom they collaborate, and in what ways they are tied to the structures of the ecosystems have profound implications on actors’ abilities to address different types of environmental problems.","container-title":"Science","DOI":"10.1126/science.aan1114","ISSN":"0036-8075, 1095-9203","issue":"6352","journalAbbreviation":"Science","language":"en","page":"eaan1114","source":"DOI.org (Crossref)","title":"Collaborative environmental governance: Achieving collective action in social-ecological systems","title-short":"Collaborative environmental governance","URL":"https://www.sciencemag.org/lookup/doi/10.1126/science.aan1114","volume":"357","author":[{"family":"Bodin","given":"Örjan"}],"accessed":{"date-parts":[["2021",6,26]]},"issued":{"date-parts":[["2017",8,18]]}},"label":"page"},{"id":54702,"uris":["http://zotero.org/groups/2352922/items/MQ5A6YE5"],"itemData":{"id":54702,"type":"article-journal","container-title":"Policy studies journal","DOI":"10.1111/psj.12028","issue":"3","note":"ISBN: 0190-292X\npublisher: Wiley Online Library","page":"537-559","title":"Governing institutional complexity: The ecology of games framework","volume":"41","author":[{"family":"Lubell","given":"Mark"}],"issued":{"date-parts":[["2013"]]}},"label":"page"},{"id":23543,"uris":["http://zotero.org/groups/2352922/items/SHTZDXRX"],"itemData":{"id":23543,"type":"article-journal","container-title":"Global Environmental Change","DOI":"10.1016/j.gloenvcha.2010.07.004","ISSN":"09593780","issue":"4","journalAbbreviation":"Global Environmental Change","language":"en","page":"550-557","source":"DOI.org (Crossref)","title":"Polycentric systems for coping with collective action and global environmental change","URL":"https://linkinghub.elsevier.com/retrieve/pii/S0959378010000634","volume":"20","author":[{"family":"Ostrom","given":"Elinor"}],"accessed":{"date-parts":[["2020",8,18]]},"issued":{"date-parts":[["2010",10]]}},"label":"page"}],"schema":"https://github.com/citation-style-language/schema/raw/master/csl-citation.json"} </w:instrText>
      </w:r>
      <w:r w:rsidR="004155A5" w:rsidRPr="00A9434B">
        <w:fldChar w:fldCharType="separate"/>
      </w:r>
      <w:r w:rsidR="00297FD9" w:rsidRPr="00297FD9">
        <w:t>(Anderies et al., 2013; Bodin, 2017; Lubell, 2013; Ostrom, 2010)</w:t>
      </w:r>
      <w:r w:rsidR="004155A5" w:rsidRPr="00A9434B">
        <w:fldChar w:fldCharType="end"/>
      </w:r>
      <w:r w:rsidRPr="00A9434B">
        <w:t xml:space="preserve"> and democratic legitimacy </w:t>
      </w:r>
      <w:r w:rsidR="004155A5" w:rsidRPr="00A9434B">
        <w:fldChar w:fldCharType="begin"/>
      </w:r>
      <w:r w:rsidR="0006613E">
        <w:instrText xml:space="preserve"> ADDIN ZOTERO_ITEM CSL_CITATION {"citationID":"a1511oht3s9","properties":{"formattedCitation":"(Stoett et al., 2019)","plainCitation":"(Stoett et al., 2019)","noteIndex":0},"citationItems":[{"id":29810,"uris":["http://zotero.org/groups/2352922/items/5FYKRWIE"],"itemData":{"id":29810,"type":"article-journal","container-title":"The Lancet Planetary Health","DOI":"10.1016/S2542-5196(19)30194-9","ISSN":"25425196","issue":"10","journalAbbreviation":"The Lancet Planetary Health","language":"en","page":"e400-e401","source":"DOI.org (Crossref)","title":"Invasive alien species and planetary and global health policy","URL":"https://linkinghub.elsevier.com/retrieve/pii/S2542519619301949","volume":"3","author":[{"family":"Stoett","given":"Peter"},{"family":"Roy","given":"Helen E."},{"family":"Pauchard","given":"Aníbal"}],"accessed":{"date-parts":[["2020",3,9]]},"issued":{"date-parts":[["2019",10]]}},"label":"page"}],"schema":"https://github.com/citation-style-language/schema/raw/master/csl-citation.json"} </w:instrText>
      </w:r>
      <w:r w:rsidR="004155A5" w:rsidRPr="00A9434B">
        <w:fldChar w:fldCharType="separate"/>
      </w:r>
      <w:r w:rsidR="0006613E" w:rsidRPr="0006613E">
        <w:t>(Stoett et al., 2019)</w:t>
      </w:r>
      <w:r w:rsidR="004155A5" w:rsidRPr="00A9434B">
        <w:fldChar w:fldCharType="end"/>
      </w:r>
      <w:r w:rsidRPr="00A9434B">
        <w:t>, a</w:t>
      </w:r>
      <w:r w:rsidR="09B7C612" w:rsidRPr="00A9434B">
        <w:t xml:space="preserve">s well as </w:t>
      </w:r>
      <w:r w:rsidRPr="00A9434B">
        <w:t>the imperative to achieve societal consensus, engagement</w:t>
      </w:r>
      <w:r w:rsidR="005D0083">
        <w:t xml:space="preserve"> and</w:t>
      </w:r>
      <w:r w:rsidRPr="00A9434B">
        <w:t xml:space="preserve"> fairness </w:t>
      </w:r>
      <w:r w:rsidR="004155A5" w:rsidRPr="00A9434B">
        <w:fldChar w:fldCharType="begin"/>
      </w:r>
      <w:r w:rsidR="002D2756">
        <w:instrText xml:space="preserve"> ADDIN ZOTERO_ITEM CSL_CITATION {"citationID":"a20bcqrl744","properties":{"formattedCitation":"(CBD, 2020c)","plainCitation":"(CBD, 2020c)","noteIndex":0},"citationItems":[{"id":25098,"uris":["http://zotero.org/groups/2352922/items/6DSM5GKM"],"itemData":{"id":25098,"type":"report","genre":"Open Ended Working Group on The Post-2020 Global Biodiversity Framework","language":"en","number":"CBD/WG2020/2/3","page":"16","publisher":"Convention on Biodiversity, United Nations Environment Programme","source":"Zotero","title":"Zero draft of the post-2020 Global Biodiversity Framework","URL":"https://www.cbd.int/doc/c/efb0/1f84/a892b98d2982a829962b6371/wg2020-02-03-en.pdf","author":[{"literal":"CBD"}],"accessed":{"date-parts":[["2020",6,26]]},"issued":{"date-parts":[["2020",1,6]]}},"label":"page"}],"schema":"https://github.com/citation-style-language/schema/raw/master/csl-citation.json"} </w:instrText>
      </w:r>
      <w:r w:rsidR="004155A5" w:rsidRPr="00A9434B">
        <w:fldChar w:fldCharType="separate"/>
      </w:r>
      <w:r w:rsidR="002D2756" w:rsidRPr="002D2756">
        <w:t>(CBD, 2020c)</w:t>
      </w:r>
      <w:r w:rsidR="004155A5" w:rsidRPr="00A9434B">
        <w:fldChar w:fldCharType="end"/>
      </w:r>
      <w:r w:rsidRPr="00A9434B">
        <w:t xml:space="preserve">. The general shift is toward greater consideration of the </w:t>
      </w:r>
      <w:r w:rsidR="00B52246" w:rsidRPr="00A9434B">
        <w:t>a</w:t>
      </w:r>
      <w:r w:rsidRPr="00A9434B">
        <w:t>daptive-collaborative governance model (</w:t>
      </w:r>
      <w:r w:rsidRPr="00673554">
        <w:rPr>
          <w:b/>
          <w:iCs/>
        </w:rPr>
        <w:t>section 6.2.4.1</w:t>
      </w:r>
      <w:r w:rsidRPr="00A9434B">
        <w:t xml:space="preserve">), where a collective decision-making process is one “that allows diverse sets of actors who share an interest or stake in a policy or management issue to work together toward mutually beneficial outcomes” </w:t>
      </w:r>
      <w:r w:rsidR="004155A5" w:rsidRPr="00A9434B">
        <w:fldChar w:fldCharType="begin"/>
      </w:r>
      <w:r w:rsidR="0006613E">
        <w:instrText xml:space="preserve"> ADDIN ZOTERO_ITEM CSL_CITATION {"citationID":"a2k62ln1g3r","properties":{"formattedCitation":"(Lynch, 2020)","plainCitation":"(Lynch, 2020)","noteIndex":0},"citationItems":[{"id":29320,"uris":["http://zotero.org/groups/2352922/items/GSSV3EBS"],"itemData":{"id":29320,"type":"thesis","event-place":"Ann Arbor, Michigan: University Microfilms International","genre":"Doctoral Thesis","language":"en","publisher":"University of California, Santa Cruz","publisher-place":"Ann Arbor, Michigan: University Microfilms International","source":"Zotero","title":"Responding to an emergent plant pest-pathogen complex across social-ecological scales","URL":"https://escholarship.org/uc/item/19f5d5vk","author":[{"family":"Lynch","given":"S.C."}],"issued":{"date-parts":[["2020"]]}},"label":"page"}],"schema":"https://github.com/citation-style-language/schema/raw/master/csl-citation.json"} </w:instrText>
      </w:r>
      <w:r w:rsidR="004155A5" w:rsidRPr="00A9434B">
        <w:fldChar w:fldCharType="separate"/>
      </w:r>
      <w:r w:rsidR="00C71E80" w:rsidRPr="00A9434B">
        <w:t>(Lynch, 2020)</w:t>
      </w:r>
      <w:r w:rsidR="004155A5" w:rsidRPr="00A9434B">
        <w:fldChar w:fldCharType="end"/>
      </w:r>
      <w:r w:rsidRPr="00A9434B">
        <w:t xml:space="preserve">. </w:t>
      </w:r>
    </w:p>
    <w:p w14:paraId="4F008CF4" w14:textId="134AF236" w:rsidR="00017C04" w:rsidRDefault="004155A5">
      <w:r w:rsidRPr="00A9434B">
        <w:t xml:space="preserve">As an early example, </w:t>
      </w:r>
      <w:r w:rsidR="00B9562C" w:rsidRPr="00673554">
        <w:rPr>
          <w:b/>
          <w:iCs/>
        </w:rPr>
        <w:fldChar w:fldCharType="begin"/>
      </w:r>
      <w:r w:rsidR="00B9562C" w:rsidRPr="00673554">
        <w:rPr>
          <w:b/>
          <w:iCs/>
        </w:rPr>
        <w:instrText xml:space="preserve"> REF _Ref104898565 \h  \* MERGEFORMAT </w:instrText>
      </w:r>
      <w:r w:rsidR="00B9562C" w:rsidRPr="00673554">
        <w:rPr>
          <w:b/>
          <w:iCs/>
        </w:rPr>
      </w:r>
      <w:r w:rsidR="00B9562C" w:rsidRPr="00673554">
        <w:rPr>
          <w:b/>
          <w:iCs/>
        </w:rPr>
        <w:fldChar w:fldCharType="separate"/>
      </w:r>
      <w:r w:rsidR="0011368C" w:rsidRPr="00673554">
        <w:rPr>
          <w:b/>
          <w:iCs/>
        </w:rPr>
        <w:t>Box 6.12</w:t>
      </w:r>
      <w:r w:rsidR="00B9562C" w:rsidRPr="00673554">
        <w:rPr>
          <w:b/>
          <w:iCs/>
        </w:rPr>
        <w:fldChar w:fldCharType="end"/>
      </w:r>
      <w:r w:rsidR="00F50AF9">
        <w:rPr>
          <w:b/>
        </w:rPr>
        <w:t xml:space="preserve"> </w:t>
      </w:r>
      <w:r w:rsidR="00F50AF9">
        <w:t xml:space="preserve">describes how New Zealand’s biosecurity legislation underpins new collaborative forms of governance of invasion pathways in marine areas. </w:t>
      </w:r>
    </w:p>
    <w:p w14:paraId="632C5577" w14:textId="53477D8B" w:rsidR="00017C04" w:rsidRDefault="00F50AF9" w:rsidP="008C206F">
      <w:pPr>
        <w:pBdr>
          <w:top w:val="single" w:sz="4" w:space="1" w:color="auto"/>
          <w:left w:val="single" w:sz="4" w:space="1" w:color="auto"/>
          <w:bottom w:val="single" w:sz="4" w:space="1" w:color="auto"/>
          <w:right w:val="single" w:sz="4" w:space="1" w:color="auto"/>
        </w:pBdr>
        <w:shd w:val="clear" w:color="auto" w:fill="E7E6E6" w:themeFill="background2"/>
        <w:rPr>
          <w:b/>
        </w:rPr>
      </w:pPr>
      <w:bookmarkStart w:id="355" w:name="_heading=h.3s49zyc" w:colFirst="0" w:colLast="0"/>
      <w:bookmarkStart w:id="356" w:name="_Ref104898565"/>
      <w:bookmarkStart w:id="357" w:name="_Toc147418621"/>
      <w:bookmarkEnd w:id="355"/>
      <w:r>
        <w:rPr>
          <w:b/>
        </w:rPr>
        <w:t>Box 6</w:t>
      </w:r>
      <w:r w:rsidR="00E553A3" w:rsidRPr="00A9434B">
        <w:rPr>
          <w:b/>
          <w:bCs/>
        </w:rPr>
        <w:t>.</w:t>
      </w:r>
      <w:r w:rsidR="00E553A3" w:rsidRPr="00A9434B">
        <w:rPr>
          <w:b/>
          <w:bCs/>
        </w:rPr>
        <w:fldChar w:fldCharType="begin"/>
      </w:r>
      <w:r w:rsidR="00E553A3" w:rsidRPr="00A9434B">
        <w:rPr>
          <w:b/>
          <w:bCs/>
        </w:rPr>
        <w:instrText xml:space="preserve"> SEQ Box_6. \* ARABIC </w:instrText>
      </w:r>
      <w:r w:rsidR="00E553A3" w:rsidRPr="00A9434B">
        <w:rPr>
          <w:b/>
          <w:bCs/>
        </w:rPr>
        <w:fldChar w:fldCharType="separate"/>
      </w:r>
      <w:r w:rsidR="0011368C">
        <w:rPr>
          <w:b/>
          <w:bCs/>
          <w:noProof/>
        </w:rPr>
        <w:t>12</w:t>
      </w:r>
      <w:r w:rsidR="00E553A3" w:rsidRPr="00A9434B">
        <w:rPr>
          <w:b/>
          <w:bCs/>
        </w:rPr>
        <w:fldChar w:fldCharType="end"/>
      </w:r>
      <w:bookmarkEnd w:id="356"/>
      <w:r w:rsidR="00E36BDC" w:rsidRPr="00A9434B">
        <w:rPr>
          <w:b/>
          <w:bCs/>
        </w:rPr>
        <w:t>.</w:t>
      </w:r>
      <w:r>
        <w:rPr>
          <w:b/>
        </w:rPr>
        <w:t xml:space="preserve"> New Zealand’s shift towards adaptive collaborative governance for biological invasions</w:t>
      </w:r>
      <w:bookmarkEnd w:id="357"/>
    </w:p>
    <w:p w14:paraId="36D7947E" w14:textId="33B0B6C6" w:rsidR="00017C04" w:rsidRDefault="00F50AF9" w:rsidP="008C206F">
      <w:pPr>
        <w:pBdr>
          <w:top w:val="single" w:sz="4" w:space="1" w:color="auto"/>
          <w:left w:val="single" w:sz="4" w:space="1" w:color="auto"/>
          <w:bottom w:val="single" w:sz="4" w:space="1" w:color="auto"/>
          <w:right w:val="single" w:sz="4" w:space="1" w:color="auto"/>
        </w:pBdr>
        <w:shd w:val="clear" w:color="auto" w:fill="E7E6E6" w:themeFill="background2"/>
      </w:pPr>
      <w:r>
        <w:t>In part due to the recognition that reactive species-specific management designed for terrestrial invasions is not suited to the marine environment, New Zealand made a major shift towards adaptive collaborative governance. Legislatively enacted in a 2012 amendment to the Biosecurity Act 1993, governance for biological invasions was moved away from species-specific management to a proactive focus on vectors (</w:t>
      </w:r>
      <w:r w:rsidR="00E452E2">
        <w:rPr>
          <w:b/>
          <w:iCs/>
        </w:rPr>
        <w:t>G</w:t>
      </w:r>
      <w:r w:rsidR="00FB51B7" w:rsidRPr="00673554">
        <w:rPr>
          <w:b/>
          <w:iCs/>
        </w:rPr>
        <w:t>lossary</w:t>
      </w:r>
      <w:r>
        <w:t xml:space="preserve">) and invasion pathways that could better serve to prevent establishment rather than undertake costly remedial action. The first Marine Regional Pathway Management Plan, developed in Fiordland, a World Heritage Site of the United Nations Educational, Scientific and Cultural Organization (UNESCO; </w:t>
      </w:r>
      <w:r w:rsidR="004155A5" w:rsidRPr="00673554">
        <w:rPr>
          <w:b/>
          <w:iCs/>
        </w:rPr>
        <w:fldChar w:fldCharType="begin"/>
      </w:r>
      <w:r w:rsidR="004155A5" w:rsidRPr="00673554">
        <w:rPr>
          <w:b/>
          <w:iCs/>
        </w:rPr>
        <w:instrText xml:space="preserve"> REF _Ref104896782 \h  \* MERGEFORMAT </w:instrText>
      </w:r>
      <w:r w:rsidR="004155A5" w:rsidRPr="00673554">
        <w:rPr>
          <w:b/>
          <w:iCs/>
        </w:rPr>
      </w:r>
      <w:r w:rsidR="004155A5" w:rsidRPr="00673554">
        <w:rPr>
          <w:b/>
          <w:iCs/>
        </w:rPr>
        <w:fldChar w:fldCharType="separate"/>
      </w:r>
      <w:r w:rsidR="0011368C" w:rsidRPr="00673554">
        <w:rPr>
          <w:b/>
          <w:iCs/>
        </w:rPr>
        <w:t>Figure 6.14</w:t>
      </w:r>
      <w:r w:rsidR="004155A5" w:rsidRPr="00673554">
        <w:rPr>
          <w:b/>
          <w:iCs/>
        </w:rPr>
        <w:fldChar w:fldCharType="end"/>
      </w:r>
      <w:r w:rsidR="359FEEE5" w:rsidRPr="00A9434B">
        <w:t>),</w:t>
      </w:r>
      <w:r>
        <w:t xml:space="preserve"> was “driven by a community-based, multi-stakeholder and Indigenous Peoples and local communities and government agency partnership” initiated by the Fiordland Marine Guardians, a stakeholder and Indigenous Peoples and local communities group composed of “representatives of Ōraka Aparima </w:t>
      </w:r>
      <w:r>
        <w:lastRenderedPageBreak/>
        <w:t>Rūnaka Inc of Ngāi Tahu iwi, commercial fishers, recreational fishers and charter boat operators”. The “Guardians” are responsible for the integrated management of the Fiordland Marine Area and were officially empowered by national legislation to advise and recommend government and management agencies on all aspects of management, facilitate and promote integrated management, prepare and disseminate information</w:t>
      </w:r>
      <w:r w:rsidR="005D0083">
        <w:t xml:space="preserve"> and</w:t>
      </w:r>
      <w:r>
        <w:t xml:space="preserve"> monitor and advise on threats, among others </w:t>
      </w:r>
      <w:r w:rsidR="00E553A3" w:rsidRPr="00A9434B">
        <w:fldChar w:fldCharType="begin"/>
      </w:r>
      <w:r w:rsidR="0006613E">
        <w:instrText xml:space="preserve"> ADDIN ZOTERO_ITEM CSL_CITATION {"citationID":"a1htccm0v7h","properties":{"formattedCitation":"(Cunningham et al., 2019)","plainCitation":"(Cunningham et al., 2019)","noteIndex":0},"citationItems":[{"id":26893,"uris":["http://zotero.org/groups/2352922/items/24X2LK65"],"itemData":{"id":26893,"type":"article-journal","abstract":"Multiple human-mediated pathways in the marine environment provide ample opportunities for new and potentially harmful species to spread into high-value natural areas. Often, these areas are remote and reactive measures to an invasion prove to be difficult, therefore a more precautionary and proactive approach is necessary. The Fiordland Marine Area (FMA) is largely unmodified and has a unique and productive underwater environment. Following an amendment in 2012 to the Biosecurity Act 1993 the Fiordland Marine Guardians and an inter-agency government group worked to develop and implement the Fiordland Marine Regional Pathway Management Plan (FMPP), whose overarching objective is to prevent the introduction and spread of invasive marine species to the FMA. The plan involves three key elements to manage invasive species vectors: (1) that vessel owners and operators hold a current Clean Vessel Pass for their vessel; (2) that the vessel meets clean vessel standards including hull biofouling, gear biofouling and residual seawater requirements; and (3) that owners and operators maintain and can present records on the steps taken to meet the clean vessel standards. The plan was made operative in 2017, and to date, uptake has generally been positive with only a small number of compliance issues. The adoption of this plan is largely due to an integrated iwi, community and agency management approach which has encouraged engagement and participation from the Fiordland stakeholders. The ongoing success of this programme will rely on the commitment from the partnering central and local government agencies to improve and refine the plan, and on a general elevation in the importance of marine biosecurity management nationwide. Ideally, the plan will significantly reduce the risk of further marine bioinvasions within the FMA.","container-title":"Management of Biological Invasions","DOI":"10.3391/mbi.2019.10.4.07","ISSN":"19898649","issue":"4","journalAbbreviation":"MBI","language":"en","page":"690-708","source":"DOI.org (Crossref)","title":"Mitigating the threat of invasive marine species to Fiordland: New Zealand’s first pathway management plan","title-short":"Mitigating the threat of invasive marine species to Fiordland","URL":"https://www.reabic.net/journals/mbi/2019/Issue4.aspx","volume":"10","author":[{"family":"Cunningham","given":"Shaun"},{"family":"Teirney","given":"Laurel"},{"family":"Brunton","given":"Jennie"},{"family":"McLeod","given":"Rebecca"},{"family":"Bowman","given":"Richard"},{"family":"Richards","given":"Derek"},{"family":"Kinsey","given":"Richard"},{"family":"Matthews","given":"Fleur"}],"accessed":{"date-parts":[["2021",6,8]]},"issued":{"date-parts":[["2019"]]}},"label":"page"}],"schema":"https://github.com/citation-style-language/schema/raw/master/csl-citation.json"} </w:instrText>
      </w:r>
      <w:r w:rsidR="00E553A3" w:rsidRPr="00A9434B">
        <w:fldChar w:fldCharType="separate"/>
      </w:r>
      <w:r w:rsidR="00017441" w:rsidRPr="00017441">
        <w:t>(Cunningham et al., 2019)</w:t>
      </w:r>
      <w:r w:rsidR="00E553A3" w:rsidRPr="00A9434B">
        <w:fldChar w:fldCharType="end"/>
      </w:r>
      <w:r w:rsidR="359FEEE5" w:rsidRPr="00A9434B">
        <w:t>.</w:t>
      </w:r>
    </w:p>
    <w:p w14:paraId="07686C96" w14:textId="26E32537" w:rsidR="00017C04" w:rsidRDefault="007B5DBB" w:rsidP="008C206F">
      <w:pPr>
        <w:pBdr>
          <w:top w:val="single" w:sz="4" w:space="1" w:color="auto"/>
          <w:left w:val="single" w:sz="4" w:space="1" w:color="auto"/>
          <w:bottom w:val="single" w:sz="4" w:space="1" w:color="auto"/>
          <w:right w:val="single" w:sz="4" w:space="1" w:color="auto"/>
        </w:pBdr>
        <w:shd w:val="clear" w:color="auto" w:fill="E7E6E6" w:themeFill="background2"/>
        <w:jc w:val="center"/>
      </w:pPr>
      <w:r w:rsidRPr="007B5DBB">
        <w:rPr>
          <w:noProof/>
        </w:rPr>
        <w:drawing>
          <wp:inline distT="0" distB="0" distL="0" distR="0" wp14:anchorId="7317642E" wp14:editId="001EAD88">
            <wp:extent cx="6111240" cy="3209925"/>
            <wp:effectExtent l="0" t="0" r="381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11240" cy="3209925"/>
                    </a:xfrm>
                    <a:prstGeom prst="rect">
                      <a:avLst/>
                    </a:prstGeom>
                  </pic:spPr>
                </pic:pic>
              </a:graphicData>
            </a:graphic>
          </wp:inline>
        </w:drawing>
      </w:r>
    </w:p>
    <w:p w14:paraId="4C1A5C8E" w14:textId="1D67B206" w:rsidR="00017C04" w:rsidRPr="008C206F" w:rsidRDefault="00F50AF9" w:rsidP="008C206F">
      <w:pPr>
        <w:pStyle w:val="Caption"/>
        <w:pBdr>
          <w:top w:val="single" w:sz="4" w:space="1" w:color="auto"/>
          <w:left w:val="single" w:sz="4" w:space="1" w:color="auto"/>
          <w:bottom w:val="single" w:sz="4" w:space="1" w:color="auto"/>
          <w:right w:val="single" w:sz="4" w:space="1" w:color="auto"/>
        </w:pBdr>
        <w:shd w:val="clear" w:color="auto" w:fill="E7E6E6" w:themeFill="background2"/>
        <w:rPr>
          <w:b w:val="0"/>
        </w:rPr>
      </w:pPr>
      <w:bookmarkStart w:id="358" w:name="_heading=h.279ka65" w:colFirst="0" w:colLast="0"/>
      <w:bookmarkStart w:id="359" w:name="_Ref104896782"/>
      <w:bookmarkStart w:id="360" w:name="_Ref127955873"/>
      <w:bookmarkStart w:id="361" w:name="_Toc147418309"/>
      <w:bookmarkEnd w:id="358"/>
      <w:r w:rsidRPr="008C206F">
        <w:rPr>
          <w:bCs w:val="0"/>
        </w:rPr>
        <w:t>Figure 6</w:t>
      </w:r>
      <w:r w:rsidR="0072229D" w:rsidRPr="008C206F">
        <w:rPr>
          <w:bCs w:val="0"/>
        </w:rPr>
        <w:t>.</w:t>
      </w:r>
      <w:r w:rsidR="007C7AC3">
        <w:fldChar w:fldCharType="begin"/>
      </w:r>
      <w:r w:rsidR="007C7AC3">
        <w:instrText xml:space="preserve"> SEQ Figure_6. \* ARABIC </w:instrText>
      </w:r>
      <w:r w:rsidR="007C7AC3">
        <w:fldChar w:fldCharType="separate"/>
      </w:r>
      <w:r w:rsidR="0011368C">
        <w:rPr>
          <w:noProof/>
        </w:rPr>
        <w:t>14</w:t>
      </w:r>
      <w:r w:rsidR="007C7AC3">
        <w:rPr>
          <w:noProof/>
        </w:rPr>
        <w:fldChar w:fldCharType="end"/>
      </w:r>
      <w:bookmarkEnd w:id="359"/>
      <w:r w:rsidR="00E36BDC" w:rsidRPr="00A9434B">
        <w:t>.</w:t>
      </w:r>
      <w:r w:rsidRPr="008C206F">
        <w:t xml:space="preserve"> </w:t>
      </w:r>
      <w:r w:rsidRPr="008C206F">
        <w:rPr>
          <w:b w:val="0"/>
        </w:rPr>
        <w:t>Fiordland National Park.</w:t>
      </w:r>
      <w:r w:rsidRPr="008C206F">
        <w:t xml:space="preserve"> </w:t>
      </w:r>
      <w:bookmarkEnd w:id="360"/>
      <w:r w:rsidRPr="008C206F">
        <w:rPr>
          <w:b w:val="0"/>
        </w:rPr>
        <w:t>The Marine Regional Pathway Management Plan developed in Fiordland is an example of adaptive-collaborative governance. Photo credit: Bernard Spragg. NZ from Christchurch, New Zealand - Milford Sound New Zealand., WM Commons - Public domain.</w:t>
      </w:r>
      <w:bookmarkEnd w:id="361"/>
    </w:p>
    <w:p w14:paraId="2A5D97EB" w14:textId="338AFFC2" w:rsidR="00017C04" w:rsidRDefault="2F958343">
      <w:r>
        <w:t>There has been no comprehensive review of the on-the-ground experiences of stakeholders and Indigenous Peoples and local communities or their engagement in management and governance</w:t>
      </w:r>
      <w:r w:rsidR="53B72B9F">
        <w:t xml:space="preserve"> of biological invasions</w:t>
      </w:r>
      <w:r>
        <w:t xml:space="preserve"> (but see </w:t>
      </w:r>
      <w:r w:rsidR="004155A5" w:rsidRPr="00A9434B">
        <w:fldChar w:fldCharType="begin"/>
      </w:r>
      <w:r w:rsidR="0006613E">
        <w:instrText xml:space="preserve"> ADDIN ZOTERO_ITEM CSL_CITATION {"citationID":"ass2081o5e","properties":{"formattedCitation":"\\uldash{(Shackleton et al., 2019)}","plainCitation":"(Shackleton et al., 2019)","dontUpdate":true,"noteIndex":0},"citationItems":[{"id":29948,"uris":["http://zotero.org/groups/2352922/items/AVRETIRN"],"itemData":{"id":29948,"type":"article-journal","container-title":"Journal of Environmental Management","DOI":"10.1016/j.jenvman.2018.04.044","ISSN":"03014797","journalAbbreviation":"Journal of Environmental Management","language":"en","page":"88-101","source":"DOI.org (Crossref)","title":"Stakeholder engagement in the study and management of invasive alien species","URL":"https://linkinghub.elsevier.com/retrieve/pii/S0301479718304262","volume":"229","author":[{"family":"Shackleton","given":"Ross T."},{"family":"Adriaens","given":"Tim"},{"family":"Brundu","given":"Giuseppe"},{"family":"Dehnen-Schmutz","given":"Katharina"},{"family":"Estévez","given":"Rodrigo A."},{"family":"Fried","given":"Jana"},{"family":"Larson","given":"Brendon M.H."},{"family":"Liu","given":"Shuang"},{"family":"Marchante","given":"Elizabete"},{"family":"Marchante","given":"Hélia"},{"family":"Moshobane","given":"Moleseng C."},{"family":"Novoa","given":"Ana"},{"family":"Reed","given":"Mark"},{"family":"Richardson","given":"David M."}],"accessed":{"date-parts":[["2021",8,16]]},"issued":{"date-parts":[["2019",1]]}},"label":"page"}],"schema":"https://github.com/citation-style-language/schema/raw/master/csl-citation.json"} </w:instrText>
      </w:r>
      <w:r w:rsidR="004155A5" w:rsidRPr="00A9434B">
        <w:fldChar w:fldCharType="separate"/>
      </w:r>
      <w:r w:rsidR="00FC23E0" w:rsidRPr="00A9434B">
        <w:t>Shackleton et al., 2019</w:t>
      </w:r>
      <w:r w:rsidR="004155A5" w:rsidRPr="00A9434B">
        <w:fldChar w:fldCharType="end"/>
      </w:r>
      <w:r>
        <w:t xml:space="preserve"> for a review of stakeholder involvement in invasive</w:t>
      </w:r>
      <w:r w:rsidR="3FE18D0D">
        <w:t xml:space="preserve"> alien</w:t>
      </w:r>
      <w:r>
        <w:t xml:space="preserve"> species research). The following reasons for engagement are taken from a limited selection of the literature based on experiences with governance and management</w:t>
      </w:r>
      <w:r w:rsidR="3EBBF5CD">
        <w:t xml:space="preserve"> of biological invasions</w:t>
      </w:r>
      <w:r>
        <w:t>:</w:t>
      </w:r>
    </w:p>
    <w:p w14:paraId="6399CE29" w14:textId="77777777" w:rsidR="00017C04" w:rsidRDefault="00F50AF9">
      <w:pPr>
        <w:pStyle w:val="Heading5"/>
      </w:pPr>
      <w:r>
        <w:t>Knowledge-related</w:t>
      </w:r>
    </w:p>
    <w:p w14:paraId="3FA02F9B" w14:textId="71FAF5F6" w:rsidR="004155A5" w:rsidRPr="00A9434B" w:rsidRDefault="24F22D94" w:rsidP="00492647">
      <w:pPr>
        <w:spacing w:before="0"/>
      </w:pPr>
      <w:r w:rsidRPr="00A9434B">
        <w:t xml:space="preserve">Engaging with stakeholders and </w:t>
      </w:r>
      <w:r w:rsidR="4C1F436F" w:rsidRPr="00A9434B">
        <w:t>Indigenous Peoples</w:t>
      </w:r>
      <w:r w:rsidRPr="00A9434B">
        <w:t xml:space="preserve"> and local communities facilitates knowledge and information sharing, </w:t>
      </w:r>
      <w:r w:rsidR="6ED6641E" w:rsidRPr="00A9434B">
        <w:t xml:space="preserve">creating </w:t>
      </w:r>
      <w:r w:rsidRPr="00A9434B">
        <w:t xml:space="preserve">information flows across scales </w:t>
      </w:r>
      <w:r w:rsidR="004155A5" w:rsidRPr="00A9434B">
        <w:fldChar w:fldCharType="begin"/>
      </w:r>
      <w:r w:rsidR="0006613E">
        <w:instrText xml:space="preserve"> ADDIN ZOTERO_ITEM CSL_CITATION {"citationID":"a1hv4slgub9","properties":{"formattedCitation":"(Lansink et al., 2018)","plainCitation":"(Lansink et al., 2018)","noteIndex":0},"citationItems":[{"id":53409,"uris":["http://zotero.org/groups/2352922/items/XS3NCSK5"],"itemData":{"id":53409,"type":"article-journal","abstract":"Invasive species such as Ambrosia (an annual weed) pose a biosecurity risk whose management depends on the knowledge, attitudes and practices of many stakeholders. It can therefore be considered a complex policy and risk governance problem. Complex policy problems are characterised by high uncertainty, multiple dimensions, interactions across different spatial and policy levels, and the involvement of a multitude of actors and organisations. This paper provides a conceptual framework for analysing the multi-level and multi-actor dimensions of Ambrosia management. Potential and existing public, private and public–private management strategies are identified to address the interests and needs of different actor groups across different levels. We conclude that policies that promote a mix of public and private Ambrosia management strategies may respond better to the needs and interests of different actor groups across different levels than a one-size-fits-all approach. However, multiple policy strategies need to be aligned in order to lead to synergies and spreading coherent messages to the public. Collaboration may enhance the likelihood of biosecurity management and risk governance of Ambrosia being adequately implemented and enforced.","container-title":"Journal of Risk Research","DOI":"10.1080/13669877.2016.1247376","ISSN":"1366-9877","issue":"6","journalAbbreviation":"Journal of Risk Research","language":"en","page":"780-799","title":"A multi-level and multi-actor approach to risk governance: a conceptual framework to support policy development for Ambrosia weed control","URL":"https://doi.org/10.1080/13669877.2016.1247376","volume":"21","author":[{"family":"Lansink","given":"Alfons Oude"},{"family":"Schut","given":"Marc"},{"family":"Kamanda","given":"Josey"},{"family":"Klerkx","given":"Laurens"}],"issued":{"date-parts":[["2018"]]}},"label":"page"}],"schema":"https://github.com/citation-style-language/schema/raw/master/csl-citation.json"} </w:instrText>
      </w:r>
      <w:r w:rsidR="004155A5" w:rsidRPr="00A9434B">
        <w:fldChar w:fldCharType="separate"/>
      </w:r>
      <w:r w:rsidR="00C71E80" w:rsidRPr="00A9434B">
        <w:t>(Lansink et al., 2018)</w:t>
      </w:r>
      <w:r w:rsidR="004155A5" w:rsidRPr="00A9434B">
        <w:fldChar w:fldCharType="end"/>
      </w:r>
      <w:r w:rsidR="299E222D" w:rsidRPr="00A9434B">
        <w:t>. This</w:t>
      </w:r>
      <w:r w:rsidRPr="00A9434B">
        <w:t xml:space="preserve"> contributes to the</w:t>
      </w:r>
      <w:r w:rsidRPr="00A9434B">
        <w:rPr>
          <w:b/>
          <w:bCs/>
          <w:i/>
          <w:iCs/>
        </w:rPr>
        <w:t xml:space="preserve"> </w:t>
      </w:r>
      <w:r w:rsidRPr="00A9434B">
        <w:t>development of sufficient shared awareness of biological invasions, including understandings of drivers, processes, impacts</w:t>
      </w:r>
      <w:r w:rsidR="005D0083">
        <w:t xml:space="preserve"> and</w:t>
      </w:r>
      <w:r w:rsidRPr="00A9434B">
        <w:t xml:space="preserve"> possible responses </w:t>
      </w:r>
      <w:r w:rsidR="004155A5" w:rsidRPr="00A9434B">
        <w:fldChar w:fldCharType="begin"/>
      </w:r>
      <w:r w:rsidR="0006613E">
        <w:instrText xml:space="preserve"> ADDIN ZOTERO_ITEM CSL_CITATION {"citationID":"amduuhdd9i","properties":{"formattedCitation":"(Carter et al., 2021)","plainCitation":"(Carter et al., 2021)","noteIndex":0},"citationItems":[{"id":26687,"uris":["http://zotero.org/groups/2352922/items/BGLXDHNL"],"itemData":{"id":26687,"type":"article-journal","container-title":"Biological Invasions","DOI":"10.1007/s10530-020-02391-6","ISSN":"1387-3547, 1573-1464","issue":"2","journalAbbreviation":"Biol Invasions","language":"en","page":"625-640","source":"DOI.org (Crossref)","title":"A multidimensional framework to inform stakeholder engagement in the science and management of invasive and pest animal species","URL":"http://link.springer.com/10.1007/s10530-020-02391-6","volume":"23","author":[{"family":"Carter","given":"Lucy"},{"family":"Mankad","given":"Aditi"},{"family":"Zhang","given":"Airong"},{"family":"Curnock","given":"Matthew I."},{"family":"Pollard","given":"Chris R. J."}],"accessed":{"date-parts":[["2021",3,24]]},"issued":{"date-parts":[["2021",2]]}},"label":"page"}],"schema":"https://github.com/citation-style-language/schema/raw/master/csl-citation.json"} </w:instrText>
      </w:r>
      <w:r w:rsidR="004155A5" w:rsidRPr="00A9434B">
        <w:fldChar w:fldCharType="separate"/>
      </w:r>
      <w:r w:rsidR="00C71E80" w:rsidRPr="00A9434B">
        <w:t>(Carter et al., 2021)</w:t>
      </w:r>
      <w:r w:rsidR="004155A5" w:rsidRPr="00A9434B">
        <w:fldChar w:fldCharType="end"/>
      </w:r>
      <w:r w:rsidRPr="00A9434B">
        <w:t xml:space="preserve">. Bridging different knowledge systems associated with different disciplines and perspectives </w:t>
      </w:r>
      <w:r w:rsidR="004155A5" w:rsidRPr="00A9434B">
        <w:fldChar w:fldCharType="begin"/>
      </w:r>
      <w:r w:rsidR="0006613E">
        <w:instrText xml:space="preserve"> ADDIN ZOTERO_ITEM CSL_CITATION {"citationID":"a2el71jieg6","properties":{"formattedCitation":"(Barney et al., 2019)","plainCitation":"(Barney et al., 2019)","noteIndex":0},"citationItems":[{"id":24500,"uris":["http://zotero.org/groups/2352922/items/VHFER75V"],"itemData":{"id":24500,"type":"article-journal","abstract":"Biological invasions are one of the grand challenges facing society, as exotic species introductions continue to rise and can result in dramatic changes to native ecosystems and economies. The scale of the biological invasions crisis spans from hyperlocal to international, involving a myriad of actors focused on mitigating and preventing biological invasions. However, the level of engagement among stakeholders and opportunities to collaboratively solve invasives issues in transdisciplinary ways is poorly understood. The Biological Invasions: Confronting a Crisis workshop engaged a broad group of actors working on various aspects of biological invasions in Virginia, USA - researchers, Extension personnel, educators, local, state, and federal agencies, nongovernmental organizations, and land managers - to discuss their respective roles and how they interact with other groups. Through a series of activities, it became clear that despite shared goals, most groups are not engaging with one another, and that enhanced communication and collaboration among groups is key to designing effective solutions. There is strong support for a multistakeholder coalition to affect change in policy, public education/engagement, and solution design. Confronting the biological invasions crisis will increasingly require engagement among stakeholders. © 2019 Weed Science Society of America.","container-title":"Invasive Plant Science and Management","DOI":"10.1017/inp.2018.33","issue":"1","page":"74-78","title":"Building Partnerships and Bridging Science and Policy to Address the Biological Invasions Crisis","URL":"https://www.scopus.com/inward/record.uri?eid=2-s2.0-85065094065&amp;doi=10.1017%2finp.2018.33&amp;partnerID=40&amp;md5=d202e78d1adf22a783dc4d497f96947e","volume":"12","author":[{"family":"Barney","given":"Jacob N."},{"family":"Schenk","given":"Todd"},{"family":"Haak","given":"David C."},{"family":"Salom","given":"Scott"},{"family":"Brown","given":"Bryan"},{"family":"Hotchkiss","given":"Eric R."}],"issued":{"date-parts":[["2019"]]}},"label":"page"}],"schema":"https://github.com/citation-style-language/schema/raw/master/csl-citation.json"} </w:instrText>
      </w:r>
      <w:r w:rsidR="004155A5" w:rsidRPr="00A9434B">
        <w:fldChar w:fldCharType="separate"/>
      </w:r>
      <w:r w:rsidR="00C71E80" w:rsidRPr="00A9434B">
        <w:t>(Barney et al., 2019)</w:t>
      </w:r>
      <w:r w:rsidR="004155A5" w:rsidRPr="00A9434B">
        <w:fldChar w:fldCharType="end"/>
      </w:r>
      <w:r w:rsidRPr="00A9434B">
        <w:t xml:space="preserve"> provides greater legitimacy of knowledge underpinning actions and leads to higher quality and more context-</w:t>
      </w:r>
      <w:r w:rsidR="299E222D" w:rsidRPr="00A9434B">
        <w:t>relevant</w:t>
      </w:r>
      <w:r w:rsidRPr="00A9434B">
        <w:t xml:space="preserve"> decision</w:t>
      </w:r>
      <w:r w:rsidR="299E222D" w:rsidRPr="00A9434B">
        <w:t>s</w:t>
      </w:r>
      <w:r w:rsidRPr="00A9434B">
        <w:t xml:space="preserve"> </w:t>
      </w:r>
      <w:r w:rsidR="004155A5" w:rsidRPr="00A9434B">
        <w:fldChar w:fldCharType="begin"/>
      </w:r>
      <w:r w:rsidR="0006613E">
        <w:instrText xml:space="preserve"> ADDIN ZOTERO_ITEM CSL_CITATION {"citationID":"a1ns9j299ui","properties":{"formattedCitation":"(J. M. Evans et al., 2008; M. S. Reed &amp; Curzon, 2015)","plainCitation":"(J. M. Evans et al., 2008; M. S. Reed &amp; Curzon, 2015)","noteIndex":0},"citationItems":[{"id":15830,"uris":["http://zotero.org/groups/2352922/items/TTFEYKS8"],"itemData":{"id":15830,"type":"article-journal","abstract":"This paper develops the outlines of a pragmatic, adaptive management-based approach toward the control of invasive nonnative species (INS) through a case study of Kings Bay/Crystal River, a large artesian springs ecosystem that is one of Florida's most important habitats for endangered West Indian manatees (Trichechus manatus). Building upon recent critiques of invasion biology, principles of adaptive management, and our own interview and participant - observer research, we argue that this case study represents an example in which rigid application of invasion biology's a priori imperative to minimize INS has produced counterproductive results from both an ecological and social standpoint. As such, we recommend that INS control in Kings Bay should be relaxed in conjunction with an overall program of adaptive ecosystem management that includes meaningful participation and input from non-institutional stakeholders. However, we also note that adaptive management and INS control are by no means mutually exclusive, in Kings Bay or elsewhere. Instead, we suggest that adaptive management offers a means by which INS control efforts can emerge from - and be evaluated through - ongoing scientific research and participatory dialogue about the condition of specific places, rather than non-contextual assumptions about the harmfulness of INS as a general class. © Springer Science+Business Media B.V. 2008.","container-title":"Journal of Agricultural and Environmental Ethics","DOI":"10.1007/s10806-008-9118-5","issue":"6","page":"521-539","title":"Adaptive management of nonnative species: moving beyond the \"either-or\" through experimental pluralism","URL":"https://www.scopus.com/inward/record.uri?eid=2-s2.0-55349087219&amp;doi=10.1007%2fs10806-008-9118-5&amp;partnerID=40&amp;md5=ce9f113d53c952df5c0d87e11b228389","volume":"21","author":[{"family":"Evans","given":"J.M."},{"family":"Wilkie","given":"A.C."},{"family":"Burkhardt","given":"J."}],"issued":{"date-parts":[["2008"]]}},"label":"page"},{"id":24036,"uris":["http://zotero.org/groups/2352922/items/DABRZBE7"],"itemData":{"id":24036,"type":"article-journal","abstract":"There is an increasing recognition that greater stakeholder engagement is needed in the assessment, management and communication of risks around plant and animal health, and biosecurity issues more generally. Despite a growing number of studies considering the knowledge and actions of stakeholders in the governance of biosecurity issues, attempts to systematically identify, categorise or analyse stakeholders in this field are relatively rare. This paper therefore integrates literature from a range of disciplines to generate methodological and theoretical insights that may enable decision-makers to effectively map and analyse biosecurity stakeholders, and enable more transparent, inclusive and adaptive governance of biosecurity. The review starts by defining key terms, before discussing some of the challenges and benefits of effectively representing stakeholders in biosecurity strategies. The paper then reviews a range of theoretical approaches to stakeholder mapping, before critically analysing alternative methods for stakeholder mapping and analysis, which could be used in biosecurity interventions. These theories and methods are then discussed in relation to biosecurity governance, drawing on recent applications of stakeholder mapping in biosecurity policy and practice.","container-title":"Journal of Integrative Environmental Sciences","DOI":"10.1080/1943815X.2014.975723","ISSN":"1943-815X","issue":"1","journalAbbreviation":"Journal of Integrative Environmental Sciences","page":"15-38","source":"Taylor and Francis+NEJM","title":"Stakeholder mapping for the governance of biosecurity: a literature review","title-short":"Stakeholder mapping for the governance of biosecurity","URL":"https://doi.org/10.1080/1943815X.2014.975723","volume":"12","author":[{"family":"Reed","given":"Mark S."},{"family":"Curzon","given":"R."}],"accessed":{"date-parts":[["2020",5,7]]},"issued":{"date-parts":[["2015",1,2]]}},"label":"page"}],"schema":"https://github.com/citation-style-language/schema/raw/master/csl-citation.json"} </w:instrText>
      </w:r>
      <w:r w:rsidR="004155A5" w:rsidRPr="00A9434B">
        <w:fldChar w:fldCharType="separate"/>
      </w:r>
      <w:r w:rsidR="00C71E80" w:rsidRPr="00A9434B">
        <w:t>(J. M. Evans et al., 2008; M. S. Reed &amp; Curzon, 2015)</w:t>
      </w:r>
      <w:r w:rsidR="004155A5" w:rsidRPr="00A9434B">
        <w:fldChar w:fldCharType="end"/>
      </w:r>
      <w:r w:rsidRPr="00A9434B">
        <w:t xml:space="preserve">. This also permits social learning for adaptive management that can assess and reduce uncertainty, build adaptive capacity </w:t>
      </w:r>
      <w:r w:rsidR="004155A5" w:rsidRPr="00A9434B">
        <w:fldChar w:fldCharType="begin"/>
      </w:r>
      <w:r w:rsidR="002D2756">
        <w:instrText xml:space="preserve"> ADDIN ZOTERO_ITEM CSL_CITATION {"citationID":"armbdsj4oa","properties":{"formattedCitation":"(S. Liu &amp; Cook, 2016; Maclean et al., 2018; Novoa et al., 2016; S\\uc0\\u246{}derstr\\uc0\\u246{}m et al., 2016)","plainCitation":"(S. Liu &amp; Cook, 2016; Maclean et al., 2018; Novoa et al., 2016; Söderström et al., 2016)","noteIndex":0},"citationItems":[{"id":23808,"uris":["http://zotero.org/groups/2352922/items/BISDF7HN"],"itemData":{"id":23808,"type":"article-journal","abstract":"Significant heterogeneity exists in the public’s preferences and values for protecting agricultural ecosystems against invasive non-native species. Therefore, biosecurity decision-making is akin to conflict management characterised by not only technical, but also environmental, social and economic value judgements of different stakeholders. The key question then, is not whether values should be considered in the decision-making process—they are part of it anyway—but how they should be articulated and incorporated via a formal and structured analysis. In this paper, we propose to use Structured Decision Making (SDM) as a framework to incorporate diverse social values into response planning and management and demonstrate its use with three case studies. The first step of the process involves identifying the stakeholders in a response decision, followed by the critical step of systematically translating stakeholders’ major concerns into management objectives. Biosecurity decision-makers will also collaborate with the public to develop response alternatives and identify a preferred option by explicitly making trade-offs among different objectives. Ultimately, the SDM approach provides a transparent description of, and justification for, the response options considered and selected.","container-title":"Food Security","DOI":"10.1007/s12571-015-0525-y","ISSN":"1876-4517, 1876-4525","issue":"1","journalAbbreviation":"Food Sec.","language":"en","page":"49-59","source":"DOI.org (Crossref)","title":"Eradicate, contain, or live with it? Collaborating with stakeholders to evaluate responses to invasive species","title-short":"Eradicate, contain, or live with it?","URL":"http://link.springer.com/10.1007/s12571-015-0525-y","volume":"8","author":[{"family":"Liu","given":"Shuang"},{"family":"Cook","given":"David"}],"accessed":{"date-parts":[["2019",11,27]]},"issued":{"date-parts":[["2016",2]]}},"label":"page"},{"id":23914,"uris":["http://zotero.org/groups/2352922/items/52LR8B2W","http://zotero.org/groups/2352922/items/UJI9YBPU"],"itemData":{"id":23914,"type":"article-journal","abstract":"Biosecurity is often conceptualised and managed as an issue of biological risk. However, biosecurity policy and programs need to also manage for the social risks and impacts of biological invasions. This paper applies theory on the social aspects of social-ecological system resilience to understand how growers from the Queensland Banana industry in north east Australia coped with the social impacts of the Panama Tropical Race 4 incursion. We present a conceptual framework that highlights how emergency responses can also support programs to build and enhance the social resilience of aﬀected actors. Management programs and activities can be designed to support aﬀected actors to cope with the impacts of the invasion, at the same time as working to eradicate or contain the invasive species. Short term immediate management actions coupled with developing institutions and process to support and build social resilience of actors in the longer-term, may enable them to learn to live with a new species in the landscape, and, or be able to better cope with the social impacts of future invasions.","container-title":"Geoforum","DOI":"10.1016/j.geoforum.2018.10.018","ISSN":"00167185","journalAbbreviation":"Geoforum","language":"en","page":"95-105","source":"DOI.org (Crossref)","title":"Building social resilience to biological invasions. A case study of Panama Tropical Race 4 in the Australian Banana Industry","URL":"https://linkinghub.elsevier.com/retrieve/pii/S0016718518303221","volume":"97","author":[{"family":"Maclean","given":"Kirsten"},{"family":"Farbotko","given":"Carol"},{"family":"Mankad","given":"Aditi"},{"family":"Robinson","given":"Cathy J."},{"family":"Curnock","given":"Matt"},{"family":"Collins","given":"Kerry"},{"family":"McAllister","given":"Ryan R.J."}],"accessed":{"date-parts":[["2019",11,28]]},"issued":{"date-parts":[["2018",12]]}},"label":"page"},{"id":10792,"uris":["http://zotero.org/groups/2352922/items/W4R38M8M"],"itemData":{"id":10792,"type":"article-journal","container-title":"Environmental Management","DOI":"10.1007/s00267-015-0645-3","ISSN":"0364-152X, 1432-1009","issue":"5","journalAbbreviation":"Environmental Management","language":"en","page":"998-1008","source":"DOI.org (Crossref)","title":"Resolving a Prickly Situation: Involving Stakeholders in Invasive Cactus Management in South Africa","title-short":"Resolving a Prickly Situation","URL":"http://link.springer.com/10.1007/s00267-015-0645-3","volume":"57","author":[{"family":"Novoa","given":"Ana"},{"family":"Kaplan","given":"Haylee"},{"family":"Wilson","given":"John R. U."},{"family":"Richardson","given":"David M."}],"accessed":{"date-parts":[["2019",11,5]]},"issued":{"date-parts":[["2016",5]]}},"label":"page"},{"id":21724,"uris":["http://zotero.org/groups/2352922/items/3LPJC2MZ"],"itemData":{"id":21724,"type":"article-journal","abstract":"Based on a literature review of over 160 journal articles and books, this article examines the ecosystem management and environmental governance approaches, and looks for common topics and integrated research agendas. While scientific articles on environmental governance stem primarily from social science research, the ecosystem management approach is more natural science-oriented. A review of journal articles from the ISI Web of Knowledge (Web of Science) reveals that the two research communities hardly interact. The paper discusses two thematic linkages between the two approaches: the debates dealing with the scale and level of environmental policy; and the discussions surrounding multi-stakeholder participation. Moreover, the article identifies areas with a high potential for the establishment of common ground, such as the current discussion on science-policy interfaces. We argue for more interaction, claim that the two research approaches can learn from each other, and discuss the potential for the development of interdisciplinary research agendas.","container-title":"Interdisciplinary Environmental Review","DOI":"10.1504/IER.2016.074871","ISSN":"1521-0227","issue":"1","journalAbbreviation":"Interdisciplinary Environmental Review","note":"publisher: Inderscience Publishers","page":"1-19","source":"inderscienceonline.com (Atypon)","title":"'Environmental governance' and 'ecosystem management': avenues for synergies between two approaches","title-short":"'Environmental governance' and 'ecosystem management'","URL":"https://www.inderscienceonline.com/doi/abs/10.1504/IER.2016.074871","volume":"17","author":[{"family":"Söderström","given":"Sara"},{"family":"Kern","given":"Kristine"},{"family":"Boström","given":"Magnus"},{"family":"Gilek","given":"Michael"}],"accessed":{"date-parts":[["2020",4,30]]},"issued":{"date-parts":[["2016",1,1]]}},"label":"page"}],"schema":"https://github.com/citation-style-language/schema/raw/master/csl-citation.json"} </w:instrText>
      </w:r>
      <w:r w:rsidR="004155A5" w:rsidRPr="00A9434B">
        <w:fldChar w:fldCharType="separate"/>
      </w:r>
      <w:r w:rsidR="0014002B" w:rsidRPr="0014002B">
        <w:t>(S. Liu &amp; Cook, 2016; Maclean et al., 2018; Novoa et al., 2016; Söderström et al., 2016)</w:t>
      </w:r>
      <w:r w:rsidR="004155A5" w:rsidRPr="00A9434B">
        <w:fldChar w:fldCharType="end"/>
      </w:r>
      <w:r w:rsidRPr="00A9434B">
        <w:t>, mak</w:t>
      </w:r>
      <w:r w:rsidR="299E222D" w:rsidRPr="00A9434B">
        <w:t>e</w:t>
      </w:r>
      <w:r w:rsidRPr="00A9434B">
        <w:t xml:space="preserve"> monitoring more cost effective </w:t>
      </w:r>
      <w:r w:rsidR="004155A5" w:rsidRPr="00A9434B">
        <w:fldChar w:fldCharType="begin"/>
      </w:r>
      <w:r w:rsidR="0006613E">
        <w:instrText xml:space="preserve"> ADDIN ZOTERO_ITEM CSL_CITATION {"citationID":"a12glh97s1s","properties":{"formattedCitation":"(Novoa et al., 2016)","plainCitation":"(Novoa et al., 2016)","noteIndex":0},"citationItems":[{"id":10792,"uris":["http://zotero.org/groups/2352922/items/W4R38M8M"],"itemData":{"id":10792,"type":"article-journal","container-title":"Environmental Management","DOI":"10.1007/s00267-015-0645-3","ISSN":"0364-152X, 1432-1009","issue":"5","journalAbbreviation":"Environmental Management","language":"en","page":"998-1008","source":"DOI.org (Crossref)","title":"Resolving a Prickly Situation: Involving Stakeholders in Invasive Cactus Management in South Africa","title-short":"Resolving a Prickly Situation","URL":"http://link.springer.com/10.1007/s00267-015-0645-3","volume":"57","author":[{"family":"Novoa","given":"Ana"},{"family":"Kaplan","given":"Haylee"},{"family":"Wilson","given":"John R. U."},{"family":"Richardson","given":"David M."}],"accessed":{"date-parts":[["2019",11,5]]},"issued":{"date-parts":[["2016",5]]}}}],"schema":"https://github.com/citation-style-language/schema/raw/master/csl-citation.json"} </w:instrText>
      </w:r>
      <w:r w:rsidR="004155A5" w:rsidRPr="00A9434B">
        <w:fldChar w:fldCharType="separate"/>
      </w:r>
      <w:r w:rsidR="00C71E80" w:rsidRPr="00A9434B">
        <w:t>(Novoa et al., 2016)</w:t>
      </w:r>
      <w:r w:rsidR="004155A5" w:rsidRPr="00A9434B">
        <w:fldChar w:fldCharType="end"/>
      </w:r>
      <w:r w:rsidRPr="00A9434B">
        <w:t xml:space="preserve"> and facilitat</w:t>
      </w:r>
      <w:r w:rsidR="299E222D" w:rsidRPr="00A9434B">
        <w:t>e</w:t>
      </w:r>
      <w:r w:rsidRPr="00A9434B">
        <w:t xml:space="preserve"> collaborative research </w:t>
      </w:r>
      <w:r w:rsidR="004155A5" w:rsidRPr="00A9434B">
        <w:fldChar w:fldCharType="begin"/>
      </w:r>
      <w:r w:rsidR="0006613E">
        <w:instrText xml:space="preserve"> ADDIN ZOTERO_ITEM CSL_CITATION {"citationID":"ar5md5su5a","properties":{"formattedCitation":"(Shackleton, Adriaens, et al., 2019)","plainCitation":"(Shackleton, Adriaens, et al., 2019)","noteIndex":0},"citationItems":[{"id":29948,"uris":["http://zotero.org/groups/2352922/items/AVRETIRN"],"itemData":{"id":29948,"type":"article-journal","container-title":"Journal of Environmental Management","DOI":"10.1016/j.jenvman.2018.04.044","ISSN":"03014797","journalAbbreviation":"Journal of Environmental Management","language":"en","page":"88-101","source":"DOI.org (Crossref)","title":"Stakeholder engagement in the study and management of invasive alien species","URL":"https://linkinghub.elsevier.com/retrieve/pii/S0301479718304262","volume":"229","author":[{"family":"Shackleton","given":"Ross T."},{"family":"Adriaens","given":"Tim"},{"family":"Brundu","given":"Giuseppe"},{"family":"Dehnen-Schmutz","given":"Katharina"},{"family":"Estévez","given":"Rodrigo A."},{"family":"Fried","given":"Jana"},{"family":"Larson","given":"Brendon M.H."},{"family":"Liu","given":"Shuang"},{"family":"Marchante","given":"Elizabete"},{"family":"Marchante","given":"Hélia"},{"family":"Moshobane","given":"Moleseng C."},{"family":"Novoa","given":"Ana"},{"family":"Reed","given":"Mark"},{"family":"Richardson","given":"David M."}],"accessed":{"date-parts":[["2021",8,16]]},"issued":{"date-parts":[["2019",1]]}}}],"schema":"https://github.com/citation-style-language/schema/raw/master/csl-citation.json"} </w:instrText>
      </w:r>
      <w:r w:rsidR="004155A5" w:rsidRPr="00A9434B">
        <w:fldChar w:fldCharType="separate"/>
      </w:r>
      <w:r w:rsidR="00C71E80" w:rsidRPr="00A9434B">
        <w:t>(Shackleton, Adriaens, et al., 2019)</w:t>
      </w:r>
      <w:r w:rsidR="004155A5" w:rsidRPr="00A9434B">
        <w:fldChar w:fldCharType="end"/>
      </w:r>
      <w:r w:rsidRPr="00A9434B">
        <w:t>.</w:t>
      </w:r>
    </w:p>
    <w:p w14:paraId="3B11031E" w14:textId="77777777" w:rsidR="00017C04" w:rsidRDefault="00F50AF9">
      <w:pPr>
        <w:pStyle w:val="Heading5"/>
      </w:pPr>
      <w:r>
        <w:lastRenderedPageBreak/>
        <w:t>Risk assessment</w:t>
      </w:r>
    </w:p>
    <w:p w14:paraId="16B16759" w14:textId="3F71F929" w:rsidR="00017C04" w:rsidRDefault="00F50AF9">
      <w:pPr>
        <w:spacing w:before="0"/>
      </w:pPr>
      <w:r>
        <w:t xml:space="preserve">Engaging with stakeholders and Indigenous Peoples and local communities facilitates decision-making about risk prioritization by addressing people’s concerns so that: (1) associated uncertainty can be discussed </w:t>
      </w:r>
      <w:r w:rsidR="004155A5" w:rsidRPr="00A9434B">
        <w:fldChar w:fldCharType="begin"/>
      </w:r>
      <w:r w:rsidR="0006613E">
        <w:instrText xml:space="preserve"> ADDIN ZOTERO_ITEM CSL_CITATION {"citationID":"a19g7b2m7co","properties":{"formattedCitation":"(S. Liu et al., 2011)","plainCitation":"(S. Liu et al., 2011)","noteIndex":0},"citationItems":[{"id":30560,"uris":["http://zotero.org/groups/2352922/items/QKXHQTGH"],"itemData":{"id":30560,"type":"article-journal","abstract":"The management of Invasive Alien Species (IAS) is stymied by complex social values and severe levels of uncertainty. However, these two challenges are often hidden in the conventional model of management by \"value-free\" analyses and probability-based estimates of risk. As a result, diverse social values and wide margins of error in risk assessment carry zero weights in the decision-making process, leaving IAS risk decisions to be made in the wake of political pressure and the crisis atmosphere of incursion. We propose to use a Deliberative Multi-Criteria Evaluation (DMCE) to incorporate multiple social values and profound uncertainty into decision-making processes. The DMCE process combines the advantages of conventional multi-criteria decision analysis methods with the benefits of stakeholder participation to provide an analytical structure to assess complex multi-dimensional objectives. It, therefore, offers an opportunity for diverse views to enter the decision-making process, and for the negotiation of consensus positions. The DMCE process can also function as a platform for risk communication in which scientists, stakeholders, and decision-makers can interact and discuss the uncertainty associated with biological invasions. We examine two case studies that demonstrate how DMCE provides scientific rigor and transparency in the decision-making process of invasion risk management. The first case regards pre-border priority ranking for potential invasive species and the second relates to selecting the most desirable policy option for managing a post-border invader. © 2011 Springer Science+Business Media B.V.","container-title":"Biological Invasions","DOI":"10.1007/s10530-011-0045-4","ISSN":"1387-3547, 1573-1464","issue":"10","journalAbbreviation":"Biol Invasions","language":"en","page":"2323-2337","source":"DOI.org (Crossref)","title":"Incorporating uncertainty and social values in managing invasive alien species: a deliberative multi-criteria evaluation approach","title-short":"Incorporating uncertainty and social values in managing invasive alien species","URL":"http://link.springer.com/10.1007/s10530-011-0045-4","volume":"13","author":[{"family":"Liu","given":"Shuang"},{"family":"Sheppard","given":"Andy"},{"family":"Kriticos","given":"Darren J."},{"family":"Cook","given":"David"}],"accessed":{"date-parts":[["2019",9,11]]},"issued":{"date-parts":[["2011",8,9]]}},"label":"page"}],"schema":"https://github.com/citation-style-language/schema/raw/master/csl-citation.json"} </w:instrText>
      </w:r>
      <w:r w:rsidR="004155A5" w:rsidRPr="00A9434B">
        <w:fldChar w:fldCharType="separate"/>
      </w:r>
      <w:r w:rsidR="00C71E80" w:rsidRPr="00A9434B">
        <w:t>(S. Liu et al., 2011)</w:t>
      </w:r>
      <w:r w:rsidR="004155A5" w:rsidRPr="00A9434B">
        <w:fldChar w:fldCharType="end"/>
      </w:r>
      <w:r w:rsidR="004155A5" w:rsidRPr="00A9434B">
        <w:t>,</w:t>
      </w:r>
      <w:r>
        <w:t xml:space="preserve"> (2) diverse values and perceptions can be brought into the risk assessment/decision process to negotiate consensus, (3) risk can be contextualized in broader contexts, (4) measures targeted to the local context can be formulated, (4) decision-making becomes transparent</w:t>
      </w:r>
      <w:r w:rsidR="005D0083">
        <w:t xml:space="preserve"> and</w:t>
      </w:r>
      <w:r>
        <w:t xml:space="preserve"> (5) complex trade-offs between different options can be assessed </w:t>
      </w:r>
      <w:r w:rsidR="004155A5" w:rsidRPr="00A9434B">
        <w:fldChar w:fldCharType="begin"/>
      </w:r>
      <w:r w:rsidR="0014002B">
        <w:instrText xml:space="preserve"> ADDIN ZOTERO_ITEM CSL_CITATION {"citationID":"acjsa4qtof","properties":{"formattedCitation":"(Carter et al., 2021; S. Liu &amp; Cook, 2016; Moon et al., 2015)","plainCitation":"(Carter et al., 2021; S. Liu &amp; Cook, 2016; Moon et al., 2015)","noteIndex":0},"citationItems":[{"id":26687,"uris":["http://zotero.org/groups/2352922/items/BGLXDHNL"],"itemData":{"id":26687,"type":"article-journal","container-title":"Biological Invasions","DOI":"10.1007/s10530-020-02391-6","ISSN":"1387-3547, 1573-1464","issue":"2","journalAbbreviation":"Biol Invasions","language":"en","page":"625-640","source":"DOI.org (Crossref)","title":"A multidimensional framework to inform stakeholder engagement in the science and management of invasive and pest animal species","URL":"http://link.springer.com/10.1007/s10530-020-02391-6","volume":"23","author":[{"family":"Carter","given":"Lucy"},{"family":"Mankad","given":"Aditi"},{"family":"Zhang","given":"Airong"},{"family":"Curnock","given":"Matthew I."},{"family":"Pollard","given":"Chris R. J."}],"accessed":{"date-parts":[["2021",3,24]]},"issued":{"date-parts":[["2021",2]]}},"label":"page"},{"id":23808,"uris":["http://zotero.org/groups/2352922/items/BISDF7HN"],"itemData":{"id":23808,"type":"article-journal","abstract":"Significant heterogeneity exists in the public’s preferences and values for protecting agricultural ecosystems against invasive non-native species. Therefore, biosecurity decision-making is akin to conflict management characterised by not only technical, but also environmental, social and economic value judgements of different stakeholders. The key question then, is not whether values should be considered in the decision-making process—they are part of it anyway—but how they should be articulated and incorporated via a formal and structured analysis. In this paper, we propose to use Structured Decision Making (SDM) as a framework to incorporate diverse social values into response planning and management and demonstrate its use with three case studies. The first step of the process involves identifying the stakeholders in a response decision, followed by the critical step of systematically translating stakeholders’ major concerns into management objectives. Biosecurity decision-makers will also collaborate with the public to develop response alternatives and identify a preferred option by explicitly making trade-offs among different objectives. Ultimately, the SDM approach provides a transparent description of, and justification for, the response options considered and selected.","container-title":"Food Security","DOI":"10.1007/s12571-015-0525-y","ISSN":"1876-4517, 1876-4525","issue":"1","journalAbbreviation":"Food Sec.","language":"en","page":"49-59","source":"DOI.org (Crossref)","title":"Eradicate, contain, or live with it? Collaborating with stakeholders to evaluate responses to invasive species","title-short":"Eradicate, contain, or live with it?","URL":"http://link.springer.com/10.1007/s12571-015-0525-y","volume":"8","author":[{"family":"Liu","given":"Shuang"},{"family":"Cook","given":"David"}],"accessed":{"date-parts":[["2019",11,27]]},"issued":{"date-parts":[["2016",2]]}},"label":"page"},{"id":11438,"uris":["http://zotero.org/groups/2352922/items/P5EALT95"],"itemData":{"id":11438,"type":"article-journal","container-title":"Biological Invasions","DOI":"10.1007/s10530-015-0904-5","ISSN":"1387-3547, 1573-1464","issue":"9","journalAbbreviation":"Biol Invasions","language":"en","page":"2675-2689","source":"DOI.org (Crossref)","title":"Understanding and integrating knowledge to improve invasive species management","URL":"http://link.springer.com/10.1007/s10530-015-0904-5","volume":"17","author":[{"family":"Moon","given":"Katie"},{"family":"Blackman","given":"Deborah A."},{"family":"Brewer","given":"Tom D."}],"accessed":{"date-parts":[["2019",9,11]]},"issued":{"date-parts":[["2015",9]]}},"label":"page"}],"schema":"https://github.com/citation-style-language/schema/raw/master/csl-citation.json"} </w:instrText>
      </w:r>
      <w:r w:rsidR="004155A5" w:rsidRPr="00A9434B">
        <w:fldChar w:fldCharType="separate"/>
      </w:r>
      <w:r w:rsidR="0014002B" w:rsidRPr="0014002B">
        <w:t>(Carter et al., 2021; S. Liu &amp; Cook, 2016; Moon et al., 2015)</w:t>
      </w:r>
      <w:r w:rsidR="004155A5" w:rsidRPr="00A9434B">
        <w:fldChar w:fldCharType="end"/>
      </w:r>
      <w:r w:rsidR="004155A5" w:rsidRPr="00A9434B">
        <w:t>.</w:t>
      </w:r>
      <w:r>
        <w:t xml:space="preserve"> For example, the Mohawks of Kahnawá:ke (Quebec, Canada) oppose spraying chemicals on the land as they feel it would contradict their spiritual connection with nature </w:t>
      </w:r>
      <w:r w:rsidR="00AF00AF" w:rsidRPr="00A9434B">
        <w:fldChar w:fldCharType="begin"/>
      </w:r>
      <w:r w:rsidR="0006613E">
        <w:instrText xml:space="preserve"> ADDIN ZOTERO_ITEM CSL_CITATION {"citationID":"a172f7o37uk","properties":{"formattedCitation":"(IPBES, 2022)","plainCitation":"(IPBES, 2022)","noteIndex":0},"citationItems":[{"id":53340,"uris":["http://zotero.org/groups/2352922/items/BZSKBXEC"],"itemData":{"id":53340,"type":"report","event-place":"Online, 1-3 February 2022","publisher-place":"Online, 1-3 February 2022","title":"Report of the third Indigenous and local knowledge dialogue workshop for the IPBES thematic assessment of invasive alien species and their control.","URL":"https://ipbes.net/sites/default/files/2023-02/IPBES_IAS_3rdILKDialogue_SPM-SOD_Report_FinalForWeb2.pdf","author":[{"literal":"IPBES"}],"issued":{"date-parts":[["2022"]]}},"label":"page"}],"schema":"https://github.com/citation-style-language/schema/raw/master/csl-citation.json"} </w:instrText>
      </w:r>
      <w:r w:rsidR="00AF00AF" w:rsidRPr="00A9434B">
        <w:fldChar w:fldCharType="separate"/>
      </w:r>
      <w:r w:rsidR="00C71E80" w:rsidRPr="00A9434B">
        <w:t>(IPBES, 2022)</w:t>
      </w:r>
      <w:r w:rsidR="00AF00AF" w:rsidRPr="00A9434B">
        <w:fldChar w:fldCharType="end"/>
      </w:r>
      <w:r w:rsidR="00AF00AF" w:rsidRPr="00A9434B">
        <w:t>.</w:t>
      </w:r>
      <w:r>
        <w:t xml:space="preserve"> There can also be concerns over animal welfare and rights when considering possible management and eradication interventions </w:t>
      </w:r>
      <w:r w:rsidR="004155A5" w:rsidRPr="00A9434B">
        <w:t>(</w:t>
      </w:r>
      <w:r w:rsidR="00B9562C" w:rsidRPr="00673554">
        <w:rPr>
          <w:b/>
          <w:iCs/>
        </w:rPr>
        <w:fldChar w:fldCharType="begin"/>
      </w:r>
      <w:r w:rsidR="00B9562C" w:rsidRPr="00673554">
        <w:rPr>
          <w:b/>
          <w:iCs/>
        </w:rPr>
        <w:instrText xml:space="preserve"> REF _Ref104898651 \h  \* MERGEFORMAT </w:instrText>
      </w:r>
      <w:r w:rsidR="00B9562C" w:rsidRPr="00673554">
        <w:rPr>
          <w:b/>
          <w:iCs/>
        </w:rPr>
      </w:r>
      <w:r w:rsidR="00B9562C" w:rsidRPr="00673554">
        <w:rPr>
          <w:b/>
          <w:iCs/>
        </w:rPr>
        <w:fldChar w:fldCharType="separate"/>
      </w:r>
      <w:r w:rsidR="0011368C" w:rsidRPr="00673554">
        <w:rPr>
          <w:b/>
          <w:iCs/>
        </w:rPr>
        <w:t>Box 6.13</w:t>
      </w:r>
      <w:r w:rsidR="00B9562C" w:rsidRPr="00673554">
        <w:rPr>
          <w:b/>
          <w:iCs/>
        </w:rPr>
        <w:fldChar w:fldCharType="end"/>
      </w:r>
      <w:r w:rsidR="004155A5" w:rsidRPr="00A9434B">
        <w:t>).</w:t>
      </w:r>
      <w:r>
        <w:t xml:space="preserve"> A particular trade-off to consider is the need for rapid response to maximize the likelihood of eradication early in the invasion curve (</w:t>
      </w:r>
      <w:r w:rsidR="00E452E2">
        <w:rPr>
          <w:b/>
          <w:iCs/>
        </w:rPr>
        <w:t>G</w:t>
      </w:r>
      <w:r w:rsidR="00F14893" w:rsidRPr="00673554">
        <w:rPr>
          <w:b/>
          <w:iCs/>
        </w:rPr>
        <w:t>lossary</w:t>
      </w:r>
      <w:r>
        <w:t>), versus the time and cost of broad stakeholder inclusion in decision-making. This trade-off can however be managed by ensuring as far as possible that collaborative and inclusive decision-making structures are in place before new invasive alien species arrive.</w:t>
      </w:r>
    </w:p>
    <w:p w14:paraId="2ED685D1" w14:textId="77777777" w:rsidR="00017C04" w:rsidRDefault="00F50AF9">
      <w:pPr>
        <w:pStyle w:val="Heading5"/>
      </w:pPr>
      <w:r>
        <w:t>Consensus building</w:t>
      </w:r>
    </w:p>
    <w:p w14:paraId="76D87D83" w14:textId="0F09C0C3" w:rsidR="00017C04" w:rsidRDefault="00F50AF9">
      <w:pPr>
        <w:spacing w:before="0"/>
      </w:pPr>
      <w:r>
        <w:t>By</w:t>
      </w:r>
      <w:r>
        <w:rPr>
          <w:b/>
        </w:rPr>
        <w:t xml:space="preserve"> </w:t>
      </w:r>
      <w:r>
        <w:t xml:space="preserve">increasing their involvement, developing shared aims, overcoming barriers to coordination and collaboration, and building trust </w:t>
      </w:r>
      <w:r w:rsidR="004155A5" w:rsidRPr="00A9434B">
        <w:fldChar w:fldCharType="begin"/>
      </w:r>
      <w:r w:rsidR="0006613E">
        <w:instrText xml:space="preserve"> ADDIN ZOTERO_ITEM CSL_CITATION {"citationID":"a121ot48ko8","properties":{"formattedCitation":"(Carter et al., 2021; Graham, 2019; Lynch, 2020)","plainCitation":"(Carter et al., 2021; Graham, 2019; Lynch, 2020)","noteIndex":0},"citationItems":[{"id":11321,"uris":["http://zotero.org/groups/2352922/items/P6JTQPBP"],"itemData":{"id":11321,"type":"article-journal","abstract":"Collective action among conservation and rural land managers is required to protect natural and rural ecosystems from the spread of invasive plants. Achieving such tenure-blind collective action is a considerable policy challenge and social research on this topic is in its infancy, is rural-focused and rarely addresses multiple species concurrently. This study explores the nature and extent of collective action among conservation and rural stakeholders managing multiple invasive plant species in south-west Alberta, Canada. Thirty telephone interviews were conducted with staﬀ of national and provincial parks, non-government organisations and government agencies, as well as ranchers and consultants operating within the Oldman Watershed. The results showed three key types of collective action—participatory, linked and collaborative—occurring across the landscape. Collaborative invasive plant management (IPM) was the most likely to bring rural and conservation land managers together to address multiple species but was highly resource intensive and conﬁned to public lands. A polycentric system of governance may enable landscape-wide IPM to be achieved if it can link existing collaborative eﬀorts as well as establish and maintain new relationships among rural and conservation stakeholders. Organisations that encompass multiple land uses, such as watershed councils and municipal districts, may be best placed to bring diverse stakeholders together to develop a shared plan, facilitate social learning and demonstrate on-ground action at multiple scales across land uses.","container-title":"Land Use Policy","DOI":"10.1016/j.landusepol.2018.10.043","ISSN":"02648377","journalAbbreviation":"Land Use Policy","language":"en","page":"247-255","source":"DOI.org (Crossref)","title":"Coordinating invasive plant management among conservation and rural stakeholders","URL":"https://linkinghub.elsevier.com/retrieve/pii/S026483771731339X","volume":"81","author":[{"family":"Graham","given":"Sonia"}],"accessed":{"date-parts":[["2019",11,28]]},"issued":{"date-parts":[["2019",2]]}},"label":"page"},{"id":29320,"uris":["http://zotero.org/groups/2352922/items/GSSV3EBS"],"itemData":{"id":29320,"type":"thesis","event-place":"Ann Arbor, Michigan: University Microfilms International","genre":"Doctoral Thesis","language":"en","publisher":"University of California, Santa Cruz","publisher-place":"Ann Arbor, Michigan: University Microfilms International","source":"Zotero","title":"Responding to an emergent plant pest-pathogen complex across social-ecological scales","URL":"https://escholarship.org/uc/item/19f5d5vk","author":[{"family":"Lynch","given":"S.C."}],"issued":{"date-parts":[["2020"]]}},"label":"page"},{"id":26687,"uris":["http://zotero.org/groups/2352922/items/BGLXDHNL"],"itemData":{"id":26687,"type":"article-journal","container-title":"Biological Invasions","DOI":"10.1007/s10530-020-02391-6","ISSN":"1387-3547, 1573-1464","issue":"2","journalAbbreviation":"Biol Invasions","language":"en","page":"625-640","source":"DOI.org (Crossref)","title":"A multidimensional framework to inform stakeholder engagement in the science and management of invasive and pest animal species","URL":"http://link.springer.com/10.1007/s10530-020-02391-6","volume":"23","author":[{"family":"Carter","given":"Lucy"},{"family":"Mankad","given":"Aditi"},{"family":"Zhang","given":"Airong"},{"family":"Curnock","given":"Matthew I."},{"family":"Pollard","given":"Chris R. J."}],"accessed":{"date-parts":[["2021",3,24]]},"issued":{"date-parts":[["2021",2]]}},"label":"page"}],"schema":"https://github.com/citation-style-language/schema/raw/master/csl-citation.json"} </w:instrText>
      </w:r>
      <w:r w:rsidR="004155A5" w:rsidRPr="00A9434B">
        <w:fldChar w:fldCharType="separate"/>
      </w:r>
      <w:r w:rsidR="00C71E80" w:rsidRPr="00A9434B">
        <w:t>(Carter et al., 2021; Graham, 2019; Lynch, 2020)</w:t>
      </w:r>
      <w:r w:rsidR="004155A5" w:rsidRPr="00A9434B">
        <w:fldChar w:fldCharType="end"/>
      </w:r>
      <w:r w:rsidR="004155A5" w:rsidRPr="00A9434B">
        <w:t xml:space="preserve">, engagement with </w:t>
      </w:r>
      <w:r w:rsidR="00DD1FAC" w:rsidRPr="00A9434B">
        <w:t xml:space="preserve">stakeholders and </w:t>
      </w:r>
      <w:r w:rsidR="001E7B2B" w:rsidRPr="00A9434B">
        <w:t>Indigenous Peoples</w:t>
      </w:r>
      <w:r w:rsidR="004155A5" w:rsidRPr="00A9434B">
        <w:t xml:space="preserve"> and local communities </w:t>
      </w:r>
      <w:r w:rsidR="009315E4" w:rsidRPr="00A9434B">
        <w:t xml:space="preserve">can </w:t>
      </w:r>
      <w:r w:rsidR="004155A5" w:rsidRPr="00A9434B">
        <w:t>reduc</w:t>
      </w:r>
      <w:r w:rsidR="009315E4" w:rsidRPr="00A9434B">
        <w:t>e</w:t>
      </w:r>
      <w:r w:rsidR="004155A5" w:rsidRPr="00A9434B">
        <w:t xml:space="preserve"> and </w:t>
      </w:r>
      <w:r w:rsidR="009315E4" w:rsidRPr="00A9434B">
        <w:t xml:space="preserve">help </w:t>
      </w:r>
      <w:r w:rsidR="004155A5" w:rsidRPr="00A9434B">
        <w:t>manag</w:t>
      </w:r>
      <w:r w:rsidR="009315E4" w:rsidRPr="00A9434B">
        <w:t>e</w:t>
      </w:r>
      <w:r w:rsidR="004155A5" w:rsidRPr="00A9434B">
        <w:t xml:space="preserve"> conflict </w:t>
      </w:r>
      <w:r w:rsidR="004155A5" w:rsidRPr="00A9434B">
        <w:fldChar w:fldCharType="begin"/>
      </w:r>
      <w:r w:rsidR="0006613E">
        <w:instrText xml:space="preserve"> ADDIN ZOTERO_ITEM CSL_CITATION {"citationID":"anluqmt1jr","properties":{"formattedCitation":"(Moon et al., 2015; Shackleton, Adriaens, et al., 2019)","plainCitation":"(Moon et al., 2015; Shackleton, Adriaens, et al., 2019)","noteIndex":0},"citationItems":[{"id":11438,"uris":["http://zotero.org/groups/2352922/items/P5EALT95"],"itemData":{"id":11438,"type":"article-journal","container-title":"Biological Invasions","DOI":"10.1007/s10530-015-0904-5","ISSN":"1387-3547, 1573-1464","issue":"9","journalAbbreviation":"Biol Invasions","language":"en","page":"2675-2689","source":"DOI.org (Crossref)","title":"Understanding and integrating knowledge to improve invasive species management","URL":"http://link.springer.com/10.1007/s10530-015-0904-5","volume":"17","author":[{"family":"Moon","given":"Katie"},{"family":"Blackman","given":"Deborah A."},{"family":"Brewer","given":"Tom D."}],"accessed":{"date-parts":[["2019",9,11]]},"issued":{"date-parts":[["2015",9]]}},"label":"page"},{"id":29948,"uris":["http://zotero.org/groups/2352922/items/AVRETIRN"],"itemData":{"id":29948,"type":"article-journal","container-title":"Journal of Environmental Management","DOI":"10.1016/j.jenvman.2018.04.044","ISSN":"03014797","journalAbbreviation":"Journal of Environmental Management","language":"en","page":"88-101","source":"DOI.org (Crossref)","title":"Stakeholder engagement in the study and management of invasive alien species","URL":"https://linkinghub.elsevier.com/retrieve/pii/S0301479718304262","volume":"229","author":[{"family":"Shackleton","given":"Ross T."},{"family":"Adriaens","given":"Tim"},{"family":"Brundu","given":"Giuseppe"},{"family":"Dehnen-Schmutz","given":"Katharina"},{"family":"Estévez","given":"Rodrigo A."},{"family":"Fried","given":"Jana"},{"family":"Larson","given":"Brendon M.H."},{"family":"Liu","given":"Shuang"},{"family":"Marchante","given":"Elizabete"},{"family":"Marchante","given":"Hélia"},{"family":"Moshobane","given":"Moleseng C."},{"family":"Novoa","given":"Ana"},{"family":"Reed","given":"Mark"},{"family":"Richardson","given":"David M."}],"accessed":{"date-parts":[["2021",8,16]]},"issued":{"date-parts":[["2019",1]]}},"label":"page"}],"schema":"https://github.com/citation-style-language/schema/raw/master/csl-citation.json"} </w:instrText>
      </w:r>
      <w:r w:rsidR="004155A5" w:rsidRPr="00A9434B">
        <w:fldChar w:fldCharType="separate"/>
      </w:r>
      <w:r w:rsidR="00C71E80" w:rsidRPr="00A9434B">
        <w:t>(Moon et al., 2015; Shackleton, Adriaens, et al., 2019)</w:t>
      </w:r>
      <w:r w:rsidR="004155A5" w:rsidRPr="00A9434B">
        <w:fldChar w:fldCharType="end"/>
      </w:r>
      <w:r w:rsidR="004155A5" w:rsidRPr="00A9434B">
        <w:t xml:space="preserve">, including </w:t>
      </w:r>
      <w:r w:rsidR="00DD1FAC" w:rsidRPr="00A9434B">
        <w:t>around</w:t>
      </w:r>
      <w:r w:rsidR="2FB59EDE" w:rsidRPr="00A9434B">
        <w:t xml:space="preserve"> </w:t>
      </w:r>
      <w:r w:rsidR="00527080" w:rsidRPr="00A9434B">
        <w:t>“</w:t>
      </w:r>
      <w:r w:rsidR="004155A5" w:rsidRPr="00A9434B">
        <w:t>conflict species</w:t>
      </w:r>
      <w:r w:rsidR="00527080" w:rsidRPr="00A9434B">
        <w:t>”</w:t>
      </w:r>
      <w:r w:rsidR="004155A5" w:rsidRPr="00A9434B">
        <w:t xml:space="preserve"> </w:t>
      </w:r>
      <w:r w:rsidR="004155A5" w:rsidRPr="00A9434B">
        <w:fldChar w:fldCharType="begin"/>
      </w:r>
      <w:r w:rsidR="0006613E">
        <w:instrText xml:space="preserve"> ADDIN ZOTERO_ITEM CSL_CITATION {"citationID":"a5apa05jvs","properties":{"formattedCitation":"\\uldash{(Woodford et al., 2016)}","plainCitation":"(Woodford et al., 2016)","dontUpdate":true,"noteIndex":0},"citationItems":[{"id":23873,"uris":["http://zotero.org/groups/2352922/items/8FSDJWMU"],"itemData":{"id":23873,"type":"article-journal","abstract":"The Anthropocene Epoch is characterized by novel and increasingly complex dependencies between the environment and human civilization, with many challenges of biodiversity management emerging as wicked problems. Problems arising from the management of biological invasions can be either tame (with simple or obvious solutions) or wicked, where difficulty in appropriately defining the problem can make complete solutions impossible to find. We review four case studies that reflect the main goals in the management of biological invasions – prevention, eradication, and impact reduction – assessing the drivers and extent of wickedness in each. We find that a disconnect between the perception and reality of how wicked a problem is can profoundly influence the likelihood of successful management. For example, managing species introductions can be wicked, but shifting from species-focused to vector-focused risk management can greatly reduce the complexity, making it a tame problem. The scope and scale of the overall management goal will also dictate the wickedness of the problem and the achievability of management solutions (cf. eradication and ecosystem restoration). Finally, managing species that have both positive and negative impacts requires engagement with all stakeholders and scenario-based planning. Effective management of invasions requires either recognizing unavoidable wickedness, or circumventing it by seeking alternative management perspectives.","container-title":"NeoBiota","DOI":"10.3897/neobiota.31.10038","ISSN":"1314-2488, 1619-0033","journalAbbreviation":"NB","language":"en","page":"63-86","source":"DOI.org (Crossref)","title":"Confronting the wicked problem of managing biological invasions","URL":"http://neobiota.pensoft.net/articles.php?id=10038","volume":"31","author":[{"family":"Woodford","given":"Darragh J."},{"family":"Richardson","given":"David M."},{"family":"MacIsaac","given":"Hugh J."},{"family":"Mandrak","given":"Nicholas E."},{"family":"Wilgen","given":"Brian W.","non-dropping-particle":"van"},{"family":"Wilson","given":"John R. U."},{"family":"Weyl","given":"Olaf L. F."}],"accessed":{"date-parts":[["2019",11,3]]},"issued":{"date-parts":[["2016",9,14]]}},"label":"page"}],"schema":"https://github.com/citation-style-language/schema/raw/master/csl-citation.json"} </w:instrText>
      </w:r>
      <w:r w:rsidR="004155A5" w:rsidRPr="00A9434B">
        <w:fldChar w:fldCharType="separate"/>
      </w:r>
      <w:r w:rsidR="00AF00AF" w:rsidRPr="00A9434B">
        <w:t>(Woodford et al., 2016</w:t>
      </w:r>
      <w:r w:rsidR="004155A5" w:rsidRPr="00A9434B">
        <w:fldChar w:fldCharType="end"/>
      </w:r>
      <w:r w:rsidR="00CC7EBA" w:rsidRPr="00A9434B">
        <w:t xml:space="preserve">; </w:t>
      </w:r>
      <w:r w:rsidR="00E452E2">
        <w:rPr>
          <w:b/>
          <w:iCs/>
        </w:rPr>
        <w:t>C</w:t>
      </w:r>
      <w:r w:rsidR="00CC7EBA" w:rsidRPr="00673554">
        <w:rPr>
          <w:b/>
          <w:iCs/>
        </w:rPr>
        <w:t>hapter 5</w:t>
      </w:r>
      <w:r w:rsidR="00CC7EBA" w:rsidRPr="00673554">
        <w:rPr>
          <w:iCs/>
        </w:rPr>
        <w:t>,</w:t>
      </w:r>
      <w:r w:rsidR="00CC7EBA" w:rsidRPr="00673554">
        <w:rPr>
          <w:b/>
          <w:iCs/>
        </w:rPr>
        <w:t xml:space="preserve"> section 5.6.1.2</w:t>
      </w:r>
      <w:r w:rsidR="004B253C" w:rsidRPr="00A9434B">
        <w:t>)</w:t>
      </w:r>
      <w:r w:rsidR="004155A5" w:rsidRPr="00A9434B">
        <w:t>. It increases public support, acceptance, ownership</w:t>
      </w:r>
      <w:r w:rsidR="005D0083">
        <w:t xml:space="preserve"> and</w:t>
      </w:r>
      <w:r w:rsidR="004155A5" w:rsidRPr="00A9434B">
        <w:t xml:space="preserve"> buy-in </w:t>
      </w:r>
      <w:r w:rsidR="004155A5" w:rsidRPr="00A9434B">
        <w:fldChar w:fldCharType="begin"/>
      </w:r>
      <w:r w:rsidR="0006613E">
        <w:instrText xml:space="preserve"> ADDIN ZOTERO_ITEM CSL_CITATION {"citationID":"a1fdgl0nlgd","properties":{"formattedCitation":"(Lansink et al., 2018)","plainCitation":"(Lansink et al., 2018)","noteIndex":0},"citationItems":[{"id":53409,"uris":["http://zotero.org/groups/2352922/items/XS3NCSK5"],"itemData":{"id":53409,"type":"article-journal","abstract":"Invasive species such as Ambrosia (an annual weed) pose a biosecurity risk whose management depends on the knowledge, attitudes and practices of many stakeholders. It can therefore be considered a complex policy and risk governance problem. Complex policy problems are characterised by high uncertainty, multiple dimensions, interactions across different spatial and policy levels, and the involvement of a multitude of actors and organisations. This paper provides a conceptual framework for analysing the multi-level and multi-actor dimensions of Ambrosia management. Potential and existing public, private and public–private management strategies are identified to address the interests and needs of different actor groups across different levels. We conclude that policies that promote a mix of public and private Ambrosia management strategies may respond better to the needs and interests of different actor groups across different levels than a one-size-fits-all approach. However, multiple policy strategies need to be aligned in order to lead to synergies and spreading coherent messages to the public. Collaboration may enhance the likelihood of biosecurity management and risk governance of Ambrosia being adequately implemented and enforced.","container-title":"Journal of Risk Research","DOI":"10.1080/13669877.2016.1247376","ISSN":"1366-9877","issue":"6","journalAbbreviation":"Journal of Risk Research","language":"en","page":"780-799","title":"A multi-level and multi-actor approach to risk governance: a conceptual framework to support policy development for Ambrosia weed control","URL":"https://doi.org/10.1080/13669877.2016.1247376","volume":"21","author":[{"family":"Lansink","given":"Alfons Oude"},{"family":"Schut","given":"Marc"},{"family":"Kamanda","given":"Josey"},{"family":"Klerkx","given":"Laurens"}],"issued":{"date-parts":[["2018"]]}},"label":"page"}],"schema":"https://github.com/citation-style-language/schema/raw/master/csl-citation.json"} </w:instrText>
      </w:r>
      <w:r w:rsidR="004155A5" w:rsidRPr="00A9434B">
        <w:fldChar w:fldCharType="separate"/>
      </w:r>
      <w:r w:rsidR="00C71E80" w:rsidRPr="00A9434B">
        <w:t>(Lansink et al., 2018)</w:t>
      </w:r>
      <w:r w:rsidR="004155A5" w:rsidRPr="00A9434B">
        <w:fldChar w:fldCharType="end"/>
      </w:r>
      <w:r w:rsidR="004155A5" w:rsidRPr="00A9434B">
        <w:t>, which minimi</w:t>
      </w:r>
      <w:r w:rsidR="006B004D" w:rsidRPr="00A9434B">
        <w:t>z</w:t>
      </w:r>
      <w:r w:rsidR="004155A5" w:rsidRPr="00A9434B">
        <w:t xml:space="preserve">es the risk of unintended consequences </w:t>
      </w:r>
      <w:r w:rsidR="001C1880" w:rsidRPr="00A9434B">
        <w:t>a</w:t>
      </w:r>
      <w:r w:rsidR="004155A5" w:rsidRPr="00A9434B">
        <w:t xml:space="preserve">nd avoids the costs of failed measures </w:t>
      </w:r>
      <w:r w:rsidR="004155A5" w:rsidRPr="00A9434B">
        <w:fldChar w:fldCharType="begin"/>
      </w:r>
      <w:r w:rsidR="0014002B">
        <w:instrText xml:space="preserve"> ADDIN ZOTERO_ITEM CSL_CITATION {"citationID":"fdm7MulH","properties":{"formattedCitation":"(S. Liu &amp; Cook, 2016; M. S. Reed &amp; Curzon, 2015)","plainCitation":"(S. Liu &amp; Cook, 2016; M. S. Reed &amp; Curzon, 2015)","noteIndex":0},"citationItems":[{"id":23808,"uris":["http://zotero.org/groups/2352922/items/BISDF7HN"],"itemData":{"id":23808,"type":"article-journal","abstract":"Significant heterogeneity exists in the public’s preferences and values for protecting agricultural ecosystems against invasive non-native species. Therefore, biosecurity decision-making is akin to conflict management characterised by not only technical, but also environmental, social and economic value judgements of different stakeholders. The key question then, is not whether values should be considered in the decision-making process—they are part of it anyway—but how they should be articulated and incorporated via a formal and structured analysis. In this paper, we propose to use Structured Decision Making (SDM) as a framework to incorporate diverse social values into response planning and management and demonstrate its use with three case studies. The first step of the process involves identifying the stakeholders in a response decision, followed by the critical step of systematically translating stakeholders’ major concerns into management objectives. Biosecurity decision-makers will also collaborate with the public to develop response alternatives and identify a preferred option by explicitly making trade-offs among different objectives. Ultimately, the SDM approach provides a transparent description of, and justification for, the response options considered and selected.","container-title":"Food Security","DOI":"10.1007/s12571-015-0525-y","ISSN":"1876-4517, 1876-4525","issue":"1","journalAbbreviation":"Food Sec.","language":"en","page":"49-59","source":"DOI.org (Crossref)","title":"Eradicate, contain, or live with it? Collaborating with stakeholders to evaluate responses to invasive species","title-short":"Eradicate, contain, or live with it?","URL":"http://link.springer.com/10.1007/s12571-015-0525-y","volume":"8","author":[{"family":"Liu","given":"Shuang"},{"family":"Cook","given":"David"}],"accessed":{"date-parts":[["2019",11,27]]},"issued":{"date-parts":[["2016",2]]}},"label":"page"},{"id":24036,"uris":["http://zotero.org/groups/2352922/items/DABRZBE7"],"itemData":{"id":24036,"type":"article-journal","abstract":"There is an increasing recognition that greater stakeholder engagement is needed in the assessment, management and communication of risks around plant and animal health, and biosecurity issues more generally. Despite a growing number of studies considering the knowledge and actions of stakeholders in the governance of biosecurity issues, attempts to systematically identify, categorise or analyse stakeholders in this field are relatively rare. This paper therefore integrates literature from a range of disciplines to generate methodological and theoretical insights that may enable decision-makers to effectively map and analyse biosecurity stakeholders, and enable more transparent, inclusive and adaptive governance of biosecurity. The review starts by defining key terms, before discussing some of the challenges and benefits of effectively representing stakeholders in biosecurity strategies. The paper then reviews a range of theoretical approaches to stakeholder mapping, before critically analysing alternative methods for stakeholder mapping and analysis, which could be used in biosecurity interventions. These theories and methods are then discussed in relation to biosecurity governance, drawing on recent applications of stakeholder mapping in biosecurity policy and practice.","container-title":"Journal of Integrative Environmental Sciences","DOI":"10.1080/1943815X.2014.975723","ISSN":"1943-815X","issue":"1","journalAbbreviation":"Journal of Integrative Environmental Sciences","page":"15-38","source":"Taylor and Francis+NEJM","title":"Stakeholder mapping for the governance of biosecurity: a literature review","title-short":"Stakeholder mapping for the governance of biosecurity","URL":"https://doi.org/10.1080/1943815X.2014.975723","volume":"12","author":[{"family":"Reed","given":"Mark S."},{"family":"Curzon","given":"R."}],"accessed":{"date-parts":[["2020",5,7]]},"issued":{"date-parts":[["2015",1,2]]}},"label":"page"}],"schema":"https://github.com/citation-style-language/schema/raw/master/csl-citation.json"} </w:instrText>
      </w:r>
      <w:r w:rsidR="004155A5" w:rsidRPr="00A9434B">
        <w:fldChar w:fldCharType="separate"/>
      </w:r>
      <w:r w:rsidR="0014002B" w:rsidRPr="0014002B">
        <w:t>(S. Liu &amp; Cook, 2016; M. S. Reed &amp; Curzon, 2015)</w:t>
      </w:r>
      <w:r w:rsidR="004155A5" w:rsidRPr="00A9434B">
        <w:fldChar w:fldCharType="end"/>
      </w:r>
      <w:r w:rsidR="004155A5" w:rsidRPr="00A9434B">
        <w:t xml:space="preserve">. Engagement can help to better manage the unequal distribution of costs and benefits </w:t>
      </w:r>
      <w:r w:rsidR="004155A5" w:rsidRPr="00A9434B">
        <w:fldChar w:fldCharType="begin"/>
      </w:r>
      <w:r w:rsidR="0006613E">
        <w:instrText xml:space="preserve"> ADDIN ZOTERO_ITEM CSL_CITATION {"citationID":"abfcou8ijf","properties":{"formattedCitation":"(Novoa et al., 2016)","plainCitation":"(Novoa et al., 2016)","noteIndex":0},"citationItems":[{"id":10792,"uris":["http://zotero.org/groups/2352922/items/W4R38M8M"],"itemData":{"id":10792,"type":"article-journal","container-title":"Environmental Management","DOI":"10.1007/s00267-015-0645-3","ISSN":"0364-152X, 1432-1009","issue":"5","journalAbbreviation":"Environmental Management","language":"en","page":"998-1008","source":"DOI.org (Crossref)","title":"Resolving a Prickly Situation: Involving Stakeholders in Invasive Cactus Management in South Africa","title-short":"Resolving a Prickly Situation","URL":"http://link.springer.com/10.1007/s00267-015-0645-3","volume":"57","author":[{"family":"Novoa","given":"Ana"},{"family":"Kaplan","given":"Haylee"},{"family":"Wilson","given":"John R. U."},{"family":"Richardson","given":"David M."}],"accessed":{"date-parts":[["2019",11,5]]},"issued":{"date-parts":[["2016",5]]}},"label":"page"}],"schema":"https://github.com/citation-style-language/schema/raw/master/csl-citation.json"} </w:instrText>
      </w:r>
      <w:r w:rsidR="004155A5" w:rsidRPr="00A9434B">
        <w:fldChar w:fldCharType="separate"/>
      </w:r>
      <w:r w:rsidR="00C71E80" w:rsidRPr="00A9434B">
        <w:t>(Novoa et al., 2016)</w:t>
      </w:r>
      <w:r w:rsidR="004155A5" w:rsidRPr="00A9434B">
        <w:fldChar w:fldCharType="end"/>
      </w:r>
      <w:r w:rsidR="004155A5" w:rsidRPr="00A9434B">
        <w:t xml:space="preserve"> by appropriately sharing and differentiating responsibilities for management and increasing enforcement capacity </w:t>
      </w:r>
      <w:r w:rsidR="004155A5" w:rsidRPr="00A9434B">
        <w:fldChar w:fldCharType="begin"/>
      </w:r>
      <w:r w:rsidR="0014002B">
        <w:instrText xml:space="preserve"> ADDIN ZOTERO_ITEM CSL_CITATION {"citationID":"EVM6CO6N","properties":{"formattedCitation":"(S. Liu &amp; Cook, 2016)","plainCitation":"(S. Liu &amp; Cook, 2016)","dontUpdate":true,"noteIndex":0},"citationItems":[{"id":23808,"uris":["http://zotero.org/groups/2352922/items/BISDF7HN"],"itemData":{"id":23808,"type":"article-journal","abstract":"Significant heterogeneity exists in the public’s preferences and values for protecting agricultural ecosystems against invasive non-native species. Therefore, biosecurity decision-making is akin to conflict management characterised by not only technical, but also environmental, social and economic value judgements of different stakeholders. The key question then, is not whether values should be considered in the decision-making process—they are part of it anyway—but how they should be articulated and incorporated via a formal and structured analysis. In this paper, we propose to use Structured Decision Making (SDM) as a framework to incorporate diverse social values into response planning and management and demonstrate its use with three case studies. The first step of the process involves identifying the stakeholders in a response decision, followed by the critical step of systematically translating stakeholders’ major concerns into management objectives. Biosecurity decision-makers will also collaborate with the public to develop response alternatives and identify a preferred option by explicitly making trade-offs among different objectives. Ultimately, the SDM approach provides a transparent description of, and justification for, the response options considered and selected.","container-title":"Food Security","DOI":"10.1007/s12571-015-0525-y","ISSN":"1876-4517, 1876-4525","issue":"1","journalAbbreviation":"Food Sec.","language":"en","page":"49-59","source":"DOI.org (Crossref)","title":"Eradicate, contain, or live with it? Collaborating with stakeholders to evaluate responses to invasive species","title-short":"Eradicate, contain, or live with it?","URL":"http://link.springer.com/10.1007/s12571-015-0525-y","volume":"8","author":[{"family":"Liu","given":"Shuang"},{"family":"Cook","given":"David"}],"accessed":{"date-parts":[["2019",11,27]]},"issued":{"date-parts":[["2016",2]]}}}],"schema":"https://github.com/citation-style-language/schema/raw/master/csl-citation.json"} </w:instrText>
      </w:r>
      <w:r w:rsidR="004155A5" w:rsidRPr="00A9434B">
        <w:fldChar w:fldCharType="separate"/>
      </w:r>
      <w:r w:rsidR="0014002B" w:rsidRPr="0014002B">
        <w:t>(S. Liu &amp; Cook, 2016</w:t>
      </w:r>
      <w:r w:rsidR="004155A5" w:rsidRPr="00A9434B">
        <w:fldChar w:fldCharType="end"/>
      </w:r>
      <w:r w:rsidR="00AF00AF" w:rsidRPr="00A9434B">
        <w:t>;</w:t>
      </w:r>
      <w:r>
        <w:t xml:space="preserve"> </w:t>
      </w:r>
      <w:r>
        <w:rPr>
          <w:b/>
        </w:rPr>
        <w:t>section 6.7</w:t>
      </w:r>
      <w:r>
        <w:t>).</w:t>
      </w:r>
    </w:p>
    <w:p w14:paraId="0B573DD5" w14:textId="77777777" w:rsidR="00492647" w:rsidRPr="00A9434B" w:rsidRDefault="004155A5" w:rsidP="00492647">
      <w:pPr>
        <w:pStyle w:val="Heading5"/>
      </w:pPr>
      <w:r w:rsidRPr="00A9434B">
        <w:t>Economic effectiveness</w:t>
      </w:r>
      <w:r w:rsidR="00020901" w:rsidRPr="00A9434B">
        <w:t xml:space="preserve"> and </w:t>
      </w:r>
      <w:r w:rsidRPr="00A9434B">
        <w:t>efficiency</w:t>
      </w:r>
    </w:p>
    <w:p w14:paraId="2CEBCD2D" w14:textId="57E4FCF9" w:rsidR="004155A5" w:rsidRPr="00A9434B" w:rsidRDefault="004155A5" w:rsidP="00492647">
      <w:pPr>
        <w:spacing w:before="0"/>
      </w:pPr>
      <w:r w:rsidRPr="00A9434B">
        <w:t xml:space="preserve">Engaging with </w:t>
      </w:r>
      <w:r w:rsidR="00DD1FAC" w:rsidRPr="00A9434B">
        <w:t xml:space="preserve">stakeholders and </w:t>
      </w:r>
      <w:r w:rsidR="001E7B2B" w:rsidRPr="00A9434B">
        <w:t>Indigenous Peoples</w:t>
      </w:r>
      <w:r w:rsidRPr="00A9434B">
        <w:t xml:space="preserve"> and local communities ensures that interventions are efficient, equitable, and provide the correct incentives (e.g., that are not perverse for some </w:t>
      </w:r>
      <w:r w:rsidR="00724017" w:rsidRPr="00A9434B">
        <w:t xml:space="preserve">or </w:t>
      </w:r>
      <w:r w:rsidRPr="00A9434B">
        <w:t>over-reward other stakeholders). This also increases the participation of economic stakeholders such as land owners, small businesses</w:t>
      </w:r>
      <w:r w:rsidR="005D0083">
        <w:t xml:space="preserve"> and</w:t>
      </w:r>
      <w:r w:rsidRPr="00A9434B">
        <w:t xml:space="preserve"> corporations, and can help a</w:t>
      </w:r>
      <w:r w:rsidR="3AAADA5E" w:rsidRPr="00A9434B">
        <w:t xml:space="preserve">void </w:t>
      </w:r>
      <w:r w:rsidRPr="00A9434B">
        <w:t xml:space="preserve">the </w:t>
      </w:r>
      <w:r w:rsidR="00783ECD" w:rsidRPr="00A9434B">
        <w:t>“</w:t>
      </w:r>
      <w:r w:rsidRPr="00A9434B">
        <w:t>tragedy of the commons</w:t>
      </w:r>
      <w:r w:rsidR="00783ECD" w:rsidRPr="00A9434B">
        <w:t>”</w:t>
      </w:r>
      <w:r w:rsidRPr="00A9434B">
        <w:t xml:space="preserve"> </w:t>
      </w:r>
      <w:r w:rsidR="00F806B6" w:rsidRPr="00A9434B">
        <w:t>(</w:t>
      </w:r>
      <w:r w:rsidR="00E452E2">
        <w:rPr>
          <w:b/>
          <w:iCs/>
        </w:rPr>
        <w:t>G</w:t>
      </w:r>
      <w:r w:rsidR="00020901" w:rsidRPr="00673554">
        <w:rPr>
          <w:b/>
          <w:iCs/>
        </w:rPr>
        <w:t>lossary</w:t>
      </w:r>
      <w:r w:rsidR="00783ECD" w:rsidRPr="00A9434B">
        <w:t>;</w:t>
      </w:r>
      <w:r w:rsidR="00020901" w:rsidRPr="00A9434B">
        <w:t xml:space="preserve"> </w:t>
      </w:r>
      <w:r w:rsidRPr="00A9434B">
        <w:fldChar w:fldCharType="begin"/>
      </w:r>
      <w:r w:rsidR="0006613E">
        <w:instrText xml:space="preserve"> ADDIN ZOTERO_ITEM CSL_CITATION {"citationID":"rkat6gY3","properties":{"formattedCitation":"(McAllister et al., 2015)","plainCitation":"(McAllister et al., 2015)","dontUpdate":true,"noteIndex":0},"citationItems":[{"id":11227,"uris":["http://zotero.org/groups/2352922/items/VSGNZ7DP"],"itemData":{"id":11227,"type":"article-journal","abstract":"One of the key determinants of success in managing natural resources is “institutional fit,” i.e., how well the suite of required actions collectively match the scale of the environmental problem. The effective management of pest and pathogen threats to plants is a natural resource problem of particular economic, social, and environmental importance. Responses to incursions are managed by a network of decision makers and managers acting at different spatial and temporal scales. We applied novel network theoretical methods to assess the propensity of growers, local industry, local state government, and state and national government head offices to foster either within- or across-scale coordination during the successful 2001 Australian response to the outbreak of the fungal pathogen black sigatoka (Mycosphaerella fijiensis). We also reconstructed the response network to proxy what that network would look like today under the Australian government’s revised response system. We illustrate a structural move in the plant biosecurity response system from one that was locally driven to the current top-down system, in which the national government leads coordination of a highly partitioned engagement process. For biological incursions that spread widely across regions, nationally rather than locally managed responses may improve coordination of diverse tasks. However, in dealing with such challenges of institutional fit, local engagement will always be critical in deploying flexible and adaptive local responses based on a national system. The methods we propose detect where and how network structures foster cross-scale interactions, which will contribute to stronger empirical studies of cross-scale environmental governance.","container-title":"Ecology and Society","DOI":"10.5751/ES-07469-200167","ISSN":"1708-3087","issue":"1","journalAbbreviation":"E&amp;S","language":"en","page":"67","source":"DOI.org (Crossref)","title":"From local to central: a network analysis of who manages plant pest and disease outbreaks across scales","title-short":"From local to central","URL":"http://www.ecologyandsociety.org/vol20/iss1/art67/","volume":"20","author":[{"family":"McAllister","given":"Ryan R. J."},{"family":"Robinson","given":"Catherine J."},{"family":"Maclean","given":"Kirsten"},{"family":"Guerrero","given":"Angela M."},{"family":"Collins","given":"Kerry"},{"family":"Taylor","given":"Bruce M."},{"family":"De Barro","given":"Paul J."}],"accessed":{"date-parts":[["2019",11,9]]},"issued":{"date-parts":[["2015"]]}},"label":"page"}],"schema":"https://github.com/citation-style-language/schema/raw/master/csl-citation.json"} </w:instrText>
      </w:r>
      <w:r w:rsidRPr="00A9434B">
        <w:fldChar w:fldCharType="separate"/>
      </w:r>
      <w:r w:rsidR="00E452E2" w:rsidRPr="00E452E2">
        <w:t>McAllister et al., 2015)</w:t>
      </w:r>
      <w:r w:rsidRPr="00A9434B">
        <w:fldChar w:fldCharType="end"/>
      </w:r>
      <w:r w:rsidRPr="00A9434B">
        <w:t>.</w:t>
      </w:r>
    </w:p>
    <w:p w14:paraId="6D2B050C" w14:textId="77777777" w:rsidR="00492647" w:rsidRPr="00A9434B" w:rsidRDefault="004155A5" w:rsidP="00492647">
      <w:pPr>
        <w:pStyle w:val="Heading5"/>
      </w:pPr>
      <w:r w:rsidRPr="00A9434B">
        <w:t>Decision-making under uncertainty and complexity</w:t>
      </w:r>
    </w:p>
    <w:p w14:paraId="266D8510" w14:textId="05B93863" w:rsidR="004155A5" w:rsidRPr="00A9434B" w:rsidRDefault="004155A5" w:rsidP="00492647">
      <w:pPr>
        <w:spacing w:before="0"/>
      </w:pPr>
      <w:r w:rsidRPr="00A9434B">
        <w:t xml:space="preserve">Engaging with </w:t>
      </w:r>
      <w:r w:rsidR="006B4E0E" w:rsidRPr="00A9434B">
        <w:t xml:space="preserve">stakeholders and </w:t>
      </w:r>
      <w:r w:rsidR="001E7B2B" w:rsidRPr="00A9434B">
        <w:t>Indigenous Peoples</w:t>
      </w:r>
      <w:r w:rsidRPr="00A9434B">
        <w:t xml:space="preserve"> and local communities enables adequate characteri</w:t>
      </w:r>
      <w:r w:rsidR="00F32456" w:rsidRPr="00A9434B">
        <w:t>z</w:t>
      </w:r>
      <w:r w:rsidRPr="00A9434B">
        <w:t>ation and management of complex problems. It can also help to find solutions when conflicting perspectives, objectives</w:t>
      </w:r>
      <w:r w:rsidR="005D0083">
        <w:t xml:space="preserve"> and</w:t>
      </w:r>
      <w:r w:rsidRPr="00A9434B">
        <w:t xml:space="preserve"> management goals make invasion problems difficult to characterize or resolve </w:t>
      </w:r>
      <w:r w:rsidRPr="00A9434B">
        <w:fldChar w:fldCharType="begin"/>
      </w:r>
      <w:r w:rsidR="0006613E">
        <w:instrText xml:space="preserve"> ADDIN ZOTERO_ITEM CSL_CITATION {"citationID":"ak22b1f0ai","properties":{"formattedCitation":"(J. M. Evans et al., 2008; Woodford et al., 2016)","plainCitation":"(J. M. Evans et al., 2008; Woodford et al., 2016)","noteIndex":0},"citationItems":[{"id":15830,"uris":["http://zotero.org/groups/2352922/items/TTFEYKS8"],"itemData":{"id":15830,"type":"article-journal","abstract":"This paper develops the outlines of a pragmatic, adaptive management-based approach toward the control of invasive nonnative species (INS) through a case study of Kings Bay/Crystal River, a large artesian springs ecosystem that is one of Florida's most important habitats for endangered West Indian manatees (Trichechus manatus). Building upon recent critiques of invasion biology, principles of adaptive management, and our own interview and participant - observer research, we argue that this case study represents an example in which rigid application of invasion biology's a priori imperative to minimize INS has produced counterproductive results from both an ecological and social standpoint. As such, we recommend that INS control in Kings Bay should be relaxed in conjunction with an overall program of adaptive ecosystem management that includes meaningful participation and input from non-institutional stakeholders. However, we also note that adaptive management and INS control are by no means mutually exclusive, in Kings Bay or elsewhere. Instead, we suggest that adaptive management offers a means by which INS control efforts can emerge from - and be evaluated through - ongoing scientific research and participatory dialogue about the condition of specific places, rather than non-contextual assumptions about the harmfulness of INS as a general class. © Springer Science+Business Media B.V. 2008.","container-title":"Journal of Agricultural and Environmental Ethics","DOI":"10.1007/s10806-008-9118-5","issue":"6","page":"521-539","title":"Adaptive management of nonnative species: moving beyond the \"either-or\" through experimental pluralism","URL":"https://www.scopus.com/inward/record.uri?eid=2-s2.0-55349087219&amp;doi=10.1007%2fs10806-008-9118-5&amp;partnerID=40&amp;md5=ce9f113d53c952df5c0d87e11b228389","volume":"21","author":[{"family":"Evans","given":"J.M."},{"family":"Wilkie","given":"A.C."},{"family":"Burkhardt","given":"J."}],"issued":{"date-parts":[["2008"]]}},"label":"page"},{"id":23873,"uris":["http://zotero.org/groups/2352922/items/8FSDJWMU"],"itemData":{"id":23873,"type":"article-journal","abstract":"The Anthropocene Epoch is characterized by novel and increasingly complex dependencies between the environment and human civilization, with many challenges of biodiversity management emerging as wicked problems. Problems arising from the management of biological invasions can be either tame (with simple or obvious solutions) or wicked, where difficulty in appropriately defining the problem can make complete solutions impossible to find. We review four case studies that reflect the main goals in the management of biological invasions – prevention, eradication, and impact reduction – assessing the drivers and extent of wickedness in each. We find that a disconnect between the perception and reality of how wicked a problem is can profoundly influence the likelihood of successful management. For example, managing species introductions can be wicked, but shifting from species-focused to vector-focused risk management can greatly reduce the complexity, making it a tame problem. The scope and scale of the overall management goal will also dictate the wickedness of the problem and the achievability of management solutions (cf. eradication and ecosystem restoration). Finally, managing species that have both positive and negative impacts requires engagement with all stakeholders and scenario-based planning. Effective management of invasions requires either recognizing unavoidable wickedness, or circumventing it by seeking alternative management perspectives.","container-title":"NeoBiota","DOI":"10.3897/neobiota.31.10038","ISSN":"1314-2488, 1619-0033","journalAbbreviation":"NB","language":"en","page":"63-86","source":"DOI.org (Crossref)","title":"Confronting the wicked problem of managing biological invasions","URL":"http://neobiota.pensoft.net/articles.php?id=10038","volume":"31","author":[{"family":"Woodford","given":"Darragh J."},{"family":"Richardson","given":"David M."},{"family":"MacIsaac","given":"Hugh J."},{"family":"Mandrak","given":"Nicholas E."},{"family":"Wilgen","given":"Brian W.","non-dropping-particle":"van"},{"family":"Wilson","given":"John R. U."},{"family":"Weyl","given":"Olaf L. F."}],"accessed":{"date-parts":[["2019",11,3]]},"issued":{"date-parts":[["2016",9,14]]}},"label":"page"}],"schema":"https://github.com/citation-style-language/schema/raw/master/csl-citation.json"} </w:instrText>
      </w:r>
      <w:r w:rsidRPr="00A9434B">
        <w:fldChar w:fldCharType="separate"/>
      </w:r>
      <w:r w:rsidR="00C71E80" w:rsidRPr="00A9434B">
        <w:t>(J. M. Evans et al., 2008; Woodford et al., 2016)</w:t>
      </w:r>
      <w:r w:rsidRPr="00A9434B">
        <w:fldChar w:fldCharType="end"/>
      </w:r>
      <w:r w:rsidRPr="00A9434B">
        <w:t>. It allows a balancing of social, economic</w:t>
      </w:r>
      <w:r w:rsidR="005D0083">
        <w:t xml:space="preserve"> and</w:t>
      </w:r>
      <w:r w:rsidRPr="00A9434B">
        <w:t xml:space="preserve"> ecological sustainability </w:t>
      </w:r>
      <w:r w:rsidR="006872B5" w:rsidRPr="00A9434B">
        <w:t xml:space="preserve">objectives </w:t>
      </w:r>
      <w:r w:rsidRPr="00A9434B">
        <w:t xml:space="preserve">and values across multiple interrelated interests </w:t>
      </w:r>
      <w:r w:rsidRPr="00A9434B">
        <w:fldChar w:fldCharType="begin"/>
      </w:r>
      <w:r w:rsidR="0006613E">
        <w:instrText xml:space="preserve"> ADDIN ZOTERO_ITEM CSL_CITATION {"citationID":"a1s5vc06jm2","properties":{"formattedCitation":"(Carter et al., 2021)","plainCitation":"(Carter et al., 2021)","noteIndex":0},"citationItems":[{"id":26687,"uris":["http://zotero.org/groups/2352922/items/BGLXDHNL"],"itemData":{"id":26687,"type":"article-journal","container-title":"Biological Invasions","DOI":"10.1007/s10530-020-02391-6","ISSN":"1387-3547, 1573-1464","issue":"2","journalAbbreviation":"Biol Invasions","language":"en","page":"625-640","source":"DOI.org (Crossref)","title":"A multidimensional framework to inform stakeholder engagement in the science and management of invasive and pest animal species","URL":"http://link.springer.com/10.1007/s10530-020-02391-6","volume":"23","author":[{"family":"Carter","given":"Lucy"},{"family":"Mankad","given":"Aditi"},{"family":"Zhang","given":"Airong"},{"family":"Curnock","given":"Matthew I."},{"family":"Pollard","given":"Chris R. J."}],"accessed":{"date-parts":[["2021",3,24]]},"issued":{"date-parts":[["2021",2]]}}}],"schema":"https://github.com/citation-style-language/schema/raw/master/csl-citation.json"} </w:instrText>
      </w:r>
      <w:r w:rsidRPr="00A9434B">
        <w:fldChar w:fldCharType="separate"/>
      </w:r>
      <w:r w:rsidR="00C71E80" w:rsidRPr="00A9434B">
        <w:t>(Carter et al., 2021)</w:t>
      </w:r>
      <w:r w:rsidRPr="00A9434B">
        <w:fldChar w:fldCharType="end"/>
      </w:r>
      <w:r w:rsidRPr="00A9434B">
        <w:t>, leading to better decision-making under a diversity of local contexts</w:t>
      </w:r>
      <w:r w:rsidR="00020901" w:rsidRPr="00A9434B">
        <w:t xml:space="preserve">. </w:t>
      </w:r>
      <w:r w:rsidR="006872B5" w:rsidRPr="00A9434B">
        <w:t>A</w:t>
      </w:r>
      <w:r w:rsidRPr="00A9434B">
        <w:t xml:space="preserve">ction </w:t>
      </w:r>
      <w:r w:rsidR="00020901" w:rsidRPr="00A9434B">
        <w:t>can then be adapted to</w:t>
      </w:r>
      <w:r w:rsidRPr="00A9434B">
        <w:t xml:space="preserve"> local ecological, social and political contexts </w:t>
      </w:r>
      <w:r w:rsidRPr="00A9434B">
        <w:fldChar w:fldCharType="begin"/>
      </w:r>
      <w:r w:rsidR="0006613E">
        <w:instrText xml:space="preserve"> ADDIN ZOTERO_ITEM CSL_CITATION {"citationID":"a25jfqube0o","properties":{"formattedCitation":"(McAllister et al., 2015)","plainCitation":"(McAllister et al., 2015)","noteIndex":0},"citationItems":[{"id":11227,"uris":["http://zotero.org/groups/2352922/items/VSGNZ7DP"],"itemData":{"id":11227,"type":"article-journal","abstract":"One of the key determinants of success in managing natural resources is “institutional fit,” i.e., how well the suite of required actions collectively match the scale of the environmental problem. The effective management of pest and pathogen threats to plants is a natural resource problem of particular economic, social, and environmental importance. Responses to incursions are managed by a network of decision makers and managers acting at different spatial and temporal scales. We applied novel network theoretical methods to assess the propensity of growers, local industry, local state government, and state and national government head offices to foster either within- or across-scale coordination during the successful 2001 Australian response to the outbreak of the fungal pathogen black sigatoka (Mycosphaerella fijiensis). We also reconstructed the response network to proxy what that network would look like today under the Australian government’s revised response system. We illustrate a structural move in the plant biosecurity response system from one that was locally driven to the current top-down system, in which the national government leads coordination of a highly partitioned engagement process. For biological incursions that spread widely across regions, nationally rather than locally managed responses may improve coordination of diverse tasks. However, in dealing with such challenges of institutional fit, local engagement will always be critical in deploying flexible and adaptive local responses based on a national system. The methods we propose detect where and how network structures foster cross-scale interactions, which will contribute to stronger empirical studies of cross-scale environmental governance.","container-title":"Ecology and Society","DOI":"10.5751/ES-07469-200167","ISSN":"1708-3087","issue":"1","journalAbbreviation":"E&amp;S","language":"en","page":"67","source":"DOI.org (Crossref)","title":"From local to central: a network analysis of who manages plant pest and disease outbreaks across scales","title-short":"From local to central","URL":"http://www.ecologyandsociety.org/vol20/iss1/art67/","volume":"20","author":[{"family":"McAllister","given":"Ryan R. J."},{"family":"Robinson","given":"Catherine J."},{"family":"Maclean","given":"Kirsten"},{"family":"Guerrero","given":"Angela M."},{"family":"Collins","given":"Kerry"},{"family":"Taylor","given":"Bruce M."},{"family":"De Barro","given":"Paul J."}],"accessed":{"date-parts":[["2019",11,9]]},"issued":{"date-parts":[["2015"]]}}}],"schema":"https://github.com/citation-style-language/schema/raw/master/csl-citation.json"} </w:instrText>
      </w:r>
      <w:r w:rsidRPr="00A9434B">
        <w:fldChar w:fldCharType="separate"/>
      </w:r>
      <w:r w:rsidR="00E452E2" w:rsidRPr="00E452E2">
        <w:t>(McAllister et al., 2015)</w:t>
      </w:r>
      <w:r w:rsidRPr="00A9434B">
        <w:fldChar w:fldCharType="end"/>
      </w:r>
      <w:r w:rsidRPr="00A9434B">
        <w:t xml:space="preserve">. </w:t>
      </w:r>
    </w:p>
    <w:p w14:paraId="52967946" w14:textId="77777777" w:rsidR="00492647" w:rsidRPr="00A9434B" w:rsidRDefault="004155A5" w:rsidP="00492647">
      <w:pPr>
        <w:pStyle w:val="Heading5"/>
      </w:pPr>
      <w:r w:rsidRPr="00A9434B">
        <w:t>Coordination</w:t>
      </w:r>
    </w:p>
    <w:p w14:paraId="71B750B0" w14:textId="4589B37F" w:rsidR="004155A5" w:rsidRPr="00A9434B" w:rsidRDefault="004155A5" w:rsidP="00492647">
      <w:pPr>
        <w:spacing w:before="0"/>
      </w:pPr>
      <w:r w:rsidRPr="00A9434B">
        <w:t xml:space="preserve">Engaging with </w:t>
      </w:r>
      <w:r w:rsidR="006872B5" w:rsidRPr="00A9434B">
        <w:t xml:space="preserve">stakeholders and </w:t>
      </w:r>
      <w:r w:rsidR="001E7B2B" w:rsidRPr="00A9434B">
        <w:t>Indigenous Peoples</w:t>
      </w:r>
      <w:r w:rsidRPr="00A9434B">
        <w:t xml:space="preserve"> and local communities facilitates coordination in complex situations between many apparently independent groups that have a wide range of interests, motivations</w:t>
      </w:r>
      <w:r w:rsidR="005D0083">
        <w:t xml:space="preserve"> and</w:t>
      </w:r>
      <w:r w:rsidRPr="00A9434B">
        <w:t xml:space="preserve"> resources and who are directly or indirectly engaged in some aspect of invasions at multiple spatial scales </w:t>
      </w:r>
      <w:r w:rsidRPr="00A9434B">
        <w:fldChar w:fldCharType="begin"/>
      </w:r>
      <w:r w:rsidR="0006613E">
        <w:instrText xml:space="preserve"> ADDIN ZOTERO_ITEM CSL_CITATION {"citationID":"ar9usr1chm","properties":{"formattedCitation":"(Barney et al., 2019; Dandy et al., 2017)","plainCitation":"(Barney et al., 2019; Dandy et al., 2017)","noteIndex":0},"citationItems":[{"id":26910,"uris":["http://zotero.org/groups/2352922/items/SVIGJN6V"],"itemData":{"id":26910,"type":"chapter","abstract":"Stakeholder engagement is increasingly recognised as an essential component of environmental management.\nBut what does it mean to have a ‘stake’ in tree health? In this chapter we use case-study analysis to explore the\nstakeholder concept in relation to tree health. We develop a framework to underpin better understanding of the\nstakeholder landscape in tree health and through which to categorise individuals and groups within it. This\nchapter highlights how the framework can facilitate more effective engagement and communication that is\nsensitive to the particular needs of different stakeholder groups, with a specific focus on the case of ash dieback\n(Hymenoscyphus fraxineus) in Great Britain. We use it both to improve understanding of how the outbreak\ndeveloped over time, and to identify the roles of a diverse range of stakeholders as they became involved at\ndifferent points in the outbreak. Critical reflection enables lessons to be learned for future stakeholder\nengagement, such as recognition of how stakeholder engagement changes over the course of an outbreak,\nidentification of potential key stakeholder groups that may be overlooked or difficult to access, and which\nstakeholders are likely to be most influential in driving or facilitating behaviour change.","container-title":"Dieback of European Ash (Fraxinus spp.)","event-place":"Uppsala","ISBN":"978-91-576-8696-1","language":"en","license":"cc_by_nc_nd_2","note":"number-of-pages: 299","page":"15-26","publisher":"Swedish University of Agricultural Sciences","publisher-place":"Uppsala","source":"eprints.glos.ac.uk","title":"Who has a stake in ash dieback? A conceptual framework for the identification and categorisation of tree health stakeholders","title-short":"Who has a stake in ash dieback?","URL":"https://www.cabi.org/isc/abstract/20183360941","author":[{"family":"Dandy","given":"N."},{"family":"Marzano","given":"Mariella"},{"family":"Porth","given":"E. F."},{"family":"Urquhart","given":"Julie"},{"family":"Potter","given":"Clive"}],"editor":[{"family":"Vasaitis","given":"R."},{"family":"Enderle","given":"R."}],"accessed":{"date-parts":[["2021",6,2]]},"issued":{"date-parts":[["2017"]]}},"label":"page"},{"id":24500,"uris":["http://zotero.org/groups/2352922/items/VHFER75V"],"itemData":{"id":24500,"type":"article-journal","abstract":"Biological invasions are one of the grand challenges facing society, as exotic species introductions continue to rise and can result in dramatic changes to native ecosystems and economies. The scale of the biological invasions crisis spans from hyperlocal to international, involving a myriad of actors focused on mitigating and preventing biological invasions. However, the level of engagement among stakeholders and opportunities to collaboratively solve invasives issues in transdisciplinary ways is poorly understood. The Biological Invasions: Confronting a Crisis workshop engaged a broad group of actors working on various aspects of biological invasions in Virginia, USA - researchers, Extension personnel, educators, local, state, and federal agencies, nongovernmental organizations, and land managers - to discuss their respective roles and how they interact with other groups. Through a series of activities, it became clear that despite shared goals, most groups are not engaging with one another, and that enhanced communication and collaboration among groups is key to designing effective solutions. There is strong support for a multistakeholder coalition to affect change in policy, public education/engagement, and solution design. Confronting the biological invasions crisis will increasingly require engagement among stakeholders. © 2019 Weed Science Society of America.","container-title":"Invasive Plant Science and Management","DOI":"10.1017/inp.2018.33","issue":"1","page":"74-78","title":"Building Partnerships and Bridging Science and Policy to Address the Biological Invasions Crisis","URL":"https://www.scopus.com/inward/record.uri?eid=2-s2.0-85065094065&amp;doi=10.1017%2finp.2018.33&amp;partnerID=40&amp;md5=d202e78d1adf22a783dc4d497f96947e","volume":"12","author":[{"family":"Barney","given":"Jacob N."},{"family":"Schenk","given":"Todd"},{"family":"Haak","given":"David C."},{"family":"Salom","given":"Scott"},{"family":"Brown","given":"Bryan"},{"family":"Hotchkiss","given":"Eric R."}],"issued":{"date-parts":[["2019"]]}},"label":"page"}],"schema":"https://github.com/citation-style-language/schema/raw/master/csl-citation.json"} </w:instrText>
      </w:r>
      <w:r w:rsidRPr="00A9434B">
        <w:fldChar w:fldCharType="separate"/>
      </w:r>
      <w:r w:rsidR="00C71E80" w:rsidRPr="00A9434B">
        <w:t>(Barney et al., 2019; Dandy et al., 2017)</w:t>
      </w:r>
      <w:r w:rsidRPr="00A9434B">
        <w:fldChar w:fldCharType="end"/>
      </w:r>
      <w:r w:rsidRPr="00A9434B">
        <w:t xml:space="preserve">. It may help to create </w:t>
      </w:r>
      <w:r w:rsidR="00527080" w:rsidRPr="00A9434B">
        <w:lastRenderedPageBreak/>
        <w:t>“</w:t>
      </w:r>
      <w:r w:rsidRPr="00A9434B">
        <w:t>institutional fit</w:t>
      </w:r>
      <w:r w:rsidR="00527080" w:rsidRPr="00A9434B">
        <w:t>”</w:t>
      </w:r>
      <w:r w:rsidRPr="00A9434B">
        <w:t xml:space="preserve"> within scales, bridge scales</w:t>
      </w:r>
      <w:r w:rsidR="005D0083">
        <w:t xml:space="preserve"> and</w:t>
      </w:r>
      <w:r w:rsidRPr="00A9434B">
        <w:t xml:space="preserve"> develop cross-scale interactions to match the multiple scales of the problem </w:t>
      </w:r>
      <w:r w:rsidRPr="00A9434B">
        <w:fldChar w:fldCharType="begin"/>
      </w:r>
      <w:r w:rsidR="0006613E">
        <w:instrText xml:space="preserve"> ADDIN ZOTERO_ITEM CSL_CITATION {"citationID":"a1fbk4p86tk","properties":{"formattedCitation":"(McAllister et al., 2015)","plainCitation":"(McAllister et al., 2015)","noteIndex":0},"citationItems":[{"id":11227,"uris":["http://zotero.org/groups/2352922/items/VSGNZ7DP"],"itemData":{"id":11227,"type":"article-journal","abstract":"One of the key determinants of success in managing natural resources is “institutional fit,” i.e., how well the suite of required actions collectively match the scale of the environmental problem. The effective management of pest and pathogen threats to plants is a natural resource problem of particular economic, social, and environmental importance. Responses to incursions are managed by a network of decision makers and managers acting at different spatial and temporal scales. We applied novel network theoretical methods to assess the propensity of growers, local industry, local state government, and state and national government head offices to foster either within- or across-scale coordination during the successful 2001 Australian response to the outbreak of the fungal pathogen black sigatoka (Mycosphaerella fijiensis). We also reconstructed the response network to proxy what that network would look like today under the Australian government’s revised response system. We illustrate a structural move in the plant biosecurity response system from one that was locally driven to the current top-down system, in which the national government leads coordination of a highly partitioned engagement process. For biological incursions that spread widely across regions, nationally rather than locally managed responses may improve coordination of diverse tasks. However, in dealing with such challenges of institutional fit, local engagement will always be critical in deploying flexible and adaptive local responses based on a national system. The methods we propose detect where and how network structures foster cross-scale interactions, which will contribute to stronger empirical studies of cross-scale environmental governance.","container-title":"Ecology and Society","DOI":"10.5751/ES-07469-200167","ISSN":"1708-3087","issue":"1","journalAbbreviation":"E&amp;S","language":"en","page":"67","source":"DOI.org (Crossref)","title":"From local to central: a network analysis of who manages plant pest and disease outbreaks across scales","title-short":"From local to central","URL":"http://www.ecologyandsociety.org/vol20/iss1/art67/","volume":"20","author":[{"family":"McAllister","given":"Ryan R. J."},{"family":"Robinson","given":"Catherine J."},{"family":"Maclean","given":"Kirsten"},{"family":"Guerrero","given":"Angela M."},{"family":"Collins","given":"Kerry"},{"family":"Taylor","given":"Bruce M."},{"family":"De Barro","given":"Paul J."}],"accessed":{"date-parts":[["2019",11,9]]},"issued":{"date-parts":[["2015"]]}}}],"schema":"https://github.com/citation-style-language/schema/raw/master/csl-citation.json"} </w:instrText>
      </w:r>
      <w:r w:rsidRPr="00A9434B">
        <w:fldChar w:fldCharType="separate"/>
      </w:r>
      <w:r w:rsidR="00E452E2" w:rsidRPr="00E452E2">
        <w:t>(McAllister et al., 2015)</w:t>
      </w:r>
      <w:r w:rsidRPr="00A9434B">
        <w:fldChar w:fldCharType="end"/>
      </w:r>
      <w:r w:rsidR="00020901" w:rsidRPr="00A9434B">
        <w:t>.</w:t>
      </w:r>
      <w:r w:rsidRPr="00A9434B">
        <w:t xml:space="preserve"> </w:t>
      </w:r>
      <w:r w:rsidR="00020901" w:rsidRPr="00A9434B">
        <w:t>It can also help</w:t>
      </w:r>
      <w:r w:rsidRPr="00A9434B">
        <w:t xml:space="preserve"> </w:t>
      </w:r>
      <w:r w:rsidR="00020901" w:rsidRPr="00A9434B">
        <w:t xml:space="preserve">to </w:t>
      </w:r>
      <w:r w:rsidRPr="00A9434B">
        <w:t xml:space="preserve">meet multiple goals of different stakeholders with different needs for nature’s contributions to people arising from the same ecosystem </w:t>
      </w:r>
      <w:r w:rsidRPr="00A9434B">
        <w:fldChar w:fldCharType="begin"/>
      </w:r>
      <w:r w:rsidR="0006613E">
        <w:instrText xml:space="preserve"> ADDIN ZOTERO_ITEM CSL_CITATION {"citationID":"JHR54WBz","properties":{"formattedCitation":"(Failing et al., 2013; D. M. Martin et al., 2018; Nel et al., 2016)","plainCitation":"(Failing et al., 2013; D. M. Martin et al., 2018; Nel et al., 2016)","noteIndex":0},"citationItems":[{"id":54825,"uris":["http://zotero.org/groups/2352922/items/AGUHRBGG"],"itemData":{"id":54825,"type":"article-journal","abstract":"This article demonstrates a structured and collaborative approach to decision-making in the context of adaptive management experiments, using a case study involving the restoration of a hydrological regime in a regulated river in western Canada. It provides a framework based on principles of decision analysis for structuring difficult multi-attribute decisions and building the trust and technical capacity needed to implement them. Participants included ecologists and fisheries biologists, government regulators, electric utility employees, and representatives of aboriginal communities. The case study demonstrates a values-based approach to implementing adaptive management that addresses some of the long-standing difficulties associated with integrating adaptive management into restoration decisions. It highlights practical methods for incorporating participants' values concerned with learning, cultural quality, and stewardship as part of developing a decision-making and monitoring framework for restoration initiatives. It also provides an example of how to implement principles of meaningful consultation in a restoration context, with emphasis on ensuring that all voices and concerns are heard and meaningfully incorporated. Participants have adopted the framework as a model to guide future collaborative decision-making processes involving Aboriginal communities, regulatory agencies, and other parties.","container-title":"Restoration Ecology","DOI":"10.1111/j.1526-100X.2012.00919.x","ISSN":"1526-100X","issue":"4","language":"en","note":"_eprint: https://onlinelibrary.wiley.com/doi/pdf/10.1111/j.1526-100X.2012.00919.x","page":"422-430","source":"Wiley Online Library","title":"Science, Uncertainty, and Values in Ecological Restoration: A Case Study in Structured Decision-Making and Adaptive Management","title-short":"Science, Uncertainty, and Values in Ecological Restoration","URL":"https://onlinelibrary.wiley.com/doi/abs/10.1111/j.1526-100X.2012.00919.x","volume":"21","author":[{"family":"Failing","given":"Lee"},{"family":"Gregory","given":"Robin"},{"family":"Higgins","given":"Paul"}],"accessed":{"date-parts":[["2023",4,4]]},"issued":{"date-parts":[["2013"]]}},"label":"page"},{"id":54826,"uris":["http://zotero.org/groups/2352922/items/VWDAJ3HB"],"itemData":{"id":54826,"type":"article-journal","abstract":"Accounting for ecosystem services in environmental decision making is an emerging research topic. Modern frameworks for ecosystem services assessment emphasize evaluating the social benefits of ecosystems, in terms of who benefits and by how much, to aid in comparing multiple courses of action. Structured methods that use decision analytic-approaches are emerging for the practice of ecological restoration. In this article, we combine ecosystem services assessment with structured decision making to estimate and evaluate measures of the potential benefits of ecological restoration with a case study in the Woonasquatucket River watershed, Rhode Island, USA. We partnered with a local watershed management organization to analyze dozens of candidate wetland restoration sites for their abilities to supply five ecosystem services—flood water retention, scenic landscapes, learning opportunities, recreational opportunities, and birds. We developed 22 benefit indicators related to the ecosystem services as well as indicators for social equity and reliability that benefits will sustain in the future. We applied conceptual modeling and spatial analysis to estimate indicator values for each candidate restoration site. Lastly, we developed a decision support tool to score and aggregate the values for the organization to screen the restoration sites. Results show that restoration sites in urban areas can provide greater social benefits than sites in less urban areas. Our research approach is general and can be used to investigate other restoration planning studies that perform ecosystem services assessment and fit into a decision-making process.","container-title":"Environmental Management","DOI":"10.1007/s00267-018-1038-1","ISSN":"1432-1009","issue":"3","journalAbbreviation":"Environmental Management","language":"en","page":"608-618","source":"Springer Link","title":"Combining ecosystem services assessment with structured decision making to support ecological restoration planning","URL":"https://doi.org/10.1007/s00267-018-1038-1","volume":"62","author":[{"family":"Martin","given":"David M."},{"family":"Mazzotta","given":"Marisa"},{"family":"Bousquin","given":"Justin"}],"accessed":{"date-parts":[["2023",4,4]]},"issued":{"date-parts":[["2018",9,1]]}},"label":"page"},{"id":54824,"uris":["http://zotero.org/groups/2352922/item</w:instrText>
      </w:r>
      <w:r w:rsidR="0006613E">
        <w:rPr>
          <w:rFonts w:hint="eastAsia"/>
        </w:rPr>
        <w:instrText>s/7TFAJ2QI"],"itemData":{"id":54824,"type":"article-journal","abstract":"Knowledge co</w:instrText>
      </w:r>
      <w:r w:rsidR="0006613E">
        <w:rPr>
          <w:rFonts w:hint="eastAsia"/>
        </w:rPr>
        <w:instrText>‐</w:instrText>
      </w:r>
      <w:r w:rsidR="0006613E">
        <w:rPr>
          <w:rFonts w:hint="eastAsia"/>
        </w:rPr>
        <w:instrText>production and boundary work offer planners a new frame for critically designing a social process that fosters collaborative implementation of resulting plans. Knowledge co</w:instrText>
      </w:r>
      <w:r w:rsidR="0006613E">
        <w:rPr>
          <w:rFonts w:hint="eastAsia"/>
        </w:rPr>
        <w:instrText>‐</w:instrText>
      </w:r>
      <w:r w:rsidR="0006613E">
        <w:rPr>
          <w:rFonts w:hint="eastAsia"/>
        </w:rPr>
        <w:instrText>production involves stakeholders from diverse knowledge systems working iteratively toward common vision and action. Boundary work is a means of creating permeable knowledge boundaries that satisfy the needs of multiple social groups while guarding the functional integrity of contributing knowledge systems. Resulting products are boundary objects of mutual interest that maintain coherence across all knowledge boundaries. We examined how knowledge co</w:instrText>
      </w:r>
      <w:r w:rsidR="0006613E">
        <w:rPr>
          <w:rFonts w:hint="eastAsia"/>
        </w:rPr>
        <w:instrText>‐</w:instrText>
      </w:r>
      <w:r w:rsidR="0006613E">
        <w:rPr>
          <w:rFonts w:hint="eastAsia"/>
        </w:rPr>
        <w:instrText>production and boundary work can bridge the gap between planning and implementation and promote cross</w:instrText>
      </w:r>
      <w:r w:rsidR="0006613E">
        <w:rPr>
          <w:rFonts w:hint="eastAsia"/>
        </w:rPr>
        <w:instrText>‐</w:instrText>
      </w:r>
      <w:r w:rsidR="0006613E">
        <w:rPr>
          <w:rFonts w:hint="eastAsia"/>
        </w:rPr>
        <w:instrText>sectoral cooperation. We applied these concepts to well</w:instrText>
      </w:r>
      <w:r w:rsidR="0006613E">
        <w:rPr>
          <w:rFonts w:hint="eastAsia"/>
        </w:rPr>
        <w:instrText>‐</w:instrText>
      </w:r>
      <w:r w:rsidR="0006613E">
        <w:rPr>
          <w:rFonts w:hint="eastAsia"/>
        </w:rPr>
        <w:instrText>established stages in regional conservation planning within a national scale conservation planning project aimed at identifying areas for conserving rivers and wetlands of South Africa and developing an institutional environment for promoting their conservation. Knowledge co</w:instrText>
      </w:r>
      <w:r w:rsidR="0006613E">
        <w:rPr>
          <w:rFonts w:hint="eastAsia"/>
        </w:rPr>
        <w:instrText>‐</w:instrText>
      </w:r>
      <w:r w:rsidR="0006613E">
        <w:rPr>
          <w:rFonts w:hint="eastAsia"/>
        </w:rPr>
        <w:instrText>production occurred iteratively over 4 years in interactive stake</w:instrText>
      </w:r>
      <w:r w:rsidR="0006613E">
        <w:rPr>
          <w:rFonts w:hint="eastAsia"/>
        </w:rPr>
        <w:instrText>‐</w:instrText>
      </w:r>
      <w:r w:rsidR="0006613E">
        <w:rPr>
          <w:rFonts w:hint="eastAsia"/>
        </w:rPr>
        <w:instrText>holder workshops that included co</w:instrText>
      </w:r>
      <w:r w:rsidR="0006613E">
        <w:rPr>
          <w:rFonts w:hint="eastAsia"/>
        </w:rPr>
        <w:instrText>‐</w:instrText>
      </w:r>
      <w:r w:rsidR="0006613E">
        <w:rPr>
          <w:rFonts w:hint="eastAsia"/>
        </w:rPr>
        <w:instrText>development of national fres</w:instrText>
      </w:r>
      <w:r w:rsidR="0006613E">
        <w:instrText>hwater conservation goals and spatial data on freshwater biodiversity and local conservation feasibility; translation of goals into quantitative inputs that were used in Marxan to select draft priority conservation areas; review of draft priority areas; a</w:instrText>
      </w:r>
      <w:r w:rsidR="0006613E">
        <w:rPr>
          <w:rFonts w:hint="eastAsia"/>
        </w:rPr>
        <w:instrText>nd packaging of resulting map products into an atlas and implementation manual to promote application of the priority area maps in 37 different decision</w:instrText>
      </w:r>
      <w:r w:rsidR="0006613E">
        <w:rPr>
          <w:rFonts w:hint="eastAsia"/>
        </w:rPr>
        <w:instrText>‐</w:instrText>
      </w:r>
      <w:r w:rsidR="0006613E">
        <w:rPr>
          <w:rFonts w:hint="eastAsia"/>
        </w:rPr>
        <w:instrText>making contexts. Knowledge co</w:instrText>
      </w:r>
      <w:r w:rsidR="0006613E">
        <w:rPr>
          <w:rFonts w:hint="eastAsia"/>
        </w:rPr>
        <w:instrText>‐</w:instrText>
      </w:r>
      <w:r w:rsidR="0006613E">
        <w:rPr>
          <w:rFonts w:hint="eastAsia"/>
        </w:rPr>
        <w:instrText>production stimulated dialogue and negotiation and built capacity for multi</w:instrText>
      </w:r>
      <w:r w:rsidR="0006613E">
        <w:rPr>
          <w:rFonts w:hint="eastAsia"/>
        </w:rPr>
        <w:instrText>‐</w:instrText>
      </w:r>
      <w:r w:rsidR="0006613E">
        <w:rPr>
          <w:rFonts w:hint="eastAsia"/>
        </w:rPr>
        <w:instrText>scale implementation beyond the project. The resulting maps and information integrated diverse knowledge types of over 450 stakeholders and represented &gt;1000 years of collective experience. The maps provided a consistent national source of information on priority conservation areas for rivers and wetlands and have been applied in 25 of the 37 use contexts since their launch just over 3 years ago. When framed as a knowledge co</w:instrText>
      </w:r>
      <w:r w:rsidR="0006613E">
        <w:rPr>
          <w:rFonts w:hint="eastAsia"/>
        </w:rPr>
        <w:instrText>‐</w:instrText>
      </w:r>
      <w:r w:rsidR="0006613E">
        <w:rPr>
          <w:rFonts w:hint="eastAsia"/>
        </w:rPr>
        <w:instrText>production process supported by boundary work, regional conservation plans can be developed into valuable boundary objects that offer a tangible tool for multi</w:instrText>
      </w:r>
      <w:r w:rsidR="0006613E">
        <w:rPr>
          <w:rFonts w:hint="eastAsia"/>
        </w:rPr>
        <w:instrText>‐</w:instrText>
      </w:r>
      <w:r w:rsidR="0006613E">
        <w:rPr>
          <w:rFonts w:hint="eastAsia"/>
        </w:rPr>
        <w:instrText>agency cooperation around conservation. Our work provides practical guidance for promoting uptake of conservation science and contributes to an evidence base on how conser</w:instrText>
      </w:r>
      <w:r w:rsidR="0006613E">
        <w:instrText xml:space="preserve">vation efforts can be improved.","container-title":"Conservation Biology","DOI":"10.1111/cobi.12560","ISSN":"08888892","issue":"1","journalAbbreviation":"Conservation Biology","language":"en","page":"176-188","source":"Semantic Scholar","title":"Knowledge co-production and boundary work to promote implementation of conservation plans","title-short":"Knowledge co-production and boundary work to promote implementation of conservation plans","URL":"https://onlinelibrary.wiley.com/doi/10.1111/cobi.12560","volume":"30","author":[{"family":"Nel","given":"Jeanne L."},{"family":"Roux","given":"Dirk J."},{"family":"Driver","given":"Amanda"},{"family":"Hill","given":"Liesl"},{"family":"Maherry","given":"Ashton C."},{"family":"Snaddon","given":"Kate"},{"family":"Petersen","given":"Chantel R."},{"family":"Smith-Adao","given":"Lindie B."},{"family":"Van Deventer","given":"Heidi"},{"family":"Reyers","given":"Belinda"}],"accessed":{"date-parts":[["2023",4,4]]},"issued":{"date-parts":[["2016",2]]}},"label":"page"}],"schema":"https://github.com/citation-style-language/schema/raw/master/csl-citation.json"} </w:instrText>
      </w:r>
      <w:r w:rsidRPr="00A9434B">
        <w:fldChar w:fldCharType="separate"/>
      </w:r>
      <w:r w:rsidR="0098337E" w:rsidRPr="00A9434B">
        <w:t>(Failing et al., 2013; D. M. Martin et al., 2018; Nel et al., 2016)</w:t>
      </w:r>
      <w:r w:rsidRPr="00A9434B">
        <w:fldChar w:fldCharType="end"/>
      </w:r>
      <w:r w:rsidRPr="00A9434B">
        <w:t>. Responses to biological invasions may indeed need or benefit from the combination of public and private assets</w:t>
      </w:r>
      <w:r w:rsidR="005D0083">
        <w:t xml:space="preserve"> and</w:t>
      </w:r>
      <w:r w:rsidRPr="00A9434B">
        <w:t xml:space="preserve"> joint actions by public and private sectors. Better coordination avoids competition and free-riders and contributes to reducing overall costs </w:t>
      </w:r>
      <w:r w:rsidR="002C7B35" w:rsidRPr="00A9434B">
        <w:fldChar w:fldCharType="begin"/>
      </w:r>
      <w:r w:rsidR="0006613E">
        <w:instrText xml:space="preserve"> ADDIN ZOTERO_ITEM CSL_CITATION {"citationID":"umT303lU","properties":{"formattedCitation":"(Failing et al., 2013; D. M. Martin et al., 2018; Nel et al., 2016)","plainCitation":"(Failing et al., 2013; D. M. Martin et al., 2018; Nel et al., 2016)","noteIndex":0},"citationItems":[{"id":54825,"uris":["http://zotero.org/groups/2352922/items/AGUHRBGG"],"itemData":{"id":54825,"type":"article-journal","abstract":"This article demonstrates a structured and collaborative approach to decision-making in the context of adaptive management experiments, using a case study involving the restoration of a hydrological regime in a regulated river in western Canada. It provides a framework based on principles of decision analysis for structuring difficult multi-attribute decisions and building the trust and technical capacity needed to implement them. Participants included ecologists and fisheries biologists, government regulators, electric utility employees, and representatives of aboriginal communities. The case study demonstrates a values-based approach to implementing adaptive management that addresses some of the long-standing difficulties associated with integrating adaptive management into restoration decisions. It highlights practical methods for incorporating participants' values concerned with learning, cultural quality, and stewardship as part of developing a decision-making and monitoring framework for restoration initiatives. It also provides an example of how to implement principles of meaningful consultation in a restoration context, with emphasis on ensuring that all voices and concerns are heard and meaningfully incorporated. Participants have adopted the framework as a model to guide future collaborative decision-making processes involving Aboriginal communities, regulatory agencies, and other parties.","container-title":"Restoration Ecology","DOI":"10.1111/j.1526-100X.2012.00919.x","ISSN":"1526-100X","issue":"4","language":"en","note":"_eprint: https://onlinelibrary.wiley.com/doi/pdf/10.1111/j.1526-100X.2012.00919.x","page":"422-430","source":"Wiley Online Library","title":"Science, Uncertainty, and Values in Ecological Restoration: A Case Study in Structured Decision-Making and Adaptive Management","title-short":"Science, Uncertainty, and Values in Ecological Restoration","URL":"https://onlinelibrary.wiley.com/doi/abs/10.1111/j.1526-100X.2012.00919.x","volume":"21","author":[{"family":"Failing","given":"Lee"},{"family":"Gregory","given":"Robin"},{"family":"Higgins","given":"Paul"}],"accessed":{"date-parts":[["2023",4,4]]},"issued":{"date-parts":[["2013"]]}},"label":"page"},{"id":54826,"uris":["http://zotero.org/groups/2352922/items/VWDAJ3HB"],"itemData":{"id":54826,"type":"article-journal","abstract":"Accounting for ecosystem services in environmental decision making is an emerging research topic. Modern frameworks for ecosystem services assessment emphasize evaluating the social benefits of ecosystems, in terms of who benefits and by how much, to aid in comparing multiple courses of action. Structured methods that use decision analytic-approaches are emerging for the practice of ecological restoration. In this article, we combine ecosystem services assessment with structured decision making to estimate and evaluate measures of the potential benefits of ecological restoration with a case study in the Woonasquatucket River watershed, Rhode Island, USA. We partnered with a local watershed management organization to analyze dozens of candidate wetland restoration sites for their abilities to supply five ecosystem services—flood water retention, scenic landscapes, learning opportunities, recreational opportunities, and birds. We developed 22 benefit indicators related to the ecosystem services as well as indicators for social equity and reliability that benefits will sustain in the future. We applied conceptual modeling and spatial analysis to estimate indicator values for each candidate restoration site. Lastly, we developed a decision support tool to score and aggregate the values for the organization to screen the restoration sites. Results show that restoration sites in urban areas can provide greater social benefits than sites in less urban areas. Our research approach is general and can be used to investigate other restoration planning studies that perform ecosystem services assessment and fit into a decision-making process.","container-title":"Environmental Management","DOI":"10.1007/s00267-018-1038-1","ISSN":"1432-1009","issue":"3","journalAbbreviation":"Environmental Management","language":"en","page":"608-618","source":"Springer Link","title":"Combining ecosystem services assessment with structured decision making to support ecological restoration planning","URL":"https://doi.org/10.1007/s00267-018-1038-1","volume":"62","author":[{"family":"Martin","given":"David M."},{"family":"Mazzotta","given":"Marisa"},{"family":"Bousquin","given":"Justin"}],"accessed":{"date-parts":[["2023",4,4]]},"issued":{"date-parts":[["2018",9,1]]}},"label":"page"},{"id":54824,"uris":["http://zotero.org/groups/2352922/item</w:instrText>
      </w:r>
      <w:r w:rsidR="0006613E">
        <w:rPr>
          <w:rFonts w:hint="eastAsia"/>
        </w:rPr>
        <w:instrText>s/7TFAJ2QI"],"itemData":{"id":54824,"type":"article-journal","abstract":"Knowledge co</w:instrText>
      </w:r>
      <w:r w:rsidR="0006613E">
        <w:rPr>
          <w:rFonts w:hint="eastAsia"/>
        </w:rPr>
        <w:instrText>‐</w:instrText>
      </w:r>
      <w:r w:rsidR="0006613E">
        <w:rPr>
          <w:rFonts w:hint="eastAsia"/>
        </w:rPr>
        <w:instrText>production and boundary work offer planners a new frame for critically designing a social process that fosters collaborative implementation of resulting plans. Knowledge co</w:instrText>
      </w:r>
      <w:r w:rsidR="0006613E">
        <w:rPr>
          <w:rFonts w:hint="eastAsia"/>
        </w:rPr>
        <w:instrText>‐</w:instrText>
      </w:r>
      <w:r w:rsidR="0006613E">
        <w:rPr>
          <w:rFonts w:hint="eastAsia"/>
        </w:rPr>
        <w:instrText>production involves stakeholders from diverse knowledge systems working iteratively toward common vision and action. Boundary work is a means of creating permeable knowledge boundaries that satisfy the needs of multiple social groups while guarding the functional integrity of contributing knowledge systems. Resulting products are boundary objects of mutual interest that maintain coherence across all knowledge boundaries. We examined how knowledge co</w:instrText>
      </w:r>
      <w:r w:rsidR="0006613E">
        <w:rPr>
          <w:rFonts w:hint="eastAsia"/>
        </w:rPr>
        <w:instrText>‐</w:instrText>
      </w:r>
      <w:r w:rsidR="0006613E">
        <w:rPr>
          <w:rFonts w:hint="eastAsia"/>
        </w:rPr>
        <w:instrText>production and boundary work can bridge the gap between planning and implementation and promote cross</w:instrText>
      </w:r>
      <w:r w:rsidR="0006613E">
        <w:rPr>
          <w:rFonts w:hint="eastAsia"/>
        </w:rPr>
        <w:instrText>‐</w:instrText>
      </w:r>
      <w:r w:rsidR="0006613E">
        <w:rPr>
          <w:rFonts w:hint="eastAsia"/>
        </w:rPr>
        <w:instrText>sectoral cooperation. We applied these concepts to well</w:instrText>
      </w:r>
      <w:r w:rsidR="0006613E">
        <w:rPr>
          <w:rFonts w:hint="eastAsia"/>
        </w:rPr>
        <w:instrText>‐</w:instrText>
      </w:r>
      <w:r w:rsidR="0006613E">
        <w:rPr>
          <w:rFonts w:hint="eastAsia"/>
        </w:rPr>
        <w:instrText>established stages in regional conservation planning within a national scale conservation planning project aimed at identifying areas for conserving rivers and wetlands of South Africa and developing an institutional environment for promoting their conservation. Knowledge co</w:instrText>
      </w:r>
      <w:r w:rsidR="0006613E">
        <w:rPr>
          <w:rFonts w:hint="eastAsia"/>
        </w:rPr>
        <w:instrText>‐</w:instrText>
      </w:r>
      <w:r w:rsidR="0006613E">
        <w:rPr>
          <w:rFonts w:hint="eastAsia"/>
        </w:rPr>
        <w:instrText>production occurred iteratively over 4 years in interactive stake</w:instrText>
      </w:r>
      <w:r w:rsidR="0006613E">
        <w:rPr>
          <w:rFonts w:hint="eastAsia"/>
        </w:rPr>
        <w:instrText>‐</w:instrText>
      </w:r>
      <w:r w:rsidR="0006613E">
        <w:rPr>
          <w:rFonts w:hint="eastAsia"/>
        </w:rPr>
        <w:instrText>holder workshops that included co</w:instrText>
      </w:r>
      <w:r w:rsidR="0006613E">
        <w:rPr>
          <w:rFonts w:hint="eastAsia"/>
        </w:rPr>
        <w:instrText>‐</w:instrText>
      </w:r>
      <w:r w:rsidR="0006613E">
        <w:rPr>
          <w:rFonts w:hint="eastAsia"/>
        </w:rPr>
        <w:instrText>development of national fres</w:instrText>
      </w:r>
      <w:r w:rsidR="0006613E">
        <w:instrText>hwater conservation goals and spatial data on freshwater biodiversity and local conservation feasibility; translation of goals into quantitative inputs that were used in Marxan to select draft priority conservation areas; review of draft priority areas; a</w:instrText>
      </w:r>
      <w:r w:rsidR="0006613E">
        <w:rPr>
          <w:rFonts w:hint="eastAsia"/>
        </w:rPr>
        <w:instrText>nd packaging of resulting map products into an atlas and implementation manual to promote application of the priority area maps in 37 different decision</w:instrText>
      </w:r>
      <w:r w:rsidR="0006613E">
        <w:rPr>
          <w:rFonts w:hint="eastAsia"/>
        </w:rPr>
        <w:instrText>‐</w:instrText>
      </w:r>
      <w:r w:rsidR="0006613E">
        <w:rPr>
          <w:rFonts w:hint="eastAsia"/>
        </w:rPr>
        <w:instrText>making contexts. Knowledge co</w:instrText>
      </w:r>
      <w:r w:rsidR="0006613E">
        <w:rPr>
          <w:rFonts w:hint="eastAsia"/>
        </w:rPr>
        <w:instrText>‐</w:instrText>
      </w:r>
      <w:r w:rsidR="0006613E">
        <w:rPr>
          <w:rFonts w:hint="eastAsia"/>
        </w:rPr>
        <w:instrText>production stimulated dialogue and negotiation and built capacity for multi</w:instrText>
      </w:r>
      <w:r w:rsidR="0006613E">
        <w:rPr>
          <w:rFonts w:hint="eastAsia"/>
        </w:rPr>
        <w:instrText>‐</w:instrText>
      </w:r>
      <w:r w:rsidR="0006613E">
        <w:rPr>
          <w:rFonts w:hint="eastAsia"/>
        </w:rPr>
        <w:instrText>scale implementation beyond the project. The resulting maps and information integrated diverse knowledge types of over 450 stakeholders and represented &gt;1000 years of collective experience. The maps provided a consistent national source of information on priority conservation areas for rivers and wetlands and have been applied in 25 of the 37 use contexts since their launch just over 3 years ago. When framed as a knowledge co</w:instrText>
      </w:r>
      <w:r w:rsidR="0006613E">
        <w:rPr>
          <w:rFonts w:hint="eastAsia"/>
        </w:rPr>
        <w:instrText>‐</w:instrText>
      </w:r>
      <w:r w:rsidR="0006613E">
        <w:rPr>
          <w:rFonts w:hint="eastAsia"/>
        </w:rPr>
        <w:instrText>production process supported by boundary work, regional conservation plans can be developed into valuable boundary objects that offer a tangible tool for multi</w:instrText>
      </w:r>
      <w:r w:rsidR="0006613E">
        <w:rPr>
          <w:rFonts w:hint="eastAsia"/>
        </w:rPr>
        <w:instrText>‐</w:instrText>
      </w:r>
      <w:r w:rsidR="0006613E">
        <w:rPr>
          <w:rFonts w:hint="eastAsia"/>
        </w:rPr>
        <w:instrText>agency cooperation around conservation. Our work provides practical guidance for promoting uptake of conservation science and contributes to an evidence base on how conser</w:instrText>
      </w:r>
      <w:r w:rsidR="0006613E">
        <w:instrText xml:space="preserve">vation efforts can be improved.","container-title":"Conservation Biology","DOI":"10.1111/cobi.12560","ISSN":"08888892","issue":"1","journalAbbreviation":"Conservation Biology","language":"en","page":"176-188","source":"Semantic Scholar","title":"Knowledge co-production and boundary work to promote implementation of conservation plans","title-short":"Knowledge co-production and boundary work to promote implementation of conservation plans","URL":"https://onlinelibrary.wiley.com/doi/10.1111/cobi.12560","volume":"30","author":[{"family":"Nel","given":"Jeanne L."},{"family":"Roux","given":"Dirk J."},{"family":"Driver","given":"Amanda"},{"family":"Hill","given":"Liesl"},{"family":"Maherry","given":"Ashton C."},{"family":"Snaddon","given":"Kate"},{"family":"Petersen","given":"Chantel R."},{"family":"Smith-Adao","given":"Lindie B."},{"family":"Van Deventer","given":"Heidi"},{"family":"Reyers","given":"Belinda"}],"accessed":{"date-parts":[["2023",4,4]]},"issued":{"date-parts":[["2016",2]]}},"label":"page"}],"schema":"https://github.com/citation-style-language/schema/raw/master/csl-citation.json"} </w:instrText>
      </w:r>
      <w:r w:rsidR="002C7B35" w:rsidRPr="00A9434B">
        <w:fldChar w:fldCharType="separate"/>
      </w:r>
      <w:r w:rsidR="002C7B35" w:rsidRPr="00A9434B">
        <w:t>(Failing et al., 2013; D. M. Martin et al., 2018; Nel et al., 2016)</w:t>
      </w:r>
      <w:r w:rsidR="002C7B35" w:rsidRPr="00A9434B">
        <w:fldChar w:fldCharType="end"/>
      </w:r>
      <w:r w:rsidR="00CC4284">
        <w:t>,</w:t>
      </w:r>
      <w:r w:rsidRPr="00A9434B">
        <w:t xml:space="preserve"> or shifting costs of management or impacts from one </w:t>
      </w:r>
      <w:r w:rsidR="00020901" w:rsidRPr="00A9434B">
        <w:t>community</w:t>
      </w:r>
      <w:r w:rsidR="00FC6082" w:rsidRPr="00A9434B">
        <w:t>,</w:t>
      </w:r>
      <w:r w:rsidR="00020901" w:rsidRPr="00A9434B">
        <w:t xml:space="preserve"> stakeholder </w:t>
      </w:r>
      <w:r w:rsidRPr="00A9434B">
        <w:t>to another.</w:t>
      </w:r>
    </w:p>
    <w:p w14:paraId="209F5D1C" w14:textId="77777777" w:rsidR="00492647" w:rsidRPr="00A9434B" w:rsidRDefault="004155A5" w:rsidP="00492647">
      <w:pPr>
        <w:pStyle w:val="Heading5"/>
      </w:pPr>
      <w:r w:rsidRPr="00A9434B">
        <w:t xml:space="preserve">Respect </w:t>
      </w:r>
      <w:r w:rsidR="036DC67F" w:rsidRPr="00A9434B">
        <w:t xml:space="preserve">for </w:t>
      </w:r>
      <w:r w:rsidRPr="00A9434B">
        <w:t>rights, fairness</w:t>
      </w:r>
    </w:p>
    <w:p w14:paraId="1CC3C7AD" w14:textId="534658E2" w:rsidR="004155A5" w:rsidRPr="00A9434B" w:rsidRDefault="004155A5" w:rsidP="00492647">
      <w:pPr>
        <w:spacing w:before="0"/>
      </w:pPr>
      <w:r w:rsidRPr="00A9434B">
        <w:t xml:space="preserve">Engaging with stakeholders and </w:t>
      </w:r>
      <w:r w:rsidR="001E7B2B" w:rsidRPr="00A9434B">
        <w:t>Indigenous Peoples</w:t>
      </w:r>
      <w:r w:rsidRPr="00A9434B">
        <w:t xml:space="preserve"> and local communities promotes democratic governance, where stakeholders have a direct voice in decisions that affect their environments and lives. It also encourages public engagement in publicly-funded efforts, influences decisions that affect people’s good quality of life, and ensures accountability and fairness </w:t>
      </w:r>
      <w:r w:rsidRPr="00A9434B">
        <w:fldChar w:fldCharType="begin"/>
      </w:r>
      <w:r w:rsidR="0014002B">
        <w:instrText xml:space="preserve"> ADDIN ZOTERO_ITEM CSL_CITATION {"citationID":"W8OZT3k4","properties":{"formattedCitation":"(Carter et al., 2021; J. M. Evans et al., 2008; S. Liu &amp; Cook, 2016; M. S. Reed &amp; Curzon, 2015)","plainCitation":"(Carter et al., 2021; J. M. Evans et al., 2008; S. Liu &amp; Cook, 2016; M. S. Reed &amp; Curzon, 2015)","noteIndex":0},"citationItems":[{"id":26687,"uris":["http://zotero.org/groups/2352922/items/BGLXDHNL"],"itemData":{"id":26687,"type":"article-journal","container-title":"Biological Invasions","DOI":"10.1007/s10530-020-02391-6","ISSN":"1387-3547, 1573-1464","issue":"2","journalAbbreviation":"Biol Invasions","language":"en","page":"625-640","source":"DOI.org (Crossref)","title":"A multidimensional framework to inform stakeholder engagement in the science and management of invasive and pest animal species","URL":"http://link.springer.com/10.1007/s10530-020-02391-6","volume":"23","author":[{"family":"Carter","given":"Lucy"},{"family":"Mankad","given":"Aditi"},{"family":"Zhang","given":"Airong"},{"family":"Curnock","given":"Matthew I."},{"family":"Pollard","given":"Chris R. J."}],"accessed":{"date-parts":[["2021",3,24]]},"issued":{"date-parts":[["2021",2]]}},"label":"page"},{"id":15830,"uris":["http://zotero.org/groups/2352922/items/TTFEYKS8"],"itemData":{"id":15830,"type":"article-journal","abstract":"This paper develops the outlines of a pragmatic, adaptive management-based approach toward the control of invasive nonnative species (INS) through a case study of Kings Bay/Crystal River, a large artesian springs ecosystem that is one of Florida's most important habitats for endangered West Indian manatees (Trichechus manatus). Building upon recent critiques of invasion biology, principles of adaptive management, and our own interview and participant - observer research, we argue that this case study represents an example in which rigid application of invasion biology's a priori imperative to minimize INS has produced counterproductive results from both an ecological and social standpoint. As such, we recommend that INS control in Kings Bay should be relaxed in conjunction with an overall program of adaptive ecosystem management that includes meaningful participation and input from non-institutional stakeholders. However, we also note that adaptive management and INS control are by no means mutually exclusive, in Kings Bay or elsewhere. Instead, we suggest that adaptive management offers a means by which INS control efforts can emerge from - and be evaluated through - ongoing scientific research and participatory dialogue about the condition of specific places, rather than non-contextual assumptions about the harmfulness of INS as a general class. © Springer Science+Business Media B.V. 2008.","container-title":"Journal of Agricultural and Environmental Ethics","DOI":"10.1007/s10806-008-9118-5","issue":"6","page":"521-539","title":"Adaptive management of nonnative species: moving beyond the \"either-or\" through experimental pluralism","URL":"https://www.scopus.com/inward/record.uri?eid=2-s2.0-55349087219&amp;doi=10.1007%2fs10806-008-9118-5&amp;partnerID=40&amp;md5=ce9f113d53c952df5c0d87e11b228389","volume":"21","author":[{"family":"Evans","given":"J.M."},{"family":"Wilkie","given":"A.C."},{"family":"Burkhardt","given":"J."}],"issued":{"date-parts":[["2008"]]}},"label":"page"},{"id":23808,"uris":["http://zotero.org/groups/2352922/items/BISDF7HN"],"itemData":{"id":23808,"type":"article-journal","abstract":"Significant heterogeneity exists in the public’s preferences and values for protecting agricultural ecosystems against invasive non-native species. Therefore, biosecurity decision-making is akin to conflict management characterised by not only technical, but also environmental, social and economic value judgements of different stakeholders. The key question then, is not whether values should be considered in the decision-making process—they are part of it anyway—but how they should be articulated and incorporated via a formal and structured analysis. In this paper, we propose to use Structured Decision Making (SDM) as a framework to incorporate diverse social values into response planning and management and demonstrate its use with three case studies. The first step of the process involves identifying the stakeholders in a response decision, followed by the critical step of systematically translating stakeholders’ major concerns into management objectives. Biosecurity decision-makers will also collaborate with the public to develop response alternatives and identify a preferred option by explicitly making trade-offs among different objectives. Ultimately, the SDM approach provides a transparent description of, and justification for, the response options considered and selected.","container-title":"Food Security","DOI":"10.1007/s12571-015-0525-y","ISSN":"1876-4517, 1876-4525","issue":"1","journalAbbreviation":"Food Sec.","language":"en","page":"49-59","source":"DOI.org (Crossref)","title":"Eradicate, contain, or live with it? Collaborating with stakeholders to evaluate responses to invasive species","title-short":"Eradicate, contain, or live with it?","URL":"http://link.springer.com/10.1007/s12571-015-0525-y","volume":"8","author":[{"family":"Liu","given":"Shuang"},{"family":"Cook","given":"David"}],"accessed":{"date-parts":[["2019",11,27]]},"issued":{"date-parts":[["2016",2]]}},"label":"page"},{"id":24036,"uris":["http://zotero.org/groups/2352922/items/DABRZBE7"],"itemData":{"id":24036,"type":"article-journal","abstract":"There is an increasing recognition that greater stakeholder engagement is needed in the assessment, management and communication of risks around plant and animal health, and biosecurity issues more generally. Despite a growing number of studies considering the knowledge and actions of stakeholders in the governance of biosecurity issues, attempts to systematically identify, categorise or analyse stakeholders in this field are relatively rare. This paper therefore integrates literature from a range of disciplines to generate methodological and theoretical insights that may enable decision-makers to effectively map and analyse biosecurity stakeholders, and enable more transparent, inclusive and adaptive governance of biosecurity. The review starts by defining key terms, before discussing some of the challenges and benefits of effectively representing stakeholders in biosecurity strategies. The paper then reviews a range of theoretical approaches to stakeholder mapping, before critically analysing alternative methods for stakeholder mapping and analysis, which could be used in biosecurity interventions. These theories and methods are then discussed in relation to biosecurity governance, drawing on recent applications of stakeholder mapping in biosecurity policy and practice.","container-title":"Journal of Integrative Environmental Sciences","DOI":"10.1080/1943815X.2014.975723","ISSN":"1943-815X","issue":"1","journalAbbreviation":"Journal of Integrative Environmental Sciences","page":"15-38","source":"Taylor and Francis+NEJM","title":"Stakeholder mapping for the governance of biosecurity: a literature review","title-short":"Stakeholder mapping for the governance of biosecurity","URL":"https://doi.org/10.1080/1943815X.2014.975723","volume":"12","author":[{"family":"Reed","given":"Mark S."},{"family":"Curzon","given":"R."}],"accessed":{"date-parts":[["2020",5,7]]},"issued":{"date-parts":[["2015",1,2]]}},"label":"page"}],"schema":"https://github.com/citation-style-language/schema/raw/master/csl-citation.json"} </w:instrText>
      </w:r>
      <w:r w:rsidRPr="00A9434B">
        <w:fldChar w:fldCharType="separate"/>
      </w:r>
      <w:r w:rsidR="0014002B" w:rsidRPr="0014002B">
        <w:t>(Carter et al., 2021; J. M. Evans et al., 2008; S. Liu &amp; Cook, 2016; M. S. Reed &amp; Curzon, 2015)</w:t>
      </w:r>
      <w:r w:rsidRPr="00A9434B">
        <w:fldChar w:fldCharType="end"/>
      </w:r>
      <w:r w:rsidRPr="00A9434B">
        <w:t xml:space="preserve">. Finally, it ensures compliance with governance directives and stakeholder and </w:t>
      </w:r>
      <w:r w:rsidR="001E7B2B" w:rsidRPr="00A9434B">
        <w:t>Indigenous Peoples</w:t>
      </w:r>
      <w:r w:rsidRPr="00A9434B">
        <w:t xml:space="preserve"> and local communities demands and rights for engagement </w:t>
      </w:r>
      <w:r w:rsidRPr="00A9434B">
        <w:fldChar w:fldCharType="begin"/>
      </w:r>
      <w:r w:rsidR="0006613E">
        <w:instrText xml:space="preserve"> ADDIN ZOTERO_ITEM CSL_CITATION {"citationID":"a1jp7h6ourj","properties":{"formattedCitation":"(IPBES, 2022)","plainCitation":"(IPBES, 2022)","noteIndex":0},"citationItems":[{"id":53340,"uris":["http://zotero.org/groups/2352922/items/BZSKBXEC"],"itemData":{"id":53340,"type":"report","event-place":"Online, 1-3 February 2022","publisher-place":"Online, 1-3 February 2022","title":"Report of the third Indigenous and local knowledge dialogue workshop for the IPBES thematic assessment of invasive alien species and their control.","URL":"https://ipbes.net/sites/default/files/2023-02/IPBES_IAS_3rdILKDialogue_SPM-SOD_Report_FinalForWeb2.pdf","author":[{"literal":"IPBES"}],"issued":{"date-parts":[["2022"]]}},"label":"page"}],"schema":"https://github.com/citation-style-language/schema/raw/master/csl-citation.json"} </w:instrText>
      </w:r>
      <w:r w:rsidRPr="00A9434B">
        <w:fldChar w:fldCharType="separate"/>
      </w:r>
      <w:r w:rsidR="00C71E80" w:rsidRPr="00A9434B">
        <w:t>(IPBES, 2022)</w:t>
      </w:r>
      <w:r w:rsidRPr="00A9434B">
        <w:fldChar w:fldCharType="end"/>
      </w:r>
      <w:r w:rsidRPr="00A9434B">
        <w:t>.</w:t>
      </w:r>
    </w:p>
    <w:p w14:paraId="408D545F" w14:textId="4EB7E5E7" w:rsidR="00017C04" w:rsidRPr="00C12647" w:rsidRDefault="2F958343" w:rsidP="008C206F">
      <w:pPr>
        <w:pStyle w:val="Caption"/>
        <w:pBdr>
          <w:top w:val="single" w:sz="4" w:space="1" w:color="auto"/>
          <w:left w:val="single" w:sz="4" w:space="1" w:color="auto"/>
          <w:bottom w:val="single" w:sz="4" w:space="1" w:color="auto"/>
          <w:right w:val="single" w:sz="4" w:space="1" w:color="auto"/>
        </w:pBdr>
        <w:shd w:val="clear" w:color="auto" w:fill="E7E6E6" w:themeFill="background2"/>
        <w:rPr>
          <w:color w:val="000000"/>
        </w:rPr>
      </w:pPr>
      <w:bookmarkStart w:id="362" w:name="_heading=h.meukdy"/>
      <w:bookmarkStart w:id="363" w:name="_Ref104898651"/>
      <w:bookmarkStart w:id="364" w:name="_Toc147418622"/>
      <w:bookmarkEnd w:id="362"/>
      <w:r w:rsidRPr="008C206F">
        <w:rPr>
          <w:bCs w:val="0"/>
        </w:rPr>
        <w:t>Box 6</w:t>
      </w:r>
      <w:r w:rsidR="00B9562C" w:rsidRPr="008C206F">
        <w:rPr>
          <w:bCs w:val="0"/>
        </w:rPr>
        <w:t>.</w:t>
      </w:r>
      <w:r w:rsidR="007C7AC3">
        <w:fldChar w:fldCharType="begin"/>
      </w:r>
      <w:r w:rsidR="007C7AC3">
        <w:instrText xml:space="preserve"> SEQ</w:instrText>
      </w:r>
      <w:r w:rsidR="007C7AC3">
        <w:instrText xml:space="preserve"> Box_6. \* ARABIC </w:instrText>
      </w:r>
      <w:r w:rsidR="007C7AC3">
        <w:fldChar w:fldCharType="separate"/>
      </w:r>
      <w:r w:rsidR="0011368C">
        <w:rPr>
          <w:noProof/>
        </w:rPr>
        <w:t>13</w:t>
      </w:r>
      <w:r w:rsidR="007C7AC3">
        <w:rPr>
          <w:noProof/>
        </w:rPr>
        <w:fldChar w:fldCharType="end"/>
      </w:r>
      <w:bookmarkEnd w:id="363"/>
      <w:r w:rsidR="00E36BDC" w:rsidRPr="00A9434B">
        <w:t>.</w:t>
      </w:r>
      <w:r w:rsidRPr="008C206F">
        <w:t xml:space="preserve"> Invasive alien species </w:t>
      </w:r>
      <w:r w:rsidR="360BAED7" w:rsidRPr="0B8DB0CC">
        <w:rPr>
          <w:color w:val="000000" w:themeColor="text1"/>
        </w:rPr>
        <w:t>control</w:t>
      </w:r>
      <w:r w:rsidR="360BAED7" w:rsidRPr="00C12647">
        <w:rPr>
          <w:color w:val="000000" w:themeColor="text1"/>
        </w:rPr>
        <w:t xml:space="preserve"> </w:t>
      </w:r>
      <w:r w:rsidRPr="00C12647">
        <w:rPr>
          <w:color w:val="000000" w:themeColor="text1"/>
        </w:rPr>
        <w:t>and animal rights</w:t>
      </w:r>
      <w:bookmarkEnd w:id="364"/>
    </w:p>
    <w:p w14:paraId="08EAAA17" w14:textId="3FE767C1" w:rsidR="00017C04" w:rsidRDefault="00F50AF9" w:rsidP="008C206F">
      <w:pPr>
        <w:pBdr>
          <w:top w:val="single" w:sz="4" w:space="1" w:color="auto"/>
          <w:left w:val="single" w:sz="4" w:space="1" w:color="auto"/>
          <w:bottom w:val="single" w:sz="4" w:space="1" w:color="auto"/>
          <w:right w:val="single" w:sz="4" w:space="1" w:color="auto"/>
        </w:pBdr>
        <w:shd w:val="clear" w:color="auto" w:fill="E7E6E6" w:themeFill="background2"/>
      </w:pPr>
      <w:r>
        <w:t xml:space="preserve">When invasive alien species are prioritized for control, ecological and economic aspects often take precedence, whereas species welfare can be underappreciated. In cases where the invasive species is associated with human values, and the control mechanism is lethal, unaddressed ethical issues in management actions can create conflict between stakeholders and Indigenous Peoples and local communities, including animal welfare groups and invasive alien species managers </w:t>
      </w:r>
      <w:r w:rsidR="00F806B6" w:rsidRPr="00A9434B">
        <w:t>(</w:t>
      </w:r>
      <w:r w:rsidR="00BC5BAC" w:rsidRPr="00673554">
        <w:rPr>
          <w:b/>
          <w:iCs/>
        </w:rPr>
        <w:fldChar w:fldCharType="begin"/>
      </w:r>
      <w:r w:rsidR="00BC5BAC" w:rsidRPr="00673554">
        <w:rPr>
          <w:b/>
          <w:iCs/>
        </w:rPr>
        <w:instrText xml:space="preserve"> REF _Ref127466438 \h  \* MERGEFORMAT </w:instrText>
      </w:r>
      <w:r w:rsidR="00BC5BAC" w:rsidRPr="00673554">
        <w:rPr>
          <w:b/>
          <w:iCs/>
        </w:rPr>
      </w:r>
      <w:r w:rsidR="00BC5BAC" w:rsidRPr="00673554">
        <w:rPr>
          <w:b/>
          <w:iCs/>
        </w:rPr>
        <w:fldChar w:fldCharType="separate"/>
      </w:r>
      <w:r w:rsidR="0011368C" w:rsidRPr="00673554">
        <w:rPr>
          <w:b/>
          <w:iCs/>
        </w:rPr>
        <w:t>Figure 6.15</w:t>
      </w:r>
      <w:r w:rsidR="00BC5BAC" w:rsidRPr="00673554">
        <w:rPr>
          <w:b/>
          <w:iCs/>
        </w:rPr>
        <w:fldChar w:fldCharType="end"/>
      </w:r>
      <w:r w:rsidR="00105F33" w:rsidRPr="00772E4B">
        <w:t>;</w:t>
      </w:r>
      <w:r>
        <w:rPr>
          <w:b/>
        </w:rPr>
        <w:t xml:space="preserve"> Chapter 5</w:t>
      </w:r>
      <w:r>
        <w:t>,</w:t>
      </w:r>
      <w:r>
        <w:rPr>
          <w:b/>
        </w:rPr>
        <w:t xml:space="preserve"> </w:t>
      </w:r>
      <w:r w:rsidR="00FB7D4C" w:rsidRPr="00673554">
        <w:rPr>
          <w:b/>
          <w:iCs/>
        </w:rPr>
        <w:t>Box</w:t>
      </w:r>
      <w:r>
        <w:rPr>
          <w:b/>
        </w:rPr>
        <w:t xml:space="preserve"> 5.13</w:t>
      </w:r>
      <w:r>
        <w:t xml:space="preserve">). Such conflict has been observed during lethal control of invasive </w:t>
      </w:r>
      <w:r>
        <w:rPr>
          <w:i/>
        </w:rPr>
        <w:t>Erinaceus europaeus</w:t>
      </w:r>
      <w:r>
        <w:t xml:space="preserve"> (European hedgehog) on the Scottish island of South Uist </w:t>
      </w:r>
      <w:r w:rsidR="003853FA" w:rsidRPr="00A9434B">
        <w:fldChar w:fldCharType="begin"/>
      </w:r>
      <w:r w:rsidR="0006613E">
        <w:instrText xml:space="preserve"> ADDIN ZOTERO_ITEM CSL_CITATION {"citationID":"a1aabf3oig2","properties":{"formattedCitation":"(Warwick, 2012)","plainCitation":"(Warwick, 2012)","noteIndex":0},"citationItems":[{"id":32581,"uris":["http://zotero.org/groups/2352922/items/L7CQCQIQ"],"itemData":{"id":32581,"type":"article-journal","container-title":"British Wildlife","issue":"2","note":"ISBN: 0958-0956","page":"111","title":"Comment: Uist Hedgehogs—Lessons learnt in wildlife management","volume":"24","author":[{"family":"Warwick","given":"Hugh"}],"issued":{"date-parts":[["2012"]]}},"label":"page"}],"schema":"https://github.com/citation-style-language/schema/raw/master/csl-citation.json"} </w:instrText>
      </w:r>
      <w:r w:rsidR="003853FA" w:rsidRPr="00A9434B">
        <w:fldChar w:fldCharType="separate"/>
      </w:r>
      <w:r w:rsidR="00C71E80" w:rsidRPr="00A9434B">
        <w:t>(Warwick, 2012)</w:t>
      </w:r>
      <w:r w:rsidR="003853FA" w:rsidRPr="00A9434B">
        <w:fldChar w:fldCharType="end"/>
      </w:r>
      <w:r w:rsidR="1861C470" w:rsidRPr="00A9434B">
        <w:t>,</w:t>
      </w:r>
      <w:r>
        <w:t xml:space="preserve"> of </w:t>
      </w:r>
      <w:r>
        <w:rPr>
          <w:i/>
        </w:rPr>
        <w:t>Equus caballus</w:t>
      </w:r>
      <w:r>
        <w:t xml:space="preserve"> (horse) in parts of Northern America </w:t>
      </w:r>
      <w:r w:rsidR="003853FA" w:rsidRPr="00A9434B">
        <w:fldChar w:fldCharType="begin"/>
      </w:r>
      <w:r w:rsidR="0006613E">
        <w:instrText xml:space="preserve"> ADDIN ZOTERO_ITEM CSL_CITATION {"citationID":"a9gpqljrhu","properties":{"formattedCitation":"(Bhattacharyya &amp; Larson, 2014)","plainCitation":"(Bhattacharyya &amp; Larson, 2014)","noteIndex":0},"citationItems":[{"id":9812,"uris":["http://zotero.org/groups/2352922/items/96JMLEEB"],"itemData":{"id":9812,"type":"article-journal","abstract":"Culture, livelihoods and political-economic status all influence people’s perception of introduced and invasive species, shaping perspectives on what sort of management of them, if any, is warranted. Indigenous voices and values are under-represented in scholarly discourse about introduced and invasive species. This paper examines the relationship between the Xeni Gwet’in First Nation (one of six Tsilhqot’in communities) and wild or free-roaming horses in British Columbia, Canada. We outline how Xeni Gwet’in people value horses and experience management actions, contextualising the controversy over wild horses amidst power imbalances in the expression of environmental values. We suggest that Indigenous voices are vital to include when evaluating impacts of controversial species and developing management strategies.","container-title":"Environmental Values","DOI":"10.3197/096327114X13947900181031","ISSN":"09632719, 17527015","issue":"6","journalAbbreviation":"environ values","language":"en","page":"663-684","source":"DOI.org (Crossref)","title":"The Need for Indigenous Voices in Discourse about Introduced Species: Insights from a Controversy over Wild Horses","title-short":"The Need for Indigenous Voices in Discourse about Introduced Species","URL":"http://openurl.ingenta.com/content/xref?genre=article&amp;issn=0963-2719&amp;volume=23&amp;issue=6&amp;spage=663","volume":"23","author":[{"family":"Bhattacharyya","given":"Jonaki"},{"family":"Larson","given":"Brendon M.H."}],"accessed":{"date-parts":[["2019",11,7]]},"issued":{"date-parts":[["2014",12,1]]}}}],"schema":"https://github.com/citation-style-language/schema/raw/master/csl-citation.json"} </w:instrText>
      </w:r>
      <w:r w:rsidR="003853FA" w:rsidRPr="00A9434B">
        <w:fldChar w:fldCharType="separate"/>
      </w:r>
      <w:r w:rsidR="00C71E80" w:rsidRPr="00A9434B">
        <w:t>(Bhattacharyya &amp; Larson, 2014)</w:t>
      </w:r>
      <w:r w:rsidR="003853FA" w:rsidRPr="00A9434B">
        <w:fldChar w:fldCharType="end"/>
      </w:r>
      <w:r w:rsidR="1861C470" w:rsidRPr="00A9434B">
        <w:t>,</w:t>
      </w:r>
      <w:r>
        <w:t xml:space="preserve"> of </w:t>
      </w:r>
      <w:r>
        <w:rPr>
          <w:i/>
        </w:rPr>
        <w:t>Trichosurus vulpecula</w:t>
      </w:r>
      <w:r>
        <w:t xml:space="preserve"> (brushtail possum) in New Zealand </w:t>
      </w:r>
      <w:r w:rsidR="003853FA" w:rsidRPr="00A9434B">
        <w:fldChar w:fldCharType="begin"/>
      </w:r>
      <w:r w:rsidR="0006613E">
        <w:instrText xml:space="preserve"> ADDIN ZOTERO_ITEM CSL_CITATION {"citationID":"aknfdautkn","properties":{"formattedCitation":"(Beausoleil et al., 2016)","plainCitation":"(Beausoleil et al., 2016)","noteIndex":0},"citationItems":[{"id":32580,"uris":["http://zotero.org/groups/2352922/items/4FX8WNA5"],"itemData":{"id":32580,"type":"article-journal","container-title":"Wildlife Research","DOI":"10.1071/WR16041","issue":"7","note":"ISBN: 1448-5494\npublisher: CSIRO Publishing","page":"553-565","title":"A systematic approach to evaluating and ranking the relative animal welfare impacts of wildlife control methods: Poisons used for lethal control of brushtail possums (&lt;i&gt;Trichosurus vulpecula&lt;/i&gt;) in New Zealand","volume":"43","author":[{"family":"Beausoleil","given":"N. J."},{"family":"Fisher","given":"P."},{"family":"Littin","given":"K. E."},{"family":"Warburton","given":"B."},{"family":"Mellor","given":"D. J."},{"family":"Dalefield","given":"R. R."},{"family":"Cowan","given":"P."}],"issued":{"date-parts":[["2016"]]}},"label":"page"}],"schema":"https://github.com/citation-style-language/schema/raw/master/csl-citation.json"} </w:instrText>
      </w:r>
      <w:r w:rsidR="003853FA" w:rsidRPr="00A9434B">
        <w:fldChar w:fldCharType="separate"/>
      </w:r>
      <w:r w:rsidR="00C71E80" w:rsidRPr="00A9434B">
        <w:t>(Beausoleil et al., 2016)</w:t>
      </w:r>
      <w:r w:rsidR="003853FA" w:rsidRPr="00A9434B">
        <w:fldChar w:fldCharType="end"/>
      </w:r>
      <w:r w:rsidR="1861C470" w:rsidRPr="00A9434B">
        <w:t>,</w:t>
      </w:r>
      <w:r>
        <w:t xml:space="preserve"> and of the introduced </w:t>
      </w:r>
      <w:r>
        <w:rPr>
          <w:i/>
        </w:rPr>
        <w:t>Epiphyas postvittana</w:t>
      </w:r>
      <w:r>
        <w:t xml:space="preserve"> (light brown apple moth) in parts of the United States</w:t>
      </w:r>
      <w:r w:rsidR="00516C94">
        <w:t xml:space="preserve"> of America</w:t>
      </w:r>
      <w:r>
        <w:t xml:space="preserve"> </w:t>
      </w:r>
      <w:r w:rsidR="003853FA" w:rsidRPr="00A9434B">
        <w:fldChar w:fldCharType="begin"/>
      </w:r>
      <w:r w:rsidR="0006613E">
        <w:instrText xml:space="preserve"> ADDIN ZOTERO_ITEM CSL_CITATION {"citationID":"a5d3a1mbsb","properties":{"formattedCitation":"(Zalom et al., 2013)","plainCitation":"(Zalom et al., 2013)","noteIndex":0},"citationItems":[{"id":32578,"uris":["http://zotero.org/groups/2352922/items/LVFYFUTT"],"itemData":{"id":32578,"type":"report","genre":"Report submitted to USDA in fulfillment of Cooperative Agreement","page":"10-8100","title":"Community perceptions of emergency responses to invasive species in California: case studies of the light brown apple moth and the European grapevine moth","URL":"https://ucanr.edu/blogs/strawberries_caneberries/blogfiles/16221.pdf","author":[{"family":"Zalom","given":"F."},{"family":"Grieshop","given":"J."},{"family":"Lelea","given":"M. A."},{"family":"Sedell","given":"J. K."}],"issued":{"date-parts":[["2013"]]}},"label":"page"}],"schema":"https://github.com/citation-style-language/schema/raw/master/csl-citation.json"} </w:instrText>
      </w:r>
      <w:r w:rsidR="003853FA" w:rsidRPr="00A9434B">
        <w:fldChar w:fldCharType="separate"/>
      </w:r>
      <w:r w:rsidR="00C71E80" w:rsidRPr="00A9434B">
        <w:t>(Zalom et al., 2013)</w:t>
      </w:r>
      <w:r w:rsidR="003853FA" w:rsidRPr="00A9434B">
        <w:fldChar w:fldCharType="end"/>
      </w:r>
      <w:r w:rsidR="1861C470" w:rsidRPr="00A9434B">
        <w:t>.</w:t>
      </w:r>
      <w:r>
        <w:t xml:space="preserve"> Such conflict delays invasive alien species control programmes, thereby potentially escalating the impact on native biodiversity, a point which is often not acknowledged by the parties in conflict </w:t>
      </w:r>
      <w:r w:rsidR="003853FA" w:rsidRPr="00A9434B">
        <w:fldChar w:fldCharType="begin"/>
      </w:r>
      <w:r w:rsidR="0006613E">
        <w:instrText xml:space="preserve"> ADDIN ZOTERO_ITEM CSL_CITATION {"citationID":"a15h86h1hbf","properties":{"formattedCitation":"(Russell et al., 2016)","plainCitation":"(Russell et al., 2016)","noteIndex":0},"citationItems":[{"id":32577,"uris":["http://zotero.org/groups/2352922/items/2YVG26RL"],"itemData":{"id":32577,"type":"article-journal","container-title":"Conservation Biology","DOI":"10.1111/cobi.12666","issue":"3","note":"ISBN: 0888-8892\npublisher: Wiley Online Library","page":"670-672","title":"Importance of lethal control of invasive predators for island conservation","volume":"30","author":[{"family":"Russell","given":"James C."},{"family":"Jones","given":"Holly P."},{"family":"Armstrong","given":"Doug P."},{"family":"Courchamp","given":"Franck"},{"family":"Kappes","given":"Peter J."},{"family":"Seddon","given":"Philip J."},{"family":"Oppel","given":"Steffen"},{"family":"Rauzon","given":"Mark J."},{"family":"Cowan","given":"Phil E."},{"family":"Rocamora","given":"Gérard"},{"family":"Genovesi","given":"Piero"},{"family":"Bonnaud","given":"Elsa"},{"family":"Keitt","given":"Bradford S"},{"family":"Holmes","given":"Nick D"},{"family":"Tershy","given":"Bernie R"}],"issued":{"date-parts":[["2016"]]}},"label":"page"}],"schema":"https://github.com/citation-style-language/schema/raw/master/csl-citation.json"} </w:instrText>
      </w:r>
      <w:r w:rsidR="003853FA" w:rsidRPr="00A9434B">
        <w:fldChar w:fldCharType="separate"/>
      </w:r>
      <w:r w:rsidR="00C71E80" w:rsidRPr="00A9434B">
        <w:t>(Russell et al., 2016)</w:t>
      </w:r>
      <w:r w:rsidR="003853FA" w:rsidRPr="00A9434B">
        <w:fldChar w:fldCharType="end"/>
      </w:r>
      <w:r w:rsidR="1861C470" w:rsidRPr="00A9434B">
        <w:t>.</w:t>
      </w:r>
      <w:r>
        <w:t xml:space="preserve"> </w:t>
      </w:r>
    </w:p>
    <w:p w14:paraId="2D8BE536" w14:textId="322D43FA" w:rsidR="00017C04" w:rsidRDefault="2F958343" w:rsidP="008C206F">
      <w:pPr>
        <w:pBdr>
          <w:top w:val="single" w:sz="4" w:space="1" w:color="auto"/>
          <w:left w:val="single" w:sz="4" w:space="1" w:color="auto"/>
          <w:bottom w:val="single" w:sz="4" w:space="1" w:color="auto"/>
          <w:right w:val="single" w:sz="4" w:space="1" w:color="auto"/>
        </w:pBdr>
        <w:shd w:val="clear" w:color="auto" w:fill="E7E6E6" w:themeFill="background2"/>
      </w:pPr>
      <w:r>
        <w:t xml:space="preserve">Consensus amongst invasive alien species managers, stakeholders and Indigenous Peoples and local communities, including animal welfare groups, has often been achieved through informed conversations. For example, in parts of the United States managers involved animal welfare groups early in the process of management to gain support for lethal control of invasive alien </w:t>
      </w:r>
      <w:r w:rsidRPr="0B8DB0CC">
        <w:rPr>
          <w:i/>
          <w:iCs/>
        </w:rPr>
        <w:t xml:space="preserve">Sus scrofa </w:t>
      </w:r>
      <w:r>
        <w:t xml:space="preserve">(feral pig; </w:t>
      </w:r>
      <w:r w:rsidR="1B863F33" w:rsidRPr="00A9434B">
        <w:fldChar w:fldCharType="begin"/>
      </w:r>
      <w:r w:rsidR="0006613E">
        <w:instrText xml:space="preserve"> ADDIN ZOTERO_ITEM CSL_CITATION {"citationID":"a11c0rrmoch","properties":{"formattedCitation":"\\uldash{(Perry &amp; Perry, 2008)}","plainCitation":"(Perry &amp; Perry, 2008)","dontUpdate":true,"noteIndex":0},"citationItems":[{"id":32576,"uris":["http://zotero.org/groups/2352922/items/Z5QR9HSZ"],"itemData":{"id":32576,"type":"article-journal","container-title":"Conservation Biology","DOI":"10.1111/j.1523-1739.2007.00845.x","issue":"1","note":"ISBN: 0888-8892\npublisher: Wiley Online Library","page":"27-35","title":"Improving interactions between animal rights groups and conservation biologists","URL":"http://www.stray-afp.org/nl/wp-content/uploads/sites/2/2014/07/2008-Animalrights-Conservation.pdf","volume":"22","author":[{"family":"Perry","given":"Dan"},{"family":"Perry","given":"Gad"}],"issued":{"date-parts":[["2008"]]}},"label":"page"}],"schema":"https://github.com/citation-style-language/schema/raw/master/csl-citation.json"} </w:instrText>
      </w:r>
      <w:r w:rsidR="1B863F33" w:rsidRPr="00A9434B">
        <w:fldChar w:fldCharType="separate"/>
      </w:r>
      <w:r w:rsidR="0088146A" w:rsidRPr="00A9434B">
        <w:t>Perry &amp; Perry, 2008)</w:t>
      </w:r>
      <w:r w:rsidR="1B863F33" w:rsidRPr="00A9434B">
        <w:fldChar w:fldCharType="end"/>
      </w:r>
      <w:r w:rsidR="0DB0AAB5" w:rsidRPr="00A9434B">
        <w:t>.</w:t>
      </w:r>
      <w:r>
        <w:t xml:space="preserve"> Furthermore, involving local people while planning invasive alien species control measures can not only spread awareness about the severe impacts of such species, but also result in socially acceptable mechanisms for controlling invasive alien species. For example, government and indigenous community co-management of Kakadu National Park in Australia resulted in acceptable control of invasive feral pigs </w:t>
      </w:r>
      <w:r w:rsidR="1B863F33" w:rsidRPr="00A9434B">
        <w:fldChar w:fldCharType="begin"/>
      </w:r>
      <w:r w:rsidR="0006613E">
        <w:instrText xml:space="preserve"> ADDIN ZOTERO_ITEM CSL_CITATION {"citationID":"a2bgrau8vuo","properties":{"formattedCitation":"(Robinson et al., 2005)","plainCitation":"(Robinson et al., 2005)","noteIndex":0},"citationItems":[{"id":32655,"uris":["http://zotero.org/groups/2352922/items/9Q9DSVJ7"],"itemData":{"id":32655,"type":"article-journal","abstract":"Although feral animal management is often based on the proposition that introduced species threaten ecological and conservation values, that view is not necessarily shared by all stakeholders, including those indigenous people who own and co-manage Kakadu National Park with Australia'sfederal government. Drawing on field-based interviews with the Jawoyn people, we found that these indigenous people categorize water buffalo (Bubalus bubalis) as an important food source (tucker), view horses (Equus caballus) as bush pets, and consider pigs (Sus scrofa) a threat to their lands. As a result, Jawoyn people want more water buffalo in the park, have high tolerance of environmental damage caused by horses, and are open to the idea that pig population densities should be reduced. Jawoyn also advocate an adaptive and participatory approach to feral animal control so that the consequences of any management actions can be properly understood before irrevocable change occurs. Thesefindings highlight one example of how indigenous people's ecological knowledge has adapted in response to changing landscapes and community aspirations. Co-management strategies that aim to incorporate the dynamics of indigenous people's views need to start with issues on which there is agreement between different groups and take a cautious approach to joint exploration of more contentious issues. That approach should include ongoing and on-site monitoring so that the consequences of management actions can be properly understood and comprehensively negotiated by all parties.","container-title":"Conservation Biology","DOI":"10.1111/j.1523-1739.2005.00196.x","ISSN":"0888-8892, 1523-1739","issue":"5","journalAbbreviation":"Conservation Biology","language":"en","page":"1385-1391","source":"DOI.org (Crossref)","title":"Bush Tucker, Bush Pets, and Bush Threats: Cooperative Management of Feral Animals in Australia's Kakadu National Park","title-short":"Bush Tucker, Bush Pets, and Bush Threats","URL":"http://doi.wiley.com/10.1111/j.1523-1739.2005.00196.x","volume":"19","author":[{"family":"Robinson","given":"Catherine J."},{"family":"Smyth","given":"Dermot"},{"family":"Whitehead","given":"Peter J."}],"accessed":{"date-parts":[["2021",2,25]]},"issued":{"date-parts":[["2005",10]]}},"label":"page"}],"schema":"https://github.com/citation-style-language/schema/raw/master/csl-citation.json"} </w:instrText>
      </w:r>
      <w:r w:rsidR="1B863F33" w:rsidRPr="00A9434B">
        <w:fldChar w:fldCharType="separate"/>
      </w:r>
      <w:r w:rsidR="00FB3647" w:rsidRPr="00A9434B">
        <w:t>(Robinson et al., 2005)</w:t>
      </w:r>
      <w:r w:rsidR="1B863F33" w:rsidRPr="00A9434B">
        <w:fldChar w:fldCharType="end"/>
      </w:r>
      <w:r w:rsidR="0DB0AAB5" w:rsidRPr="00A9434B">
        <w:t xml:space="preserve">. These examples suggest that </w:t>
      </w:r>
      <w:r w:rsidR="008C206F">
        <w:t xml:space="preserve">management of biological invasions </w:t>
      </w:r>
      <w:r>
        <w:t>can be achieved with horizontal integration of different sectors and vertical integration of different governance scales (</w:t>
      </w:r>
      <w:r w:rsidRPr="0B8DB0CC">
        <w:rPr>
          <w:b/>
          <w:bCs/>
        </w:rPr>
        <w:t>section 6.3</w:t>
      </w:r>
      <w:r>
        <w:t xml:space="preserve">). Latent development of public awareness on invasive alien species </w:t>
      </w:r>
      <w:r w:rsidR="4BDAE7C9">
        <w:t xml:space="preserve">control </w:t>
      </w:r>
      <w:r>
        <w:t xml:space="preserve">and use of popular media to communicate evidence (or curb misinformation) during a conflict-like scenario remains central to inclusive and successful invasive alien species management programmes </w:t>
      </w:r>
      <w:r w:rsidR="1B863F33" w:rsidRPr="00A9434B">
        <w:fldChar w:fldCharType="begin"/>
      </w:r>
      <w:r w:rsidR="0006613E">
        <w:instrText xml:space="preserve"> ADDIN ZOTERO_ITEM CSL_CITATION {"citationID":"a1ldr49eqau","properties":{"formattedCitation":"(Crowley et al., 2017a)","plainCitation":"(Crowley et al., 2017a)","noteIndex":0},"citationItems":[{"id":32632,"uris":["http://zotero.org/groups/2352922/items/MI5XWV87"],"itemData":{"id":32632,"type":"article-journal","container-title":"Frontiers in Ecology and the Environment","DOI":"10.1002/fee.1471","issue":"3","language":"en","page":"133-141","title":"Conflict in invasive species management","URL":"http://doi.wiley.com/10.1002/fee.1471","volume":"15","author":[{"family":"Crowley","given":"Sarah L"},{"family":"Hinchliffe","given":"Steve"},{"family":"McDonald","given":"Robbie A"}],"accessed":{"date-parts":[["2019",9,10]]},"issued":{"date-parts":[["2017",4]]}},"label":"page"}],"schema":"https://github.com/citation-style-language/schema/raw/master/csl-citation.json"} </w:instrText>
      </w:r>
      <w:r w:rsidR="1B863F33" w:rsidRPr="00A9434B">
        <w:fldChar w:fldCharType="separate"/>
      </w:r>
      <w:r w:rsidR="00017441" w:rsidRPr="00017441">
        <w:t>(Crowley et al., 2017a)</w:t>
      </w:r>
      <w:r w:rsidR="1B863F33" w:rsidRPr="00A9434B">
        <w:fldChar w:fldCharType="end"/>
      </w:r>
      <w:r w:rsidR="0DB0AAB5" w:rsidRPr="00A9434B">
        <w:t>.</w:t>
      </w:r>
      <w:r>
        <w:t xml:space="preserve"> </w:t>
      </w:r>
    </w:p>
    <w:p w14:paraId="6AE50C93" w14:textId="1FD204C4" w:rsidR="00017C04" w:rsidRDefault="007B5DBB" w:rsidP="008C206F">
      <w:pPr>
        <w:pBdr>
          <w:top w:val="single" w:sz="4" w:space="1" w:color="auto"/>
          <w:left w:val="single" w:sz="4" w:space="1" w:color="auto"/>
          <w:bottom w:val="single" w:sz="4" w:space="1" w:color="auto"/>
          <w:right w:val="single" w:sz="4" w:space="1" w:color="auto"/>
        </w:pBdr>
        <w:shd w:val="clear" w:color="auto" w:fill="E7E6E6" w:themeFill="background2"/>
        <w:jc w:val="center"/>
      </w:pPr>
      <w:r w:rsidRPr="007B5DBB">
        <w:rPr>
          <w:noProof/>
        </w:rPr>
        <w:lastRenderedPageBreak/>
        <w:drawing>
          <wp:inline distT="0" distB="0" distL="0" distR="0" wp14:anchorId="570D9597" wp14:editId="4756AF2F">
            <wp:extent cx="6111240" cy="3232785"/>
            <wp:effectExtent l="0" t="0" r="381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11240" cy="3232785"/>
                    </a:xfrm>
                    <a:prstGeom prst="rect">
                      <a:avLst/>
                    </a:prstGeom>
                  </pic:spPr>
                </pic:pic>
              </a:graphicData>
            </a:graphic>
          </wp:inline>
        </w:drawing>
      </w:r>
    </w:p>
    <w:p w14:paraId="702059F0" w14:textId="2172A4D6" w:rsidR="00017C04" w:rsidRPr="008C206F" w:rsidRDefault="00F50AF9" w:rsidP="008C206F">
      <w:pPr>
        <w:pStyle w:val="Caption"/>
        <w:pBdr>
          <w:top w:val="single" w:sz="4" w:space="1" w:color="auto"/>
          <w:left w:val="single" w:sz="4" w:space="1" w:color="auto"/>
          <w:bottom w:val="single" w:sz="4" w:space="1" w:color="auto"/>
          <w:right w:val="single" w:sz="4" w:space="1" w:color="auto"/>
        </w:pBdr>
        <w:shd w:val="clear" w:color="auto" w:fill="E7E6E6" w:themeFill="background2"/>
      </w:pPr>
      <w:bookmarkStart w:id="365" w:name="_heading=h.36ei31r" w:colFirst="0" w:colLast="0"/>
      <w:bookmarkStart w:id="366" w:name="_Ref127466438"/>
      <w:bookmarkStart w:id="367" w:name="_Ref127955889"/>
      <w:bookmarkStart w:id="368" w:name="_Toc147418310"/>
      <w:bookmarkEnd w:id="365"/>
      <w:r w:rsidRPr="008C206F">
        <w:rPr>
          <w:bCs w:val="0"/>
        </w:rPr>
        <w:t>Figure 6</w:t>
      </w:r>
      <w:r w:rsidR="009E48C2" w:rsidRPr="008C206F">
        <w:rPr>
          <w:bCs w:val="0"/>
        </w:rPr>
        <w:t>.</w:t>
      </w:r>
      <w:r w:rsidR="007C7AC3">
        <w:fldChar w:fldCharType="begin"/>
      </w:r>
      <w:r w:rsidR="007C7AC3">
        <w:instrText xml:space="preserve"> SEQ Figure_6. \* ARABIC </w:instrText>
      </w:r>
      <w:r w:rsidR="007C7AC3">
        <w:fldChar w:fldCharType="separate"/>
      </w:r>
      <w:r w:rsidR="0011368C">
        <w:rPr>
          <w:noProof/>
        </w:rPr>
        <w:t>15</w:t>
      </w:r>
      <w:r w:rsidR="007C7AC3">
        <w:rPr>
          <w:noProof/>
        </w:rPr>
        <w:fldChar w:fldCharType="end"/>
      </w:r>
      <w:bookmarkEnd w:id="366"/>
      <w:r w:rsidR="00E36BDC" w:rsidRPr="00A9434B">
        <w:t>.</w:t>
      </w:r>
      <w:r w:rsidRPr="008C206F">
        <w:t xml:space="preserve"> </w:t>
      </w:r>
      <w:r w:rsidRPr="008C206F">
        <w:rPr>
          <w:b w:val="0"/>
        </w:rPr>
        <w:t>Public display to support animal rights.</w:t>
      </w:r>
      <w:r w:rsidRPr="008C206F">
        <w:t xml:space="preserve"> </w:t>
      </w:r>
      <w:r w:rsidRPr="008C206F">
        <w:rPr>
          <w:b w:val="0"/>
        </w:rPr>
        <w:t xml:space="preserve">Public display of a message by People for the Ethical Treatment of Animals (PETA) in Australia about responsible ownership of pet cats to stop them turning feral and getting killed in a lethal control programme. Photo credit: </w:t>
      </w:r>
      <w:bookmarkEnd w:id="367"/>
      <w:r w:rsidRPr="008C206F">
        <w:rPr>
          <w:b w:val="0"/>
        </w:rPr>
        <w:t xml:space="preserve">PETA Australia – </w:t>
      </w:r>
      <w:r w:rsidR="0018534A">
        <w:rPr>
          <w:rFonts w:eastAsiaTheme="minorEastAsia"/>
          <w:b w:val="0"/>
          <w:bCs w:val="0"/>
          <w:lang w:eastAsia="ja-JP"/>
        </w:rPr>
        <w:t xml:space="preserve">under license </w:t>
      </w:r>
      <w:r w:rsidRPr="008C206F">
        <w:rPr>
          <w:b w:val="0"/>
        </w:rPr>
        <w:t>CC BY 4.0.</w:t>
      </w:r>
      <w:bookmarkEnd w:id="368"/>
    </w:p>
    <w:p w14:paraId="242733D1" w14:textId="77777777" w:rsidR="00017C04" w:rsidRDefault="00F50AF9" w:rsidP="008521D1">
      <w:pPr>
        <w:pStyle w:val="Heading2"/>
      </w:pPr>
      <w:bookmarkStart w:id="369" w:name="_Toc133428322"/>
      <w:bookmarkStart w:id="370" w:name="_Toc133428792"/>
      <w:bookmarkStart w:id="371" w:name="_Toc147417587"/>
      <w:r>
        <w:t>Options for improving engagement with invasive alien species-related activities</w:t>
      </w:r>
      <w:bookmarkStart w:id="372" w:name="_Toc1047238911"/>
      <w:bookmarkEnd w:id="369"/>
      <w:bookmarkEnd w:id="370"/>
      <w:bookmarkEnd w:id="371"/>
      <w:r>
        <w:t xml:space="preserve"> </w:t>
      </w:r>
      <w:bookmarkEnd w:id="372"/>
    </w:p>
    <w:p w14:paraId="0EFB947F" w14:textId="2415326D" w:rsidR="00017C04" w:rsidRDefault="00F50AF9" w:rsidP="00C12647">
      <w:pPr>
        <w:pStyle w:val="Heading3"/>
        <w:ind w:left="720"/>
      </w:pPr>
      <w:bookmarkStart w:id="373" w:name="_heading=h.45jfvxd" w:colFirst="0" w:colLast="0"/>
      <w:bookmarkStart w:id="374" w:name="_Toc286034297"/>
      <w:bookmarkStart w:id="375" w:name="_Toc133428323"/>
      <w:bookmarkEnd w:id="373"/>
      <w:r>
        <w:t>How Indigenous Peoples and local communit</w:t>
      </w:r>
      <w:r w:rsidR="00351A46">
        <w:t>ies</w:t>
      </w:r>
      <w:r>
        <w:t xml:space="preserve"> participation can be better integrated with national policies and global efforts</w:t>
      </w:r>
      <w:bookmarkEnd w:id="374"/>
      <w:bookmarkEnd w:id="375"/>
    </w:p>
    <w:p w14:paraId="647C8F1F" w14:textId="1D54831E" w:rsidR="00017C04" w:rsidRDefault="00F50AF9">
      <w:pPr>
        <w:spacing w:after="0"/>
      </w:pPr>
      <w:r>
        <w:t xml:space="preserve">Collaboration between Indigenous Peoples and local communities and other stakeholders is an underlying theme in calls for their participation in invasive alien species management efforts </w:t>
      </w:r>
      <w:r w:rsidR="0088146A" w:rsidRPr="00A9434B">
        <w:fldChar w:fldCharType="begin"/>
      </w:r>
      <w:r w:rsidR="0006613E">
        <w:instrText xml:space="preserve"> ADDIN ZOTERO_ITEM CSL_CITATION {"citationID":"a46qikt7nb","properties":{"formattedCitation":"(S. M. Alexander et al., 2017; Peltzer et al., 2019; Reo et al., 2017)","plainCitation":"(S. M. Alexander et al., 2017; Peltzer et al., 2019; Reo et al., 2017)","noteIndex":0},"citationItems":[{"id":23521,"uris":["http://zotero.org/groups/2352922/items/564CDJ5C"],"itemData":{"id":23521,"type":"article-journal","container-title":"Aquatic Conservation: Marine and Freshwater Ecosystems","DOI":"10.1002/aqc.2775","ISSN":"10527613","issue":"6","journalAbbreviation":"Aquatic Conserv: Mar Freshw Ecosyst","language":"en","page":"1209-1223","source":"DOI.org (Crossref)","title":"Examining horizontal and vertical social ties to achieve social-ecological fit in an emerging marine reserve network","URL":"http://doi.wiley.com/10.1002/aqc.2775","volume":"27","author":[{"family":"Alexander","given":"Steven M."},{"family":"Armitage","given":"Derek"},{"family":"Carrington","given":"Peter J."},{"family":"Bodin","given":"Örjan"}],"accessed":{"date-parts":[["2019",11,28]]},"issued":{"date-parts":[["2017",12]]}},"label":"page"},{"id":56552,"uris":["http://zotero.org/groups/2352922/items/WGE4W9R8","http://zotero.org/groups/2352922/items/9NHCBRXF"],"itemData":{"id":56552,"type":"article-journal","container-title":"Journal of the Royal Society of New Zealand","DOI":"10.1080/03036758.2019.1653940","ISSN":"0303-6758, 1175-8899","issue":"3","journalAbbreviation":"Journal of the Royal Society of New Zealand","language":"en","page":"412-439","source":"DOI.org (Crossref)","title":"Scale and complexity implications of making New Zealand predator-free by 2050","URL":"https://www.tandfonline.com/doi/full/10.1080/03036758.2019.1653940","volume":"49","author":[{"family":"Peltzer","given":"Duane A."},{"family":"Bellingham","given":"Peter J."},{"family":"Dickie","given":"Ian A."},{"family":"Houliston","given":"Gary"},{"family":"Hulme","given":"Philip E."},{"family":"Lyver","given":"Phil O’B."},{"family":"McGlone","given":"Matthew"},{"family":"Richardson","given":"Sarah J."},{"family":"Wood","given":"Jamie"}],"accessed":{"date-parts":[["2023",6,8]]},"issued":{"date-parts":[["2019",7,3]]}},"label":"page"},{"id":29796,"uris":["http://zotero.org/groups/2352922/items/XY3BWCP6"],"itemData":{"id":29796,"type":"article-journal","container-title":"American Indian Quarterly","DOI":"10.5250/amerindiquar.41.3.0201","ISSN":"0095182X","issue":"3","journalAbbreviation":"American Indian Quarterly","language":"en","page":"201-223","source":"DOI.org (Crossref)","title":"Invasive Species, Indigenous Stewards, and Vulnerability Discourse","URL":"https://muse.jhu.edu/article/667742","volume":"41","author":[{"family":"Reo","given":"Nicholas J."},{"family":"Whyte","given":"Kyle"},{"family":"Ranco","given":"Darren"},{"family":"Brandt","given":"Jodi"},{"family":"Blackmer","given":"Emily"},{"family":"Elliott","given":"Braden"}],"accessed":{"date-parts":[["2021",8,10]]},"issued":{"date-parts":[["2017"]]}},"label":"page"}],"schema":"https://github.com/citation-style-language/schema/raw/master/csl-citation.json"} </w:instrText>
      </w:r>
      <w:r w:rsidR="0088146A" w:rsidRPr="00A9434B">
        <w:fldChar w:fldCharType="separate"/>
      </w:r>
      <w:r w:rsidR="00C71E80" w:rsidRPr="00422F61">
        <w:rPr>
          <w:lang w:val="de-DE"/>
        </w:rPr>
        <w:t>(S. M. Alexander et al., 2017; Peltzer et al., 2019; Reo et al., 2017)</w:t>
      </w:r>
      <w:r w:rsidR="0088146A" w:rsidRPr="00A9434B">
        <w:fldChar w:fldCharType="end"/>
      </w:r>
      <w:r w:rsidR="0088146A" w:rsidRPr="00422F61">
        <w:rPr>
          <w:lang w:val="de-DE"/>
        </w:rPr>
        <w:t xml:space="preserve">. </w:t>
      </w:r>
      <w:r w:rsidR="00746C40" w:rsidRPr="00A9434B">
        <w:t>This collaboration could take the form of “a strong and sustainable institution that can raise awareness, mobili</w:t>
      </w:r>
      <w:r w:rsidR="006B004D" w:rsidRPr="00A9434B">
        <w:t>z</w:t>
      </w:r>
      <w:r w:rsidR="00746C40" w:rsidRPr="00A9434B">
        <w:t xml:space="preserve">e communities and design appropriate management plans” </w:t>
      </w:r>
      <w:r w:rsidR="00F806B6" w:rsidRPr="00A9434B">
        <w:t>(</w:t>
      </w:r>
      <w:r w:rsidR="00F61EB7" w:rsidRPr="00673554">
        <w:rPr>
          <w:b/>
          <w:iCs/>
        </w:rPr>
        <w:t>section 6.7</w:t>
      </w:r>
      <w:r w:rsidR="0018567A" w:rsidRPr="00A9434B">
        <w:t>;</w:t>
      </w:r>
      <w:r w:rsidR="00F61EB7" w:rsidRPr="00A9434B">
        <w:t xml:space="preserve"> </w:t>
      </w:r>
      <w:r w:rsidR="0088146A" w:rsidRPr="00A9434B">
        <w:fldChar w:fldCharType="begin"/>
      </w:r>
      <w:r w:rsidR="0006613E">
        <w:instrText xml:space="preserve"> ADDIN ZOTERO_ITEM CSL_CITATION {"citationID":"alg42v6bag","properties":{"formattedCitation":"\\uldash{(Tilahun et al., 2017)}","plainCitation":"(Tilahun et al., 2017)","dontUpdate":true,"noteIndex":0},"citationItems":[{"id":21373,"uris":["http://zotero.org/groups/2352922/items/YLGWHCWC"],"itemData":{"id":21373,"type":"article-journal","abstract":"Prosopis juliflora, which is an alien tree species in Ethiopia, has invaded over 360,500 ha of land in the Afar region of the country and is threatening pastoral livelihoods. We conducted a contingent valuation study to assess rural households’ willingness to contribute in cash and labor to mitigate P. juliflora invasion in three districts of Afar. Results show that about 84% of the respondents prefer an intervention involving complete eradication of P. juliflora. The lower and upper bound median willingness to contribute to this intervention were 9.97 and 13.42 USD/household/year in cash and 30 and 43 days/household/year in labor. Off-farm income and P. juliflora invasion levels on pasturelands are among the factors affecting willingness to contribute to the mitigation of P. juliflora invasion. Incentives to local people and having a proper institutional setup that involves local culture and institutions are important for mobilizing people on a voluntary basis for mitigation of P. juliflora invasion. © 2016 University of Newcastle upon Tyne.","container-title":"Journal of Environmental Planning and Management","DOI":"10.1080/09640568.2016.1152955","issue":"2","page":"282-308","title":"Household-level preferences for mitigation of &lt;i&gt;Prosopis juliflora&lt;/i&gt; invasion in the Afar region of Ethiopia: a contingent valuation","URL":"https://www.scopus.com/inward/record.uri?eid=2-s2.0-84966938757&amp;doi=10.1080%2f09640568.2016.1152955&amp;partnerID=40&amp;md5=a54eaa96c331f9a0c95641b0078903a0","volume":"60","author":[{"family":"Tilahun","given":"M."},{"family":"Birner","given":"R."},{"family":"Ilukor","given":"J."}],"issued":{"date-parts":[["2017"]]}},"label":"page"}],"schema":"https://github.com/citation-style-language/schema/raw/master/csl-citation.json"} </w:instrText>
      </w:r>
      <w:r w:rsidR="0088146A" w:rsidRPr="00A9434B">
        <w:fldChar w:fldCharType="separate"/>
      </w:r>
      <w:r w:rsidR="0088146A" w:rsidRPr="00A9434B">
        <w:t>Tilahun et al., 2017)</w:t>
      </w:r>
      <w:r w:rsidR="0088146A" w:rsidRPr="00A9434B">
        <w:fldChar w:fldCharType="end"/>
      </w:r>
      <w:r w:rsidR="00746C40" w:rsidRPr="00A9434B">
        <w:t>,</w:t>
      </w:r>
      <w:r>
        <w:t xml:space="preserve"> including:</w:t>
      </w:r>
    </w:p>
    <w:p w14:paraId="198B80F0" w14:textId="3A3DE519" w:rsidR="00017C04" w:rsidRDefault="00F50AF9" w:rsidP="008C206F">
      <w:pPr>
        <w:pStyle w:val="ListParagraph"/>
        <w:numPr>
          <w:ilvl w:val="0"/>
          <w:numId w:val="51"/>
        </w:numPr>
        <w:spacing w:before="0"/>
      </w:pPr>
      <w:r w:rsidRPr="008C206F">
        <w:t>Use of community-led institutions that can bring together community members and make rapid decisions to respond to change, manage or pool communal resources, build leadership, facilitate interaction</w:t>
      </w:r>
      <w:r w:rsidR="005D0083">
        <w:t xml:space="preserve"> and</w:t>
      </w:r>
      <w:r w:rsidRPr="008C206F">
        <w:t xml:space="preserve"> demonstrate practices </w:t>
      </w:r>
      <w:r w:rsidR="0088146A" w:rsidRPr="00A9434B">
        <w:fldChar w:fldCharType="begin"/>
      </w:r>
      <w:r w:rsidR="0006613E">
        <w:instrText xml:space="preserve"> ADDIN ZOTERO_ITEM CSL_CITATION {"citationID":"a13fqt9gkut","properties":{"formattedCitation":"(Guneratne, 2002)","plainCitation":"(Guneratne, 2002)","noteIndex":0},"citationItems":[{"id":53413,"uris":["http://zotero.org/groups/2352922/items/MCAXFX3N"],"itemData":{"id":53413,"type":"book","ISBN":"0-8014-8728-5","number-of-pages":"256","publisher":"Cornell University Press","title":"Many tongues, one people: The making of Tharu identity in Nepal","URL":"https://www.jstor.org/stable/10.7591/j.ctv3s8mfn","author":[{"family":"Guneratne","given":"Arjun"}],"issued":{"date-parts":[["2002"]]}},"label":"page"}],"schema":"https://github.com/citation-style-language/schema/raw/master/csl-citation.json"} </w:instrText>
      </w:r>
      <w:r w:rsidR="0088146A" w:rsidRPr="00A9434B">
        <w:fldChar w:fldCharType="separate"/>
      </w:r>
      <w:r w:rsidR="00C71E80" w:rsidRPr="00A9434B">
        <w:t>(Guneratne, 2002)</w:t>
      </w:r>
      <w:r w:rsidR="0088146A" w:rsidRPr="00A9434B">
        <w:fldChar w:fldCharType="end"/>
      </w:r>
      <w:r w:rsidR="0088146A" w:rsidRPr="00A9434B">
        <w:t>;</w:t>
      </w:r>
    </w:p>
    <w:p w14:paraId="17DE4783" w14:textId="2B26FA4D" w:rsidR="00017C04" w:rsidRDefault="00F50AF9" w:rsidP="008C206F">
      <w:pPr>
        <w:pStyle w:val="ListParagraph"/>
        <w:numPr>
          <w:ilvl w:val="0"/>
          <w:numId w:val="51"/>
        </w:numPr>
      </w:pPr>
      <w:r w:rsidRPr="008C206F">
        <w:t>Collaboration between Indigenous Peoples and local communities, researchers</w:t>
      </w:r>
      <w:r w:rsidR="005D0083">
        <w:t xml:space="preserve"> and</w:t>
      </w:r>
      <w:r w:rsidRPr="008C206F">
        <w:t xml:space="preserve"> government officials to prevent, detect</w:t>
      </w:r>
      <w:r w:rsidR="005D0083">
        <w:t xml:space="preserve"> and</w:t>
      </w:r>
      <w:r w:rsidRPr="008C206F">
        <w:t xml:space="preserve"> respond to invasive alien species, and </w:t>
      </w:r>
    </w:p>
    <w:p w14:paraId="456A3BA4" w14:textId="74257A2A" w:rsidR="00017C04" w:rsidRDefault="00F50AF9" w:rsidP="008C206F">
      <w:pPr>
        <w:pStyle w:val="ListParagraph"/>
        <w:numPr>
          <w:ilvl w:val="0"/>
          <w:numId w:val="51"/>
        </w:numPr>
      </w:pPr>
      <w:r w:rsidRPr="008C206F">
        <w:t xml:space="preserve">Efforts to ensure the conservation of habitats on indigenous lands and leadership in biodiversity conservation and facilitate voluntary partnerships </w:t>
      </w:r>
      <w:r w:rsidR="004250AE" w:rsidRPr="00A9434B">
        <w:fldChar w:fldCharType="begin"/>
      </w:r>
      <w:r w:rsidR="0006613E">
        <w:instrText xml:space="preserve"> ADDIN ZOTERO_ITEM CSL_CITATION {"citationID":"a1i50npkdmh","properties":{"formattedCitation":"(Schuster et al., 2019)","plainCitation":"(Schuster et al., 2019)","noteIndex":0},"citationItems":[{"id":22635,"uris":["http://zotero.org/groups/2352922/items/GSKLAPK6"],"itemData":{"id":22635,"type":"article-journal","abstract":"Declines in global biodiversity due to land conversion and habitat loss are driving a ‘Sixth Mass Extinction’ and many countries fall short of meeting even nominal targets for land protection. We explored how such shortfalls in Australia, Brazil and Canada might be addressed by enhancing partnerships between Indigenous communities and other government agencies that recognize and reward the existing contributions of Indigenous-managed lands to global biodiversity conservation, and their potential contribution to meeting international treaty targets. We found that Indigenous-managed lands were slightly more vertebrate species rich than existing protected areas in all three countries, and in Brazil and Canada, that they supported more threatened vertebrate species than existing protected areas or randomly selected non-protected areas. Our results suggest that overall, Indigenous-managed lands and existing protected areas host similar levels of vertebrate biodiversity in Brazil, Canada, and Australia. Partnerships with Indigenous communities that seek to maintain or enhance Indigenous land tenure practices on Indigenous-managed lands may therefore have some potential to ameliorate national and global shortfalls in land protection for biodiversity conservation using a mix of conventional protected areas and Indigenous-managed lands.","container-title":"Environmental Science &amp; Policy","DOI":"10.1016/j.envsci.2019.07.002","ISSN":"14629011","journalAbbreviation":"Environmental Science &amp; Policy","language":"en","page":"1-6","source":"DOI.org (Crossref)","title":"Vertebrate biodiversity on indigenous-managed lands in Australia, Brazil, and Canada equals that in protected areas","URL":"https://linkinghub.elsevier.com/retrieve/pii/S1462901119301042","volume":"101","author":[{"family":"Schuster","given":"Richard"},{"family":"Germain","given":"Ryan R."},{"family":"Bennett","given":"Joseph R."},{"family":"Reo","given":"Nicholas J."},{"family":"Arcese","given":"Peter"}],"accessed":{"date-parts":[["2020",6,15]]},"issued":{"date-parts":[["2019",11]]}},"label":"page"}],"schema":"https://github.com/citation-style-language/schema/raw/master/csl-citation.json"} </w:instrText>
      </w:r>
      <w:r w:rsidR="004250AE" w:rsidRPr="00A9434B">
        <w:fldChar w:fldCharType="separate"/>
      </w:r>
      <w:r w:rsidR="00C71E80" w:rsidRPr="00A9434B">
        <w:t>(Schuster et al., 2019)</w:t>
      </w:r>
      <w:r w:rsidR="004250AE" w:rsidRPr="00A9434B">
        <w:fldChar w:fldCharType="end"/>
      </w:r>
      <w:r w:rsidR="00746C40" w:rsidRPr="00A9434B">
        <w:t xml:space="preserve">. For example, an agreement was signed between Sami people and the Norwegian government, grounded in the International Labour </w:t>
      </w:r>
      <w:r w:rsidR="74428620" w:rsidRPr="00A9434B">
        <w:t>Organization</w:t>
      </w:r>
      <w:r w:rsidR="00746C40" w:rsidRPr="00A9434B">
        <w:t xml:space="preserve"> Convention on </w:t>
      </w:r>
      <w:r w:rsidR="004A4542" w:rsidRPr="00A9434B">
        <w:t>I</w:t>
      </w:r>
      <w:r w:rsidR="00746C40" w:rsidRPr="00A9434B">
        <w:t xml:space="preserve">ndigenous and </w:t>
      </w:r>
      <w:r w:rsidR="00F327AF" w:rsidRPr="00A9434B">
        <w:t>T</w:t>
      </w:r>
      <w:r w:rsidR="00746C40" w:rsidRPr="00A9434B">
        <w:t xml:space="preserve">ribal </w:t>
      </w:r>
      <w:r w:rsidR="00F327AF" w:rsidRPr="00A9434B">
        <w:t>P</w:t>
      </w:r>
      <w:r w:rsidR="00746C40" w:rsidRPr="00A9434B">
        <w:t xml:space="preserve">eoples in independent countries. This provides Sami people with the right to be consulted on all matters of importance for the Sami </w:t>
      </w:r>
      <w:r w:rsidR="00746C40" w:rsidRPr="00A9434B">
        <w:fldChar w:fldCharType="begin"/>
      </w:r>
      <w:r w:rsidR="0006613E">
        <w:instrText xml:space="preserve"> ADDIN ZOTERO_ITEM CSL_CITATION {"citationID":"a1f1sv78ija","properties":{"formattedCitation":"(Broderstad &amp; Eyth\\uc0\\u243{}rsson, 2014)","plainCitation":"(Broderstad &amp; Eythórsson, 2014)","noteIndex":0},"citationItems":[{"id":24889,"uris":["http://zotero.org/groups/2352922/items/MCZTVNPJ",["http://zotero.org/groups/2352922/items/MCZTVNPJ"]],"itemData":{"id":24889,"type":"article-journal","abstract":"Fisheries-dependent Sami communities in the Norwegian Arctic face major challenges adapting and responding to socialecological changes. On a local scale, communities and households continually adapt and respond to interacting changes in natural conditions and governance frameworks. Degradation of the marine environment and decline in coastal settlements can move socialecological systems beyond critical thresholds or tipping points, where the system irreversibly enters a different state. We examined the recent social-ecological history of 2 fjords in Finnmark, North Norway, which have coped, over the past 30 years, with the collapse of local fish stocks, harp seal (Pagophilus groenlandicus) and red king crab (Paralithodes camtschaticus) invasions, and increasingly restrictive resource management regimes. Further, we explored similarities and differences in their social-ecological histories and discuss how the concepts of resilience and tipping points can be applied as analytical tools in empirical studies of community response to socialecological change. We show that although the ecological changes in the 2 communities have consisted of similar developments, they have been temporally different in ways that may have affected coping strategies and influenced the available options at different times. The apparent resilience of Sami fishing communities can be understood as the result of response strategies employed by communities and households, and the economic opportunities that have opened up as a result of a combination of ecological change and institutional and political reforms.","container-title":"Ecology and Society","DOI":"10.5751/ES-06533-190301","ISSN":"1708-3087","issue":"3","journalAbbreviation":"E&amp;S","language":"en","page":"1","title":"Resilient communities? Collapse and recovery of a social-ecological system in Arctic Norway","title-short":"Resilient communities?","URL":"http://www.ecologyandsociety.org/vol19/iss3/art1/","volume":"19","author":[{"family":"Broderstad","given":"Else Grete"},{"family":"Eythórsson","given":"Einar"}],"accessed":{"date-parts":[["2021",3,10]]},"issued":{"date-parts":[["2014"]]}},"label":"page"}],"schema":"https://github.com/citation-style-language/schema/raw/master/csl-citation.json"} </w:instrText>
      </w:r>
      <w:r w:rsidR="00746C40" w:rsidRPr="00A9434B">
        <w:fldChar w:fldCharType="separate"/>
      </w:r>
      <w:r w:rsidR="00C71E80" w:rsidRPr="00A9434B">
        <w:t>(Broderstad &amp; Eythórsson, 2014)</w:t>
      </w:r>
      <w:r w:rsidR="00746C40" w:rsidRPr="00A9434B">
        <w:fldChar w:fldCharType="end"/>
      </w:r>
      <w:r w:rsidR="00E3042A" w:rsidRPr="00A9434B">
        <w:t>,</w:t>
      </w:r>
      <w:r w:rsidR="00746C40" w:rsidRPr="00A9434B">
        <w:t xml:space="preserve"> using integrated approaches in which potential methods of control are implemented on a case-by-case basis </w:t>
      </w:r>
      <w:r w:rsidR="004250AE" w:rsidRPr="00A9434B">
        <w:fldChar w:fldCharType="begin"/>
      </w:r>
      <w:r w:rsidR="0006613E">
        <w:instrText xml:space="preserve"> ADDIN ZOTERO_ITEM CSL_CITATION {"citationID":"hAtbrXgV","properties":{"formattedCitation":"(Broderstad &amp; Eyth\\uc0\\u243{}rsson, 2014)","plainCitation":"(Broderstad &amp; Eythórsson, 2014)","noteIndex":0},"citationItems":[{"id":24889,"uris":["http://zotero.org/groups/2352922/items/MCZTVNPJ",["http://zotero.org/groups/2352922/items/MCZTVNPJ"]],"itemData":{"id":24889,"type":"article-journal","abstract":"Fisheries-dependent Sami communities in the Norwegian Arctic face major challenges adapting and responding to socialecological changes. On a local scale, communities and households continually adapt and respond to interacting changes in natural conditions and governance frameworks. Degradation of the marine environment and decline in coastal settlements can move socialecological systems beyond critical thresholds or tipping points, where the system irreversibly enters a different state. We examined the recent social-ecological history of 2 fjords in Finnmark, North Norway, which have coped, over the past 30 years, with the collapse of local fish stocks, harp seal (Pagophilus groenlandicus) and red king crab (Paralithodes camtschaticus) invasions, and increasingly restrictive resource management regimes. Further, we explored similarities and differences in their social-ecological histories and discuss how the concepts of resilience and tipping points can be applied as analytical tools in empirical studies of community response to socialecological change. We show that although the ecological changes in the 2 communities have consisted of similar developments, they have been temporally different in ways that may have affected coping strategies and influenced the available options at different times. The apparent resilience of Sami fishing communities can be understood as the result of response strategies employed by communities and households, and the economic opportunities that have opened up as a result of a combination of ecological change and institutional and political reforms.","container-title":"Ecology and Society","DOI":"10.5751/ES-06533-190301","ISSN":"1708-3087","issue":"3","journalAbbreviation":"E&amp;S","language":"en","page":"1","title":"Resilient communities? Collapse and recovery of a social-ecological system in Arctic Norway","title-short":"Resilient communities?","URL":"http://www.ecologyandsociety.org/vol19/iss3/art1/","volume":"19","author":[{"family":"Broderstad","given":"Else Grete"},{"family":"Eythórsson","given":"Einar"}],"accessed":{"date-parts":[["2021",3,10]]},"issued":{"date-parts":[["2014"]]}},"label":"page"}],"schema":"https://github.com/citation-style-language/schema/raw/master/csl-citation.json"} </w:instrText>
      </w:r>
      <w:r w:rsidR="004250AE" w:rsidRPr="00A9434B">
        <w:fldChar w:fldCharType="separate"/>
      </w:r>
      <w:r w:rsidR="00C71E80" w:rsidRPr="00A9434B">
        <w:t>(Broderstad &amp; Eythórsson, 2014)</w:t>
      </w:r>
      <w:r w:rsidR="004250AE" w:rsidRPr="00A9434B">
        <w:fldChar w:fldCharType="end"/>
      </w:r>
      <w:r w:rsidR="009E0CA0" w:rsidRPr="00A9434B">
        <w:t>.</w:t>
      </w:r>
    </w:p>
    <w:p w14:paraId="177ECE42" w14:textId="77777777" w:rsidR="00017C04" w:rsidRDefault="00F50AF9" w:rsidP="008C206F">
      <w:pPr>
        <w:pStyle w:val="Heading3"/>
      </w:pPr>
      <w:bookmarkStart w:id="376" w:name="_heading=h.2koq656" w:colFirst="0" w:colLast="0"/>
      <w:bookmarkStart w:id="377" w:name="_Toc133428324"/>
      <w:bookmarkEnd w:id="376"/>
      <w:r>
        <w:lastRenderedPageBreak/>
        <w:t>Factors contributing to failure and success of engagement with stakeholders and Indigenous Peoples and local communities</w:t>
      </w:r>
      <w:bookmarkStart w:id="378" w:name="_Toc1994924697"/>
      <w:bookmarkEnd w:id="377"/>
      <w:r>
        <w:t xml:space="preserve"> </w:t>
      </w:r>
      <w:bookmarkEnd w:id="378"/>
    </w:p>
    <w:p w14:paraId="4BB529F3" w14:textId="0A4B0AB5" w:rsidR="009E48C2" w:rsidRPr="00A9434B" w:rsidRDefault="009E48C2" w:rsidP="006B3143">
      <w:r w:rsidRPr="00A9434B">
        <w:t xml:space="preserve">There are now many documented examples </w:t>
      </w:r>
      <w:r w:rsidR="00E3042A" w:rsidRPr="00A9434B">
        <w:t xml:space="preserve">of stakeholders and Indigenous Peoples and local </w:t>
      </w:r>
      <w:r w:rsidRPr="00A9434B">
        <w:t>communit</w:t>
      </w:r>
      <w:r w:rsidR="00351A46">
        <w:t>ies</w:t>
      </w:r>
      <w:r w:rsidRPr="00A9434B">
        <w:t xml:space="preserve"> engagement processes that have failed to deliver intended outcomes for the environment, or </w:t>
      </w:r>
      <w:r w:rsidR="00F61EB7" w:rsidRPr="00A9434B">
        <w:t xml:space="preserve">even </w:t>
      </w:r>
      <w:r w:rsidRPr="00A9434B">
        <w:t xml:space="preserve">led to negative unintended consequences </w:t>
      </w:r>
      <w:r w:rsidRPr="00A9434B">
        <w:fldChar w:fldCharType="begin"/>
      </w:r>
      <w:r w:rsidR="0006613E">
        <w:instrText xml:space="preserve"> ADDIN ZOTERO_ITEM CSL_CITATION {"citationID":"a9tqfqda3b","properties":{"formattedCitation":"(Coglianese, 1997; Cooke &amp; Kothari, 2001; Gerrits &amp; Edelenbos, 2004; Lane &amp; Corbett, 2005; Staddon et al., 2015)","plainCitation":"(Coglianese, 1997; Cooke &amp; Kothari, 2001; Gerrits &amp; Edelenbos, 2004; Lane &amp; Corbett, 2005; Staddon et al., 2015)","noteIndex":0},"citationItems":[{"id":10430,"uris":["http://zotero.org/groups/2352922/items/GQIHFAGT"],"itemData":{"id":10430,"type":"article-journal","container-title":"Duke Law Journal","DOI":"10.2307/1372989","issue":"6","page":"1255","title":"Assessing consensus: The promise and performance of negotiated rulemaking","URL":"https://www.scopus.com/inward/record.uri?eid=2-s2.0-0041823004&amp;doi=10.2307%2f1372989&amp;partnerID=40&amp;md5=85f1e50c07b645c7d8884e8a3a8cbb52","volume":"46","author":[{"family":"Coglianese","given":"C."}],"issued":{"date-parts":[["1997"]]}},"label":"page"},{"id":10429,"uris":["http://zotero.org/groups/2352922/items/C333FEC8"],"itemData":{"id":10429,"type":"book","abstract":"In many countries around the world, in NGOs, private concerns and other organisations, participation is a buzz-word that fails to live up to expectations. These essays explore how participatory schemes fail and how to rectify the situation.","event-place":"London","ISBN":"978-1-85649-793-0","language":"English","note":"OCLC: 44585299","publisher":"Zed Books","publisher-place":"London","source":"Open WorldCat","title":"Participation: the new tyranny?","title-short":"Participation","author":[{"family":"Cooke","given":"Bill"},{"family":"Kothari","given":"Uma"}],"issued":{"date-parts":[["2001"]]}},"label":"page"},{"id":10428,"uris":["http://zotero.org/groups/2352922/items/K3AD9KRG"],"itemData":{"id":10428,"type":"article-journal","abstract":"Goal, Scope and Background. The management of sediments poses complex problems. One of the problems is the division of decision-making power, knowledge and money across different actors. These interdependencies call for stakeholder involvement. The various risks of stakeholder involvement are discussed from practical experience. Following this discussion, recommendations will be made regarding the interactive management of sediments in national and cross-national rivers. Main Features. The first two sections will show stakeholder involvement to be both required and necessary. Stakeholder involvement ranges from no involvement, e.g. just being informed, to the other side of the scale where decision-making power is handed over to the stakeholders. Each level of participation has its own rules and roles for stakeholders, experts and policymakers. Once a certain level is chosen, the participants should adhere to it. The third section focuses on the risks accompanying stakeholder involvement. Two kinds of pitfalls are presented and discussed. The first covers general pitfalls that may occur in all kinds of processes. They comprise a lack of representativeness among the participants, the different levels of knowledge between experts and laymen, lack of communication between parties, clashing expectations when parties expect a different process than others, and finally the problem of neglecting the stakeholders when the policy process arrives at the decision-making phase. The second kind of pitfall occurs in international rivers. Matters become even more complicated when rivers cross borders. In that case, stakeholder involvement means dealing with different cultures and institutional differences as well. Results and Discussions. All these pitfalls mean that the process of stakeholder involvement is not as straightforward as it may seem. Every pitfall noted is accompanied by recommendations for the participants in future interactive processes of sediment-related policy-making. Conclusions. Involvement of stakeholders when dealing with sediments is complicated. The pitfalls mentioned call for a deliberate approach and set-up of such a process, Since European policymakers tend towards a higher appreciation of stakeholder involvement, it would be advisable to pay attention to those differences. Recommendations and Outlook. Apart from the recommendations given in this article, it is recommendable to carry out more empirical research into policy-processes regarding the management of sediments. To date, much research in this field has been of a theoretical nature, so that more empirical data is required. © 2004 ecomed publishers (Verlagsgruppe Hüthig Jehle Rehm GmbH).","container-title":"Journal of Soils and Sediments","DOI":"10.1065/jss2004.10.121","issue":"4","page":"239-246","title":"Management of sediments through stakeholder involvement - The risks and value of engaging stakeholders when looking for solutions for sediment-related problems","URL":"https://www.scopus.com/inward/record.uri?eid=2-s2.0-84930485407&amp;doi=10.1065%2fjss2004.10.121&amp;partnerID=40&amp;md5=7ce3a2bc26a7cb977858f1b347211557","volume":"4","author":[{"family":"Gerrits","given":"L."},{"family":"Edelenbos","given":"J."}],"issued":{"date-parts":[["2004"]]}},"label":"page"},{"id":29918,"uris":["http://zotero.org/groups/2352922/items/LAGHIUD7"],"itemData":{"id":29918,"type":"article-journal","abstract":"This paper examines the claim that community-based environmental management is fairer and more democratic than so-called 'top-down' approaches. The paper examines the experience of Australian indigenous peoples with a national, community-based environmental management programme. The analysis of the programme reveals systemic marginalization of indigenous peoples. The paper suggests that 'bottom-up' governance serves to magnify the importance of local material and symbolic contests in which indigenous groups are engaged. Community-based environmental management can fail precisely because of what many of its advocates take to be its more democratic quality: its localism. © 2005 Taylor &amp; Francis.","container-title":"Journal of Environmental Policy and Planning","DOI":"10.1080/15239080500338671","issue":"2","page":"141-159","title":"The tyranny of localism: Indigenous participation in community-based environmental management","URL":"https://www.scopus.com/inward/record.uri?eid=2-s2.0-28344434371&amp;doi=10.1080%2f15239080500338671&amp;partnerID=40&amp;md5=f4568ada6d8ca404f5ee55bc00fbf0ea","volume":"7","author":[{"family":"Lane","given":"M.B."},{"family":"Corbett","given":"T."}],"issued":{"date-parts":[["2005"]]}},"label":"page"},{"id":10427,"uris":["http://zotero.org/groups/2352922/items/DVEXWLLU"],"itemData":{"id":10427,"type":"article-journal","abstract":"SUMMARY Members of the public and resource-dependent communities are increasingly participating alongside professional scientists to monitor the natural world. This study applies the contention from development studies that participatory approaches may be tyrannical to participatory monitoring of Nepal's community forests. There is a tyranny of the group because elites within the community stand to benefit at the cost of those already marginalized. In theory, tyranny is produced through the methods employed in the projects, as they promote scientific systems of monitoring at the expense of local understandings of environmental change; in practice, however, the latter aspects override official monitoring to enable effective learning from the projects. In some instances, tyranny is produced through decision-making and control, whilst, in other cases, the reverse is true and communities are empowered through their participatory monitoring efforts. Policy makers and those involved in participatory monitoring should endeavour to transform tyranny created at local and wider scales. Participatory monitoring holds huge potential in the assessment of biodiversity, natural resources and ecosystem services, but programmes and projects need to effectively deliver associated benefits of conservation and community empowerment. Copyright © Foundation for Environmental Conservation 2015.","container-title":"Environmental Conservation","DOI":"10.1017/S037689291500003X","issue":"3","page":"268-277","title":"Exploring participation in ecological monitoring in Nepal's community forests","URL":"https://www.scopus.com/inward/record.uri?eid=2-s2.0-84938414670&amp;doi=10.1017%2fS037689291500003X&amp;partnerID=40&amp;md5=4e1ecd8b4dcf63f446d2d924c18221e4","volume":"42","author":[{"family":"Staddon","given":"S.C."},{"family":"Nightingale","given":"A."},{"family":"Shrestha","given":"S.K."}],"issued":{"date-parts":[["2015"]]}},"label":"page"}],"schema":"https://github.com/citation-style-language/schema/raw/master/csl-citation.json"} </w:instrText>
      </w:r>
      <w:r w:rsidRPr="00A9434B">
        <w:fldChar w:fldCharType="separate"/>
      </w:r>
      <w:r w:rsidR="00C71E80" w:rsidRPr="00A9434B">
        <w:t>(Coglianese, 1997; Cooke &amp; Kothari, 2001; Gerrits &amp; Edelenbos, 2004; Lane &amp; Corbett, 2005; Staddon et al., 2015)</w:t>
      </w:r>
      <w:r w:rsidRPr="00A9434B">
        <w:fldChar w:fldCharType="end"/>
      </w:r>
      <w:r w:rsidRPr="00A9434B">
        <w:t>, for example</w:t>
      </w:r>
      <w:r w:rsidR="00831E59" w:rsidRPr="00A9434B">
        <w:t>,</w:t>
      </w:r>
      <w:r w:rsidRPr="00A9434B">
        <w:t xml:space="preserve"> by inflaming latent conflicts </w:t>
      </w:r>
      <w:r w:rsidRPr="00A9434B">
        <w:fldChar w:fldCharType="begin"/>
      </w:r>
      <w:r w:rsidR="0006613E">
        <w:instrText xml:space="preserve"> ADDIN ZOTERO_ITEM CSL_CITATION {"citationID":"a2hfot73s03","properties":{"formattedCitation":"(Emery et al., 2015; Redpath et al., 2013)","plainCitation":"(Emery et al., 2015; Redpath et al., 2013)","noteIndex":0},"citationItems":[{"id":10425,"uris":["http://zotero.org/groups/2352922/items/V8KDCGLS"],"itemData":{"id":10425,"type":"article-journal","abstract":"Conservation conflicts are increasing and need to be managed to minimise negative impacts on biodiversity, human livelihoods, and human well-being. Here, we explore strategies and case studies that highlight the long-term, dynamic nature of conflicts and the challenges to their management. Conflict management requires parties to recognise problems as shared ones, and engage with clear goals, a transparent evidence base, and an awareness of trade-offs. We hypothesise that conservation outcomes will be less durable when conservationists assert their interests to the detriment of others. Effective conflict management and long-term conservation benefit will be enhanced by better integration of the underpinning social context with the material impacts and evaluation of the efficacy of alternative conflict management approaches. © 2012 Elsevier Ltd.","container-title":"Trends in Ecology and Evolution","DOI":"10.1016/j.tree.2012.08.021","issue":"2","page":"100-109","title":"Understanding and managing conservation conflicts","URL":"https://www.scopus.com/inward/record.uri?eid=2-s2.0-84872677432&amp;doi=10.1016%2fj.tree.2012.08.021&amp;partnerID=40&amp;md5=90d0b14aa8537a30e922bfda70b3611a","volume":"28","author":[{"family":"Redpath","given":"S.M."},{"family":"Young","given":"J."},{"family":"Evely","given":"A."},{"family":"Adams","given":"W.M."},{"family":"Sutherland","given":"W.J."},{"family":"Whitehouse","given":"A."},{"family":"Amar","given":"A."},{"family":"Lambert","given":"R.A."},{"family":"Linnell","given":"J.D.C."},{"family":"Watt","given":"A."},{"family":"Gutiérrez","given":"R.J."}],"issued":{"date-parts":[["2013"]]}},"label":"page"},{"id":10426,"uris":["http://zotero.org/groups/2352922/items/B3LRTRM8"],"itemData":{"id":10426,"type":"article-journal","abstract":"There is a lack of published evidence which demonstrates the impacts of public engagement (PE) in science and technology policy. This might represent the failure of PE to achieve policy impacts or indicate a lack of effective procedures for discerning the uptake by policy makers of PE-derived outputs. While efforts have been made to identify and categorize different types of policy impact, research has rarely attempted to link policy impact with PE procedures, political procedures, or the connections between them. In this article, we propose a simple conceptual model to capture this information, based on semistructured interviews with both policy makers and PE practitioners. A range of criteria are identified to increase the policy impact of PE. The role of PE practitioners in realizing impacts through their interactions with policy makers in the informal “in-between” spaces of public engagement is emphasized. However, the potential contradictions between the pursuit of policy impacts and the more traditional conceptualizations of PE effectiveness are discussed. The main barrier to the identification of policy impacts from PE may lie within policy processes themselves. Political institutions have responsibility to establish formalized procedures for monitoring the uptake and use of evidence from PE in their decision-making processes. © The Author(s) 2014","container-title":"Science Technology and Human Values","DOI":"10.1177/0162243914550319","issue":"3","page":"421-444","title":"Maximizing the Policy Impacts of Public Engagement: A European Study","URL":"https://www.scopus.com/inward/record.uri?eid=2-s2.0-84928547028&amp;doi=10.1177%2f0162243914550319&amp;partnerID=40&amp;md5=878f69407ca924c1b1b961b29b2ffc7f","volume":"40","author":[{"family":"Emery","given":"S.B."},{"family":"Mulder","given":"H.A.J."},{"family":"Frewer","given":"L.J."}],"issued":{"date-parts":[["2015"]]}},"label":"page"}],"schema":"https://github.com/citation-style-language/schema/raw/master/csl-citation.json"} </w:instrText>
      </w:r>
      <w:r w:rsidRPr="00A9434B">
        <w:fldChar w:fldCharType="separate"/>
      </w:r>
      <w:r w:rsidR="00C71E80" w:rsidRPr="00A9434B">
        <w:t>(Emery et al., 2015; Redpath et al., 2013)</w:t>
      </w:r>
      <w:r w:rsidRPr="00A9434B">
        <w:fldChar w:fldCharType="end"/>
      </w:r>
      <w:r w:rsidRPr="00A9434B">
        <w:t>. As a result, criticisms of engagement practice have ranged from tokenism, where participants are manipulated to legitimi</w:t>
      </w:r>
      <w:r w:rsidR="006B004D" w:rsidRPr="00A9434B">
        <w:t>z</w:t>
      </w:r>
      <w:r w:rsidRPr="00A9434B">
        <w:t>e decisions, to broader critiques that key groups may not have the information, skills or equality needed to participate in effective governance, knowledge sharing</w:t>
      </w:r>
      <w:r w:rsidR="00831E59" w:rsidRPr="00A9434B">
        <w:t>,</w:t>
      </w:r>
      <w:r w:rsidRPr="00A9434B">
        <w:t xml:space="preserve"> or learning processes </w:t>
      </w:r>
      <w:r w:rsidR="00F806B6" w:rsidRPr="00A9434B">
        <w:t>(</w:t>
      </w:r>
      <w:r w:rsidRPr="00673554">
        <w:rPr>
          <w:b/>
          <w:iCs/>
        </w:rPr>
        <w:t>section 6.4.</w:t>
      </w:r>
      <w:r w:rsidR="00C834FD" w:rsidRPr="00673554">
        <w:rPr>
          <w:b/>
          <w:iCs/>
        </w:rPr>
        <w:t>4</w:t>
      </w:r>
      <w:r w:rsidRPr="00A9434B">
        <w:t xml:space="preserve">). </w:t>
      </w:r>
    </w:p>
    <w:p w14:paraId="00171DA8" w14:textId="11CD5212" w:rsidR="009E48C2" w:rsidRPr="00A9434B" w:rsidRDefault="05B3C8C5" w:rsidP="00AA393F">
      <w:pPr>
        <w:spacing w:after="0"/>
      </w:pPr>
      <w:r w:rsidRPr="00A9434B">
        <w:t xml:space="preserve">There is no reliable </w:t>
      </w:r>
      <w:r w:rsidR="00527080" w:rsidRPr="00A9434B">
        <w:t>“</w:t>
      </w:r>
      <w:r w:rsidRPr="00A9434B">
        <w:t>one-size-fits</w:t>
      </w:r>
      <w:r w:rsidR="00893149" w:rsidRPr="00A9434B">
        <w:t>-</w:t>
      </w:r>
      <w:r w:rsidRPr="00A9434B">
        <w:t>all</w:t>
      </w:r>
      <w:r w:rsidR="00893149" w:rsidRPr="00A9434B">
        <w:t>”</w:t>
      </w:r>
      <w:r w:rsidRPr="00A9434B">
        <w:t xml:space="preserve"> blueprint for collaborative governance </w:t>
      </w:r>
      <w:r w:rsidR="00F806B6" w:rsidRPr="00A9434B">
        <w:t>(</w:t>
      </w:r>
      <w:r w:rsidRPr="00673554">
        <w:rPr>
          <w:b/>
          <w:iCs/>
        </w:rPr>
        <w:t>section 6.2.</w:t>
      </w:r>
      <w:r w:rsidR="006C0BEA" w:rsidRPr="00673554">
        <w:rPr>
          <w:b/>
          <w:iCs/>
        </w:rPr>
        <w:t>3</w:t>
      </w:r>
      <w:r w:rsidRPr="00673554">
        <w:rPr>
          <w:b/>
          <w:iCs/>
        </w:rPr>
        <w:t>.1</w:t>
      </w:r>
      <w:r w:rsidRPr="00A9434B">
        <w:t>)</w:t>
      </w:r>
      <w:r w:rsidR="008A0478" w:rsidRPr="00A9434B">
        <w:t>,</w:t>
      </w:r>
      <w:r w:rsidRPr="00A9434B">
        <w:t xml:space="preserve"> but in response to these criticisms, Reed et al. </w:t>
      </w:r>
      <w:r w:rsidR="009E48C2" w:rsidRPr="00A9434B">
        <w:fldChar w:fldCharType="begin"/>
      </w:r>
      <w:r w:rsidR="0006613E">
        <w:instrText xml:space="preserve"> ADDIN ZOTERO_ITEM CSL_CITATION {"citationID":"a12t560gra0","properties":{"formattedCitation":"(2018)","plainCitation":"(2018)","noteIndex":0},"citationItems":[{"id":26767,"uris":["http://zotero.org/groups/2352922/items/MBX6C84R"],"itemData":{"id":26767,"type":"article-journal","container-title":"Restoration Ecology","DOI":"10.1111/rec.12541","ISSN":"10612971","issue":"S1","journalAbbreviation":"Restor Ecol","language":"en","page":"S7-S17","source":"DOI.org (Crossref)","title":"A theory of participation: what makes stakeholder and public engagement in environmental management work?","title-short":"A theory of participation","URL":"https://doi.org/10.1111/rec.12541","volume":"26","author":[{"family":"Reed","given":"Mark S."},{"family":"Vella","given":"Steven"},{"family":"Challies","given":"Edward"},{"family":"Vente","given":"Joris","non-dropping-particle":"de"},{"family":"Frewer","given":"Lynne"},{"family":"Hohenwallner-Ries","given":"Daniela"},{"family":"Huber","given":"Tobias"},{"family":"Neumann","given":"Rosmarie K."},{"family":"Oughton","given":"Elizabeth A."},{"family":"Sidoli del Ceno","given":"Julian"},{"family":"Delden","given":"Hedwig","non-dropping-particle":"van"}],"accessed":{"date-parts":[["2021",5,7]]},"issued":{"date-parts":[["2018",4]]}},"label":"page","suppress-author":true}],"schema":"https://github.com/citation-style-language/schema/raw/master/csl-citation.json"} </w:instrText>
      </w:r>
      <w:r w:rsidR="009E48C2" w:rsidRPr="00A9434B">
        <w:fldChar w:fldCharType="separate"/>
      </w:r>
      <w:r w:rsidR="00C71E80" w:rsidRPr="00A9434B">
        <w:t>(2018)</w:t>
      </w:r>
      <w:r w:rsidR="009E48C2" w:rsidRPr="00A9434B">
        <w:fldChar w:fldCharType="end"/>
      </w:r>
      <w:r w:rsidRPr="00A9434B">
        <w:t xml:space="preserve"> distinguished different levels of engagement, and factors that might in theory </w:t>
      </w:r>
      <w:r w:rsidR="6BF40386" w:rsidRPr="00A9434B">
        <w:t xml:space="preserve">explain </w:t>
      </w:r>
      <w:r w:rsidRPr="00A9434B">
        <w:t>why engagement does or does not deliver intended outcomes. Levels of engagement can be adapted to the purpose and context of the process, rather than necessarily aiming for the highest levels of engagement, such as co-production (</w:t>
      </w:r>
      <w:r w:rsidR="009E48C2" w:rsidRPr="00673554">
        <w:rPr>
          <w:b/>
          <w:iCs/>
        </w:rPr>
        <w:fldChar w:fldCharType="begin"/>
      </w:r>
      <w:r w:rsidR="009E48C2" w:rsidRPr="00673554">
        <w:rPr>
          <w:b/>
          <w:iCs/>
        </w:rPr>
        <w:instrText xml:space="preserve"> REF _Ref104896795 \h  \* MERGEFORMAT </w:instrText>
      </w:r>
      <w:r w:rsidR="009E48C2" w:rsidRPr="00673554">
        <w:rPr>
          <w:b/>
          <w:iCs/>
        </w:rPr>
      </w:r>
      <w:r w:rsidR="009E48C2" w:rsidRPr="00673554">
        <w:rPr>
          <w:b/>
          <w:iCs/>
        </w:rPr>
        <w:fldChar w:fldCharType="separate"/>
      </w:r>
      <w:r w:rsidR="0011368C" w:rsidRPr="00673554">
        <w:rPr>
          <w:b/>
          <w:iCs/>
        </w:rPr>
        <w:t>Figure 6.16</w:t>
      </w:r>
      <w:r w:rsidR="009E48C2" w:rsidRPr="00673554">
        <w:rPr>
          <w:b/>
          <w:iCs/>
        </w:rPr>
        <w:fldChar w:fldCharType="end"/>
      </w:r>
      <w:r w:rsidRPr="00A9434B">
        <w:t xml:space="preserve">). A conceptual model of participation that </w:t>
      </w:r>
      <w:r w:rsidR="298CFCD6" w:rsidRPr="00A9434B">
        <w:t>is</w:t>
      </w:r>
      <w:r w:rsidRPr="00A9434B">
        <w:t xml:space="preserve"> inclusive and empowering</w:t>
      </w:r>
      <w:r w:rsidR="48691CF6" w:rsidRPr="00A9434B">
        <w:t xml:space="preserve"> </w:t>
      </w:r>
      <w:r w:rsidRPr="00A9434B">
        <w:t xml:space="preserve">can be used to build </w:t>
      </w:r>
      <w:r w:rsidR="299F1255" w:rsidRPr="00A9434B">
        <w:t>stronger participation</w:t>
      </w:r>
      <w:r w:rsidRPr="00A9434B">
        <w:t xml:space="preserve"> and engagement </w:t>
      </w:r>
      <w:r w:rsidR="00CC27BF" w:rsidRPr="00A9434B">
        <w:fldChar w:fldCharType="begin"/>
      </w:r>
      <w:r w:rsidR="0006613E">
        <w:instrText xml:space="preserve"> ADDIN ZOTERO_ITEM CSL_CITATION {"citationID":"a1bkjcv2u1v","properties":{"formattedCitation":"(Bell &amp; Reed, 2022)","plainCitation":"(Bell &amp; Reed, 2022)","noteIndex":0},"citationItems":[{"id":26961,"uris":["http://zotero.org/groups/2352922/items/J2CHV879"],"itemData":{"id":26961,"type":"article-journal","abstract":"Abstract\n            Community development often involves organizing participatory decision-making processes. The challenge is for this to be meaningful. Participatory decision-making has the potential to increase the transparency, accountability, equity and efficiency with which public administration serves the least privileged in society. However, in practice, it often fails to bring about these outcomes. A number of academics and practitioners have, therefore, theorized how participatory decision-making processes can better empower marginalized groups. By critically reviewing this body of work and empirically grounding the debate in recent practice, we aimed to develop a theoretically rigorous, easily applicable and holistic model of an inclusive participatory decision-making process that can work across a range of contexts. The empirical strand included surveying public engagement practitioners and participants about the participatory events they had organized or attended. These empirical findings were combined with insights from the theoretical literature to devise a new conceptual model of emancipatory, inclusive and empowering participatory decision-making – the ‘Tree of Participation’. The model can be useful to both organizers of participatory processes, as a check for empowering and inclusive practice, and to disadvantaged groups, as a set of expectations and demands when engaging in public decision-making.","container-title":"Community Development Journal","DOI":"10.1093/cdj/bsab018","ISSN":"0010-3802, 1468-2656","issue":"4","language":"en","page":"595–614","source":"DOI.org (Crossref)","title":"The tree of participation: a new model for inclusive decision-making","title-short":"The tree of participation","URL":"https://doi.org/10.1093/cdj/bsab018","volume":"57","author":[{"family":"Bell","given":"Karen"},{"family":"Reed","given":"Mark"}],"accessed":{"date-parts":[["2021",7,4]]},"issued":{"date-parts":[["2022",10]]}},"label":"page"}],"schema":"https://github.com/citation-style-language/schema/raw/master/csl-citation.json"} </w:instrText>
      </w:r>
      <w:r w:rsidR="00CC27BF" w:rsidRPr="00A9434B">
        <w:fldChar w:fldCharType="separate"/>
      </w:r>
      <w:r w:rsidR="00017441" w:rsidRPr="00017441">
        <w:t>(Bell &amp; Reed, 2022)</w:t>
      </w:r>
      <w:r w:rsidR="00CC27BF" w:rsidRPr="00A9434B">
        <w:fldChar w:fldCharType="end"/>
      </w:r>
      <w:r w:rsidR="5C3087CB" w:rsidRPr="00A9434B">
        <w:t>:</w:t>
      </w:r>
    </w:p>
    <w:p w14:paraId="28B4EB5E" w14:textId="77777777" w:rsidR="00017C04" w:rsidRPr="008C206F" w:rsidRDefault="00F50AF9" w:rsidP="008C206F">
      <w:pPr>
        <w:pStyle w:val="ListParagraph"/>
        <w:numPr>
          <w:ilvl w:val="0"/>
          <w:numId w:val="52"/>
        </w:numPr>
        <w:spacing w:before="0"/>
      </w:pPr>
      <w:r w:rsidRPr="008C206F">
        <w:t>Before: Consider the role of factors that precede an effective participatory process (e.g., the creation of safe spaces and overcoming barriers to engagement to ensure the process is inclusive, including women and other marginalized groups).</w:t>
      </w:r>
    </w:p>
    <w:p w14:paraId="3FB64E50" w14:textId="3CD2A1AC" w:rsidR="00017C04" w:rsidRPr="008C206F" w:rsidRDefault="00F50AF9" w:rsidP="008C206F">
      <w:pPr>
        <w:pStyle w:val="ListParagraph"/>
        <w:numPr>
          <w:ilvl w:val="0"/>
          <w:numId w:val="52"/>
        </w:numPr>
      </w:pPr>
      <w:r w:rsidRPr="008C206F">
        <w:t>During: Take into account the factors that affect empowerment during the engagement process (e.g., equality between participants that respects and values different knowledge systems - including local knowledge and experience of invasive</w:t>
      </w:r>
      <w:r w:rsidR="711272F8" w:rsidRPr="008C206F">
        <w:t xml:space="preserve"> </w:t>
      </w:r>
      <w:r w:rsidR="711272F8" w:rsidRPr="56C59A3A">
        <w:rPr>
          <w:color w:val="000000" w:themeColor="text1"/>
        </w:rPr>
        <w:t>alien</w:t>
      </w:r>
      <w:r w:rsidRPr="56C59A3A">
        <w:rPr>
          <w:color w:val="000000" w:themeColor="text1"/>
        </w:rPr>
        <w:t xml:space="preserve"> </w:t>
      </w:r>
      <w:r w:rsidRPr="008C206F">
        <w:t>species)</w:t>
      </w:r>
      <w:r w:rsidR="005D0083">
        <w:t xml:space="preserve"> and</w:t>
      </w:r>
      <w:r w:rsidRPr="008C206F">
        <w:t xml:space="preserve"> agency, including freedom (from fear)</w:t>
      </w:r>
      <w:r w:rsidR="005D0083">
        <w:t xml:space="preserve"> and</w:t>
      </w:r>
      <w:r w:rsidRPr="008C206F">
        <w:t xml:space="preserve"> access to the resources and other means necessary to actively participate.</w:t>
      </w:r>
    </w:p>
    <w:p w14:paraId="4FE732BF" w14:textId="77910724" w:rsidR="00017C04" w:rsidRPr="008C206F" w:rsidRDefault="00F50AF9" w:rsidP="008C206F">
      <w:pPr>
        <w:pStyle w:val="ListParagraph"/>
        <w:numPr>
          <w:ilvl w:val="0"/>
          <w:numId w:val="52"/>
        </w:numPr>
      </w:pPr>
      <w:r w:rsidRPr="008C206F">
        <w:t>After: Foresee factors that may continue to build empowerment or disempower participants after the process has concluded (e.g., accountability, ensuring decisions are implemented and reflect outcomes from the process</w:t>
      </w:r>
      <w:r w:rsidR="005D0083">
        <w:t xml:space="preserve"> and</w:t>
      </w:r>
      <w:r w:rsidRPr="008C206F">
        <w:t xml:space="preserve"> feedback loops that inform people how their knowledge has been used to manage invasive alien species in their area or sector; </w:t>
      </w:r>
      <w:r w:rsidR="009E48C2" w:rsidRPr="00673554">
        <w:rPr>
          <w:rFonts w:eastAsiaTheme="minorHAnsi"/>
          <w:b/>
          <w:bCs/>
          <w:iCs/>
        </w:rPr>
        <w:fldChar w:fldCharType="begin"/>
      </w:r>
      <w:r w:rsidR="009E48C2" w:rsidRPr="00673554">
        <w:rPr>
          <w:rFonts w:eastAsiaTheme="minorHAnsi"/>
          <w:b/>
          <w:bCs/>
          <w:iCs/>
        </w:rPr>
        <w:instrText xml:space="preserve"> REF _Ref104896795 \h  \* MERGEFORMAT </w:instrText>
      </w:r>
      <w:r w:rsidR="009E48C2" w:rsidRPr="00673554">
        <w:rPr>
          <w:rFonts w:eastAsiaTheme="minorHAnsi"/>
          <w:b/>
          <w:bCs/>
          <w:iCs/>
        </w:rPr>
      </w:r>
      <w:r w:rsidR="009E48C2" w:rsidRPr="00673554">
        <w:rPr>
          <w:rFonts w:eastAsiaTheme="minorHAnsi"/>
          <w:b/>
          <w:bCs/>
          <w:iCs/>
        </w:rPr>
        <w:fldChar w:fldCharType="separate"/>
      </w:r>
      <w:r w:rsidR="0011368C" w:rsidRPr="00673554">
        <w:rPr>
          <w:b/>
          <w:bCs/>
          <w:iCs/>
        </w:rPr>
        <w:t>Figure 6.16</w:t>
      </w:r>
      <w:r w:rsidR="009E48C2" w:rsidRPr="00673554">
        <w:rPr>
          <w:rFonts w:eastAsiaTheme="minorHAnsi"/>
          <w:b/>
          <w:bCs/>
          <w:iCs/>
        </w:rPr>
        <w:fldChar w:fldCharType="end"/>
      </w:r>
      <w:r w:rsidR="009E48C2" w:rsidRPr="00A9434B">
        <w:rPr>
          <w:rFonts w:eastAsiaTheme="minorHAnsi"/>
          <w:bCs/>
        </w:rPr>
        <w:t>)</w:t>
      </w:r>
      <w:r w:rsidR="009E48C2" w:rsidRPr="00A9434B">
        <w:rPr>
          <w:rFonts w:eastAsiaTheme="minorHAnsi"/>
        </w:rPr>
        <w:t>.</w:t>
      </w:r>
    </w:p>
    <w:p w14:paraId="41DE97D2" w14:textId="23B33329" w:rsidR="00B213DD" w:rsidRPr="00A9434B" w:rsidRDefault="00F50AF9" w:rsidP="006B3143">
      <w:r>
        <w:t xml:space="preserve">An understanding of stakeholders and Indigenous Peoples and local communities’ influences and interests, how each are likely to be involved in different invasion stages, and their participation as equal partners, can therefore contribute to the success of any attempt to represent, empower people and co-design biological invasion management and governance. </w:t>
      </w:r>
      <w:r w:rsidR="48691CF6" w:rsidRPr="00A9434B">
        <w:t xml:space="preserve">If communicative and consultative approaches can deliver significant benefits </w:t>
      </w:r>
      <w:r w:rsidR="009E48C2" w:rsidRPr="00A9434B">
        <w:fldChar w:fldCharType="begin"/>
      </w:r>
      <w:r w:rsidR="0006613E">
        <w:instrText xml:space="preserve"> ADDIN ZOTERO_ITEM CSL_CITATION {"citationID":"a1rf187562f","properties":{"formattedCitation":"(Shackleton, Adriaens, et al., 2019)","plainCitation":"(Shackleton, Adriaens, et al., 2019)","noteIndex":0},"citationItems":[{"id":29948,"uris":["http://zotero.org/groups/2352922/items/AVRETIRN"],"itemData":{"id":29948,"type":"article-journal","container-title":"Journal of Environmental Management","DOI":"10.1016/j.jenvman.2018.04.044","ISSN":"03014797","journalAbbreviation":"Journal of Environmental Management","language":"en","page":"88-101","source":"DOI.org (Crossref)","title":"Stakeholder engagement in the study and management of invasive alien species","URL":"https://linkinghub.elsevier.com/retrieve/pii/S0301479718304262","volume":"229","author":[{"family":"Shackleton","given":"Ross T."},{"family":"Adriaens","given":"Tim"},{"family":"Brundu","given":"Giuseppe"},{"family":"Dehnen-Schmutz","given":"Katharina"},{"family":"Estévez","given":"Rodrigo A."},{"family":"Fried","given":"Jana"},{"family":"Larson","given":"Brendon M.H."},{"family":"Liu","given":"Shuang"},{"family":"Marchante","given":"Elizabete"},{"family":"Marchante","given":"Hélia"},{"family":"Moshobane","given":"Moleseng C."},{"family":"Novoa","given":"Ana"},{"family":"Reed","given":"Mark"},{"family":"Richardson","given":"David M."}],"accessed":{"date-parts":[["2021",8,16]]},"issued":{"date-parts":[["2019",1]]}}}],"schema":"https://github.com/citation-style-language/schema/raw/master/csl-citation.json"} </w:instrText>
      </w:r>
      <w:r w:rsidR="009E48C2" w:rsidRPr="00A9434B">
        <w:fldChar w:fldCharType="separate"/>
      </w:r>
      <w:r w:rsidR="00C71E80" w:rsidRPr="00A9434B">
        <w:t>(Shackleton, Adriaens, et al., 2019)</w:t>
      </w:r>
      <w:r w:rsidR="009E48C2" w:rsidRPr="00A9434B">
        <w:fldChar w:fldCharType="end"/>
      </w:r>
      <w:r w:rsidR="48691CF6" w:rsidRPr="00A9434B">
        <w:t>,</w:t>
      </w:r>
      <w:r>
        <w:t xml:space="preserve"> co-productive approaches may be more appropriate than hierarchical governance approaches, especially in contexts where there is significant conflict of interest or mistrust between stakeholders.</w:t>
      </w:r>
    </w:p>
    <w:p w14:paraId="13731B26" w14:textId="74E68642" w:rsidR="00B213DD" w:rsidRPr="00A9434B" w:rsidRDefault="008C206F" w:rsidP="006B3143">
      <w:r>
        <w:rPr>
          <w:noProof/>
        </w:rPr>
        <w:lastRenderedPageBreak/>
        <w:drawing>
          <wp:inline distT="0" distB="0" distL="0" distR="0" wp14:anchorId="4AB97D6C" wp14:editId="52F4BF72">
            <wp:extent cx="6111240" cy="2933700"/>
            <wp:effectExtent l="0" t="0" r="0" b="0"/>
            <wp:docPr id="1868808438" name="image178.png" descr="A diagram of a diagram of a company&#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78.png" descr="A diagram of a diagram of a company&#10;&#10;Description automatically generated with medium confidence"/>
                    <pic:cNvPicPr preferRelativeResize="0"/>
                  </pic:nvPicPr>
                  <pic:blipFill>
                    <a:blip r:embed="rId46"/>
                    <a:srcRect/>
                    <a:stretch>
                      <a:fillRect/>
                    </a:stretch>
                  </pic:blipFill>
                  <pic:spPr>
                    <a:xfrm>
                      <a:off x="0" y="0"/>
                      <a:ext cx="6111240" cy="2933700"/>
                    </a:xfrm>
                    <a:prstGeom prst="rect">
                      <a:avLst/>
                    </a:prstGeom>
                    <a:ln/>
                  </pic:spPr>
                </pic:pic>
              </a:graphicData>
            </a:graphic>
          </wp:inline>
        </w:drawing>
      </w:r>
    </w:p>
    <w:p w14:paraId="5B4A9CB7" w14:textId="11CBF11C" w:rsidR="00017C04" w:rsidRPr="008C206F" w:rsidRDefault="0072529B" w:rsidP="008C206F">
      <w:pPr>
        <w:pStyle w:val="Caption"/>
        <w:rPr>
          <w:iCs/>
        </w:rPr>
      </w:pPr>
      <w:bookmarkStart w:id="379" w:name="_Ref104896795"/>
      <w:bookmarkStart w:id="380" w:name="_Hlk137726034"/>
      <w:bookmarkStart w:id="381" w:name="_Toc147418311"/>
      <w:r w:rsidRPr="00A9434B">
        <w:t>Figure 6.</w:t>
      </w:r>
      <w:r w:rsidR="007C7AC3">
        <w:fldChar w:fldCharType="begin"/>
      </w:r>
      <w:r w:rsidR="007C7AC3">
        <w:instrText xml:space="preserve"> SEQ Figure_6. \* ARABIC </w:instrText>
      </w:r>
      <w:r w:rsidR="007C7AC3">
        <w:fldChar w:fldCharType="separate"/>
      </w:r>
      <w:r w:rsidR="0011368C">
        <w:rPr>
          <w:noProof/>
        </w:rPr>
        <w:t>16</w:t>
      </w:r>
      <w:r w:rsidR="007C7AC3">
        <w:rPr>
          <w:noProof/>
        </w:rPr>
        <w:fldChar w:fldCharType="end"/>
      </w:r>
      <w:bookmarkEnd w:id="379"/>
      <w:r w:rsidR="00E36BDC" w:rsidRPr="00A9434B">
        <w:t>.</w:t>
      </w:r>
      <w:r w:rsidR="2CE808A8" w:rsidRPr="00A9434B">
        <w:t xml:space="preserve"> </w:t>
      </w:r>
      <w:r w:rsidR="00B213DD" w:rsidRPr="00A9434B">
        <w:rPr>
          <w:b w:val="0"/>
          <w:bCs w:val="0"/>
        </w:rPr>
        <w:t xml:space="preserve">Options for successful engagement </w:t>
      </w:r>
      <w:r w:rsidR="007B1A6E" w:rsidRPr="00A9434B">
        <w:rPr>
          <w:b w:val="0"/>
          <w:bCs w:val="0"/>
        </w:rPr>
        <w:t xml:space="preserve">of stakeholders and </w:t>
      </w:r>
      <w:r w:rsidR="001E7B2B" w:rsidRPr="00A9434B">
        <w:rPr>
          <w:b w:val="0"/>
          <w:bCs w:val="0"/>
        </w:rPr>
        <w:t>Indigenous Peoples</w:t>
      </w:r>
      <w:r w:rsidR="003E0F0E" w:rsidRPr="00A9434B">
        <w:rPr>
          <w:b w:val="0"/>
          <w:bCs w:val="0"/>
        </w:rPr>
        <w:t xml:space="preserve"> and local communities</w:t>
      </w:r>
      <w:r w:rsidR="00831AEF" w:rsidRPr="00A9434B">
        <w:rPr>
          <w:b w:val="0"/>
          <w:bCs w:val="0"/>
        </w:rPr>
        <w:t>.</w:t>
      </w:r>
      <w:r w:rsidR="00831AEF" w:rsidRPr="00A9434B">
        <w:t xml:space="preserve"> </w:t>
      </w:r>
      <w:r w:rsidR="002758B1" w:rsidRPr="00A9434B">
        <w:rPr>
          <w:b w:val="0"/>
          <w:bCs w:val="0"/>
        </w:rPr>
        <w:t>This figure shows the</w:t>
      </w:r>
      <w:r w:rsidR="00B213DD" w:rsidRPr="00A9434B">
        <w:rPr>
          <w:b w:val="0"/>
          <w:bCs w:val="0"/>
        </w:rPr>
        <w:t xml:space="preserve"> </w:t>
      </w:r>
      <w:r w:rsidR="004F0660" w:rsidRPr="00A9434B">
        <w:rPr>
          <w:b w:val="0"/>
          <w:bCs w:val="0"/>
        </w:rPr>
        <w:t xml:space="preserve">different options available to engage with stakeholders and </w:t>
      </w:r>
      <w:r w:rsidR="001E7B2B" w:rsidRPr="00A9434B">
        <w:rPr>
          <w:b w:val="0"/>
          <w:bCs w:val="0"/>
        </w:rPr>
        <w:t>Indigenous Peoples</w:t>
      </w:r>
      <w:r w:rsidR="004F0660" w:rsidRPr="00A9434B">
        <w:rPr>
          <w:b w:val="0"/>
          <w:bCs w:val="0"/>
        </w:rPr>
        <w:t xml:space="preserve"> and local communities </w:t>
      </w:r>
      <w:r w:rsidR="00B213DD" w:rsidRPr="00A9434B">
        <w:rPr>
          <w:b w:val="0"/>
          <w:bCs w:val="0"/>
        </w:rPr>
        <w:t>(left)</w:t>
      </w:r>
      <w:r w:rsidR="004F0660" w:rsidRPr="00A9434B">
        <w:rPr>
          <w:b w:val="0"/>
          <w:bCs w:val="0"/>
        </w:rPr>
        <w:t>,</w:t>
      </w:r>
      <w:r w:rsidR="00B213DD" w:rsidRPr="00A9434B">
        <w:rPr>
          <w:b w:val="0"/>
          <w:bCs w:val="0"/>
        </w:rPr>
        <w:t xml:space="preserve"> </w:t>
      </w:r>
      <w:r w:rsidR="004E22FC" w:rsidRPr="00A9434B">
        <w:rPr>
          <w:b w:val="0"/>
          <w:bCs w:val="0"/>
        </w:rPr>
        <w:t>and</w:t>
      </w:r>
      <w:r w:rsidR="002758B1" w:rsidRPr="00A9434B">
        <w:rPr>
          <w:b w:val="0"/>
          <w:bCs w:val="0"/>
        </w:rPr>
        <w:t xml:space="preserve"> a</w:t>
      </w:r>
      <w:r w:rsidR="00D42A0A" w:rsidRPr="00A9434B">
        <w:rPr>
          <w:b w:val="0"/>
          <w:bCs w:val="0"/>
        </w:rPr>
        <w:t xml:space="preserve"> </w:t>
      </w:r>
      <w:r w:rsidR="004E22FC" w:rsidRPr="00A9434B">
        <w:rPr>
          <w:b w:val="0"/>
          <w:bCs w:val="0"/>
        </w:rPr>
        <w:t xml:space="preserve">focus on </w:t>
      </w:r>
      <w:r w:rsidR="00B213DD" w:rsidRPr="00A9434B">
        <w:rPr>
          <w:b w:val="0"/>
          <w:bCs w:val="0"/>
        </w:rPr>
        <w:t xml:space="preserve">empowerment </w:t>
      </w:r>
      <w:r w:rsidR="0088746A" w:rsidRPr="00A9434B">
        <w:rPr>
          <w:b w:val="0"/>
          <w:bCs w:val="0"/>
        </w:rPr>
        <w:t>(right)</w:t>
      </w:r>
      <w:r w:rsidR="00EC6F2E" w:rsidRPr="00A9434B">
        <w:rPr>
          <w:b w:val="0"/>
          <w:bCs w:val="0"/>
        </w:rPr>
        <w:t>.</w:t>
      </w:r>
      <w:r w:rsidR="006B4580" w:rsidRPr="00A9434B">
        <w:rPr>
          <w:b w:val="0"/>
          <w:bCs w:val="0"/>
        </w:rPr>
        <w:t xml:space="preserve"> </w:t>
      </w:r>
      <w:r w:rsidR="00E36BDC" w:rsidRPr="00A9434B">
        <w:rPr>
          <w:b w:val="0"/>
          <w:bCs w:val="0"/>
          <w:iCs/>
        </w:rPr>
        <w:t>Adapted from</w:t>
      </w:r>
      <w:r w:rsidR="00EC6F2E" w:rsidRPr="00A9434B">
        <w:rPr>
          <w:b w:val="0"/>
          <w:bCs w:val="0"/>
          <w:iCs/>
        </w:rPr>
        <w:t xml:space="preserve"> </w:t>
      </w:r>
      <w:r w:rsidR="00EC6F2E" w:rsidRPr="00A9434B">
        <w:rPr>
          <w:rFonts w:eastAsiaTheme="minorHAnsi"/>
          <w:b w:val="0"/>
          <w:bCs w:val="0"/>
          <w:iCs/>
        </w:rPr>
        <w:t xml:space="preserve">Reed et al. </w:t>
      </w:r>
      <w:r w:rsidR="00EC6F2E" w:rsidRPr="002C4A49">
        <w:rPr>
          <w:rFonts w:eastAsiaTheme="minorHAnsi"/>
          <w:b w:val="0"/>
          <w:bCs w:val="0"/>
          <w:iCs/>
        </w:rPr>
        <w:fldChar w:fldCharType="begin"/>
      </w:r>
      <w:r w:rsidR="0006613E">
        <w:rPr>
          <w:rFonts w:eastAsiaTheme="minorHAnsi"/>
          <w:b w:val="0"/>
          <w:bCs w:val="0"/>
          <w:iCs/>
        </w:rPr>
        <w:instrText xml:space="preserve"> ADDIN ZOTERO_ITEM CSL_CITATION {"citationID":"a21gk8cd9ih","properties":{"formattedCitation":"(2018)","plainCitation":"(2018)","noteIndex":0},"citationItems":[{"id":26767,"uris":["http://zotero.org/groups/2352922/items/MBX6C84R"],"itemData":{"id":26767,"type":"article-journal","container-title":"Restoration Ecology","DOI":"10.1111/rec.12541","ISSN":"10612971","issue":"S1","journalAbbreviation":"Restor Ecol","language":"en","page":"S7-S17","source":"DOI.org (Crossref)","title":"A theory of participation: what makes stakeholder and public engagement in environmental management work?","title-short":"A theory of participation","URL":"https://doi.org/10.1111/rec.12541","volume":"26","author":[{"family":"Reed","given":"Mark S."},{"family":"Vella","given":"Steven"},{"family":"Challies","given":"Edward"},{"family":"Vente","given":"Joris","non-dropping-particle":"de"},{"family":"Frewer","given":"Lynne"},{"family":"Hohenwallner-Ries","given":"Daniela"},{"family":"Huber","given":"Tobias"},{"family":"Neumann","given":"Rosmarie K."},{"family":"Oughton","given":"Elizabeth A."},{"family":"Sidoli del Ceno","given":"Julian"},{"family":"Delden","given":"Hedwig","non-dropping-particle":"van"}],"accessed":{"date-parts":[["2021",5,7]]},"issued":{"date-parts":[["2018",4]]}},"label":"page","suppress-author":true}],"schema":"https://github.com/citation-style-language/schema/raw/master/csl-citation.json"} </w:instrText>
      </w:r>
      <w:r w:rsidR="00EC6F2E" w:rsidRPr="002C4A49">
        <w:rPr>
          <w:rFonts w:eastAsiaTheme="minorHAnsi"/>
          <w:b w:val="0"/>
          <w:bCs w:val="0"/>
          <w:iCs/>
        </w:rPr>
        <w:fldChar w:fldCharType="separate"/>
      </w:r>
      <w:r w:rsidR="00C71E80" w:rsidRPr="002C4A49">
        <w:rPr>
          <w:b w:val="0"/>
          <w:bCs w:val="0"/>
        </w:rPr>
        <w:t>(2018)</w:t>
      </w:r>
      <w:r w:rsidR="00EC6F2E" w:rsidRPr="002C4A49">
        <w:rPr>
          <w:rFonts w:eastAsiaTheme="minorHAnsi"/>
          <w:b w:val="0"/>
          <w:bCs w:val="0"/>
          <w:iCs/>
        </w:rPr>
        <w:fldChar w:fldCharType="end"/>
      </w:r>
      <w:r w:rsidR="005144BF">
        <w:rPr>
          <w:rFonts w:eastAsiaTheme="minorHAnsi"/>
          <w:b w:val="0"/>
          <w:bCs w:val="0"/>
          <w:iCs/>
        </w:rPr>
        <w:t xml:space="preserve">, </w:t>
      </w:r>
      <w:hyperlink r:id="rId47" w:history="1">
        <w:r w:rsidR="005144BF" w:rsidRPr="006A0CE1">
          <w:rPr>
            <w:rStyle w:val="Hyperlink"/>
            <w:rFonts w:eastAsiaTheme="minorHAnsi"/>
            <w:b w:val="0"/>
            <w:bCs w:val="0"/>
            <w:iCs/>
          </w:rPr>
          <w:t>https://doi.org/10.1111/rec.12541</w:t>
        </w:r>
      </w:hyperlink>
      <w:r w:rsidR="005144BF">
        <w:rPr>
          <w:rFonts w:eastAsiaTheme="minorHAnsi"/>
          <w:b w:val="0"/>
          <w:bCs w:val="0"/>
          <w:iCs/>
        </w:rPr>
        <w:t xml:space="preserve">, under copyright </w:t>
      </w:r>
      <w:r w:rsidR="005144BF" w:rsidRPr="005144BF">
        <w:rPr>
          <w:rFonts w:eastAsiaTheme="minorHAnsi"/>
          <w:b w:val="0"/>
          <w:bCs w:val="0"/>
          <w:iCs/>
        </w:rPr>
        <w:t>2017 Society for Ecological Restoration</w:t>
      </w:r>
      <w:r w:rsidR="00EB415D">
        <w:rPr>
          <w:rFonts w:eastAsiaTheme="minorHAnsi"/>
          <w:b w:val="0"/>
          <w:bCs w:val="0"/>
          <w:iCs/>
        </w:rPr>
        <w:t xml:space="preserve"> </w:t>
      </w:r>
      <w:r w:rsidR="00EC6F2E" w:rsidRPr="002C4A49">
        <w:rPr>
          <w:rFonts w:eastAsiaTheme="minorHAnsi"/>
          <w:b w:val="0"/>
          <w:bCs w:val="0"/>
          <w:iCs/>
        </w:rPr>
        <w:t>and Bell and Reed</w:t>
      </w:r>
      <w:r w:rsidR="00EC6F2E" w:rsidRPr="00C2773A">
        <w:rPr>
          <w:rFonts w:eastAsiaTheme="minorHAnsi"/>
          <w:b w:val="0"/>
          <w:bCs w:val="0"/>
          <w:iCs/>
        </w:rPr>
        <w:t xml:space="preserve"> </w:t>
      </w:r>
      <w:r w:rsidR="00EC6F2E" w:rsidRPr="00C2773A">
        <w:rPr>
          <w:rFonts w:eastAsiaTheme="minorHAnsi"/>
          <w:b w:val="0"/>
          <w:bCs w:val="0"/>
          <w:iCs/>
        </w:rPr>
        <w:fldChar w:fldCharType="begin"/>
      </w:r>
      <w:r w:rsidR="0006613E">
        <w:rPr>
          <w:rFonts w:eastAsiaTheme="minorHAnsi"/>
          <w:b w:val="0"/>
          <w:bCs w:val="0"/>
          <w:iCs/>
        </w:rPr>
        <w:instrText xml:space="preserve"> ADDIN ZOTERO_ITEM CSL_CITATION {"citationID":"a1kpdb20g40","properties":{"formattedCitation":"(2022)","plainCitation":"(2022)","noteIndex":0},"citationItems":[{"id":26961,"uris":["http://zotero.org/groups/2352922/items/J2CHV879"],"itemData":{"id":26961,"type":"article-journal","abstract":"Abstract\n            Community development often involves organizing participatory decision-making processes. The challenge is for this to be meaningful. Participatory decision-making has the potential to increase the transparency, accountability, equity and efficiency with which public administration serves the least privileged in society. However, in practice, it often fails to bring about these outcomes. A number of academics and practitioners have, therefore, theorized how participatory decision-making processes can better empower marginalized groups. By critically reviewing this body of work and empirically grounding the debate in recent practice, we aimed to develop a theoretically rigorous, easily applicable and holistic model of an inclusive participatory decision-making process that can work across a range of contexts. The empirical strand included surveying public engagement practitioners and participants about the participatory events they had organized or attended. These empirical findings were combined with insights from the theoretical literature to devise a new conceptual model of emancipatory, inclusive and empowering participatory decision-making – the ‘Tree of Participation’. The model can be useful to both organizers of participatory processes, as a check for empowering and inclusive practice, and to disadvantaged groups, as a set of expectations and demands when engaging in public decision-making.","container-title":"Community Development Journal","DOI":"10.1093/cdj/bsab018","ISSN":"0010-3802, 1468-2656","issue":"4","language":"en","page":"595–614","source":"DOI.org (Crossref)","title":"The tree of participation: a new model for inclusive decision-making","title-short":"The tree of participation","URL":"https://doi.org/10.1093/cdj/bsab018","volume":"57","author":[{"family":"Bell","given":"Karen"},{"family":"Reed","given":"Mark"}],"accessed":{"date-parts":[["2021",7,4]]},"issued":{"date-parts":[["2022",10]]}},"label":"page","suppress-author":true}],"schema":"https://github.com/citation-style-language/schema/raw/master/csl-citation.json"} </w:instrText>
      </w:r>
      <w:r w:rsidR="00EC6F2E" w:rsidRPr="00C2773A">
        <w:rPr>
          <w:rFonts w:eastAsiaTheme="minorHAnsi"/>
          <w:b w:val="0"/>
          <w:bCs w:val="0"/>
          <w:iCs/>
        </w:rPr>
        <w:fldChar w:fldCharType="separate"/>
      </w:r>
      <w:r w:rsidR="00017441" w:rsidRPr="00C2773A">
        <w:rPr>
          <w:b w:val="0"/>
        </w:rPr>
        <w:t>(2022)</w:t>
      </w:r>
      <w:r w:rsidR="00EC6F2E" w:rsidRPr="00C2773A">
        <w:rPr>
          <w:rFonts w:eastAsiaTheme="minorHAnsi"/>
          <w:b w:val="0"/>
          <w:bCs w:val="0"/>
          <w:iCs/>
        </w:rPr>
        <w:fldChar w:fldCharType="end"/>
      </w:r>
      <w:r w:rsidR="005144BF">
        <w:rPr>
          <w:rFonts w:eastAsiaTheme="minorHAnsi"/>
          <w:b w:val="0"/>
          <w:bCs w:val="0"/>
          <w:iCs/>
        </w:rPr>
        <w:t xml:space="preserve">, </w:t>
      </w:r>
      <w:hyperlink r:id="rId48" w:history="1">
        <w:r w:rsidR="005144BF" w:rsidRPr="006A0CE1">
          <w:rPr>
            <w:rStyle w:val="Hyperlink"/>
            <w:rFonts w:eastAsiaTheme="minorHAnsi"/>
            <w:b w:val="0"/>
            <w:bCs w:val="0"/>
            <w:iCs/>
          </w:rPr>
          <w:t>https://doi.org/10.1093/cdj/bsab018</w:t>
        </w:r>
      </w:hyperlink>
      <w:r w:rsidR="005144BF">
        <w:rPr>
          <w:rFonts w:eastAsiaTheme="minorHAnsi"/>
          <w:b w:val="0"/>
          <w:bCs w:val="0"/>
          <w:iCs/>
        </w:rPr>
        <w:t>,</w:t>
      </w:r>
      <w:r w:rsidR="00C2773A">
        <w:rPr>
          <w:rFonts w:eastAsiaTheme="minorHAnsi"/>
          <w:b w:val="0"/>
          <w:bCs w:val="0"/>
          <w:iCs/>
        </w:rPr>
        <w:t xml:space="preserve"> under license CC BY</w:t>
      </w:r>
      <w:r w:rsidR="005144BF">
        <w:rPr>
          <w:rFonts w:eastAsiaTheme="minorHAnsi"/>
          <w:b w:val="0"/>
          <w:bCs w:val="0"/>
          <w:iCs/>
        </w:rPr>
        <w:t xml:space="preserve"> 4.0</w:t>
      </w:r>
      <w:r w:rsidR="00AA393F" w:rsidRPr="002C4A49">
        <w:rPr>
          <w:rFonts w:eastAsiaTheme="minorHAnsi"/>
          <w:b w:val="0"/>
          <w:bCs w:val="0"/>
          <w:iCs/>
        </w:rPr>
        <w:t>.</w:t>
      </w:r>
      <w:bookmarkEnd w:id="380"/>
      <w:bookmarkEnd w:id="381"/>
    </w:p>
    <w:p w14:paraId="1C8566F1" w14:textId="77777777" w:rsidR="00017C04" w:rsidRDefault="00F50AF9" w:rsidP="008521D1">
      <w:pPr>
        <w:pStyle w:val="Heading2"/>
      </w:pPr>
      <w:bookmarkStart w:id="382" w:name="_heading=h.zu0gcz" w:colFirst="0" w:colLast="0"/>
      <w:bookmarkStart w:id="383" w:name="_Toc1463465402"/>
      <w:bookmarkStart w:id="384" w:name="_Toc133428325"/>
      <w:bookmarkStart w:id="385" w:name="_Toc133428793"/>
      <w:bookmarkStart w:id="386" w:name="_Toc147417588"/>
      <w:bookmarkEnd w:id="382"/>
      <w:r>
        <w:t>Coordination, collaboration and Indigenous Peoples and local communities</w:t>
      </w:r>
      <w:bookmarkStart w:id="387" w:name="_Ref158716800"/>
      <w:r w:rsidRPr="008C206F">
        <w:rPr>
          <w:rStyle w:val="FootnoteReference"/>
        </w:rPr>
        <w:footnoteReference w:id="12"/>
      </w:r>
      <w:bookmarkEnd w:id="383"/>
      <w:bookmarkEnd w:id="384"/>
      <w:bookmarkEnd w:id="385"/>
      <w:bookmarkEnd w:id="386"/>
      <w:bookmarkEnd w:id="387"/>
    </w:p>
    <w:p w14:paraId="44CAF774" w14:textId="07404634" w:rsidR="00017C04" w:rsidRDefault="00F50AF9" w:rsidP="56C59A3A">
      <w:bookmarkStart w:id="388" w:name="_heading=h.1yyy98l"/>
      <w:bookmarkEnd w:id="388"/>
      <w:r>
        <w:t xml:space="preserve">Indigenous Peoples and local communities often have detailed knowledge of </w:t>
      </w:r>
      <w:r w:rsidR="23D89E5E">
        <w:t xml:space="preserve">invasive alien species </w:t>
      </w:r>
      <w:r>
        <w:t>(</w:t>
      </w:r>
      <w:r w:rsidRPr="56C59A3A">
        <w:rPr>
          <w:b/>
          <w:bCs/>
        </w:rPr>
        <w:t>Chapter 1</w:t>
      </w:r>
      <w:r>
        <w:t xml:space="preserve">, </w:t>
      </w:r>
      <w:r w:rsidRPr="56C59A3A">
        <w:rPr>
          <w:b/>
          <w:bCs/>
        </w:rPr>
        <w:t>section 1.6.7.1</w:t>
      </w:r>
      <w:r>
        <w:t>), including their dynamics (</w:t>
      </w:r>
      <w:r w:rsidRPr="56C59A3A">
        <w:rPr>
          <w:b/>
          <w:bCs/>
        </w:rPr>
        <w:t>Chapter 2</w:t>
      </w:r>
      <w:r>
        <w:t>,</w:t>
      </w:r>
      <w:r w:rsidRPr="56C59A3A">
        <w:rPr>
          <w:b/>
          <w:bCs/>
        </w:rPr>
        <w:t xml:space="preserve"> </w:t>
      </w:r>
      <w:r w:rsidR="009E48C2" w:rsidRPr="00673554">
        <w:rPr>
          <w:b/>
          <w:iCs/>
        </w:rPr>
        <w:t>Box</w:t>
      </w:r>
      <w:r w:rsidRPr="56C59A3A">
        <w:rPr>
          <w:b/>
          <w:bCs/>
        </w:rPr>
        <w:t xml:space="preserve"> 2.6</w:t>
      </w:r>
      <w:r>
        <w:t>), drivers (</w:t>
      </w:r>
      <w:r w:rsidRPr="56C59A3A">
        <w:rPr>
          <w:b/>
          <w:bCs/>
        </w:rPr>
        <w:t>Chapter 3</w:t>
      </w:r>
      <w:r>
        <w:t>,</w:t>
      </w:r>
      <w:r w:rsidRPr="56C59A3A">
        <w:rPr>
          <w:b/>
          <w:bCs/>
        </w:rPr>
        <w:t xml:space="preserve"> </w:t>
      </w:r>
      <w:r w:rsidR="003A7C3E" w:rsidRPr="00673554">
        <w:rPr>
          <w:b/>
          <w:iCs/>
        </w:rPr>
        <w:t>Box</w:t>
      </w:r>
      <w:r w:rsidRPr="56C59A3A">
        <w:rPr>
          <w:b/>
          <w:bCs/>
        </w:rPr>
        <w:t xml:space="preserve"> 3.14</w:t>
      </w:r>
      <w:r>
        <w:t>), impacts (</w:t>
      </w:r>
      <w:r w:rsidRPr="56C59A3A">
        <w:rPr>
          <w:b/>
          <w:bCs/>
        </w:rPr>
        <w:t>Chapter 4</w:t>
      </w:r>
      <w:r>
        <w:t>,</w:t>
      </w:r>
      <w:r w:rsidRPr="56C59A3A">
        <w:rPr>
          <w:b/>
          <w:bCs/>
        </w:rPr>
        <w:t xml:space="preserve"> section 4.6</w:t>
      </w:r>
      <w:r>
        <w:t>), and the ability to manage or adapt to their presence (</w:t>
      </w:r>
      <w:r w:rsidRPr="56C59A3A">
        <w:rPr>
          <w:b/>
          <w:bCs/>
        </w:rPr>
        <w:t>Chapter 5</w:t>
      </w:r>
      <w:r>
        <w:t>). Many Indigenous Peoples and local communities also have their own customary governance systems and institutions that may already be working to support management of biological invasions. There have indeed been many cases where management plans or techniques have negatively impacted the food security, culture</w:t>
      </w:r>
      <w:r w:rsidR="00EB415D">
        <w:t xml:space="preserve"> and</w:t>
      </w:r>
      <w:r>
        <w:t xml:space="preserve"> values of Indigenous Peoples and local communities </w:t>
      </w:r>
      <w:bookmarkStart w:id="389" w:name="_Ref104898726"/>
      <w:r w:rsidR="001314C7" w:rsidRPr="00A9434B">
        <w:fldChar w:fldCharType="begin"/>
      </w:r>
      <w:r w:rsidR="0006613E">
        <w:instrText xml:space="preserve"> ADDIN ZOTERO_ITEM CSL_CITATION {"citationID":"a14jnvvtpgj","properties":{"formattedCitation":"(IPBES, 2022)","plainCitation":"(IPBES, 2022)","noteIndex":0},"citationItems":[{"id":53340,"uris":["http://zotero.org/groups/2352922/items/BZSKBXEC"],"itemData":{"id":53340,"type":"report","event-place":"Online, 1-3 February 2022","publisher-place":"Online, 1-3 February 2022","title":"Report of the third Indigenous and local knowledge dialogue workshop for the IPBES thematic assessment of invasive alien species and their control.","URL":"https://ipbes.net/sites/default/files/2023-02/IPBES_IAS_3rdILKDialogue_SPM-SOD_Report_FinalForWeb2.pdf","author":[{"literal":"IPBES"}],"issued":{"date-parts":[["2022"]]}},"label":"page"}],"schema":"https://github.com/citation-style-language/schema/raw/master/csl-citation.json"} </w:instrText>
      </w:r>
      <w:r w:rsidR="001314C7" w:rsidRPr="00A9434B">
        <w:fldChar w:fldCharType="separate"/>
      </w:r>
      <w:r w:rsidR="00C71E80" w:rsidRPr="00A9434B">
        <w:t>(IPBES, 2022)</w:t>
      </w:r>
      <w:r w:rsidR="001314C7" w:rsidRPr="00A9434B">
        <w:fldChar w:fldCharType="end"/>
      </w:r>
      <w:r w:rsidR="001314C7" w:rsidRPr="00A9434B">
        <w:t>.</w:t>
      </w:r>
      <w:r>
        <w:t xml:space="preserve"> This section will discuss efforts to avoid this scenario.</w:t>
      </w:r>
    </w:p>
    <w:p w14:paraId="3983F70E" w14:textId="77777777" w:rsidR="00017C04" w:rsidRDefault="00F50AF9" w:rsidP="008C206F">
      <w:pPr>
        <w:pStyle w:val="Heading3"/>
      </w:pPr>
      <w:bookmarkStart w:id="390" w:name="_heading=h.4iylrwe" w:colFirst="0" w:colLast="0"/>
      <w:bookmarkStart w:id="391" w:name="_Toc1769985610"/>
      <w:bookmarkStart w:id="392" w:name="_Toc133428326"/>
      <w:bookmarkEnd w:id="389"/>
      <w:bookmarkEnd w:id="390"/>
      <w:r>
        <w:t>Rights of Indigenous Peoples and local communities</w:t>
      </w:r>
      <w:bookmarkEnd w:id="391"/>
      <w:bookmarkEnd w:id="392"/>
    </w:p>
    <w:p w14:paraId="16A9ACBB" w14:textId="77777777" w:rsidR="00017C04" w:rsidRDefault="00F50AF9">
      <w:r>
        <w:t xml:space="preserve">In some contexts, there are legal obligations to recognize the rights of Indigenous Peoples and local communities to manage their own lands and waters. The adoption of the United Nations Declaration on the Rights of Indigenous Peoples (UNDRIP) in 2007 has provided a specific framework for engaging with Indigenous Peoples. Free, prior and informed consent (FPIC) is a specific right that pertains to Indigenous Peoples, which allows them to give or withhold consent for a project that may affect them or their territories, which could include efforts to manage or eradicate invasive alien species. Furthermore, free prior and informed consent enables them to negotiate the conditions under which a project will be designed, implemented, monitored and evaluated. The framework is less clear for “local communities”, but some countries have specific legal frameworks for working with specific groups. </w:t>
      </w:r>
    </w:p>
    <w:p w14:paraId="065430D8" w14:textId="47D1F8A8" w:rsidR="00017C04" w:rsidRDefault="00F50AF9">
      <w:r>
        <w:lastRenderedPageBreak/>
        <w:t xml:space="preserve">Many Indigenous Peoples and local communities have requested that their own customary governance systems and institutions be recognized within efforts to manage biological invasions, recognizing that these systems can be strengthened and, in some cases, revitalized by support from outside institutions </w:t>
      </w:r>
      <w:r w:rsidR="001314C7" w:rsidRPr="00A9434B">
        <w:fldChar w:fldCharType="begin"/>
      </w:r>
      <w:r w:rsidR="0006613E">
        <w:instrText xml:space="preserve"> ADDIN ZOTERO_ITEM CSL_CITATION {"citationID":"sOgnpMkU","properties":{"formattedCitation":"(IPBES, 2022)","plainCitation":"(IPBES, 2022)","noteIndex":0},"citationItems":[{"id":53340,"uris":["http://zotero.org/groups/2352922/items/BZSKBXEC"],"itemData":{"id":53340,"type":"report","event-place":"Online, 1-3 February 2022","publisher-place":"Online, 1-3 February 2022","title":"Report of the third Indigenous and local knowledge dialogue workshop for the IPBES thematic assessment of invasive alien species and their control.","URL":"https://ipbes.net/sites/default/files/2023-02/IPBES_IAS_3rdILKDialogue_SPM-SOD_Report_FinalForWeb2.pdf","author":[{"literal":"IPBES"}],"issued":{"date-parts":[["2022"]]}},"label":"page"}],"schema":"https://github.com/citation-style-language/schema/raw/master/csl-citation.json"} </w:instrText>
      </w:r>
      <w:r w:rsidR="001314C7" w:rsidRPr="00A9434B">
        <w:fldChar w:fldCharType="separate"/>
      </w:r>
      <w:r w:rsidR="00C71E80" w:rsidRPr="00A9434B">
        <w:t>(IPBES, 2022)</w:t>
      </w:r>
      <w:r w:rsidR="001314C7" w:rsidRPr="00A9434B">
        <w:fldChar w:fldCharType="end"/>
      </w:r>
      <w:r w:rsidR="001314C7" w:rsidRPr="00A9434B">
        <w:t>.</w:t>
      </w:r>
      <w:r>
        <w:t xml:space="preserve"> Recognition and clarification of land tenure, including access and ownership of land, waters</w:t>
      </w:r>
      <w:r w:rsidR="00EB415D">
        <w:t xml:space="preserve"> and</w:t>
      </w:r>
      <w:r>
        <w:t xml:space="preserve"> biological resources can support Indigenous Peoples and local communities to manage biological invasions </w:t>
      </w:r>
      <w:r w:rsidR="000D6D11" w:rsidRPr="00A9434B">
        <w:fldChar w:fldCharType="begin"/>
      </w:r>
      <w:r w:rsidR="0006613E">
        <w:instrText xml:space="preserve"> ADDIN ZOTERO_ITEM CSL_CITATION {"citationID":"a1tqhi5cq05","properties":{"formattedCitation":"(IPBES, 2022; Kamelamela et al., 2022)","plainCitation":"(IPBES, 2022; Kamelamela et al., 2022)","noteIndex":0},"citationItems":[{"id":53340,"uris":["http://zotero.org/groups/2352922/items/BZSKBXEC"],"itemData":{"id":53340,"type":"report","event-place":"Online, 1-3 February 2022","publisher-place":"Online, 1-3 February 2022","title":"Report of the third Indigenous and local knowledge dialogue workshop for the IPBES thematic assessment of invasive alien species and their control.","URL":"https://ipbes.net/sites/default/files/2023-02/IPBES_IAS_3rdILKDialogue_SPM-SOD_Report_FinalForWeb2.pdf","author":[{"literal":"IPBES"}],"issued":{"date-parts":[["2022"]]}}},{"id":54712,"uris":["http://zotero.org/groups/2352922/items/MJ3C9N9B"],"itemData":{"id":54712,"type":"article-journal","container-title":"Forest Ecology and Management","DOI":"10.1016/j.foreco.2021.119949","note":"ISBN: 0378-1127\npublisher: Elsevier","page":"119949","title":"&lt;i&gt;Kōkua aku, Kōkua mai&lt;/i&gt;: An Indigenous Consensus-driven and Place-based Approach to Community Led Dryland Restoration and Stewardship","volume":"506","author":[{"family":"Kamelamela","given":"Katie L."},{"family":"Springer","given":"Hannah Kihalani"},{"family":"Keakealani","given":"Roberta Ku'ulei"},{"family":"Ching","given":"Moana Ulu"},{"family":"Ticktin","given":"Tamara"},{"family":"Ohara","given":"Rebekah Dickens"},{"family":"Parsons","given":"Elliott W."},{"family":"Adkins","given":"Edith D."},{"family":"Francisco","given":"Kainana S."},{"family":"Giardina","given":"Christian"}],"issued":{"date-parts":[["2022"]]}}}],"schema":"https://github.com/citation-style-language/schema/raw/master/csl-citation.json"} </w:instrText>
      </w:r>
      <w:r w:rsidR="000D6D11" w:rsidRPr="00A9434B">
        <w:fldChar w:fldCharType="separate"/>
      </w:r>
      <w:r w:rsidR="00C71E80" w:rsidRPr="00A9434B">
        <w:t>(IPBES, 2022; Kamelamela et al., 2022)</w:t>
      </w:r>
      <w:r w:rsidR="000D6D11" w:rsidRPr="00A9434B">
        <w:fldChar w:fldCharType="end"/>
      </w:r>
      <w:r w:rsidR="009E48C2" w:rsidRPr="00A9434B">
        <w:rPr>
          <w:rFonts w:eastAsiaTheme="majorEastAsia"/>
        </w:rPr>
        <w:t>.</w:t>
      </w:r>
      <w:r>
        <w:t xml:space="preserve"> </w:t>
      </w:r>
    </w:p>
    <w:p w14:paraId="66E276B4" w14:textId="432B0FC6" w:rsidR="00017C04" w:rsidRDefault="00F50AF9">
      <w:r>
        <w:t>These specific knowledge and governance systems and normative frameworks often mean that Indigenous Peoples and local communities do not wish to be considered or approached in the same ways as other “stakeholders” discussed above, as such broad multi-stakeholder processes can often serve to diminish their participation and obscure their rights and goals. A deeper engagement with their knowledge and customary governance systems within rights-based frameworks</w:t>
      </w:r>
      <w:r w:rsidRPr="00F50AF9">
        <w:t xml:space="preserve"> </w:t>
      </w:r>
      <w:r>
        <w:t xml:space="preserve">and in accordance with national legislation can therefore benefit both communities’ good quality of life and biological invasions management strategies. </w:t>
      </w:r>
    </w:p>
    <w:p w14:paraId="18F0C5FD" w14:textId="6BA4E95D" w:rsidR="00017C04" w:rsidRDefault="00F50AF9" w:rsidP="00C12647">
      <w:pPr>
        <w:pStyle w:val="Heading3"/>
        <w:ind w:left="720"/>
      </w:pPr>
      <w:bookmarkStart w:id="393" w:name="_heading=h.2y3w247" w:colFirst="0" w:colLast="0"/>
      <w:bookmarkStart w:id="394" w:name="_Toc2143935087"/>
      <w:bookmarkStart w:id="395" w:name="_Toc133428327"/>
      <w:bookmarkEnd w:id="393"/>
      <w:r>
        <w:t>Co-production of Indigenous Peoples and local communit</w:t>
      </w:r>
      <w:r w:rsidR="00351A46">
        <w:t>ies</w:t>
      </w:r>
      <w:r>
        <w:t xml:space="preserve"> planning and Biocultural </w:t>
      </w:r>
      <w:bookmarkEnd w:id="394"/>
      <w:r>
        <w:t>community protocols</w:t>
      </w:r>
      <w:bookmarkEnd w:id="395"/>
    </w:p>
    <w:p w14:paraId="67E83248" w14:textId="26488004" w:rsidR="00017C04" w:rsidRDefault="00F50AF9">
      <w:r>
        <w:t>Despite the reasons for engaging with Indigenous Peoples and local communities and their knowledge and governance systems discussed above, many discussions of Indigenous Peoples and local communities rely on a “vulnerability narrative” which considers them as passive victims of damage from environmental change. This can lead to policies and management actions that interfere with community wellbeing and do not support capacity</w:t>
      </w:r>
      <w:r w:rsidR="009011F3">
        <w:t>-</w:t>
      </w:r>
      <w:r>
        <w:t xml:space="preserve">building and cultural continuity </w:t>
      </w:r>
      <w:r w:rsidR="009E48C2" w:rsidRPr="00A9434B">
        <w:rPr>
          <w:rFonts w:eastAsiaTheme="majorEastAsia"/>
        </w:rPr>
        <w:fldChar w:fldCharType="begin"/>
      </w:r>
      <w:r w:rsidR="0006613E">
        <w:rPr>
          <w:rFonts w:eastAsiaTheme="majorEastAsia"/>
        </w:rPr>
        <w:instrText xml:space="preserve"> ADDIN ZOTERO_ITEM CSL_CITATION {"citationID":"a2ph42atbph","properties":{"formattedCitation":"\\uldash{(Reo et al., 2017)}","plainCitation":"(Reo et al., 2017)","dontUpdate":true,"noteIndex":0},"citationItems":[{"id":29796,"uris":["http://zotero.org/groups/2352922/items/XY3BWCP6"],"itemData":{"id":29796,"type":"article-journal","container-title":"American Indian Quarterly","DOI":"10.5250/amerindiquar.41.3.0201","ISSN":"0095182X","issue":"3","journalAbbreviation":"American Indian Quarterly","language":"en","page":"201-223","source":"DOI.org (Crossref)","title":"Invasive Species, Indigenous Stewards, and Vulnerability Discourse","URL":"https://muse.jhu.edu/article/667742","volume":"41","author":[{"family":"Reo","given":"Nicholas J."},{"family":"Whyte","given":"Kyle"},{"family":"Ranco","given":"Darren"},{"family":"Brandt","given":"Jodi"},{"family":"Blackmer","given":"Emily"},{"family":"Elliott","given":"Braden"}],"accessed":{"date-parts":[["2021",8,10]]},"issued":{"date-parts":[["2017"]]}},"label":"page"}],"schema":"https://github.com/citation-style-language/schema/raw/master/csl-citation.json"} </w:instrText>
      </w:r>
      <w:r w:rsidR="009E48C2" w:rsidRPr="00A9434B">
        <w:rPr>
          <w:rFonts w:eastAsiaTheme="majorEastAsia"/>
        </w:rPr>
        <w:fldChar w:fldCharType="separate"/>
      </w:r>
      <w:r w:rsidR="008867D3" w:rsidRPr="00A9434B">
        <w:t>(Reo et al., 2017</w:t>
      </w:r>
      <w:r w:rsidR="009E48C2" w:rsidRPr="00A9434B">
        <w:rPr>
          <w:rFonts w:eastAsiaTheme="majorEastAsia"/>
        </w:rPr>
        <w:fldChar w:fldCharType="end"/>
      </w:r>
      <w:r w:rsidR="003D29B0" w:rsidRPr="00A9434B">
        <w:rPr>
          <w:rFonts w:eastAsiaTheme="majorEastAsia"/>
        </w:rPr>
        <w:t>;</w:t>
      </w:r>
      <w:r w:rsidR="008A68B3" w:rsidRPr="00A9434B">
        <w:rPr>
          <w:rFonts w:eastAsiaTheme="majorEastAsia"/>
        </w:rPr>
        <w:t xml:space="preserve"> </w:t>
      </w:r>
      <w:r w:rsidR="00F8521D">
        <w:rPr>
          <w:rFonts w:eastAsiaTheme="majorEastAsia"/>
          <w:b/>
          <w:iCs/>
        </w:rPr>
        <w:t>C</w:t>
      </w:r>
      <w:r w:rsidR="008A68B3" w:rsidRPr="00673554">
        <w:rPr>
          <w:rFonts w:eastAsiaTheme="majorEastAsia"/>
          <w:b/>
          <w:iCs/>
        </w:rPr>
        <w:t>hapter 4</w:t>
      </w:r>
      <w:r w:rsidR="008A68B3" w:rsidRPr="00673554">
        <w:rPr>
          <w:rFonts w:eastAsiaTheme="majorEastAsia"/>
          <w:iCs/>
        </w:rPr>
        <w:t>,</w:t>
      </w:r>
      <w:r w:rsidR="008A68B3" w:rsidRPr="00673554">
        <w:rPr>
          <w:rFonts w:eastAsiaTheme="majorEastAsia"/>
          <w:b/>
          <w:iCs/>
        </w:rPr>
        <w:t xml:space="preserve"> Box 4.14</w:t>
      </w:r>
      <w:r w:rsidR="008A68B3" w:rsidRPr="00A9434B">
        <w:rPr>
          <w:rFonts w:eastAsiaTheme="majorEastAsia"/>
        </w:rPr>
        <w:t>)</w:t>
      </w:r>
      <w:r w:rsidR="009E48C2" w:rsidRPr="00A9434B">
        <w:rPr>
          <w:rFonts w:eastAsiaTheme="majorEastAsia"/>
        </w:rPr>
        <w:t>.</w:t>
      </w:r>
      <w:r>
        <w:t xml:space="preserve"> </w:t>
      </w:r>
    </w:p>
    <w:p w14:paraId="51DDD6E9" w14:textId="0AA90CDE" w:rsidR="00017C04" w:rsidRDefault="00F50AF9">
      <w:bookmarkStart w:id="396" w:name="_heading=h.1d96cc0" w:colFirst="0" w:colLast="0"/>
      <w:bookmarkEnd w:id="396"/>
      <w:r>
        <w:t>Many cases (70 per cent of reviewed cases</w:t>
      </w:r>
      <w:bookmarkStart w:id="397" w:name="_Ref132039093"/>
      <w:r w:rsidR="00273868">
        <w:t>)</w:t>
      </w:r>
      <w:bookmarkEnd w:id="397"/>
      <w:r w:rsidR="001910B9" w:rsidRPr="001910B9">
        <w:rPr>
          <w:vertAlign w:val="superscript"/>
        </w:rPr>
        <w:fldChar w:fldCharType="begin"/>
      </w:r>
      <w:r w:rsidR="001910B9" w:rsidRPr="001910B9">
        <w:rPr>
          <w:vertAlign w:val="superscript"/>
        </w:rPr>
        <w:instrText xml:space="preserve"> NOTEREF _Ref158716800 \h </w:instrText>
      </w:r>
      <w:r w:rsidR="001910B9">
        <w:rPr>
          <w:vertAlign w:val="superscript"/>
        </w:rPr>
        <w:instrText xml:space="preserve"> \* MERGEFORMAT </w:instrText>
      </w:r>
      <w:r w:rsidR="001910B9" w:rsidRPr="001910B9">
        <w:rPr>
          <w:vertAlign w:val="superscript"/>
        </w:rPr>
      </w:r>
      <w:r w:rsidR="001910B9" w:rsidRPr="001910B9">
        <w:rPr>
          <w:vertAlign w:val="superscript"/>
        </w:rPr>
        <w:fldChar w:fldCharType="separate"/>
      </w:r>
      <w:r w:rsidR="001910B9" w:rsidRPr="001910B9">
        <w:rPr>
          <w:vertAlign w:val="superscript"/>
        </w:rPr>
        <w:t>11</w:t>
      </w:r>
      <w:r w:rsidR="001910B9" w:rsidRPr="001910B9">
        <w:rPr>
          <w:vertAlign w:val="superscript"/>
        </w:rPr>
        <w:fldChar w:fldCharType="end"/>
      </w:r>
      <w:r>
        <w:t xml:space="preserve"> suggest that, even where collaborations between outsiders and Indigenous Peoples and local communities are reported to be successful, they do not necessarily consider </w:t>
      </w:r>
      <w:r w:rsidR="009011F3">
        <w:t>I</w:t>
      </w:r>
      <w:r>
        <w:t xml:space="preserve">ndigenous and local knowledge and governance. Some cases report that outsiders tend to focus instead on teaching Indigenous Peoples and local communities about management of invasive alien species using scientific methods. </w:t>
      </w:r>
      <w:r w:rsidR="392D7869" w:rsidRPr="00A9434B">
        <w:t xml:space="preserve">This can cause the loss of knowledge and important cultural practices of </w:t>
      </w:r>
      <w:r w:rsidR="001E7B2B" w:rsidRPr="00A9434B">
        <w:t>Indigenous Peoples</w:t>
      </w:r>
      <w:r w:rsidR="392D7869" w:rsidRPr="00A9434B">
        <w:t xml:space="preserve"> </w:t>
      </w:r>
      <w:r w:rsidR="008867D3" w:rsidRPr="00A9434B">
        <w:fldChar w:fldCharType="begin"/>
      </w:r>
      <w:r w:rsidR="002D2756">
        <w:instrText xml:space="preserve"> ADDIN ZOTERO_ITEM CSL_CITATION {"citationID":"a1lfbvpo1ce","properties":{"formattedCitation":"(Sillitoe, 1998)","plainCitation":"(Sillitoe, 1998)","noteIndex":0},"citationItems":[{"id":12364,"uris":["http://zotero.org/groups/2352922/items/3RR9ANVY","http</w:instrText>
      </w:r>
      <w:r w:rsidR="002D2756">
        <w:rPr>
          <w:rFonts w:hint="eastAsia"/>
        </w:rPr>
        <w:instrText>://zotero.org/groups/2352922/items/6Z92ELE5"],"itemData":{"id":12364,"type":"article-journal","abstract":"The widespread adoption of bottom</w:instrText>
      </w:r>
      <w:r w:rsidR="002D2756">
        <w:rPr>
          <w:rFonts w:hint="eastAsia"/>
        </w:rPr>
        <w:instrText>‐</w:instrText>
      </w:r>
      <w:r w:rsidR="002D2756">
        <w:rPr>
          <w:rFonts w:hint="eastAsia"/>
        </w:rPr>
        <w:instrText>up participation as opposed to top</w:instrText>
      </w:r>
      <w:r w:rsidR="002D2756">
        <w:rPr>
          <w:rFonts w:hint="eastAsia"/>
        </w:rPr>
        <w:instrText>‐</w:instrText>
      </w:r>
      <w:r w:rsidR="002D2756">
        <w:rPr>
          <w:rFonts w:hint="eastAsia"/>
        </w:rPr>
        <w:instrText>down modernisation approaches has opened up challenging opportunities for anthropology in development. The new focus on indigenous knowledge augurs the next revolution in anthropological method, informants becoming collaborators and their communities participating user</w:instrText>
      </w:r>
      <w:r w:rsidR="002D2756">
        <w:rPr>
          <w:rFonts w:hint="eastAsia"/>
        </w:rPr>
        <w:instrText>‐</w:instrText>
      </w:r>
      <w:r w:rsidR="002D2756">
        <w:rPr>
          <w:rFonts w:hint="eastAsia"/>
        </w:rPr>
        <w:instrText>groups, and touches upon such contemporary issues as the crisis of representation, ethnography's status with regard to intellectual property rights, and interdisciplinary cooperation between natural and social scientists. Indigenous</w:instrText>
      </w:r>
      <w:r w:rsidR="002D2756">
        <w:rPr>
          <w:rFonts w:hint="eastAsia"/>
        </w:rPr>
        <w:instrText>‐</w:instrText>
      </w:r>
      <w:r w:rsidR="002D2756">
        <w:rPr>
          <w:rFonts w:hint="eastAsia"/>
        </w:rPr>
        <w:instrText>knowledge studies are challenging not only because of difficulties in cross</w:instrText>
      </w:r>
      <w:r w:rsidR="002D2756">
        <w:rPr>
          <w:rFonts w:hint="eastAsia"/>
        </w:rPr>
        <w:instrText>‐</w:instrText>
      </w:r>
      <w:r w:rsidR="002D2756">
        <w:rPr>
          <w:rFonts w:hint="eastAsia"/>
        </w:rPr>
        <w:instrText>cultural co</w:instrText>
      </w:r>
      <w:r w:rsidR="002D2756">
        <w:instrText xml:space="preserve">mmunication and understanding but also because of their inevitable political dimensions. Contributing to development which intervenes in people's lives, these studies engage with them in novel ways.","container-title":"Current Anthropology","DOI":"10.1086/204722","ISSN":"0011-3204","issue":"2","note":"PMID: 419252","page":"223–252","title":"The Development of Indigenous Knowledge","URL":"http://www.journals.uchicago.edu/doi/10.1086/204722","volume":"39","author":[{"family":"Sillitoe","given":"Paul"}],"issued":{"date-parts":[["1998",4]]}}}],"schema":"https://github.com/citation-style-language/schema/raw/master/csl-citation.json"} </w:instrText>
      </w:r>
      <w:r w:rsidR="008867D3" w:rsidRPr="00A9434B">
        <w:fldChar w:fldCharType="separate"/>
      </w:r>
      <w:r w:rsidR="00C71E80" w:rsidRPr="00A9434B">
        <w:t>(Sillitoe, 1998)</w:t>
      </w:r>
      <w:r w:rsidR="008867D3" w:rsidRPr="00A9434B">
        <w:fldChar w:fldCharType="end"/>
      </w:r>
      <w:r w:rsidR="008867D3" w:rsidRPr="00A9434B">
        <w:t xml:space="preserve">, </w:t>
      </w:r>
      <w:r w:rsidR="392D7869" w:rsidRPr="00A9434B">
        <w:t xml:space="preserve">as well as undermine long-term management success. </w:t>
      </w:r>
      <w:r w:rsidR="00053376" w:rsidRPr="00A9434B">
        <w:t xml:space="preserve">There are however positive examples of the inclusion of </w:t>
      </w:r>
      <w:r w:rsidR="009011F3">
        <w:t>I</w:t>
      </w:r>
      <w:r w:rsidR="00053376" w:rsidRPr="00A9434B">
        <w:t>ndigenous and local knowledge, community governance and institutions in the management of biological invasions</w:t>
      </w:r>
      <w:r w:rsidR="009011F3">
        <w:t>.</w:t>
      </w:r>
      <w:r w:rsidR="001910B9" w:rsidRPr="001910B9">
        <w:rPr>
          <w:vertAlign w:val="superscript"/>
        </w:rPr>
        <w:fldChar w:fldCharType="begin"/>
      </w:r>
      <w:r w:rsidR="001910B9" w:rsidRPr="001910B9">
        <w:rPr>
          <w:vertAlign w:val="superscript"/>
        </w:rPr>
        <w:instrText xml:space="preserve"> NOTEREF _Ref158716800 \h </w:instrText>
      </w:r>
      <w:r w:rsidR="001910B9">
        <w:rPr>
          <w:vertAlign w:val="superscript"/>
        </w:rPr>
        <w:instrText xml:space="preserve"> \* MERGEFORMAT </w:instrText>
      </w:r>
      <w:r w:rsidR="001910B9" w:rsidRPr="001910B9">
        <w:rPr>
          <w:vertAlign w:val="superscript"/>
        </w:rPr>
      </w:r>
      <w:r w:rsidR="001910B9" w:rsidRPr="001910B9">
        <w:rPr>
          <w:vertAlign w:val="superscript"/>
        </w:rPr>
        <w:fldChar w:fldCharType="separate"/>
      </w:r>
      <w:r w:rsidR="001910B9" w:rsidRPr="001910B9">
        <w:rPr>
          <w:vertAlign w:val="superscript"/>
        </w:rPr>
        <w:t>11</w:t>
      </w:r>
      <w:r w:rsidR="001910B9" w:rsidRPr="001910B9">
        <w:rPr>
          <w:vertAlign w:val="superscript"/>
        </w:rPr>
        <w:fldChar w:fldCharType="end"/>
      </w:r>
      <w:r w:rsidR="00053376" w:rsidRPr="00A9434B">
        <w:t xml:space="preserve"> For example, forest scientists partnered with </w:t>
      </w:r>
      <w:r w:rsidR="001E7B2B" w:rsidRPr="00A9434B">
        <w:t>Indigenous Peoples</w:t>
      </w:r>
      <w:r w:rsidR="00053376" w:rsidRPr="00A9434B">
        <w:t xml:space="preserve"> and local communities in Michigan, United States to co-design invasive alien species control experiments using traditional ecological knowledge </w:t>
      </w:r>
      <w:r w:rsidR="00053376" w:rsidRPr="00A9434B">
        <w:fldChar w:fldCharType="begin"/>
      </w:r>
      <w:r w:rsidR="0006613E">
        <w:instrText xml:space="preserve"> ADDIN ZOTERO_ITEM CSL_CITATION {"citationID":"a2aepto4d4f","properties":{"formattedCitation":"(Poland et al., 2017)","plainCitation":"(Poland et al., 2017)","noteIndex":0},"citationItems":[{"id":53238,"uris":["http://zotero.org/groups/2352922/items/VLENENBG"],"itemData":{"id":53238,"type":"chapter","container-title":"Biodiversity, Conservation, and Environmental Management in the Great Lakes Basin","event-place":"London","ISBN":"1-315-26877-9","note":"DOI: 10.4324/9781315268774","page":"127-140","publisher":"Routledge","publisher-place":"London","title":"Emerald ash borer, black ash, and Native American basketmaking: Invasive insects, forest ecosystems, and cultural practices","author":[{"family":"Poland","given":"Therese M."},{"family":"Emery","given":"Marla R."},{"family":"Ciaramitaro","given":"Tina"},{"family":"Pigeon","given":"Ed"},{"family":"Pigeon","given":"Angie"}],"editor":[{"family":"Freedman","given":"Eric"},{"family":"Neuzil","given":"Mark"}],"issued":{"date-parts":[["2017"]]}},"label":"page"}],"schema":"https://github.com/citation-style-language/schema/raw/master/csl-citation.json"} </w:instrText>
      </w:r>
      <w:r w:rsidR="00053376" w:rsidRPr="00A9434B">
        <w:fldChar w:fldCharType="separate"/>
      </w:r>
      <w:r w:rsidR="00C71E80" w:rsidRPr="00A9434B">
        <w:t>(Poland et al., 2017)</w:t>
      </w:r>
      <w:r w:rsidR="00053376" w:rsidRPr="00A9434B">
        <w:fldChar w:fldCharType="end"/>
      </w:r>
      <w:r w:rsidR="00053376" w:rsidRPr="00A9434B">
        <w:t xml:space="preserve">. </w:t>
      </w:r>
      <w:r w:rsidR="001E7B2B" w:rsidRPr="00A9434B">
        <w:t>Indigenous Peoples</w:t>
      </w:r>
      <w:r w:rsidR="00053376" w:rsidRPr="00A9434B">
        <w:t xml:space="preserve"> and local communities were involved in decision-making processes for weed control in Western Australia. Rangers consulted </w:t>
      </w:r>
      <w:r w:rsidR="001E7B2B" w:rsidRPr="00A9434B">
        <w:t>Indigenous Peoples</w:t>
      </w:r>
      <w:r w:rsidR="00053376" w:rsidRPr="00A9434B">
        <w:t xml:space="preserve"> and local communities’ elders about their work eradicating weeds and used </w:t>
      </w:r>
      <w:r w:rsidR="00527080" w:rsidRPr="00A9434B">
        <w:t>“</w:t>
      </w:r>
      <w:r w:rsidR="00053376" w:rsidRPr="00A9434B">
        <w:t xml:space="preserve">place </w:t>
      </w:r>
      <w:r w:rsidR="001255BF" w:rsidRPr="00A9434B">
        <w:t>centred</w:t>
      </w:r>
      <w:r w:rsidR="00527080" w:rsidRPr="00A9434B">
        <w:t>”</w:t>
      </w:r>
      <w:r w:rsidR="00053376" w:rsidRPr="00A9434B">
        <w:t xml:space="preserve"> methods </w:t>
      </w:r>
      <w:r w:rsidR="00053376" w:rsidRPr="00A9434B">
        <w:fldChar w:fldCharType="begin"/>
      </w:r>
      <w:r w:rsidR="0006613E">
        <w:instrText xml:space="preserve"> ADDIN ZOTERO_ITEM CSL_CITATION {"citationID":"a2n8g8dqtm2","properties":{"formattedCitation":"(Bach et al., 2019)","plainCitation":"(Bach et al., 2019)","noteIndex":0},"citationItems":[{"id":11330,"uris":["http://zotero.org/groups/2352922/items/CDMLAWFF"],"itemData":{"id":11330,"type":"article-journal","abstract":"The Australian Government's funding of land management by Aboriginal communities aims to enable them to manage natural and cultural resources according to their values and aspirations. But this approach is countered in the case of weed management, where the emphasis is on killing plants that are identified on invasive alien species lists prepared by government agencies. Based on field research with Bardi-Jawi, Bunuba, Ngurrara, Nyikina Mangala and Wunggurr land managers in the Kimberley region of Western Australia, we observed that 27 of 35 weed control projects followed the government agency weed lists for species-led control. Of these 27 projects, only two were considered successful in meeting Aboriginal cultural aspirations. In most of the other cases, the list-based approach generated frustration among Aboriginal rangers who felt they were engaged in purposeless killing. In contrast, we found that elders and rangers preferred site-based approaches that considered landscape and vegetation management from their culturally specific and highly contextual geographies of ‘healthy country’. We outline instances where ranger groups have adopted site-based management that has been informed by geographies of healthy country and argue that such an approach offers a better alternative to current list-based weed control and produces positive outcomes for Aboriginal communities.","collection-title":"The human and social dimensions of invasion science and management","container-title":"Journal of Environmental Management","DOI":"10.1016/j.jenvman.2018.06.050","ISSN":"0301-4797","journalAbbreviation":"Journal of Environmental Management","language":"en","page":"182-192","source":"ScienceDirect","title":"From killing lists to healthy country: Aboriginal approaches to weed control in the Kimberley, Western Australia","title-short":"From killing lists to healthy country","URL":"http://www.sciencedirect.com/science/article/pii/S0301479718306984","volume":"229","author":[{"family":"Bach","given":"Thomas M."},{"family":"Kull","given":"Christian A."},{"family":"Rangan","given":"Haripriya"}],"accessed":{"date-parts":[["2019",10,14]]},"issued":{"date-parts":[["2019",1,1]]}},"label":"page"}],"schema":"https://github.com/citation-style-language/schema/raw/master/csl-citation.json"} </w:instrText>
      </w:r>
      <w:r w:rsidR="00053376" w:rsidRPr="00A9434B">
        <w:fldChar w:fldCharType="separate"/>
      </w:r>
      <w:r w:rsidR="00C71E80" w:rsidRPr="00A9434B">
        <w:t>(Bach et al., 2019)</w:t>
      </w:r>
      <w:r w:rsidR="00053376" w:rsidRPr="00A9434B">
        <w:fldChar w:fldCharType="end"/>
      </w:r>
      <w:r w:rsidR="00053376" w:rsidRPr="00A9434B">
        <w:t>.</w:t>
      </w:r>
    </w:p>
    <w:p w14:paraId="468A91EB" w14:textId="0B523CB5" w:rsidR="00017C04" w:rsidRDefault="00F50AF9">
      <w:r>
        <w:t>Overall, key aspects that Indigenous Peoples and local communities have highlighted in relation to successful co-production and co-management include respect for community knowledge, institutions and protocols, allowing enough time to build trusting relationships, and broad distribution of benefits from biological invasion management, which do not need to be financial and can include capacity</w:t>
      </w:r>
      <w:r w:rsidR="006F2BE1">
        <w:t>-</w:t>
      </w:r>
      <w:r>
        <w:t xml:space="preserve">building in research and </w:t>
      </w:r>
      <w:r w:rsidR="009E48C2" w:rsidRPr="00A9434B">
        <w:t>management</w:t>
      </w:r>
      <w:r w:rsidR="009011F3">
        <w:t>.</w:t>
      </w:r>
      <w:r w:rsidR="001910B9" w:rsidRPr="001910B9">
        <w:rPr>
          <w:vertAlign w:val="superscript"/>
        </w:rPr>
        <w:fldChar w:fldCharType="begin"/>
      </w:r>
      <w:r w:rsidR="001910B9" w:rsidRPr="001910B9">
        <w:rPr>
          <w:vertAlign w:val="superscript"/>
        </w:rPr>
        <w:instrText xml:space="preserve"> NOTEREF _Ref158716800 \h </w:instrText>
      </w:r>
      <w:r w:rsidR="001910B9">
        <w:rPr>
          <w:vertAlign w:val="superscript"/>
        </w:rPr>
        <w:instrText xml:space="preserve"> \* MERGEFORMAT </w:instrText>
      </w:r>
      <w:r w:rsidR="001910B9" w:rsidRPr="001910B9">
        <w:rPr>
          <w:vertAlign w:val="superscript"/>
        </w:rPr>
      </w:r>
      <w:r w:rsidR="001910B9" w:rsidRPr="001910B9">
        <w:rPr>
          <w:vertAlign w:val="superscript"/>
        </w:rPr>
        <w:fldChar w:fldCharType="separate"/>
      </w:r>
      <w:r w:rsidR="001910B9" w:rsidRPr="001910B9">
        <w:rPr>
          <w:vertAlign w:val="superscript"/>
        </w:rPr>
        <w:t>11</w:t>
      </w:r>
      <w:r w:rsidR="001910B9" w:rsidRPr="001910B9">
        <w:rPr>
          <w:vertAlign w:val="superscript"/>
        </w:rPr>
        <w:fldChar w:fldCharType="end"/>
      </w:r>
      <w:r w:rsidR="002C4A49" w:rsidRPr="002C4A49">
        <w:rPr>
          <w:vertAlign w:val="superscript"/>
        </w:rPr>
        <w:fldChar w:fldCharType="begin"/>
      </w:r>
      <w:r w:rsidR="002C4A49" w:rsidRPr="002C4A49">
        <w:rPr>
          <w:vertAlign w:val="superscript"/>
        </w:rPr>
        <w:instrText xml:space="preserve"> NOTEREF _Ref132039093 \h </w:instrText>
      </w:r>
      <w:r w:rsidR="002C4A49">
        <w:rPr>
          <w:vertAlign w:val="superscript"/>
        </w:rPr>
        <w:instrText xml:space="preserve"> \* MERGEFORMAT </w:instrText>
      </w:r>
      <w:r w:rsidR="002C4A49" w:rsidRPr="002C4A49">
        <w:rPr>
          <w:vertAlign w:val="superscript"/>
        </w:rPr>
      </w:r>
      <w:r w:rsidR="002C4A49" w:rsidRPr="002C4A49">
        <w:rPr>
          <w:vertAlign w:val="superscript"/>
        </w:rPr>
        <w:fldChar w:fldCharType="end"/>
      </w:r>
    </w:p>
    <w:p w14:paraId="4D0CC614" w14:textId="41B23EE6" w:rsidR="00017C04" w:rsidRDefault="00F50AF9">
      <w:r>
        <w:t xml:space="preserve">Some </w:t>
      </w:r>
      <w:r w:rsidR="009011F3">
        <w:t>I</w:t>
      </w:r>
      <w:r>
        <w:t>ndigenous and local communities have developed biocultural community protocols (</w:t>
      </w:r>
      <w:r w:rsidR="00F8521D">
        <w:rPr>
          <w:b/>
          <w:iCs/>
        </w:rPr>
        <w:t>G</w:t>
      </w:r>
      <w:r w:rsidR="00FB6DAA" w:rsidRPr="00673554">
        <w:rPr>
          <w:b/>
          <w:iCs/>
        </w:rPr>
        <w:t>lossary</w:t>
      </w:r>
      <w:r>
        <w:t xml:space="preserve">), documents that consider their values, procedures and priorities to frame how they wish to be engaged in projects that impact them. They set out rights and responsibilities under customary, state and international law as the basis for engaging with other stakeholders </w:t>
      </w:r>
      <w:r w:rsidR="008867D3" w:rsidRPr="00A9434B">
        <w:fldChar w:fldCharType="begin"/>
      </w:r>
      <w:r w:rsidR="0006613E">
        <w:instrText xml:space="preserve"> ADDIN ZOTERO_ITEM CSL_CITATION {"citationID":"a2qmndk908i","properties":{"formattedCitation":"(Natural Justice, 2022)","plainCitation":"(Natural Justice, 2022)","noteIndex":0},"citationItems":[{"id":54714,"uris":["http://zotero.org/groups/2352922/items/BLV3YXDW"],"itemData":{"id":54714,"type":"webpage","abstract":"Biocultural community protocols (BCPs) articulate community-determined values, procedures and priorities. They set out rights and responsibilities under customary, state and international law as the basis for engaging with external actors such as governments, companies, academics and NGOs. They can be used as catalysts for constructive and proactive responses to threats and opportunities posed by land […]","container-title":"Natural Justice","language":"en-GB","title":"Biocultural Community Protocols","URL":"https://naturaljustice.org/publication/biocultural-community-protocols/","author":[{"literal":"Natural Justice"}],"accessed":{"date-parts":[["2023",3,7]]},"issued":{"date-parts":[["2022"]]}}}],"schema":"https://github.com/citation-style-language/schema/raw/master/csl-citation.json"} </w:instrText>
      </w:r>
      <w:r w:rsidR="008867D3" w:rsidRPr="00A9434B">
        <w:fldChar w:fldCharType="separate"/>
      </w:r>
      <w:r w:rsidR="00C71E80" w:rsidRPr="00A9434B">
        <w:t>(Natural Justice, 2022)</w:t>
      </w:r>
      <w:r w:rsidR="008867D3" w:rsidRPr="00A9434B">
        <w:fldChar w:fldCharType="end"/>
      </w:r>
      <w:r w:rsidR="008867D3" w:rsidRPr="00A9434B">
        <w:t xml:space="preserve">. </w:t>
      </w:r>
      <w:r w:rsidR="00FD0D4F" w:rsidRPr="00A9434B">
        <w:t xml:space="preserve">Biocultural </w:t>
      </w:r>
      <w:r w:rsidR="005D7E11" w:rsidRPr="00A9434B">
        <w:t>c</w:t>
      </w:r>
      <w:r w:rsidR="00FD0D4F" w:rsidRPr="00A9434B">
        <w:t xml:space="preserve">ommunity </w:t>
      </w:r>
      <w:r w:rsidR="005D7E11" w:rsidRPr="00A9434B">
        <w:t>p</w:t>
      </w:r>
      <w:r w:rsidR="009E48C2" w:rsidRPr="00A9434B">
        <w:t>rotocols</w:t>
      </w:r>
      <w:r w:rsidR="001910B9">
        <w:t xml:space="preserve"> </w:t>
      </w:r>
      <w:r w:rsidR="009E48C2" w:rsidRPr="00A9434B">
        <w:t xml:space="preserve">could be a foundation for discussions with communities on policies related </w:t>
      </w:r>
      <w:r w:rsidR="00053376" w:rsidRPr="00A9434B">
        <w:t>to manag</w:t>
      </w:r>
      <w:r w:rsidR="00CF1F49" w:rsidRPr="00A9434B">
        <w:t>ing</w:t>
      </w:r>
      <w:r w:rsidR="00053376" w:rsidRPr="00A9434B">
        <w:t xml:space="preserve"> invasive alien species and restor</w:t>
      </w:r>
      <w:r w:rsidR="00705F92" w:rsidRPr="00A9434B">
        <w:t>ing</w:t>
      </w:r>
      <w:r w:rsidR="00053376" w:rsidRPr="00A9434B">
        <w:t xml:space="preserve"> ecosystems.</w:t>
      </w:r>
      <w:r>
        <w:t xml:space="preserve"> For </w:t>
      </w:r>
      <w:r>
        <w:lastRenderedPageBreak/>
        <w:t xml:space="preserve">instance, in Hawaii, a biocultural community protocol has been developed to support the successful ecosystem restoration of the Pu‘uwa‘awa‘a Community-Based Subsistence Forest Area </w:t>
      </w:r>
      <w:r w:rsidR="008867D3" w:rsidRPr="00A9434B">
        <w:fldChar w:fldCharType="begin"/>
      </w:r>
      <w:r w:rsidR="0006613E">
        <w:instrText xml:space="preserve"> ADDIN ZOTERO_ITEM CSL_CITATION {"citationID":"a1o0dimv2ok","properties":{"formattedCitation":"(Kamelamela et al., 2022)","plainCitation":"(Kamelamela et al., 2022)","noteIndex":0},"citationItems":[{"id":54712,"uris":["http://zotero.org/groups/2352922/items/MJ3C9N9B"],"itemData":{"id":54712,"type":"article-journal","container-title":"Forest Ecology and Management","DOI":"10.1016/j.foreco.2021.119949","note":"ISBN: 0378-1127\npublisher: Elsevier","page":"119949","title":"&lt;i&gt;Kōkua aku, Kōkua mai&lt;/i&gt;: An Indigenous Consensus-driven and Place-based Approach to Community Led Dryland Restoration and Stewardship","volume":"506","author":[{"family":"Kamelamela","given":"Katie L."},{"family":"Springer","given":"Hannah Kihalani"},{"family":"Keakealani","given":"Roberta Ku'ulei"},{"family":"Ching","given":"Moana Ulu"},{"family":"Ticktin","given":"Tamara"},{"family":"Ohara","given":"Rebekah Dickens"},{"family":"Parsons","given":"Elliott W."},{"family":"Adkins","given":"Edith D."},{"family":"Francisco","given":"Kainana S."},{"family":"Giardina","given":"Christian"}],"issued":{"date-parts":[["2022"]]}}}],"schema":"https://github.com/citation-style-language/schema/raw/master/csl-citation.json"} </w:instrText>
      </w:r>
      <w:r w:rsidR="008867D3" w:rsidRPr="00A9434B">
        <w:fldChar w:fldCharType="separate"/>
      </w:r>
      <w:r w:rsidR="00C71E80" w:rsidRPr="00A9434B">
        <w:t>(Kamelamela et al., 2022)</w:t>
      </w:r>
      <w:r w:rsidR="008867D3" w:rsidRPr="00A9434B">
        <w:fldChar w:fldCharType="end"/>
      </w:r>
      <w:r w:rsidR="008867D3" w:rsidRPr="00A9434B">
        <w:t>.</w:t>
      </w:r>
      <w:r>
        <w:t xml:space="preserve"> Co-production of planning and decision-making, or support of existing Indigenous Peoples and local communities’ invasive alien species management systems could indeed benefit communities beyond biological invasions management. It provides recognition of their knowledge systems and incentives to continue or revitalize traditional monitoring, management and knowledge transmission</w:t>
      </w:r>
      <w:r w:rsidR="00EB415D">
        <w:t xml:space="preserve"> and</w:t>
      </w:r>
      <w:r>
        <w:t xml:space="preserve"> simultaneously enhances the efficacy of biological invasions management </w:t>
      </w:r>
      <w:r w:rsidR="006B683C" w:rsidRPr="00A9434B">
        <w:fldChar w:fldCharType="begin"/>
      </w:r>
      <w:r w:rsidR="0006613E">
        <w:instrText xml:space="preserve"> ADDIN ZOTERO_ITEM CSL_CITATION {"citationID":"a1qfo8fou30","properties":{"formattedCitation":"(IPBES, 2021, 2022)","plainCitation":"(IPBES, 2021, 2022)","noteIndex":0},"citationItems":[{"id":29974,"uris":["http://zotero.org/groups/2352922/items/YNIGUHYA"],"itemData":{"id":29974,"type":"document","license":"Secretariat of the Intergovernmental Science-Policy Platform on Biodiversity and Ecosystem Services","title":"Methodological guidance for recognizing and working with indigenous and local knowledge in IPBES","URL":"https://ipbes.net/sites/default/files/inline-files/IPBES_ILK_MethGuide.pdf","author":[{"literal":"IPBES"}],"accessed":{"date-parts":[["2021",8,17]]},"issued":{"date-parts":[["2021"]]}},"label":"page"},{"id":53340,"uris":["http://zotero.org/groups/2352922/items/BZSKBXEC"],"itemData":{"id":53340,"type":"report","event-place":"Online, 1-3 February 2022","publisher-place":"Online, 1-3 February 2022","title":"Report of the third Indigenous and local knowledge dialogue workshop for the IPBES thematic assessment of invasive alien species and their control.","URL":"https://ipbes.net/sites/default/files/2023-02/IPBES_IAS_3rdILKDialogue_SPM-SOD_Report_FinalForWeb2.pdf","author":[{"literal":"IPBES"}],"issued":{"date-parts":[["2022"]]}}}],"schema":"https://github.com/citation-style-language/schema/raw/master/csl-citation.json"} </w:instrText>
      </w:r>
      <w:r w:rsidR="006B683C" w:rsidRPr="00A9434B">
        <w:fldChar w:fldCharType="separate"/>
      </w:r>
      <w:r w:rsidR="00C71E80" w:rsidRPr="00A9434B">
        <w:t>(IPBES, 2021, 2022)</w:t>
      </w:r>
      <w:r w:rsidR="006B683C" w:rsidRPr="00A9434B">
        <w:fldChar w:fldCharType="end"/>
      </w:r>
    </w:p>
    <w:p w14:paraId="7E17C1B5" w14:textId="77777777" w:rsidR="00017C04" w:rsidRDefault="00F50AF9" w:rsidP="008521D1">
      <w:pPr>
        <w:pStyle w:val="Heading2"/>
      </w:pPr>
      <w:bookmarkStart w:id="398" w:name="_Toc90286356"/>
      <w:bookmarkStart w:id="399" w:name="_Toc888917949"/>
      <w:bookmarkStart w:id="400" w:name="_Toc133428328"/>
      <w:bookmarkStart w:id="401" w:name="_Toc133428794"/>
      <w:bookmarkStart w:id="402" w:name="_Toc147417589"/>
      <w:r>
        <w:t>Governance networks for collective action</w:t>
      </w:r>
      <w:bookmarkEnd w:id="398"/>
      <w:bookmarkEnd w:id="399"/>
      <w:bookmarkEnd w:id="400"/>
      <w:bookmarkEnd w:id="401"/>
      <w:bookmarkEnd w:id="402"/>
    </w:p>
    <w:p w14:paraId="624F76BF" w14:textId="768AE913" w:rsidR="009E48C2" w:rsidRPr="00A9434B" w:rsidRDefault="002636A4" w:rsidP="006B3143">
      <w:r>
        <w:t>Engaging with</w:t>
      </w:r>
      <w:r w:rsidR="009E48C2" w:rsidRPr="00A9434B">
        <w:t xml:space="preserve"> stakeholder</w:t>
      </w:r>
      <w:r w:rsidR="009011F3">
        <w:t>s</w:t>
      </w:r>
      <w:r w:rsidR="009E48C2" w:rsidRPr="00A9434B">
        <w:t xml:space="preserve"> and </w:t>
      </w:r>
      <w:r w:rsidR="001E7B2B" w:rsidRPr="00A9434B">
        <w:t>Indigenous Peoples</w:t>
      </w:r>
      <w:r w:rsidR="00F004D9" w:rsidRPr="00A9434B">
        <w:t xml:space="preserve"> and local communities</w:t>
      </w:r>
      <w:r w:rsidR="009E48C2" w:rsidRPr="00A9434B">
        <w:t xml:space="preserve">, and </w:t>
      </w:r>
      <w:r>
        <w:t>considering</w:t>
      </w:r>
      <w:r w:rsidR="009E48C2" w:rsidRPr="00A9434B">
        <w:t xml:space="preserve"> diverse </w:t>
      </w:r>
      <w:r w:rsidR="00FF344C" w:rsidRPr="00A9434B">
        <w:t>actors</w:t>
      </w:r>
      <w:r w:rsidR="009E48C2" w:rsidRPr="00A9434B">
        <w:t xml:space="preserve"> involved in </w:t>
      </w:r>
      <w:r w:rsidR="000A7DC2" w:rsidRPr="00A9434B">
        <w:t>governance for biological invasions</w:t>
      </w:r>
      <w:r w:rsidR="00FF344C" w:rsidRPr="00A9434B">
        <w:t xml:space="preserve"> </w:t>
      </w:r>
      <w:r w:rsidR="00F806B6" w:rsidRPr="00A9434B">
        <w:t>(</w:t>
      </w:r>
      <w:r w:rsidR="00FF344C" w:rsidRPr="00673554">
        <w:rPr>
          <w:b/>
          <w:iCs/>
        </w:rPr>
        <w:t xml:space="preserve">section </w:t>
      </w:r>
      <w:r w:rsidR="00B01CCF" w:rsidRPr="00673554">
        <w:rPr>
          <w:b/>
          <w:iCs/>
        </w:rPr>
        <w:t>6.2.3.3</w:t>
      </w:r>
      <w:r w:rsidR="00B01CCF" w:rsidRPr="00A9434B">
        <w:t>)</w:t>
      </w:r>
      <w:r>
        <w:t xml:space="preserve"> can be achieved by</w:t>
      </w:r>
      <w:r w:rsidR="009E48C2" w:rsidRPr="00A9434B">
        <w:t xml:space="preserve"> establish</w:t>
      </w:r>
      <w:r>
        <w:t>ing</w:t>
      </w:r>
      <w:r w:rsidR="009E48C2" w:rsidRPr="00A9434B">
        <w:t xml:space="preserve"> </w:t>
      </w:r>
      <w:r w:rsidR="00BC7018" w:rsidRPr="00A9434B">
        <w:t xml:space="preserve">informal or formal </w:t>
      </w:r>
      <w:r w:rsidR="009E48C2" w:rsidRPr="00A9434B">
        <w:t>mechanisms for collective action</w:t>
      </w:r>
      <w:r w:rsidR="00BC7018" w:rsidRPr="00A9434B">
        <w:t xml:space="preserve"> </w:t>
      </w:r>
      <w:r w:rsidR="00F806B6" w:rsidRPr="00A9434B">
        <w:t>(</w:t>
      </w:r>
      <w:r w:rsidR="00F8521D">
        <w:rPr>
          <w:b/>
          <w:iCs/>
        </w:rPr>
        <w:t>G</w:t>
      </w:r>
      <w:r w:rsidR="00BC7018" w:rsidRPr="00673554">
        <w:rPr>
          <w:b/>
          <w:iCs/>
        </w:rPr>
        <w:t>lossary</w:t>
      </w:r>
      <w:r w:rsidR="00BC7018" w:rsidRPr="00A9434B">
        <w:t>)</w:t>
      </w:r>
      <w:r w:rsidR="009E48C2" w:rsidRPr="00A9434B">
        <w:t xml:space="preserve">. Simply recognizing this need does not mean that collective action will happen, nor that collective initiatives and arrangements will be effective at solving the problems at hand </w:t>
      </w:r>
      <w:r w:rsidR="009E48C2" w:rsidRPr="00A9434B">
        <w:fldChar w:fldCharType="begin"/>
      </w:r>
      <w:r w:rsidR="0006613E">
        <w:instrText xml:space="preserve"> ADDIN ZOTERO_ITEM CSL_CITATION {"citationID":"a17ca961jm2","properties":{"formattedCitation":"(Koontz &amp; Thomas, 2006; Lubell, 2004)","plainCitation":"(Koontz &amp; Thomas, 2006; Lubell, 2004)","noteIndex":0},"citationItems":[{"id":29547,"uris":["http://zotero.org/groups/2352922/items/5H4F8U9K"],"itemData":{"id":29547,"type":"article-journal","abstract":"Many analysts view collaborative institutions that attempt to forge consensus and build cooperation among conflicting stakeholders as a potential remedy to the pathologies of conventional environmental policy. However, few analyses have demonstrated that collaborative institutions actually increase levels of cooperation, and critics accuse collaborative institutions of all talk and no action. This paper reports the use a quasi-experimental design to compare the levels of consensus and cooperation in coastal watersheds with and without U.S. EPA's National Estuary Programs, one of the most prominent national examples of collaborative institutions in the environmental policy domain. Panel survey data from more than 800 respondents shows that while the level of consensus is higher in NEP estuaries, there is no difference between NEP and non-NEP estuaries in the level of cooperation. © 2004 by the Association for Public Policy Analysis and Management.","container-title":"Journal of Policy Analysis and Management","DOI":"10.1002/pam.20026","ISSN":"1520-6688","issue":"3","language":"en","note":"_eprint: https://onlinelibrary.wiley.com/doi/pdf/10.1002/pam.20026","page":"549-573","source":"Wiley Online Library","title":"Collaborative environmental institutions: All talk and no action?","title-short":"Collaborative environmental institutions","URL":"https://onlinelibrary.wiley.com/doi/abs/10.1002/pam.20026","volume":"23","author":[{"family":"Lubell","given":"Mark"}],"accessed":{"date-parts":[["2021",8,3]]},"issued":{"date-parts":[["2004"]]}},"label":"page"},{"id":29548,"uris":["http://zotero.org/groups/2352922/items/B7P2L7T2"],"itemData":{"id":29548,"type":"article-journal","abstract":"Many tout the benefits of collaborative environmental management as an alternative to centralized planning and command and control regulation, but the excitement over collaborative processes has not been matched by evidence that these processes actually improve the environment. The most crucial question in collaborative environmental management remains unanswered and often unasked: To what extent does collaboration lead to improved environmental outcomes? We know much about why collaboration is occurring and how collaborative processes and outputs vary. The primary goal of future research on collaborative environmental management should be to demonstrate whether collaboration improves environmental conditions more than traditional processes and newer market-based processes. Collaboration is not a panacea; it is a choice that policy makers and public managers should make based on evidence about expected outcomes.","container-title":"Public Administration Review","DOI":"10.1111/j.1540-6210.2006.00671.x","ISSN":"1540-6210","issue":"s1","language":"en","note":"_eprint: https://onlinelibrary.wiley.com/doi/pdf/10.1111/j.1540-6210.2006.00671.x","page":"111-121","source":"Wiley Online Library","title":"What Do We Know and Need to Know about the Environmental Outcomes of Collaborative Management?","URL":"https://onlinelibrary.wiley.com/doi/abs/10.1111/j.1540-6210.2006.00671.x","volume":"66","author":[{"family":"Koontz","given":"Tomas M."},{"family":"Thomas","given":"Craig W."}],"accessed":{"date-parts":[["2021",8,3]]},"issued":{"date-parts":[["2006"]]}},"label":"page"}],"schema":"https://github.com/citation-style-language/schema/raw/master/csl-citation.json"} </w:instrText>
      </w:r>
      <w:r w:rsidR="009E48C2" w:rsidRPr="00A9434B">
        <w:fldChar w:fldCharType="separate"/>
      </w:r>
      <w:r w:rsidR="00C71E80" w:rsidRPr="00A9434B">
        <w:t>(Koontz &amp; Thomas, 2006; Lubell, 2004)</w:t>
      </w:r>
      <w:r w:rsidR="009E48C2" w:rsidRPr="00A9434B">
        <w:fldChar w:fldCharType="end"/>
      </w:r>
      <w:r w:rsidR="009E48C2" w:rsidRPr="00A9434B">
        <w:t>. Collective action outcomes often emerge through self-organi</w:t>
      </w:r>
      <w:r w:rsidR="00F32456" w:rsidRPr="00A9434B">
        <w:t>z</w:t>
      </w:r>
      <w:r w:rsidR="009E48C2" w:rsidRPr="00A9434B">
        <w:t>ation (where overall organi</w:t>
      </w:r>
      <w:r w:rsidR="00F32456" w:rsidRPr="00A9434B">
        <w:t>z</w:t>
      </w:r>
      <w:r w:rsidR="009E48C2" w:rsidRPr="00A9434B">
        <w:t xml:space="preserve">ation arises spontaneously from local interactions) – as when numerous individual managers acting independently apply cultural controls that together change the invasibility of landscapes </w:t>
      </w:r>
      <w:r w:rsidR="009E48C2" w:rsidRPr="00A9434B">
        <w:fldChar w:fldCharType="begin"/>
      </w:r>
      <w:r w:rsidR="0006613E">
        <w:instrText xml:space="preserve"> ADDIN ZOTERO_ITEM CSL_CITATION {"citationID":"a1232iahfpg","properties":{"formattedCitation":"(P. L. Howard, 2019)","plainCitation":"(P. L. Howard, 2019)","noteIndex":0},"citationItems":[{"id":56402,"uris":["http://zotero.org/groups/2352922/items/FKZW3H8F","http://zotero.org/groups/2352922/items/LF2QQ5MI"],"itemData":{"id":56402,"type":"article-journal","abstract":"Abstract\n            Species invasions are a major driver of ecological change, are very difficult to control or reverse, and will increase with climate change and global trade. Invasion sciences consider how species in invaded environments adapt, but neither scientists nor policy makers consider human adaptation to invasive species and how this affects ecosystems and well-being. To address this, a framework conceptualising autochthonous human adaptation to invasions was developed based on the Human Adaptation to Biodiversity Change framework and a case study metasynthesis. Results show that adaptation occurs within different spheres of human activity and organisation at different social-ecological scales; responses have feedbacks within and across these spheres. Adaptation to invasives and other drivers is a set of highly contextual, complex, non-linear responses that make up pathways pursued over time. Most invasive species management and adaptation occurs ‘from below,’ and policies and planned control efforts should support autochthonous adaptation, rather than undermining it.","container-title":"Ambio","DOI":"10.1007/s13280-019-01297-5","ISSN":"0044-7447, 1654-7209","issue":"12","journalAbbreviation":"Ambio","language":"en","page":"1401-1430","source":"DOI.org (Crossref)","title":"Human adaptation to invasive species: A conceptual framework based on a case study metasynthesis","title-short":"Human adaptation to invasive species","URL":"http://link.springer.com/10.1007/s13280-019-01297-5","volume":"48","author":[{"family":"Howard","given":"Patricia L."}],"accessed":{"date-parts":[["2023",6,8]]},"issued":{"date-parts":[["2019",12]]}},"label":"page"}],"schema":"https://github.com/citation-style-language/schema/raw/master/csl-citation.json"} </w:instrText>
      </w:r>
      <w:r w:rsidR="009E48C2" w:rsidRPr="00A9434B">
        <w:fldChar w:fldCharType="separate"/>
      </w:r>
      <w:r w:rsidR="00C71E80" w:rsidRPr="00A9434B">
        <w:t>(P. L. Howard, 2019)</w:t>
      </w:r>
      <w:r w:rsidR="009E48C2" w:rsidRPr="00A9434B">
        <w:fldChar w:fldCharType="end"/>
      </w:r>
      <w:r w:rsidR="009E48C2" w:rsidRPr="00A9434B">
        <w:t>. As demonstrated in an Australian rural landscape through a Landcare program, successful collecti</w:t>
      </w:r>
      <w:r w:rsidR="407A5F2F" w:rsidRPr="00A9434B">
        <w:t>ve</w:t>
      </w:r>
      <w:r w:rsidR="009E48C2" w:rsidRPr="00A9434B">
        <w:t xml:space="preserve"> action emerged through the key role of a leader, building trust and social norms in the community, along with contracts that strengthened commitment and steered action towards the control of high priority invasive alien species </w:t>
      </w:r>
      <w:r w:rsidR="009E48C2" w:rsidRPr="00A9434B">
        <w:fldChar w:fldCharType="begin"/>
      </w:r>
      <w:r w:rsidR="0006613E">
        <w:instrText xml:space="preserve"> ADDIN ZOTERO_ITEM CSL_CITATION {"citationID":"a2k50ng8348","properties":{"formattedCitation":"(McKiernan, 2018)","plainCitation":"(McKiernan, 2018)","noteIndex":0},"citationItems":[{"id":52846,"uris":["http://zotero.org/groups/2352922/items/S8J6K9IA"],"itemData":{"id":52846,"type":"article-journal","abstract":"Rural-amenity migration is changing the social and ecological compositions of landscapes globally. The in-migration of new landholders is contributing to significant biophysical changes to rural landscapes, as well as the weakening of collective awareness, knowledge and skills needed to manage natural resources. This is leading to the proliferation of environmental harm. This paper focuses on invasive plants as one such harm, detailing how collective action is developed and challenged in a rural landscape undergoing increasing property turnover and diversifying management priorities. Focusing on the role of a Landcare group, located in southern New South Wales, Australia, I explore how social capital – with a particular focus on trust and social norms – is mobilised to recruit newly arrived residents and maintain commitment among landholders to manage invasive plants. This research provides insights into how policy can better steer management interventions, particularly how to develop and maintain collective action in diversifying rural landscapes.","container-title":"Journal of Environmental Planning and Management","DOI":"10.1080/09640568.2017.1351930","ISSN":"0964-0568","issue":"8","note":"publisher: Routledge\n_eprint: https://doi.org/10.1080/09640568.2017.1351930","page":"1419-1437","source":"Taylor and Francis+NEJM","title":"Managing invasive plants in a rural-amenity landscape: the role of social capital and Landcare","title-short":"Managing invasive plants in a rural-amenity landscape","URL":"https://doi.org/10.1080/09640568.2017.1351930","volume":"61","author":[{"family":"McKiernan","given":"Shaun"}],"accessed":{"date-parts":[["2022",8,4]]},"issued":{"date-parts":[["2018",7,3]]}},"label":"page"}],"schema":"https://github.com/citation-style-language/schema/raw/master/csl-citation.json"} </w:instrText>
      </w:r>
      <w:r w:rsidR="009E48C2" w:rsidRPr="00A9434B">
        <w:fldChar w:fldCharType="separate"/>
      </w:r>
      <w:r w:rsidR="00C71E80" w:rsidRPr="00A9434B">
        <w:t>(McKiernan, 2018)</w:t>
      </w:r>
      <w:r w:rsidR="009E48C2" w:rsidRPr="00A9434B">
        <w:fldChar w:fldCharType="end"/>
      </w:r>
      <w:r w:rsidR="009E48C2" w:rsidRPr="00A9434B">
        <w:t xml:space="preserve">. </w:t>
      </w:r>
    </w:p>
    <w:p w14:paraId="1D8B7473" w14:textId="360354DD" w:rsidR="009E48C2" w:rsidRPr="00A9434B" w:rsidRDefault="009E48C2" w:rsidP="006B3143">
      <w:r w:rsidRPr="00A9434B">
        <w:t xml:space="preserve">Collective action is also often jointly planned and executed, based on place-based or culturally-based rules and norms where community members jointly assume responsibility for invasive species management </w:t>
      </w:r>
      <w:r w:rsidR="006B683C" w:rsidRPr="00A9434B">
        <w:t xml:space="preserve">(e.g., </w:t>
      </w:r>
      <w:r w:rsidRPr="00A9434B">
        <w:fldChar w:fldCharType="begin"/>
      </w:r>
      <w:r w:rsidR="0006613E">
        <w:instrText xml:space="preserve"> ADDIN ZOTERO_ITEM CSL_CITATION {"citationID":"a17s2qv6ku0","properties":{"formattedCitation":"\\uldash{(Graham et al., 2019; Lien et al., 2021; Lubeck et al., 2019; Sullivan et al., 2017; Yung et al., 2015)}","plainCitation":"(Graham et al., 2019; Lien et al., 2021; Lubeck et al., 2019; Sullivan et al., 2017; Yung et al., 2015)","dontUpdate":true,"noteIndex":0},"citationItems":[{"id":23951,"uris":["http://zotero.org/groups/2352922/items/V3JX6E45"],"itemData":{"id":23951,"type":"article-journal","abstract":"Rural landscapes are increasingly diverse and heterogeneous, involving a mix of small and large parcels, amenity and agricultural properties, and resident and absentee owners. Managing invasive plants in landscapes with changing ownership requires understanding the views and practices of different landowners. We surveyed landowners in two rural valleys with 26% absentee ownership and a large number of small parcels in Missoula County, Montana. Landowners indicated a high level of awareness and concern about weeds; more than 80% agreed that weeds are a problem in their valley. Seventy-eight percent of landowners managed weeds, but only 63% were effective at weed management. Absentee owners were far less likely to manage weeds on their properties and less likely to utilize herbicides, as compared with resident landowners. Landowners reported that seeds coming from adjacent properties were the most significant barrier to effective weed control. Many landowners manage weeds to be a good neighbor and believe that cooperation between neighbors is critical to weed management.","container-title":"Invasive Plant Science and Management","DOI":"10.1614/IPSM-D-14-00059.1","ISSN":"1939-7291, 1939-747X","issue":"2","language":"en","note":"publisher: Cambridge University Press","page":"193-202","source":"Cambridge University Press","title":"Effective Weed Management, Collective Action, and Landownership Change in Western Montana","URL":"https://www.cambridge.org/core/journals/invasive-plant-science-and-management/article/effective-weed-management-collective-action-and-landownership-change-in-western-montana/66E5890A62D38C2F3EB667CB87A9B3B3","volume":"8","author":[{"family":"Yung","given":"Laurie"},{"family":"Chandler","given":"John"},{"family":"Haverhals","given":"Marijka"}],"accessed":{"date-parts":[["2020",8,26]]},"issued":{"date-parts":[["2015",6]]}},"label":"page"},{"id":27457,"uris":["http://zotero.org/groups/2352922/items/8F8YCWMZ"],"itemData":{"id":27457,"type":"article-journal","container-title":"The Commons Journal","DOI":"10.18352/ijc.676","ISSN":"1875-0281","issue":"1","journalAbbreviation":"Int J Commons","language":"en","page":"171-199","source":"DOI.org (Crossref)","title":"De jure versus de facto institutions: trust, information, and collective efforts to manage the invasive mile-a-minute weed (&lt;i&gt;Mikania micrantha&lt;/i&gt;)","title-short":"De jure versus de facto institutions","URL":"https://www.thecommonsjournal.org/article/10.18352/ijc.676/","volume":"11","author":[{"family":"Sullivan","given":"Abigail"},{"family":"York","given":"Abigail M."},{"family":"White","given":"Dave D."},{"family":"Hall","given":"Sharon J."},{"family":"Yabiku","given":"Scott T."}],"accessed":{"date-parts":[["2019",11,8]]},"issued":{"date-parts":[["2017",3,6]]}},"label":"page"},{"id":53412,"uris":["http://zotero.org/groups/2352922/items/CBLM2JWC","http://zotero.org/groups/2352922/items/7NSVFK8W"],"itemData":{"id":53412,"type":"article-journal","container-title":"Conservation Biology","DOI":"10.1111/cobi.13266","ISSN":"0888-8892, 1523-1739","issue":"2","journalAbbreviation":"Conservation Biology","language":"en","page":"275-287","source":"DOI.org (Crossref)","title":"Opportunities for better use of collective action theory in research and governance for invasive species management","URL":"https://onlinelibrary.wiley.com/doi/10.1111/cobi.13266","volume":"33","author":[{"family":"Graham","given":"Sonia"},{"family":"Metcalf","given":"Alexander L."},{"family":"Gill","given":"Nicholas"},{"family":"Niemiec","given":"Rebecca"},{"family":"Moreno","given":"Carlo"},{"family":"Bach","given":"Thomas"},{"family":"Ikutegbe","given":"Victoria"},{"family":"Hallstrom","given":"Lars"},{"family":"Ma","given":"Zhao"},{"family":"Lubeck","given":"Alice"}],"accessed":{"date-parts":[["2022",9,14]]},"issued":{"date-parts":[["2019",4]]}},"label":"page"},{"id":27175,"uris":["http://zotero.org/groups/2352922/items/HNDDJUPR"],"itemData":{"id":27175,"type":"article-journal","abstract":"Invasive terrestrial plants globally threaten agricultural and natural systems. Prolific dispersal mechanisms enable “weeds” to colonize across ownership boundaries, constituting a collective action problem where effective control requires contributions from multiple actors. Researchers have long recognized the cross-boundary nature of weed control, yet most studies have focused on whether actor-specific characteristics, such as sociodemographics and cognition, influenced individual weed control behaviors. More recent work has begun to explore the drivers of communal control efforts, i.e., cooperatives, group actions. Few studies have empirically investigated how the collective aspects of weed invasions influence individual control behaviors. Here we provide quantitative evidence of a relationship between collective aspects of the weed control problem and landowners’ willingness to engage in individual weed control efforts. In a mail-back survey of Montana landowners (n = 1327) we found collective factors, such as injunctive norms and the belief that weeds are a cross-boundary problem, were significantly correlated with willingness to engage in three different weed control behaviors. Each behavior was correlated with a unique suite of collective factors suggesting that successful interventions must be behavior-specific. These results add to a growing body of evidence that the collective nature of invasive species control is critical for understanding human behavioral responses.","container-title":"Ecology and Society","DOI":"10.5751/es-10897-240232","ISSN":"1708-3087","issue":"2","journalAbbreviation":"Ecol. Soc.","page":"32","title":"Collective factors drive individual invasive species control behaviors: evidence from private lands in Montana, USA","title-short":"Collective factors drive individual invasive species control behaviors","URL":"https://www.ecologyandsociety.org/vol24/iss2/art32/","volume":"24","author":[{"family":"Lubeck","given":"Alice A."},{"family":"Metcalf","given":"Alexander L."},{"family":"Beckman","given":"Crystal L."},{"family":"Yung","given":"Laurie"},{"family":"Angle","given":"Justin W."}],"issued":{"date-parts":[["2019",7]]}},"label":"page"},{"id":26467,"uris":["http://zotero.org/groups/2352922/items/TK37SA5N"],"itemData":{"id":26467,"type":"article-journal","abstract":"Invasive plants can have significant negative effects on human and ecological communities, including reduced productivity and biodiversity and increased fire risk. Effective mitigation of invasive species likely requires action by heterogeneous actors who span jurisdictions, sectors, and levels of governance. While there has been significant research to develop targeted mitigation techniques that slow or halt the spread of specific invasive plants, there has been relatively little complementary work to develop knowledge about the implementation of these management techniques through effective governance systems. To address this gap, we interviewed and conducted archival research on land managers involved in the mitigation of buffelgrass (Pennisetum ciliare, syn: Cenchrus ciliarus) invasion in southern Arizona to investigate how existing and emerging governance arrangements encourage or undermine individual and collective action to manage invasive plants. Our results show that a key challenge of managing invasive species is identifying the mechanisms that will allow heterogeneous actors to overcome internal barriers to coordination with others and enable collective action. These internal barriers are multifaceted, involving laws and policies, cultural traditions and mandates, the availability of monetary and human resources, and information on causes and consequences of species invasion and effective approaches to mitigation. Approaches to solving these problems must include improved knowledge of internal institutional structures and the opportunities and barriers they present to collective action, the preferences of heterogeneous actors when presented with information about future ecosystem conditions absent coordination, the factors that prevent individuals within different organizations from following through on commitments to participate in collective action institutions, and how each of these conditions affects the availability and persistence of resources for mitigation. Together, improved knowledge of the relationships between these factors may provide new approaches to proactive management of emerging resource management challenges, from invasive species to emerging diseases. © 2020 The Society for Range Management","container-title":"Rangeland Ecology and Management","DOI":"10.1016/j.rama.2020.10.004","page":"151-164","title":"Collective Action and Invasive Species Governance in Southern Arizona","URL":"https://www.scopus.com/inward/record.uri?eid=2-s2.0-85097106973&amp;doi=10.1016%2fj.rama.2020.10.004&amp;partnerID=40&amp;md5=5fcd934a0256f2b0e778e55ab9d7cd4e","volume":"74","author":[{"family":"Lien","given":"A.M."},{"family":"Baldwin","given":"E."},{"family":"Franklin","given":"K."}],"issued":{"date-parts":[["2021"]]}},"label":"page"}],"schema":"https://github.com/citation-style-language/schema/raw/master/csl-citation.json"} </w:instrText>
      </w:r>
      <w:r w:rsidRPr="00A9434B">
        <w:fldChar w:fldCharType="separate"/>
      </w:r>
      <w:r w:rsidR="006B683C" w:rsidRPr="00A9434B">
        <w:t>Graham et al., 2019; Lien et al., 2021; Lubeck et al., 2019; Sullivan et al., 2017; Yung et al., 2015)</w:t>
      </w:r>
      <w:r w:rsidRPr="00A9434B">
        <w:fldChar w:fldCharType="end"/>
      </w:r>
      <w:r w:rsidRPr="00A9434B">
        <w:t xml:space="preserve">. However, the conditions required to engage in collective action </w:t>
      </w:r>
      <w:r w:rsidR="00B95A85" w:rsidRPr="00A9434B">
        <w:t>are often</w:t>
      </w:r>
      <w:r w:rsidRPr="00A9434B">
        <w:t xml:space="preserve"> absent</w:t>
      </w:r>
      <w:r w:rsidR="00C20165" w:rsidRPr="00A9434B">
        <w:t xml:space="preserve">; </w:t>
      </w:r>
      <w:r w:rsidRPr="00A9434B">
        <w:t xml:space="preserve">for example, an awareness of cross-boundary relationships, beliefs and expectations that other people will carry out appropriate actions, an absence of effective leadership or </w:t>
      </w:r>
      <w:r w:rsidR="00B01CCF" w:rsidRPr="00A9434B">
        <w:t xml:space="preserve">low </w:t>
      </w:r>
      <w:r w:rsidRPr="00A9434B">
        <w:t xml:space="preserve">confidence that collective efforts will be effective </w:t>
      </w:r>
      <w:r w:rsidRPr="00A9434B">
        <w:fldChar w:fldCharType="begin"/>
      </w:r>
      <w:r w:rsidR="0006613E">
        <w:instrText xml:space="preserve"> ADDIN ZOTERO_ITEM CSL_CITATION {"citationID":"anqem96ai5","properties":{"formattedCitation":"\\uldash{(Bodin et al., 2019; Lubeck et al., 2019)}","plainCitation":"(Bodin et al., 2019; Lubeck et al., 2019)","dontUpdate":true,"noteIndex":0},"citationItems":[{"id":29539,"uris":["http://zotero.org/groups/2352922/items/N6BRKRUE"],"itemData":{"id":29539,"type":"article-journal","abstract":"Achieving effective, sustainable environmental governance requires a better understanding of the causes and consequences of the complex patterns of interdependencies connecting people and ecosystems within and across scales. Network approaches for conceptualizing and analysing these interdependencies offer one promising solution. Here, we present two advances we argue are needed to further this area of research: (i) a typology of causal assumptions explicating the causal aims of any given network-centric study of social–ecological interdependencies; (ii) unifying research design considerations that facilitate conceptualizing exactly what is interdependent, through what types of relationships and in relation to what kinds of environmental problems. The latter builds on the appreciation that many environmental problems draw from a set of core challenges that re-occur across contexts. We demonstrate how these advances combine into a comparative heuristic that facilitates leveraging case-specific findings of social–ecological interdependencies to generalizable, yet context-sensitive, theories based on explicit assumptions of causal relationships.","container-title":"Nature Sustainability","DOI":"10.1038/s41893-019-0308-0","ISSN":"2398-9629","issue":"7","journalAbbreviation":"Nat Sustain","language":"en","license":"2019 Springer Nature Limited","note":"Bandiera_abtest: a\nCg_type: Nature Research Journals\nnumber: 7\nPrimary_atype: Reviews\npublisher: Nature Publishing Group\nSubject_term: Environmental sciences;Environmental social sciences\nSubject_term_id: environmental-sciences;environmental-social-sciences","page":"551-559","source":"www.nature.com","title":"Improving network approaches to the study of complex social–ecological interdependencies","URL":"https://www.nature.com/articles/s41893-019-0308-0","volume":"2","author":[{"family":"Bodin","given":"Örjan"},{"family":"Alexander","given":"S. M."},{"family":"Baggio","given":"J."},{"family":"Barnes","given":"M. L."},{"family":"Berardo","given":"R."},{"family":"Cumming","given":"G. S."},{"family":"Dee","given":"L. E."},{"family":"Fischer","given":"A. P."},{"family":"Fischer","given":"M."},{"family":"Mancilla Garcia","given":"M."},{"family":"Guerrero","given":"A. M."},{"family":"Hileman","given":"J."},{"family":"Ingold","given":"K."},{"family":"Matous","given":"P."},{"family":"Morrison","given":"T. H."},{"family":"Nohrstedt","given":"D."},{"family":"Pittman","given":"J."},{"family":"Robins","given":"G."},{"family":"Sayles","given":"J. S."}],"accessed":{"date-parts":[["2021",8,3]]},"issued":{"date-parts":[["2019",7]]}},"label":"page"},{"id":27175,"uris":["http://zotero.org/groups/2352922/items/HNDDJUPR"],"itemData":{"id":27175,"type":"article-journal","abstract":"Invasive terrestrial plants globally threaten agricultural and natural systems. Prolific dispersal mechanisms enable “weeds” to colonize across ownership boundaries, constituting a collective action problem where effective control requires contributions from multiple actors. Researchers have long recognized the cross-boundary nature of weed control, yet most studies have focused on whether actor-specific characteristics, such as sociodemographics and cognition, influenced individual weed control behaviors. More recent work has begun to explore the drivers of communal control efforts, i.e., cooperatives, group actions. Few studies have empirically investigated how the collective aspects of weed invasions influence individual control behaviors. Here we provide quantitative evidence of a relationship between collective aspects of the weed control problem and landowners’ willingness to engage in individual weed control efforts. In a mail-back survey of Montana landowners (n = 1327) we found collective factors, such as injunctive norms and the belief that weeds are a cross-boundary problem, were significantly correlated with willingness to engage in three different weed control behaviors. Each behavior was correlated with a unique suite of collective factors suggesting that successful interventions must be behavior-specific. These results add to a growing body of evidence that the collective nature of invasive species control is critical for understanding human behavioral responses.","container-title":"Ecology and Society","DOI":"10.5751/es-10897-240232","ISSN":"1708-3087","issue":"2","journalAbbreviation":"Ecol. Soc.","page":"32","title":"Collective factors drive individual invasive species control behaviors: evidence from private lands in Montana, USA","title-short":"Collective factors drive individual invasive species control behaviors","URL":"https://www.ecologyandsociety.org/vol24/iss2/art32/","volume":"24","author":[{"family":"Lubeck","given":"Alice A."},{"family":"Metcalf","given":"Alexander L."},{"family":"Beckman","given":"Crystal L."},{"family":"Yung","given":"Laurie"},{"family":"Angle","given":"Justin W."}],"issued":{"date-parts":[["2019",7]]}},"label":"page"}],"schema":"https://github.com/citation-style-language/schema/raw/master/csl-citation.json"} </w:instrText>
      </w:r>
      <w:r w:rsidRPr="00A9434B">
        <w:fldChar w:fldCharType="separate"/>
      </w:r>
      <w:r w:rsidR="006B683C" w:rsidRPr="00A9434B">
        <w:t>(Bodin et al., 2019; Lubeck et al., 2019</w:t>
      </w:r>
      <w:r w:rsidRPr="00A9434B">
        <w:fldChar w:fldCharType="end"/>
      </w:r>
      <w:r w:rsidR="003D29B0" w:rsidRPr="00A9434B">
        <w:t>;</w:t>
      </w:r>
      <w:r w:rsidRPr="00A9434B">
        <w:fldChar w:fldCharType="begin"/>
      </w:r>
      <w:r w:rsidR="0006613E">
        <w:instrText xml:space="preserve"> ADDIN ZOTERO_ITEM CSL_CITATION {"citationID":"DT1N7C8T","properties":{"formattedCitation":"(Bodin et al., 2019)","plainCitation":"(Bodin et al., 2019)","dontUpdate":true,"noteIndex":0},"citationItems":[{"id":29539,"uris":["http://zotero.org/groups/2352922/items/N6BRKRUE"],"itemData":{"id":29539,"type":"article-journal","abstract":"Achieving effective, sustainable environmental governance requires a better understanding of the causes and consequences of the complex patterns of interdependencies connecting people and ecosystems within and across scales. Network approaches for conceptualizing and analysing these interdependencies offer one promising solution. Here, we present two advances we argue are needed to further this area of research: (i) a typology of causal assumptions explicating the causal aims of any given network-centric study of social–ecological interdependencies; (ii) unifying research design considerations that facilitate conceptualizing exactly what is interdependent, through what types of relationships and in relation to what kinds of environmental problems. The latter builds on the appreciation that many environmental problems draw from a set of core challenges that re-occur across contexts. We demonstrate how these advances combine into a comparative heuristic that facilitates leveraging case-specific findings of social–ecological interdependencies to generalizable, yet context-sensitive, theories based on explicit assumptions of causal relationships.","container-title":"Nature Sustainability","DOI":"10.1038/s41893-019-0308-0","ISSN":"2398-9629","issue":"7","journalAbbreviation":"Nat Sustain","language":"en","license":"2019 Springer Nature Limited","note":"Bandiera_abtest: a\nCg_type: Nature Research Journals\nnumber: 7\nPrimary_atype: Reviews\npublisher: Nature Publishing Group\nSubject_term: Environmental sciences;Environmental social sciences\nSubject_term_id: environmental-sciences;environmental-social-sciences","page":"551-559","source":"www.nature.com","title":"Improving network approaches to the study of complex social–ecological interdependencies","URL":"https://www.nature.com/articles/s41893-019-0308-0","volume":"2","author":[{"family":"Bodin","given":"Örjan"},{"family":"Alexander","given":"S. M."},{"family":"Baggio","given":"J."},{"family":"Barnes","given":"M. L."},{"family":"Berardo","given":"R."},{"family":"Cumming","given":"G. S."},{"family":"Dee","given":"L. E."},{"family":"Fischer","given":"A. P."},{"family":"Fischer","given":"M."},{"family":"Mancilla Garcia","given":"M."},{"family":"Guerrero","given":"A. M."},{"family":"Hileman","given":"J."},{"family":"Ingold","given":"K."},{"family":"Matous","given":"P."},{"family":"Morrison","given":"T. H."},{"family":"Nohrstedt","given":"D."},{"family":"Pittman","given":"J."},{"family":"Robins","given":"G."},{"family":"Sayles","given":"J. S."}],"accessed":{"date-parts":[["2021",8,3]]},"issued":{"date-parts":[["2019",7]]}}}],"schema":"https://github.com/citation-style-language/schema/raw/master/csl-citation.json"} </w:instrText>
      </w:r>
      <w:r w:rsidRPr="00A9434B">
        <w:fldChar w:fldCharType="end"/>
      </w:r>
      <w:r w:rsidR="003D29B0" w:rsidRPr="00A9434B">
        <w:t xml:space="preserve"> </w:t>
      </w:r>
      <w:r w:rsidRPr="00673554">
        <w:rPr>
          <w:b/>
          <w:iCs/>
        </w:rPr>
        <w:fldChar w:fldCharType="begin"/>
      </w:r>
      <w:r w:rsidRPr="00673554">
        <w:rPr>
          <w:b/>
          <w:iCs/>
        </w:rPr>
        <w:instrText xml:space="preserve"> REF _Ref104897582 \h  \* MERGEFORMAT </w:instrText>
      </w:r>
      <w:r w:rsidRPr="00673554">
        <w:rPr>
          <w:b/>
          <w:iCs/>
        </w:rPr>
      </w:r>
      <w:r w:rsidRPr="00673554">
        <w:rPr>
          <w:b/>
          <w:iCs/>
        </w:rPr>
        <w:fldChar w:fldCharType="separate"/>
      </w:r>
      <w:r w:rsidR="0011368C" w:rsidRPr="00673554">
        <w:rPr>
          <w:b/>
          <w:iCs/>
        </w:rPr>
        <w:t>Figure 6.24</w:t>
      </w:r>
      <w:r w:rsidRPr="00673554">
        <w:rPr>
          <w:b/>
          <w:iCs/>
        </w:rPr>
        <w:fldChar w:fldCharType="end"/>
      </w:r>
      <w:r w:rsidR="00C20165" w:rsidRPr="00673554">
        <w:rPr>
          <w:b/>
          <w:iCs/>
        </w:rPr>
        <w:t xml:space="preserve"> </w:t>
      </w:r>
      <w:r w:rsidR="00C20165" w:rsidRPr="00772E4B">
        <w:t>in</w:t>
      </w:r>
      <w:r w:rsidR="00C20165" w:rsidRPr="00673554">
        <w:rPr>
          <w:b/>
        </w:rPr>
        <w:t xml:space="preserve"> </w:t>
      </w:r>
      <w:r w:rsidR="00C20165" w:rsidRPr="00673554">
        <w:rPr>
          <w:b/>
          <w:iCs/>
        </w:rPr>
        <w:t>section 6.7.3</w:t>
      </w:r>
      <w:r w:rsidRPr="00A9434B">
        <w:t xml:space="preserve">). Even in cases where collective action mechanisms are in place and function well, there is often a need to support or coordinate such actions at higher </w:t>
      </w:r>
      <w:r w:rsidR="00B01CCF" w:rsidRPr="00A9434B">
        <w:t>levels of governance</w:t>
      </w:r>
      <w:r w:rsidRPr="00A9434B">
        <w:t>. Research has shown that a number of micro</w:t>
      </w:r>
      <w:r w:rsidR="20300E50" w:rsidRPr="00A9434B">
        <w:t>-</w:t>
      </w:r>
      <w:r w:rsidRPr="00A9434B">
        <w:t xml:space="preserve">interventions during community engagement can change opinions, beliefs and </w:t>
      </w:r>
      <w:r w:rsidR="526B3E8E" w:rsidRPr="00A9434B">
        <w:t>commitment</w:t>
      </w:r>
      <w:r w:rsidRPr="00A9434B">
        <w:t xml:space="preserve"> leading to improved management outcomes </w:t>
      </w:r>
      <w:r w:rsidR="003D29B0" w:rsidRPr="00A9434B">
        <w:fldChar w:fldCharType="begin"/>
      </w:r>
      <w:r w:rsidR="002D2756">
        <w:instrText xml:space="preserve"> ADDIN ZOTERO_ITEM CSL_CITATION {"citationID":"a2c8g8e4e0g","properties":{"formattedCitation":"(Niemiec et al., 2019)","plainCitation":"(Niemiec et al., 2019)","noteIndex":0},"citationItems":[{"id":60447,"uris":["http://zotero.org/groups/2352922/items/MHV8ZVWQ","http://zotero.org/groups/2352922/items/HQNHENSX"],"itemData":{"id":60447,"type":"article-journal","abstract":"Encouraging motivated landowners to not only engage in conservation action on their own property but also to recruit others may enhance effectiveness of conservation on private lands. Landowners may only engage in such recruitment if they believe their neighbors care about the conservation issue, will positively respond to their conservation efforts, and are likely to take action for the conservation cause. We designed a series of microinterventions that can be added to community meetings to change these beliefs to encourage landowner engagement in recruitment of others. The microinterventions included neighbor discussion, public commitment making, collective goal setting, and increased observability of contributions to the conservation cause. In a field experiment, we tested whether adding microinterventions to traditional knowledge-transfer outreach meetings changed those beliefs so as to encourage landowners in Hawaii to recruit their neighbors for private lands conservation. We delivered a traditional outreach meeting about managing the invasive little fire ant (Wasmannia auropunctata) to 5 communities and a traditional outreach approach with added microinterventions to 5 other communities. Analysis of pre- and post-surveys of residents showed that compared with the traditional conservation outreach approach, the microinterventions altered a subset of beliefs that landowners had about others. These microinterventions motivated reputationally minded landowners to recruit and coordinate with other residents to control the invasive fire ant across property boundaries. Our results suggest integration of these microinterventions into existing outreach approaches will encourage some landowners to facilitate collective conservation action across property boundaries.","container-title":"Conservation Biology","DOI":"10.1111/cobi.13294","ISSN":"0888-8892","issue":"4","note":"type: Journal Article","page":"930-941","title":"Motivating landowners to recruit neighbors for private land conservation","URL":"&lt;Go to ISI&gt;://WOS:000474668700022","volume":"33","author":[{"family":"Niemiec","given":"R. M."},{"family":"Willer","given":"R."},{"family":"Ardoin","given":"N. M."},{"family":"Brewer","given":"F. K."}],"issued":{"date-parts":[["2019"]]}},"label":"page"}],"schema":"https://github.com/citation-style-language/schema/raw/master/csl-citation.json"} </w:instrText>
      </w:r>
      <w:r w:rsidR="003D29B0" w:rsidRPr="00A9434B">
        <w:fldChar w:fldCharType="separate"/>
      </w:r>
      <w:r w:rsidR="00E452E2" w:rsidRPr="00E452E2">
        <w:t>(Niemiec et al., 2019)</w:t>
      </w:r>
      <w:r w:rsidR="003D29B0" w:rsidRPr="00A9434B">
        <w:fldChar w:fldCharType="end"/>
      </w:r>
      <w:r w:rsidRPr="00A9434B">
        <w:t xml:space="preserve">. </w:t>
      </w:r>
    </w:p>
    <w:p w14:paraId="09FF2B4F" w14:textId="77777777" w:rsidR="009E48C2" w:rsidRPr="00A9434B" w:rsidRDefault="48691CF6" w:rsidP="008C206F">
      <w:pPr>
        <w:pStyle w:val="Heading3"/>
      </w:pPr>
      <w:bookmarkStart w:id="403" w:name="_Toc90286357"/>
      <w:bookmarkStart w:id="404" w:name="_Toc685352464"/>
      <w:bookmarkStart w:id="405" w:name="_Toc133428329"/>
      <w:r w:rsidRPr="00A9434B">
        <w:t xml:space="preserve">Coordination versus </w:t>
      </w:r>
      <w:bookmarkEnd w:id="403"/>
      <w:r w:rsidR="007B5D89" w:rsidRPr="00A9434B">
        <w:t>cooperation</w:t>
      </w:r>
      <w:r w:rsidRPr="00A9434B">
        <w:t>: challenges and options</w:t>
      </w:r>
      <w:bookmarkEnd w:id="404"/>
      <w:bookmarkEnd w:id="405"/>
    </w:p>
    <w:p w14:paraId="1B0CD9E7" w14:textId="330109A3" w:rsidR="00017C04" w:rsidRDefault="78586B7C">
      <w:r w:rsidRPr="00A9434B">
        <w:t xml:space="preserve">It is important to differentiate </w:t>
      </w:r>
      <w:r w:rsidR="1255E379" w:rsidRPr="00A9434B">
        <w:t xml:space="preserve">biological </w:t>
      </w:r>
      <w:r w:rsidRPr="00A9434B">
        <w:t xml:space="preserve">invasion problems that are more related with coordination </w:t>
      </w:r>
      <w:r w:rsidR="5389F8A5" w:rsidRPr="00A9434B">
        <w:t xml:space="preserve">from </w:t>
      </w:r>
      <w:r w:rsidRPr="00A9434B">
        <w:t xml:space="preserve">those requiring cooperation </w:t>
      </w:r>
      <w:r w:rsidR="009E48C2" w:rsidRPr="00A9434B">
        <w:fldChar w:fldCharType="begin" w:fldLock="1"/>
      </w:r>
      <w:r w:rsidR="0014002B">
        <w:instrText xml:space="preserve"> ADDIN ZOTERO_ITEM CSL_CITATION {"citationID":"a2fg3k6o4fl","properties":{"formattedCitation":"(Bodin et al., 2020)","plainCitation":"(Bodin et al., 2020)","noteIndex":0},"citationItems":[{"id":29517,"uris":["http://zotero.org/groups/2352922/items/6FJDPZF9","http://zotero.org/groups/2352922/items/AK7FP5UZ"],"itemData":{"id":29517,"type":"article-journal","container-title":"People and Nature","DOI":"10.1002/pan3.10097","ISSN":"2575-8314, 2575-8314","issue":"3","journalAbbreviation":"People and Nature","language":"en","page":"734-749","source":"DOI.org (Crossref)","title":"The impacts of trust, cost and risk on collaboration in environmental governance","URL":"https://onlinelibrary.wiley.com/doi/10.1002/pan3.10097","volume":"2","author":[{"family":"Bodin","given":"Örjan"},{"family":"Baird","given":"Julia"},{"family":"Schultz","given":"Lisen"},{"family":"Plummer","given":"Ryan"},{"family":"Armitage","given":"Derek"}],"editor":[{"family":"Nimmo","given":"Dale"}],"accessed":{"date-parts":[["2021",8,5]]},"issued":{"date-parts":[["2020",9]]}}}],"schema":"https://github.com/citation-style-language/schema/raw/master/csl-citation.json"} </w:instrText>
      </w:r>
      <w:r w:rsidR="009E48C2" w:rsidRPr="00A9434B">
        <w:fldChar w:fldCharType="separate"/>
      </w:r>
      <w:r w:rsidR="0014002B" w:rsidRPr="0014002B">
        <w:t>(Bodin et al., 2020)</w:t>
      </w:r>
      <w:r w:rsidR="009E48C2" w:rsidRPr="00A9434B">
        <w:fldChar w:fldCharType="end"/>
      </w:r>
      <w:r w:rsidRPr="00A9434B">
        <w:t>.</w:t>
      </w:r>
      <w:bookmarkStart w:id="406" w:name="_heading=h.2ce457m" w:colFirst="0" w:colLast="0"/>
      <w:bookmarkEnd w:id="406"/>
      <w:r w:rsidR="00F50AF9">
        <w:t xml:space="preserve"> Effective coordination depends on finding ways for stakeholders who generally share the same viewpoints and interests to agree on how best to address a problem. This mainly involves mechanisms “to accomplish a generally agreed upon objective through, for example, efficient resource allocation, synchronization of different activities and a suitable division of labour for common tasks” </w:t>
      </w:r>
      <w:r w:rsidR="00D6782D" w:rsidRPr="00A9434B">
        <w:fldChar w:fldCharType="begin" w:fldLock="1"/>
      </w:r>
      <w:r w:rsidR="0014002B">
        <w:instrText xml:space="preserve"> ADDIN ZOTERO_ITEM CSL_CITATION {"citationID":"zkhIwLne","properties":{"formattedCitation":"(Bodin et al., 2020)","plainCitation":"(Bodin et al., 2020)","noteIndex":0},"citationItems":[{"id":29517,"uris":["http://zotero.org/groups/2352922/items/6FJDPZF9","http://zotero.org/groups/2352922/items/AK7FP5UZ"],"itemData":{"id":29517,"type":"article-journal","container-title":"People and Nature","DOI":"10.1002/pan3.10097","ISSN":"2575-8314, 2575-8314","issue":"3","journalAbbreviation":"People and Nature","language":"en","page":"734-749","source":"DOI.org (Crossref)","title":"The impacts of trust, cost and risk on collaboration in environmental governance","URL":"https://onlinelibrary.wiley.com/doi/10.1002/pan3.10097","volume":"2","author":[{"family":"Bodin","given":"Örjan"},{"family":"Baird","given":"Julia"},{"family":"Schultz","given":"Lisen"},{"family":"Plummer","given":"Ryan"},{"family":"Armitage","given":"Derek"}],"editor":[{"family":"Nimmo","given":"Dale"}],"accessed":{"date-parts":[["2021",8,5]]},"issued":{"date-parts":[["2020",9]]}}}],"schema":"https://github.com/citation-style-language/schema/raw/master/csl-citation.json"} </w:instrText>
      </w:r>
      <w:r w:rsidR="00D6782D" w:rsidRPr="00A9434B">
        <w:fldChar w:fldCharType="separate"/>
      </w:r>
      <w:r w:rsidR="0014002B" w:rsidRPr="0014002B">
        <w:t>(Bodin et al., 2020)</w:t>
      </w:r>
      <w:r w:rsidR="00D6782D" w:rsidRPr="00A9434B">
        <w:fldChar w:fldCharType="end"/>
      </w:r>
      <w:r w:rsidRPr="00A9434B">
        <w:t>.</w:t>
      </w:r>
      <w:r w:rsidR="00F50AF9">
        <w:t xml:space="preserve"> This is the case, for example, with </w:t>
      </w:r>
      <w:r w:rsidR="00F50AF9">
        <w:rPr>
          <w:i/>
        </w:rPr>
        <w:t>Fusarium</w:t>
      </w:r>
      <w:r w:rsidR="00F50AF9">
        <w:t xml:space="preserve"> dieback (an invasive alien pathogen vectored by beetles that causes disease that damages avocado and more than 39 other tree species) in California, United States, which quickly prompted numerous government and non-government stakeholders who cooperate at different scales with very similar objectives to coordinate and confront the issue and develop a cohesive state-wide strategy </w:t>
      </w:r>
      <w:r w:rsidR="009E48C2" w:rsidRPr="00A9434B">
        <w:fldChar w:fldCharType="begin"/>
      </w:r>
      <w:r w:rsidR="0006613E">
        <w:instrText xml:space="preserve"> ADDIN ZOTERO_ITEM CSL_CITATION {"citationID":"aks1j6ccar","properties":{"formattedCitation":"(Lynch, 2020)","plainCitation":"(Lynch, 2020)","noteIndex":0},"citationItems":[{"id":29320,"uris":["http://zotero.org/groups/2352922/items/GSSV3EBS"],"itemData":{"id":29320,"type":"thesis","event-place":"Ann Arbor, Michigan: University Microfilms International","genre":"Doctoral Thesis","language":"en","publisher":"University of California, Santa Cruz","publisher-place":"Ann Arbor, Michigan: University Microfilms International","source":"Zotero","title":"Responding to an emergent plant pest-pathogen complex across social-ecological scales","URL":"https://escholarship.org/uc/item/19f5d5vk","author":[{"family":"Lynch","given":"S.C."}],"issued":{"date-parts":[["2020"]]}},"label":"page"}],"schema":"https://github.com/citation-style-language/schema/raw/master/csl-citation.json"} </w:instrText>
      </w:r>
      <w:r w:rsidR="009E48C2" w:rsidRPr="00A9434B">
        <w:fldChar w:fldCharType="separate"/>
      </w:r>
      <w:r w:rsidR="00C71E80" w:rsidRPr="00A9434B">
        <w:t>(Lynch, 2020)</w:t>
      </w:r>
      <w:r w:rsidR="009E48C2" w:rsidRPr="00A9434B">
        <w:fldChar w:fldCharType="end"/>
      </w:r>
      <w:r w:rsidRPr="00A9434B">
        <w:t xml:space="preserve">. </w:t>
      </w:r>
      <w:r w:rsidR="00B9562C" w:rsidRPr="00673554">
        <w:rPr>
          <w:b/>
          <w:iCs/>
        </w:rPr>
        <w:fldChar w:fldCharType="begin"/>
      </w:r>
      <w:r w:rsidR="00B9562C" w:rsidRPr="00673554">
        <w:rPr>
          <w:b/>
          <w:iCs/>
        </w:rPr>
        <w:instrText xml:space="preserve"> REF _Ref104898449 \h  \* MERGEFORMAT </w:instrText>
      </w:r>
      <w:r w:rsidR="00B9562C" w:rsidRPr="00673554">
        <w:rPr>
          <w:b/>
          <w:iCs/>
        </w:rPr>
      </w:r>
      <w:r w:rsidR="00B9562C" w:rsidRPr="00673554">
        <w:rPr>
          <w:b/>
          <w:iCs/>
        </w:rPr>
        <w:fldChar w:fldCharType="separate"/>
      </w:r>
      <w:r w:rsidR="0011368C" w:rsidRPr="00673554">
        <w:rPr>
          <w:b/>
          <w:iCs/>
        </w:rPr>
        <w:t>Box 6.14</w:t>
      </w:r>
      <w:r w:rsidR="00B9562C" w:rsidRPr="00673554">
        <w:rPr>
          <w:b/>
          <w:iCs/>
        </w:rPr>
        <w:fldChar w:fldCharType="end"/>
      </w:r>
      <w:r w:rsidR="00F50AF9">
        <w:rPr>
          <w:b/>
        </w:rPr>
        <w:t xml:space="preserve"> </w:t>
      </w:r>
      <w:r w:rsidR="00F50AF9">
        <w:t xml:space="preserve">presents another example of a governance </w:t>
      </w:r>
      <w:r w:rsidR="00F50AF9">
        <w:lastRenderedPageBreak/>
        <w:t>network solution to achieve coordination between stakeholders who held similar interests in invasive alien vertebrate eradication, and where adaptive responses were needed to overcome uncertainties.</w:t>
      </w:r>
    </w:p>
    <w:p w14:paraId="571035E7" w14:textId="56493BE2" w:rsidR="00017C04" w:rsidRPr="008C206F" w:rsidRDefault="00F50AF9" w:rsidP="008C206F">
      <w:pPr>
        <w:pStyle w:val="Caption"/>
        <w:pBdr>
          <w:top w:val="single" w:sz="4" w:space="1" w:color="auto"/>
          <w:left w:val="single" w:sz="4" w:space="4" w:color="auto"/>
          <w:bottom w:val="single" w:sz="4" w:space="1" w:color="auto"/>
          <w:right w:val="single" w:sz="4" w:space="4" w:color="auto"/>
        </w:pBdr>
        <w:shd w:val="clear" w:color="auto" w:fill="E7E6E6" w:themeFill="background2"/>
      </w:pPr>
      <w:bookmarkStart w:id="407" w:name="_heading=h.rjefff" w:colFirst="0" w:colLast="0"/>
      <w:bookmarkStart w:id="408" w:name="_Ref104898449"/>
      <w:bookmarkStart w:id="409" w:name="_Toc147418623"/>
      <w:bookmarkEnd w:id="407"/>
      <w:r w:rsidRPr="008C206F">
        <w:rPr>
          <w:bCs w:val="0"/>
        </w:rPr>
        <w:t>Box 6</w:t>
      </w:r>
      <w:r w:rsidR="00EC6F2E" w:rsidRPr="00A9434B">
        <w:t>.</w:t>
      </w:r>
      <w:r w:rsidR="007C7AC3">
        <w:fldChar w:fldCharType="begin"/>
      </w:r>
      <w:r w:rsidR="007C7AC3">
        <w:instrText xml:space="preserve"> SEQ Box_6. \* ARABIC </w:instrText>
      </w:r>
      <w:r w:rsidR="007C7AC3">
        <w:fldChar w:fldCharType="separate"/>
      </w:r>
      <w:r w:rsidR="0011368C">
        <w:rPr>
          <w:noProof/>
        </w:rPr>
        <w:t>14</w:t>
      </w:r>
      <w:r w:rsidR="007C7AC3">
        <w:rPr>
          <w:noProof/>
        </w:rPr>
        <w:fldChar w:fldCharType="end"/>
      </w:r>
      <w:bookmarkEnd w:id="408"/>
      <w:r w:rsidR="00FF59A9" w:rsidRPr="00A9434B">
        <w:t>.</w:t>
      </w:r>
      <w:r w:rsidRPr="008C206F">
        <w:t xml:space="preserve"> Coordinating American mink eradication in North East Scotland through community partnerships and adaptive management</w:t>
      </w:r>
      <w:bookmarkEnd w:id="409"/>
    </w:p>
    <w:p w14:paraId="23F0C798" w14:textId="163A7BB7" w:rsidR="00017C04" w:rsidRDefault="00F50AF9" w:rsidP="008C206F">
      <w:pPr>
        <w:pBdr>
          <w:top w:val="single" w:sz="4" w:space="1" w:color="auto"/>
          <w:left w:val="single" w:sz="4" w:space="4" w:color="auto"/>
          <w:bottom w:val="single" w:sz="4" w:space="1" w:color="auto"/>
          <w:right w:val="single" w:sz="4" w:space="4" w:color="auto"/>
        </w:pBdr>
        <w:shd w:val="clear" w:color="auto" w:fill="E7E6E6" w:themeFill="background2"/>
      </w:pPr>
      <w:r>
        <w:t xml:space="preserve">In Northeast Scotland, when small-scale American mink removal projects failed due to mink recolonization from surrounding uncontrolled areas, adaptive-coordination strategies </w:t>
      </w:r>
      <w:r w:rsidR="00C0455E" w:rsidRPr="00A9434B">
        <w:t>(</w:t>
      </w:r>
      <w:r w:rsidR="00363D20" w:rsidRPr="00673554">
        <w:rPr>
          <w:b/>
          <w:iCs/>
        </w:rPr>
        <w:fldChar w:fldCharType="begin"/>
      </w:r>
      <w:r w:rsidR="00363D20" w:rsidRPr="00673554">
        <w:rPr>
          <w:b/>
          <w:iCs/>
        </w:rPr>
        <w:instrText xml:space="preserve"> REF _Ref104892309 \h  \* MERGEFORMAT </w:instrText>
      </w:r>
      <w:r w:rsidR="00363D20" w:rsidRPr="00673554">
        <w:rPr>
          <w:b/>
          <w:iCs/>
        </w:rPr>
      </w:r>
      <w:r w:rsidR="00363D20" w:rsidRPr="00673554">
        <w:rPr>
          <w:b/>
          <w:iCs/>
        </w:rPr>
        <w:fldChar w:fldCharType="separate"/>
      </w:r>
      <w:r w:rsidR="0011368C" w:rsidRPr="00673554">
        <w:rPr>
          <w:b/>
          <w:iCs/>
        </w:rPr>
        <w:t>Table 6.1</w:t>
      </w:r>
      <w:r w:rsidR="00363D20" w:rsidRPr="00673554">
        <w:rPr>
          <w:b/>
          <w:iCs/>
        </w:rPr>
        <w:fldChar w:fldCharType="end"/>
      </w:r>
      <w:r w:rsidR="00BF1FD7" w:rsidRPr="00772E4B">
        <w:t>;</w:t>
      </w:r>
      <w:r>
        <w:rPr>
          <w:b/>
        </w:rPr>
        <w:t xml:space="preserve"> section 6.2.3.1(4)</w:t>
      </w:r>
      <w:r>
        <w:t xml:space="preserve">) were devised and implemented to eradicate mink over a large area. Due to uncertainties about the size of the mink population, mink’s dispersal capacity, and the volunteer resources that would be needed and available to effectuate mink eradication, an adaptive management approach was developed involving formal coordination between diverse stakeholders. The project was initiated by scientists and supported by a government agency, a national park authority and local fisheries boards, all of whom shared an interest in mink eradication. </w:t>
      </w:r>
    </w:p>
    <w:p w14:paraId="0FD8557E" w14:textId="5C984695" w:rsidR="004B455C" w:rsidRPr="00A9434B" w:rsidRDefault="008C206F" w:rsidP="008C206F">
      <w:pPr>
        <w:pBdr>
          <w:top w:val="single" w:sz="4" w:space="1" w:color="auto"/>
          <w:left w:val="single" w:sz="4" w:space="4" w:color="auto"/>
          <w:bottom w:val="single" w:sz="4" w:space="1" w:color="auto"/>
          <w:right w:val="single" w:sz="4" w:space="4" w:color="auto"/>
        </w:pBdr>
        <w:shd w:val="clear" w:color="auto" w:fill="E7E6E6" w:themeFill="background2"/>
        <w:jc w:val="center"/>
      </w:pPr>
      <w:r>
        <w:rPr>
          <w:noProof/>
        </w:rPr>
        <w:drawing>
          <wp:inline distT="0" distB="0" distL="0" distR="0" wp14:anchorId="58D8A256" wp14:editId="34F2B0A6">
            <wp:extent cx="6111240" cy="3145155"/>
            <wp:effectExtent l="0" t="0" r="0" b="4445"/>
            <wp:docPr id="1868808439" name="image175.png" descr="A graph showing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5.png" descr="A graph showing different colored lines&#10;&#10;Description automatically generated"/>
                    <pic:cNvPicPr preferRelativeResize="0"/>
                  </pic:nvPicPr>
                  <pic:blipFill>
                    <a:blip r:embed="rId49"/>
                    <a:srcRect/>
                    <a:stretch>
                      <a:fillRect/>
                    </a:stretch>
                  </pic:blipFill>
                  <pic:spPr>
                    <a:xfrm>
                      <a:off x="0" y="0"/>
                      <a:ext cx="6111240" cy="3145155"/>
                    </a:xfrm>
                    <a:prstGeom prst="rect">
                      <a:avLst/>
                    </a:prstGeom>
                    <a:ln/>
                  </pic:spPr>
                </pic:pic>
              </a:graphicData>
            </a:graphic>
          </wp:inline>
        </w:drawing>
      </w:r>
    </w:p>
    <w:p w14:paraId="6725E28A" w14:textId="3DF922DA" w:rsidR="00017C04" w:rsidRDefault="004B455C" w:rsidP="008C206F">
      <w:pPr>
        <w:pBdr>
          <w:top w:val="single" w:sz="4" w:space="1" w:color="auto"/>
          <w:left w:val="single" w:sz="4" w:space="4" w:color="auto"/>
          <w:bottom w:val="single" w:sz="4" w:space="1" w:color="auto"/>
          <w:right w:val="single" w:sz="4" w:space="4" w:color="auto"/>
        </w:pBdr>
        <w:shd w:val="clear" w:color="auto" w:fill="E7E6E6" w:themeFill="background2"/>
      </w:pPr>
      <w:bookmarkStart w:id="410" w:name="_Ref104897401"/>
      <w:bookmarkStart w:id="411" w:name="_Hlk110334126"/>
      <w:bookmarkStart w:id="412" w:name="_Toc147418312"/>
      <w:bookmarkStart w:id="413" w:name="_Hlk137726494"/>
      <w:r w:rsidRPr="00A9434B">
        <w:rPr>
          <w:b/>
          <w:bCs/>
        </w:rPr>
        <w:t>Figure 6.</w:t>
      </w:r>
      <w:r w:rsidRPr="00A9434B">
        <w:rPr>
          <w:b/>
          <w:bCs/>
        </w:rPr>
        <w:fldChar w:fldCharType="begin"/>
      </w:r>
      <w:r w:rsidRPr="00A9434B">
        <w:rPr>
          <w:b/>
          <w:bCs/>
        </w:rPr>
        <w:instrText>SEQ Figure_6. \* ARABIC</w:instrText>
      </w:r>
      <w:r w:rsidRPr="00A9434B">
        <w:rPr>
          <w:b/>
          <w:bCs/>
        </w:rPr>
        <w:fldChar w:fldCharType="separate"/>
      </w:r>
      <w:r w:rsidR="0011368C">
        <w:rPr>
          <w:b/>
          <w:bCs/>
          <w:noProof/>
        </w:rPr>
        <w:t>17</w:t>
      </w:r>
      <w:r w:rsidRPr="00A9434B">
        <w:rPr>
          <w:b/>
          <w:bCs/>
        </w:rPr>
        <w:fldChar w:fldCharType="end"/>
      </w:r>
      <w:bookmarkEnd w:id="410"/>
      <w:r w:rsidR="009717B7" w:rsidRPr="00A9434B">
        <w:rPr>
          <w:b/>
          <w:bCs/>
        </w:rPr>
        <w:t>.</w:t>
      </w:r>
      <w:r w:rsidRPr="00A9434B">
        <w:rPr>
          <w:b/>
          <w:bCs/>
        </w:rPr>
        <w:t xml:space="preserve"> </w:t>
      </w:r>
      <w:r w:rsidR="00160826" w:rsidRPr="00A9434B">
        <w:fldChar w:fldCharType="begin"/>
      </w:r>
      <w:r w:rsidR="0006613E">
        <w:instrText xml:space="preserve"> ADDIN ZOTERO_ITEM CSL_CITATION {"citationID":"a1t9qppkk5d","properties":{"formattedCitation":"\\uldash{(Lambin et al., 2011)}","plainCitation":"(Lambin et al., 2011)","dontUpdate":true,"noteIndex":0},"citationItems":[{"id":52669,"uris":["http://zotero.org/groups/2352922/items/VWZTPWSC"],"itemData":{"id":52669,"type":"speech","title":"Turning back the tide of American mink invasion in partnership with communities","author":[{"family":"Lambin","given":"Xavier"},{"family":"Oliver","given":"Matt"},{"family":"Bryce","given":"Rosalind"},{"family":"Urquhart","given":"Jamie"},{"family":"Davies","given":"Llinos"},{"family":"Gray","given":"Helen"}],"issued":{"date-parts":[["2011"]]}}}],"schema":"https://github.com/citation-style-language/schema/raw/master/csl-citation.json"} </w:instrText>
      </w:r>
      <w:r w:rsidR="00160826" w:rsidRPr="00A9434B">
        <w:fldChar w:fldCharType="end"/>
      </w:r>
      <w:bookmarkEnd w:id="411"/>
      <w:r w:rsidR="7D62397E" w:rsidRPr="00A9434B">
        <w:t>Cumulative mink captures over the entire project area showing an increasing number of captures by volunteers, with the total number of active volunteers</w:t>
      </w:r>
      <w:r w:rsidR="00831AEF" w:rsidRPr="00A9434B">
        <w:t>.</w:t>
      </w:r>
      <w:r w:rsidR="00831AEF" w:rsidRPr="00A9434B">
        <w:rPr>
          <w:b/>
          <w:bCs/>
        </w:rPr>
        <w:t xml:space="preserve"> </w:t>
      </w:r>
      <w:r w:rsidR="00831AEF" w:rsidRPr="00A9434B">
        <w:t>T</w:t>
      </w:r>
      <w:r w:rsidR="7D62397E" w:rsidRPr="00A9434B">
        <w:t>hroughout the project shown by category</w:t>
      </w:r>
      <w:r w:rsidR="009717B7" w:rsidRPr="00A9434B">
        <w:t xml:space="preserve">. Source: </w:t>
      </w:r>
      <w:r w:rsidR="00D6782D" w:rsidRPr="00A9434B">
        <w:t xml:space="preserve">Bryce et al. </w:t>
      </w:r>
      <w:r w:rsidR="00D6782D" w:rsidRPr="00A9434B">
        <w:fldChar w:fldCharType="begin"/>
      </w:r>
      <w:r w:rsidR="0006613E">
        <w:instrText xml:space="preserve"> ADDIN ZOTERO_ITEM CSL_CITATION {"citationID":"a1jbuu14dff","properties":{"formattedCitation":"(2011)","plainCitation":"(2011)","noteIndex":0},"citationItems":[{"id":11153,"uris":["http://zotero.org/groups/2352922/items/464QZUIG"],"itemData":{"id":11153,"type":"article-journal","abstract":"Successful eradications of harmful invasive species have been mostly confined to islands while control programs in mainland areas remain small, uncoordinated and vulnerable to recolonisation. To allow the recovery of threatened native species, innovative management strategies are required to remove invasives from large areas. We took an adaptive approach to achieve large scale eradication of invasive American mink in North East Scotland. The project was centred on the Cairngorms National Park (Scotland), with the primary aim of protecting endangered water vole populations. The project was initiated by scientists and supported and implemented through a partnership comprising a government agency, national park authority and local fisheries boards. Capitalising on the convergent interests of a diverse range of local stakeholders, we created a coordinated coalition of trained volunteers to detect and trap mink. Starting in montane headwaters, we systematically moved down river catchments, deploying mink rafts, an effective detection and trapping platform. Volunteers took increasing responsibility for raft monitoring and mink trapping as the project progressed. Within 3years, the project removed 376 mink from 10570km2 with the involvement of 186 volunteers. Capture rate within sub-catchments increased with greater connectivity to mink in other sub-catchments and with proximity to the coast where there is more productive habitat. The main factor underpinning the success of this project was functional volunteer participation. The project is a reason for optimism that the tide of invasion can be rolled back on a large scale where the convergent interest of local communities can be harnessed.","container-title":"Biological Conservation","DOI":"10.1016/j.biocon.2010.10.013","ISSN":"0006-3207","issue":"1","journalAbbreviation":"Biological Conservation","language":"en","page":"575-583","source":"ScienceDirect","title":"Turning back the tide of American mink invasion at an unprecedented scale through community participation and adaptive management","URL":"https://doi.org/10.1016/j.biocon.2010.10.013","volume":"144","author":[{"family":"Bryce","given":"Rosalind"},{"family":"Oliver","given":"Matthew K."},{"family":"Davies","given":"Llinos"},{"family":"Gray","given":"Helen"},{"family":"Urquhart","given":"Jamie"},{"family":"Lambin","given":"Xavier"}],"accessed":{"date-parts":[["2021",3,30]]},"issued":{"date-parts":[["2011",1,1]]}},"label":"page","suppress-author":true}],"schema":"https://github.com/citation-style-language/schema/raw/master/csl-citation.json"} </w:instrText>
      </w:r>
      <w:r w:rsidR="00D6782D" w:rsidRPr="00A9434B">
        <w:fldChar w:fldCharType="separate"/>
      </w:r>
      <w:r w:rsidR="00C71E80" w:rsidRPr="00A9434B">
        <w:t>(2011)</w:t>
      </w:r>
      <w:r w:rsidR="00D6782D" w:rsidRPr="00A9434B">
        <w:fldChar w:fldCharType="end"/>
      </w:r>
      <w:r w:rsidR="006146B5">
        <w:t xml:space="preserve">, </w:t>
      </w:r>
      <w:hyperlink r:id="rId50" w:history="1">
        <w:r w:rsidR="006146B5" w:rsidRPr="006A0CE1">
          <w:rPr>
            <w:rStyle w:val="Hyperlink"/>
          </w:rPr>
          <w:t>https://doi.org/10.1016/j.biocon.2010.10.013</w:t>
        </w:r>
      </w:hyperlink>
      <w:r w:rsidR="006146B5">
        <w:t xml:space="preserve">, </w:t>
      </w:r>
      <w:r w:rsidR="00C2773A">
        <w:t>under license CC B</w:t>
      </w:r>
      <w:r w:rsidR="006146B5">
        <w:t>Y</w:t>
      </w:r>
      <w:r w:rsidR="00C2773A">
        <w:t xml:space="preserve"> 4.0</w:t>
      </w:r>
      <w:r w:rsidR="00D6782D" w:rsidRPr="00A9434B">
        <w:t>.</w:t>
      </w:r>
      <w:bookmarkEnd w:id="412"/>
      <w:r w:rsidR="00D6782D" w:rsidRPr="00A9434B">
        <w:t xml:space="preserve"> </w:t>
      </w:r>
      <w:bookmarkEnd w:id="413"/>
    </w:p>
    <w:p w14:paraId="07246F8A" w14:textId="7D45A0ED" w:rsidR="00017C04" w:rsidRDefault="00F50AF9" w:rsidP="008C206F">
      <w:pPr>
        <w:pBdr>
          <w:top w:val="single" w:sz="4" w:space="1" w:color="auto"/>
          <w:left w:val="single" w:sz="4" w:space="4" w:color="auto"/>
          <w:bottom w:val="single" w:sz="4" w:space="1" w:color="auto"/>
          <w:right w:val="single" w:sz="4" w:space="4" w:color="auto"/>
        </w:pBdr>
        <w:shd w:val="clear" w:color="auto" w:fill="E7E6E6" w:themeFill="background2"/>
      </w:pPr>
      <w:bookmarkStart w:id="414" w:name="_heading=h.3bj1y38" w:colFirst="0" w:colLast="0"/>
      <w:bookmarkEnd w:id="414"/>
      <w:r>
        <w:t xml:space="preserve">Together, a coordinated coalition of trained volunteers was created to detect and trap mink </w:t>
      </w:r>
      <w:r w:rsidR="004B455C" w:rsidRPr="00A9434B">
        <w:t>(</w:t>
      </w:r>
      <w:r w:rsidR="009E48C2" w:rsidRPr="00673554">
        <w:rPr>
          <w:b/>
          <w:bCs/>
          <w:iCs/>
        </w:rPr>
        <w:fldChar w:fldCharType="begin"/>
      </w:r>
      <w:r w:rsidR="009E48C2" w:rsidRPr="00673554">
        <w:rPr>
          <w:b/>
          <w:bCs/>
          <w:iCs/>
        </w:rPr>
        <w:instrText xml:space="preserve"> REF _Ref104897401 \h  \* MERGEFORMAT </w:instrText>
      </w:r>
      <w:r w:rsidR="009E48C2" w:rsidRPr="00673554">
        <w:rPr>
          <w:b/>
          <w:bCs/>
          <w:iCs/>
        </w:rPr>
      </w:r>
      <w:r w:rsidR="009E48C2" w:rsidRPr="00673554">
        <w:rPr>
          <w:b/>
          <w:bCs/>
          <w:iCs/>
        </w:rPr>
        <w:fldChar w:fldCharType="separate"/>
      </w:r>
      <w:r w:rsidR="0011368C" w:rsidRPr="00673554">
        <w:rPr>
          <w:b/>
          <w:bCs/>
          <w:iCs/>
        </w:rPr>
        <w:t>Figure 6.17</w:t>
      </w:r>
      <w:r w:rsidR="009E48C2" w:rsidRPr="00673554">
        <w:rPr>
          <w:b/>
          <w:bCs/>
          <w:iCs/>
        </w:rPr>
        <w:fldChar w:fldCharType="end"/>
      </w:r>
      <w:r w:rsidR="004B455C" w:rsidRPr="00A9434B">
        <w:t>)</w:t>
      </w:r>
      <w:r w:rsidR="00B213DD" w:rsidRPr="00A9434B">
        <w:t>.</w:t>
      </w:r>
      <w:r>
        <w:t xml:space="preserve"> These groups created a formal partnership that funded the project and provided in-kind contributions. The project achieved “multi-scale mink removal over 10570 km</w:t>
      </w:r>
      <w:r w:rsidRPr="009011F3">
        <w:rPr>
          <w:vertAlign w:val="superscript"/>
        </w:rPr>
        <w:t>2</w:t>
      </w:r>
      <w:r>
        <w:t xml:space="preserve"> with 10000 appearing to </w:t>
      </w:r>
      <w:r w:rsidR="00B213DD" w:rsidRPr="00A9434B">
        <w:rPr>
          <w:iCs/>
        </w:rPr>
        <w:softHyphen/>
        <w:t>be</w:t>
      </w:r>
      <w:r>
        <w:t xml:space="preserve"> free of breeding mink 3 years after inception.” Over time, the number of the local volunteers detecting and trapping mink grew – especially among local residents, land managers and wildlife professionals </w:t>
      </w:r>
      <w:r w:rsidR="00D6782D" w:rsidRPr="00A9434B">
        <w:rPr>
          <w:iCs/>
        </w:rPr>
        <w:fldChar w:fldCharType="begin"/>
      </w:r>
      <w:r w:rsidR="0006613E">
        <w:rPr>
          <w:iCs/>
        </w:rPr>
        <w:instrText xml:space="preserve"> ADDIN ZOTERO_ITEM CSL_CITATION {"citationID":"a2culrpkdg8","properties":{"formattedCitation":"(Lambin et al., 2012)","plainCitation":"(Lambin et al., 2012)","noteIndex":0},"citationItems":[{"id":54717,"uris":["http://zotero.org/groups/2352922/items/68EV6JLR"],"itemData":{"id":54717,"type":"article-journal","container-title":"Proceedings of the Vertebrate Pest Conference","DOI":"10.5070/V425110616","ISSN":"2641-273X","issue":"25","journalAbbreviation":"vertebrate_pest_conference","language":"en","page":"28-33","source":"DOI.org (Crossref)","title":"Turning Back the Tide of American Mink Invasion in Partnership with Communities","URL":"https://escholarship.org/uc/item/2636k55s","volume":"25","author":[{"family":"Lambin","given":"Xavier"},{"family":"Bryce","given":"Ros"},{"family":"Fraser","given":"Elaine","suffix":"J."},{"family":"Melero","given":"Yolanda"},{"family":"Oliver","given":"Matthew","suffix":"K."},{"family":"Walker","given":"Hollie"}],"accessed":{"date-parts":[["2023",3,7]]},"issued":{"date-parts":[["2012"]]}}}],"schema":"https://github.com/citation-style-language/schema/raw/master/csl-citation.json"} </w:instrText>
      </w:r>
      <w:r w:rsidR="00D6782D" w:rsidRPr="00A9434B">
        <w:rPr>
          <w:iCs/>
        </w:rPr>
        <w:fldChar w:fldCharType="separate"/>
      </w:r>
      <w:r w:rsidR="00C71E80" w:rsidRPr="00A9434B">
        <w:t>(Lambin et al., 2012)</w:t>
      </w:r>
      <w:r w:rsidR="00D6782D" w:rsidRPr="00A9434B">
        <w:rPr>
          <w:iCs/>
        </w:rPr>
        <w:fldChar w:fldCharType="end"/>
      </w:r>
      <w:r w:rsidR="005C152D" w:rsidRPr="00A9434B">
        <w:rPr>
          <w:iCs/>
        </w:rPr>
        <w:t>.</w:t>
      </w:r>
      <w:r>
        <w:t xml:space="preserve"> “The deﬁning factors underpinning the success of the project are strong volunteer involvement, efﬁcient and systematic methods of monitoring and control, an adaptive approach to suit local conditions, the strategic use of topography to minimize recolonization and an ambitious vision; elements that are applicable to other invasive </w:t>
      </w:r>
      <w:r w:rsidR="5C4695C1">
        <w:t xml:space="preserve">alien </w:t>
      </w:r>
      <w:r>
        <w:t xml:space="preserve">species and areas. It is a strong testament to what can be achieved when empowering local communities to take a stake in their local biodiversity and thus reason for optimism that the tide of invasion can be rolled back on a large scale where the convergent interest of local communities can be harnessed” </w:t>
      </w:r>
      <w:r w:rsidR="00B213DD" w:rsidRPr="00A9434B">
        <w:fldChar w:fldCharType="begin"/>
      </w:r>
      <w:r w:rsidR="0006613E">
        <w:instrText xml:space="preserve"> ADDIN ZOTERO_ITEM CSL_CITATION {"citationID":"a2fuigkku86","properties":{"formattedCitation":"(Bryce et al., 2011)","plainCitation":"(Bryce et al., 2011)","noteIndex":0},"citationItems":[{"id":11153,"uris":["http://zotero.org/groups/2352922/items/464QZUIG"],"itemData":{"id":11153,"type":"article-journal","abstract":"Successful eradications of harmful invasive species have been mostly confined to islands while control programs in mainland areas remain small, uncoordinated and vulnerable to recolonisation. To allow the recovery of threatened native species, innovative management strategies are required to remove invasives from large areas. We took an adaptive approach to achieve large scale eradication of invasive American mink in North East Scotland. The project was centred on the Cairngorms National Park (Scotland), with the primary aim of protecting endangered water vole populations. The project was initiated by scientists and supported and implemented through a partnership comprising a government agency, national park authority and local fisheries boards. Capitalising on the convergent interests of a diverse range of local stakeholders, we created a coordinated coalition of trained volunteers to detect and trap mink. Starting in montane headwaters, we systematically moved down river catchments, deploying mink rafts, an effective detection and trapping platform. Volunteers took increasing responsibility for raft monitoring and mink trapping as the project progressed. Within 3years, the project removed 376 mink from 10570km2 with the involvement of 186 volunteers. Capture rate within sub-catchments increased with greater connectivity to mink in other sub-catchments and with proximity to the coast where there is more productive habitat. The main factor underpinning the success of this project was functional volunteer participation. The project is a reason for optimism that the tide of invasion can be rolled back on a large scale where the convergent interest of local communities can be harnessed.","container-title":"Biological Conservation","DOI":"10.1016/j.biocon.2010.10.013","ISSN":"0006-3207","issue":"1","journalAbbreviation":"Biological Conservation","language":"en","page":"575-583","source":"ScienceDirect","title":"Turning back the tide of American mink invasion at an unprecedented scale through community participation and adaptive management","URL":"https://doi.org/10.1016/j.biocon.2010.10.013","volume":"144","author":[{"family":"Bryce","given":"Rosalind"},{"family":"Oliver","given":"Matthew K."},{"family":"Davies","given":"Llinos"},{"family":"Gray","given":"Helen"},{"family":"Urquhart","given":"Jamie"},{"family":"Lambin","given":"Xavier"}],"accessed":{"date-parts":[["2021",3,30]]},"issued":{"date-parts":[["2011",1,1]]}},"label":"page"}],"schema":"https://github.com/citation-style-language/schema/raw/master/csl-citation.json"} </w:instrText>
      </w:r>
      <w:r w:rsidR="00B213DD" w:rsidRPr="00A9434B">
        <w:fldChar w:fldCharType="separate"/>
      </w:r>
      <w:r w:rsidR="00C71E80" w:rsidRPr="00A9434B">
        <w:t>(Bryce et al., 2011)</w:t>
      </w:r>
      <w:r w:rsidR="00B213DD" w:rsidRPr="00A9434B">
        <w:fldChar w:fldCharType="end"/>
      </w:r>
      <w:r w:rsidR="00B213DD" w:rsidRPr="00A9434B">
        <w:t>.</w:t>
      </w:r>
      <w:r>
        <w:t xml:space="preserve"> </w:t>
      </w:r>
    </w:p>
    <w:p w14:paraId="1BD7C625" w14:textId="1296EC40" w:rsidR="00017C04" w:rsidRDefault="00F50AF9">
      <w:r>
        <w:lastRenderedPageBreak/>
        <w:t>However,</w:t>
      </w:r>
      <w:r>
        <w:rPr>
          <w:sz w:val="20"/>
          <w:szCs w:val="20"/>
        </w:rPr>
        <w:t xml:space="preserve"> </w:t>
      </w:r>
      <w:r>
        <w:t xml:space="preserve">in many cases, invasive alien species present a cooperation problem rather than a coordination problem, as they involve stakeholders “with opposing interests seeking and finding agreeable ways to solve collective problems and dilemmas where their different interests are at stake, and where a solution often requires actors to make some sacrifices” </w:t>
      </w:r>
      <w:r w:rsidR="0014002B" w:rsidRPr="00A9434B">
        <w:fldChar w:fldCharType="begin" w:fldLock="1"/>
      </w:r>
      <w:r w:rsidR="0014002B">
        <w:instrText xml:space="preserve"> ADDIN ZOTERO_ITEM CSL_CITATION {"citationID":"JCl2igkJ","properties":{"formattedCitation":"(Bodin et al., 2020)","plainCitation":"(Bodin et al., 2020)","noteIndex":0},"citationItems":[{"id":29517,"uris":["http://zotero.org/groups/2352922/items/6FJDPZF9","http://zotero.org/groups/2352922/items/AK7FP5UZ"],"itemData":{"id":29517,"type":"article-journal","container-title":"People and Nature","DOI":"10.1002/pan3.10097","ISSN":"2575-8314, 2575-8314","issue":"3","journalAbbreviation":"People and Nature","language":"en","page":"734-749","source":"DOI.org (Crossref)","title":"The impacts of trust, cost and risk on collaboration in environmental governance","URL":"https://onlinelibrary.wiley.com/doi/10.1002/pan3.10097","volume":"2","author":[{"family":"Bodin","given":"Örjan"},{"family":"Baird","given":"Julia"},{"family":"Schultz","given":"Lisen"},{"family":"Plummer","given":"Ryan"},{"family":"Armitage","given":"Derek"}],"editor":[{"family":"Nimmo","given":"Dale"}],"accessed":{"date-parts":[["2021",8,5]]},"issued":{"date-parts":[["2020",9]]}}}],"schema":"https://github.com/citation-style-language/schema/raw/master/csl-citation.json"} </w:instrText>
      </w:r>
      <w:r w:rsidR="0014002B" w:rsidRPr="00A9434B">
        <w:fldChar w:fldCharType="separate"/>
      </w:r>
      <w:r w:rsidR="0014002B" w:rsidRPr="0014002B">
        <w:t>(Bodin et al., 2020)</w:t>
      </w:r>
      <w:r w:rsidR="0014002B" w:rsidRPr="00A9434B">
        <w:fldChar w:fldCharType="end"/>
      </w:r>
      <w:r w:rsidR="009E48C2" w:rsidRPr="00A9434B">
        <w:t>.</w:t>
      </w:r>
      <w:r>
        <w:t xml:space="preserve"> Thus, cooperation is associated with conflicts of interest, inherent trade-offs</w:t>
      </w:r>
      <w:r w:rsidR="00EB415D">
        <w:t xml:space="preserve"> and</w:t>
      </w:r>
      <w:r>
        <w:t xml:space="preserve"> subsequent tensions among actors. This was the case, for example, with the Panama Tropical Race 4 incursion in banana plantations in north Queensland, Australia. Many banana growers argued that their value- and cost-losses were not sufficiently compensated when implementing state-mandated biosecurity measures, leading ultimately to negotiations between the growers’ industry body and the government on new standards and guidelines for production post-infection </w:t>
      </w:r>
      <w:r w:rsidR="00D6782D" w:rsidRPr="00A9434B">
        <w:fldChar w:fldCharType="begin"/>
      </w:r>
      <w:r w:rsidR="002D2756">
        <w:instrText xml:space="preserve"> ADDIN ZOTERO_ITEM CSL_CITATION {"citationID":"a14nfbmis66","properties":{"formattedCitation":"(Maclean et al., 2018)","plainCitation":"(Maclean et al., 2018)","noteIndex":0},"citationItems":[{"id":23914,"uris":["http://zotero.org/groups/2352922/items/52LR8B2W","http://zotero.org/groups/2352922/items/UJI9YBPU"],"itemData":{"id":23914,"type":"article-journal","abstract":"Biosecurity is often conceptualised and managed as an issue of biological risk. However, biosecurity policy and programs need to also manage for the social risks and impacts of biological invasions. This paper applies theory on the social aspects of social-ecological system resilience to understand how growers from the Queensland Banana industry in north east Australia coped with the social impacts of the Panama Tropical Race 4 incursion. We present a conceptual framework that highlights how emergency responses can also support programs to build and enhance the social resilience of aﬀected actors. Management programs and activities can be designed to support aﬀected actors to cope with the impacts of the invasion, at the same time as working to eradicate or contain the invasive species. Short term immediate management actions coupled with developing institutions and process to support and build social resilience of actors in the longer-term, may enable them to learn to live with a new species in the landscape, and, or be able to better cope with the social impacts of future invasions.","container-title":"Geoforum","DOI":"10.1016/j.geoforum.2018.10.018","ISSN":"00167185","journalAbbreviation":"Geoforum","language":"en","page":"95-105","source":"DOI.org (Crossref)","title":"Building social resilience to biological invasions. A case study of Panama Tropical Race 4 in the Australian Banana Industry","URL":"https://linkinghub.elsevier.com/retrieve/pii/S0016718518303221","volume":"97","author":[{"family":"Maclean","given":"Kirsten"},{"family":"Farbotko","given":"Carol"},{"family":"Mankad","given":"Aditi"},{"family":"Robinson","given":"Cathy J."},{"family":"Curnock","given":"Matt"},{"family":"Collins","given":"Kerry"},{"family":"McAllister","given":"Ryan R.J."}],"accessed":{"date-parts":[["2019",11,28]]},"issued":{"date-parts":[["2018",12]]}}}],"schema":"https://github.com/citation-style-language/schema/raw/master/csl-citation.json"} </w:instrText>
      </w:r>
      <w:r w:rsidR="00D6782D" w:rsidRPr="00A9434B">
        <w:fldChar w:fldCharType="separate"/>
      </w:r>
      <w:r w:rsidR="00C71E80" w:rsidRPr="00A9434B">
        <w:t>(Maclean et al., 2018)</w:t>
      </w:r>
      <w:r w:rsidR="00D6782D" w:rsidRPr="00A9434B">
        <w:fldChar w:fldCharType="end"/>
      </w:r>
      <w:r w:rsidR="00D6782D" w:rsidRPr="00A9434B">
        <w:t>.</w:t>
      </w:r>
      <w:r>
        <w:t xml:space="preserve"> Very often, there are multiple groups of “outcome winners” and “cost, value</w:t>
      </w:r>
      <w:r w:rsidR="00EB415D">
        <w:t xml:space="preserve"> and</w:t>
      </w:r>
      <w:r>
        <w:t xml:space="preserve"> collateral” losers whose interests and perceptions of invasive species are in conflict. Compared with coordination, cooperation is thus associated with higher risk for all of the actors involved </w:t>
      </w:r>
      <w:r w:rsidR="009E48C2" w:rsidRPr="00A9434B">
        <w:fldChar w:fldCharType="begin"/>
      </w:r>
      <w:r w:rsidR="0006613E">
        <w:instrText xml:space="preserve"> ADDIN ZOTERO_ITEM CSL_CITATION {"citationID":"a1v4chio49m","properties":{"formattedCitation":"(Berardo &amp; Scholz, 2010)","plainCitation":"(Berardo &amp; Scholz, 2010)","noteIndex":0},"citationItems":[{"id":29920,"uris":["http://zotero.org/groups/2352922/items/4E93GA4G"],"itemData":{"id":29920,"type":"article-journal","container-title":"American Journal of Political Science","DOI":"10.1111/j.1540-5907.2010.00451.x","ISSN":"00925853, 15405907","issue":"3","language":"en","page":"632-649","source":"DOI.org (Crossref)","title":"Self-Organizing Policy Networks: Risk, Partner Selection, and Cooperation in Estuaries","title-short":"Self-Organizing Policy Networks","URL":"https://onlinelibrary.wiley.com/doi/10.1111/j.1540-5907.2010.00451.x","volume":"54","author":[{"family":"Berardo","given":"Ramiro"},{"family":"Scholz","given":"John T."}],"accessed":{"date-parts":[["2021",8,5]]},"issued":{"date-parts":[["2010",6,21]]}},"label":"page"}],"schema":"https://github.com/citation-style-language/schema/raw/master/csl-citation.json"} </w:instrText>
      </w:r>
      <w:r w:rsidR="009E48C2" w:rsidRPr="00A9434B">
        <w:fldChar w:fldCharType="separate"/>
      </w:r>
      <w:r w:rsidR="00C71E80" w:rsidRPr="00A9434B">
        <w:t>(Berardo &amp; Scholz, 2010)</w:t>
      </w:r>
      <w:r w:rsidR="009E48C2" w:rsidRPr="00A9434B">
        <w:fldChar w:fldCharType="end"/>
      </w:r>
      <w:r w:rsidR="00B01CCF" w:rsidRPr="00A9434B">
        <w:t>.</w:t>
      </w:r>
      <w:r>
        <w:t xml:space="preserve"> Thus, there is much greater need for processes of engagement that involve consensus-building, negotiation, knowledge integration</w:t>
      </w:r>
      <w:r w:rsidR="00EB415D">
        <w:t xml:space="preserve"> and</w:t>
      </w:r>
      <w:r>
        <w:t xml:space="preserve"> development of trust. </w:t>
      </w:r>
    </w:p>
    <w:p w14:paraId="3FD93815" w14:textId="77777777" w:rsidR="00017C04" w:rsidRDefault="00F50AF9" w:rsidP="008C206F">
      <w:pPr>
        <w:pStyle w:val="Heading3"/>
      </w:pPr>
      <w:bookmarkStart w:id="415" w:name="_heading=h.1qoc8b1" w:colFirst="0" w:colLast="0"/>
      <w:bookmarkStart w:id="416" w:name="_Toc133428330"/>
      <w:bookmarkEnd w:id="415"/>
      <w:r>
        <w:t>Tailoring collaborative governance networks</w:t>
      </w:r>
      <w:bookmarkStart w:id="417" w:name="_Toc2051457892"/>
      <w:bookmarkEnd w:id="416"/>
      <w:r>
        <w:t xml:space="preserve"> </w:t>
      </w:r>
      <w:bookmarkEnd w:id="417"/>
    </w:p>
    <w:p w14:paraId="0B4951C7" w14:textId="7F624FB5" w:rsidR="00017C04" w:rsidRPr="008C206F" w:rsidRDefault="2F958343">
      <w:pPr>
        <w:rPr>
          <w:color w:val="000000" w:themeColor="text1"/>
        </w:rPr>
      </w:pPr>
      <w:r>
        <w:t>Collaborative governance networks consist of individuals and organizations that have come together to solve common problems that would be difficult or even impossible for a single organization to address alone (</w:t>
      </w:r>
      <w:r w:rsidRPr="0B8DB0CC">
        <w:rPr>
          <w:b/>
          <w:bCs/>
        </w:rPr>
        <w:t>section 6.2.3.3</w:t>
      </w:r>
      <w:r>
        <w:t xml:space="preserve">). Governance itself can be </w:t>
      </w:r>
      <w:r w:rsidRPr="0B8DB0CC">
        <w:rPr>
          <w:color w:val="000000" w:themeColor="text1"/>
        </w:rPr>
        <w:t>characterized as a “polycentric network” of relations between government and non-governmental stakeholders whose knowledge, behaviour or interests are involved in different aspects of environmental policy</w:t>
      </w:r>
      <w:r w:rsidR="00941B41">
        <w:rPr>
          <w:color w:val="000000" w:themeColor="text1"/>
        </w:rPr>
        <w:t>-</w:t>
      </w:r>
      <w:r w:rsidRPr="0B8DB0CC">
        <w:rPr>
          <w:color w:val="000000" w:themeColor="text1"/>
        </w:rPr>
        <w:t xml:space="preserve">making </w:t>
      </w:r>
      <w:r w:rsidR="009E48C2" w:rsidRPr="00A9434B">
        <w:rPr>
          <w:color w:val="000000" w:themeColor="text1"/>
        </w:rPr>
        <w:fldChar w:fldCharType="begin"/>
      </w:r>
      <w:r w:rsidR="0006613E">
        <w:rPr>
          <w:color w:val="000000" w:themeColor="text1"/>
        </w:rPr>
        <w:instrText xml:space="preserve"> ADDIN ZOTERO_ITEM CSL_CITATION {"citationID":"a1tk76f46cp","properties":{"formattedCitation":"(Berardo &amp; Lubell, 2019; Bodin, 2017; Bodin et al., 2017; Kluger et al., 2020; Lubell, 2013)","plainCitation":"(Berardo &amp; Lubell, 2019; Bodin, 2017; Bodin et al., 2017; Kluger et al., 2020; Lubell, 2013)","noteIndex":0},"citationItems":[{"id":54722,"uris":["http://zotero.org/groups/2352922/items/8TNPVWNN"],"itemData":{"id":54722,"type":"article-journal","container-title":"Policy Studies Journal","DOI":"10.1111/psj.12313","issue":"1","note":"ISBN: 0190-292X\npublisher: Wiley Online Library","page":"6-26","title":"The ecology of games as a theory of polycentricity: recent advances and future challenges","volume":"47","author":[{"family":"Berardo","given":"Ramiro"},{"family":"Lubell","given":"Mark"}],"issued":{"date-parts":[["2019"]]}},"label":"page"},{"id":29067,"uris":["http://zotero.org/groups/2352922/items/732VQTUE","http://zotero.org/groups/2352922/items/LNYGMDU4"],"itemData":{"id":29067,"type":"article-journal","abstract":"Managing ecosystems is challenging because of the high number of stakeholders, the permeability of man-made political and jurisdictional demarcations in relation to the temporal and spatial extent of biophysical processes, and a limited understanding of complex ecosystem and societal dynamics. Given these conditions, collaborative governance is commonly put forward as the preferred means of addressing environmental problems. Under this paradigm, a deeper understanding of if, when, and how collaboration is effective, and when other means of addressing environmental problems are better suited, is needed. Interdisciplinary research on collaborative networks demonstrates that which actors get involved, with whom they collaborate, and in what ways they are tied to the structures of the ecosystems have profound implications on actors’ abilities to address different types of environmental problems.","container-title":"Science","DOI":"10.1126/science.aan1114","ISSN":"0036-8075, 1095-9203","issue":"6352","journalAbbreviation":"Science","language":"en","page":"eaan1114","source":"DOI.org (Crossref)","title":"Collaborative environmental governance: Achieving collective action in social-ecological systems","title-short":"Collaborative environmental governance","URL":"https://www.sciencemag.org/lookup/doi/10.1126/science.aan1114","volume":"357","author":[{"family":"Bodin","given":"Örjan"}],"accessed":{"date-parts":[["2021",6,26]]},"issued":{"date-parts":[["2017",8,18]]}},"label":"page"},{"id":10774,"uris":["http://zotero.org/groups/2352922/items/JEI2TJLM"],"itemData":{"id":10774,"type":"article-journal","container-title":"Policy Studies Journal","DOI":"10.1111/psj.12146","ISSN":"0190292X","issue":"2","journalAbbreviation":"Policy Stud J","language":"en","page":"289-314","source":"DOI.org (Crossref)","title":"Collaborative Networks for Effective Ecosystem-Based Management: A Set of Working Hypotheses","title-short":"Collaborative Networks for Effective Ecosystem-Based Management","URL":"http://doi.wiley.com/10.1111/psj.12146","volume":"45","author":[{"family":"Bodin","given":"Örjan"},{"family":"Sandström","given":"Annica"},{"family":"Crona","given":"Beatrice"}],"accessed":{"date-parts":[["2020",4,30]]},"issued":{"date-parts":[["2017",5]]}},"label":"page"},{"id":27090,"uris":["http://zotero.org/groups/2352922/items/ID27UJX2"],"itemData":{"id":27090,"type":"article-journal","container-title":"People and Nature","DOI":"10.1002/pan3.10136","ISSN":"2575-8314, 2575-8314","issue":"4","journalAbbreviation":"People and Nature","language":"en","page":"1100-1116","source":"DOI.org (Crossref)","title":"Studying human–nature relationships through a network lens: A systematic review","title-short":"Studying human–nature relationships through a network lens","URL":"https://onlinelibrary.wiley.com/doi/10.1002/pan3.10136","volume":"2","author":[{"family":"Kluger","given":"Lotta C."},{"family":"Gorris","given":"Philipp"},{"family":"Kochalski","given":"Sophia"},{"family":"Mueller","given":"Miriam S."},{"family":"Romagnoni","given":"Giovanni"}],"editor":[{"family":"Ban","given":"Natalie"}],"accessed":{"date-parts":[["2021",6,17]]},"issued":{"date-parts":[["2020",12]]}},"label":"page"},{"id":54702,"uris":["http://zotero.org/groups/2352922/items/MQ5A6YE5"],"itemData":{"id":54702,"type":"article-journal","container-title":"Policy studies journal","DOI":"10.1111/psj.12028","issue":"3","note":"ISBN: 0190-292X\npublisher: Wiley Online Library","page":"537-559","title":"Governing institutional complexity: The ecology of games framework","volume":"41","author":[{"family":"Lubell","given":"Mark"}],"issued":{"date-parts":[["2013"]]}},"label":"page"}],"schema":"https://github.com/citation-style-language/schema/raw/master/csl-citation.json"} </w:instrText>
      </w:r>
      <w:r w:rsidR="009E48C2" w:rsidRPr="00A9434B">
        <w:rPr>
          <w:color w:val="000000" w:themeColor="text1"/>
        </w:rPr>
        <w:fldChar w:fldCharType="separate"/>
      </w:r>
      <w:r w:rsidR="00297FD9" w:rsidRPr="00297FD9">
        <w:t>(Berardo &amp; Lubell, 2019; Bodin, 2017; Bodin et al., 2017; Kluger et al., 2020; Lubell, 2013)</w:t>
      </w:r>
      <w:r w:rsidR="009E48C2" w:rsidRPr="00A9434B">
        <w:rPr>
          <w:color w:val="000000" w:themeColor="text1"/>
        </w:rPr>
        <w:fldChar w:fldCharType="end"/>
      </w:r>
      <w:r w:rsidR="009E48C2" w:rsidRPr="00A9434B">
        <w:rPr>
          <w:color w:val="000000" w:themeColor="text1"/>
        </w:rPr>
        <w:t xml:space="preserve">. </w:t>
      </w:r>
      <w:r w:rsidR="009E48C2" w:rsidRPr="00A9434B">
        <w:t>Such networks span a range of types, from “</w:t>
      </w:r>
      <w:r w:rsidR="009E48C2" w:rsidRPr="00A9434B">
        <w:rPr>
          <w:color w:val="000000" w:themeColor="text1"/>
        </w:rPr>
        <w:t xml:space="preserve">completely decentralized with all participants connected, to completely centralized with all collaboration brokered by a single organization” </w:t>
      </w:r>
      <w:r w:rsidR="009E48C2" w:rsidRPr="00A9434B">
        <w:rPr>
          <w:color w:val="000000" w:themeColor="text1"/>
        </w:rPr>
        <w:fldChar w:fldCharType="begin"/>
      </w:r>
      <w:r w:rsidR="0006613E">
        <w:rPr>
          <w:color w:val="000000" w:themeColor="text1"/>
        </w:rPr>
        <w:instrText xml:space="preserve"> ADDIN ZOTERO_ITEM CSL_CITATION {"citationID":"a1ksmv30ds7","properties":{"formattedCitation":"(Lubell et al., 2017)","plainCitation":"(Lubell et al., 2017)","noteIndex":0},"citationItems":[{"id":29543,"uris":["http://zotero.org/groups/2352922/items/ZEAPGNJU"],"itemData":{"id":29543,"type":"article-journal","container-title":"Conservation Letters","DOI":"10.1111/conl.12311","ISSN":"1755-263X, 1755-263X","issue":"6","journalAbbreviation":"CONSERVATION LETTERS","language":"en","page":"699-707","source":"DOI.org (Crossref)","title":"Network Governance for Invasive Species Management","URL":"https://onlinelibrary.wiley.com/doi/10.1111/conl.12311","volume":"10","author":[{"family":"Lubell","given":"Mark"},{"family":"Jasny","given":"Lorien"},{"family":"Hastings","given":"Alan"}],"accessed":{"date-parts":[["2021",8,3]]},"issued":{"date-parts":[["2017",11]]}},"label":"page"}],"schema":"https://github.com/citation-style-language/schema/raw/master/csl-citation.json"} </w:instrText>
      </w:r>
      <w:r w:rsidR="009E48C2" w:rsidRPr="00A9434B">
        <w:rPr>
          <w:color w:val="000000" w:themeColor="text1"/>
        </w:rPr>
        <w:fldChar w:fldCharType="separate"/>
      </w:r>
      <w:r w:rsidR="00EA1CE6" w:rsidRPr="00EA1CE6">
        <w:t>(Lubell et al., 2017)</w:t>
      </w:r>
      <w:r w:rsidR="009E48C2" w:rsidRPr="00A9434B">
        <w:rPr>
          <w:color w:val="000000" w:themeColor="text1"/>
        </w:rPr>
        <w:fldChar w:fldCharType="end"/>
      </w:r>
      <w:r w:rsidR="009E48C2" w:rsidRPr="00A9434B">
        <w:rPr>
          <w:color w:val="000000" w:themeColor="text1"/>
        </w:rPr>
        <w:t xml:space="preserve">. Multiple types of networks across this span are likely to be needed for progress towards and implementation of integrated governance for </w:t>
      </w:r>
      <w:r w:rsidR="008C206F" w:rsidRPr="0B8DB0CC">
        <w:rPr>
          <w:color w:val="000000" w:themeColor="text1"/>
        </w:rPr>
        <w:t xml:space="preserve">biological invasions in each context </w:t>
      </w:r>
      <w:r w:rsidRPr="0B8DB0CC">
        <w:rPr>
          <w:color w:val="000000" w:themeColor="text1"/>
        </w:rPr>
        <w:t>(</w:t>
      </w:r>
      <w:r w:rsidRPr="0B8DB0CC">
        <w:rPr>
          <w:b/>
          <w:bCs/>
          <w:color w:val="000000" w:themeColor="text1"/>
        </w:rPr>
        <w:t>section 6.2.3.1</w:t>
      </w:r>
      <w:r w:rsidRPr="0B8DB0CC">
        <w:rPr>
          <w:color w:val="000000" w:themeColor="text1"/>
        </w:rPr>
        <w:t>).</w:t>
      </w:r>
    </w:p>
    <w:p w14:paraId="16D2F219" w14:textId="5B5A2443" w:rsidR="00017C04" w:rsidRDefault="00F50AF9">
      <w:pPr>
        <w:spacing w:after="0"/>
      </w:pPr>
      <w:r>
        <w:t xml:space="preserve">The distinction between coordination and cooperation has strong implications for the type of governance network and collective action arrangements that are, more or less, suited to the tasks at hand. Such networks typically take three different forms, each with its own advantages and limitations </w:t>
      </w:r>
      <w:r w:rsidR="009E48C2" w:rsidRPr="00A9434B">
        <w:fldChar w:fldCharType="begin"/>
      </w:r>
      <w:r w:rsidR="0006613E">
        <w:instrText xml:space="preserve"> ADDIN ZOTERO_ITEM CSL_CITATION {"citationID":"V4eJEB2s","properties":{"formattedCitation":"(Provan &amp; Kenis, 2008)","plainCitation":"(Provan &amp; Kenis, 2008)","dontUpdate":true,"noteIndex":0},"citationItems":[{"id":29989,"uris":["http://zotero.org/groups/2352922/items/IB9YPPAS"],"itemData":{"id":29989,"type":"article-journal","abstract":"This article examines the governance of organizational networks and the impact of governance on network effectiveness. Three basic models, or forms, of network governance are developed focusing on their distinct structural properties. Propositions are formulated examining conditions for the effectiveness of each form. The tensions inherent in each form are then discussed, followed by the role that management may play in addressing these tensions. Finally, the evolution of governance is explored.","container-title":"Journal of Public Administration Research and Theory","DOI":"10.1093/jopart/mum015","ISSN":"1053-1858","issue":"2","journalAbbreviation":"Journal of Public Administration Research and Theory","page":"229-252","source":"Silverchair","title":"Modes of Network Governance: Structure, Management, and Effectiveness","title-short":"Modes of Network Governance","URL":"https://doi.org/10.1093/jopart/mum015","volume":"18","author":[{"family":"Provan","given":"Keith G."},{"family":"Kenis","given":"Patrick"}],"accessed":{"date-parts":[["2021",8,3]]},"issued":{"date-parts":[["2008",4,1]]}},"label":"page"}],"schema":"https://github.com/citation-style-language/schema/raw/master/csl-citation.json"} </w:instrText>
      </w:r>
      <w:r w:rsidR="009E48C2" w:rsidRPr="00A9434B">
        <w:fldChar w:fldCharType="separate"/>
      </w:r>
      <w:r w:rsidR="00215172" w:rsidRPr="00215172">
        <w:t>(Provan &amp; Kenis, 2008</w:t>
      </w:r>
      <w:r w:rsidR="009E48C2" w:rsidRPr="00A9434B">
        <w:fldChar w:fldCharType="end"/>
      </w:r>
      <w:r w:rsidR="00BE2A81" w:rsidRPr="00A9434B">
        <w:t>;</w:t>
      </w:r>
      <w:r>
        <w:t xml:space="preserve"> </w:t>
      </w:r>
      <w:r>
        <w:rPr>
          <w:b/>
        </w:rPr>
        <w:t>section 6.2.3.3</w:t>
      </w:r>
      <w:r>
        <w:t>):</w:t>
      </w:r>
    </w:p>
    <w:p w14:paraId="359E6267" w14:textId="77777777" w:rsidR="00017C04" w:rsidRDefault="00F50AF9" w:rsidP="008C206F">
      <w:pPr>
        <w:pStyle w:val="ListParagraph"/>
        <w:numPr>
          <w:ilvl w:val="0"/>
          <w:numId w:val="45"/>
        </w:numPr>
        <w:spacing w:before="0"/>
      </w:pPr>
      <w:r w:rsidRPr="008C206F">
        <w:t>In participant-governed networks, there is no obvious central leading actor - all actors contribute fairly and equally to the collective effort. These networks tend to be dense (there are many social ties between the participants) and can work very effectively, but typically suffer when the number of members is high, since the lack of a hierarchical structure makes it difficult to coordinate numerous actors</w:t>
      </w:r>
      <w:r w:rsidRPr="008C206F">
        <w:rPr>
          <w:color w:val="000000" w:themeColor="text1"/>
        </w:rPr>
        <w:t xml:space="preserve">. </w:t>
      </w:r>
    </w:p>
    <w:p w14:paraId="1831E189" w14:textId="77777777" w:rsidR="00017C04" w:rsidRDefault="00F50AF9" w:rsidP="008C206F">
      <w:pPr>
        <w:pStyle w:val="ListParagraph"/>
        <w:numPr>
          <w:ilvl w:val="0"/>
          <w:numId w:val="45"/>
        </w:numPr>
      </w:pPr>
      <w:r w:rsidRPr="008C206F">
        <w:t xml:space="preserve">The second form is where one or a few of the participating actors take on a leading role, and the network subsequently takes a centralized “hub-and-spoke” structure where the leaders are directly connected to all or most other actors, thus becoming the hubs in a wheel-shaped network. </w:t>
      </w:r>
    </w:p>
    <w:p w14:paraId="4CA60F9F" w14:textId="5922117D" w:rsidR="00017C04" w:rsidRDefault="00F50AF9" w:rsidP="008C206F">
      <w:pPr>
        <w:pStyle w:val="ListParagraph"/>
        <w:numPr>
          <w:ilvl w:val="0"/>
          <w:numId w:val="45"/>
        </w:numPr>
      </w:pPr>
      <w:r w:rsidRPr="008C206F">
        <w:t xml:space="preserve">In the third form of network, a dedicated coordinating actor (a “Networker” stakeholder and </w:t>
      </w:r>
      <w:r w:rsidR="009011F3">
        <w:t xml:space="preserve">a representative of </w:t>
      </w:r>
      <w:r w:rsidRPr="008C206F">
        <w:t xml:space="preserve">Indigenous Peoples and local communities) is appointed as the central leader - a network administrative organization (NAO), also referred to as a bridging organization </w:t>
      </w:r>
      <w:r w:rsidR="006B5C3B" w:rsidRPr="00A9434B">
        <w:fldChar w:fldCharType="begin"/>
      </w:r>
      <w:r w:rsidR="0006613E">
        <w:instrText xml:space="preserve"> ADDIN ZOTERO_ITEM CSL_CITATION {"citationID":"a2c0a2cqom7","properties":{"formattedCitation":"(Crona &amp; Parker, 2012)","plainCitation":"(Crona &amp; Parker, 2012)","noteIndex":0},"citationItems":[{"id":29958,"uris":["http://zotero.org/groups/2352922/items/F5UDYKTY"],"itemData":{"id":29958,"type":"article-journal","abstract":"Crona, B. I., and J. N. Parker. 2012. Learning in support of governance: theories, methods, and a framework to assess how bridging organizations contribute to adaptive resource governance. Ecology and Society 17(1): 32. https://doi.org/10.5751/ES-04534-170132","container-title":"Ecology and Society","DOI":"10.5751/ES-04534-170132","ISSN":"1708-3087","issue":"1","language":"en","license":"© 2012 by the author(s)","note":"publisher: The Resilience Alliance","page":"32","source":"www.ecologyandsociety.org","title":"Learning in Support of Governance: Theories, Methods, and a Framework to Assess How Bridging Organizations Contribute to Adaptive Resource Governance","title-short":"Learning in Support of Governance","URL":"https://www.ecologyandsociety.org/vol17/iss1/art32/","volume":"17","author":[{"family":"Crona","given":"Beatrice I."},{"family":"Parker","given":"John N."}],"accessed":{"date-parts":[["2021",8,3]]},"issued":{"date-parts":[["2012",3,29]]}},"label":"page"}],"schema":"https://github.com/citation-style-language/schema/raw/master/csl-citation.json"} </w:instrText>
      </w:r>
      <w:r w:rsidR="006B5C3B" w:rsidRPr="00A9434B">
        <w:fldChar w:fldCharType="separate"/>
      </w:r>
      <w:r w:rsidR="00C71E80" w:rsidRPr="00A9434B">
        <w:t>(Crona &amp; Parker, 2012)</w:t>
      </w:r>
      <w:r w:rsidR="006B5C3B" w:rsidRPr="00A9434B">
        <w:fldChar w:fldCharType="end"/>
      </w:r>
      <w:r w:rsidR="006B5C3B" w:rsidRPr="00A9434B">
        <w:t xml:space="preserve"> </w:t>
      </w:r>
      <w:r w:rsidR="36B67312" w:rsidRPr="00A9434B">
        <w:t xml:space="preserve">or a collaborative institution </w:t>
      </w:r>
      <w:r w:rsidR="006B5C3B" w:rsidRPr="00A9434B">
        <w:fldChar w:fldCharType="begin"/>
      </w:r>
      <w:r w:rsidR="0006613E">
        <w:instrText xml:space="preserve"> ADDIN ZOTERO_ITEM CSL_CITATION {"citationID":"ajtd93h978","properties":{"formattedCitation":"(Lubell et al., 2010)","plainCitation":"(Lubell et al., 2010)","noteIndex":0},"citationItems":[{"id":29540,"uris":["http://zotero.org/groups/2352922/items/T2BAGRJR"],"itemData":{"id":29540,"type":"article-journal","abstract":"This article seeks to improve our understanding of policy institutions and cooperation by adapting Long's (1958)analysis of the ecology of games to the context of collaborative land use and transportation planning in California. The traditional institutional rational choice analysis argues that collaborative institutions reduce the transaction costs of cooperation among multiple policy actors. The ecology of games framework extends IRC by emphasizing the consequences of multiple institutions and identifies several reasons why collaborative institutions may actually reduce the amount of cooperation in existing policy venues. Analyses of survey data from policy actors in five California regions demonstrate that higher levels of cooperation in collaborative institutions are associated with lower levels of cooperation in other land-use and transportation planning institutions.","container-title":"American Journal of Political Science","DOI":"10.1111/j.1540-5907.2010.00431.x","ISSN":"1540-5907","issue":"2","language":"en","note":"_eprint: https://onlinelibrary.wiley.com/doi/pdf/10.1111/j.1540-5907.2010.00431.x","page":"287-300","source":"Wiley Online Library","title":"Collaborative Institutions in an Ecology of Games","URL":"https://onlinelibrary.wiley.com/doi/abs/10.1111/j.1540-5907.2010.00431.x","volume":"54","author":[{"family":"Lubell","given":"Mark"},{"family":"Henry","given":"Adam Douglas"},{"family":"McCoy","given":"Mike"}],"accessed":{"date-parts":[["2021",8,3]]},"issued":{"date-parts":[["2010"]]}},"label":"page"}],"schema":"https://github.com/citation-style-language/schema/raw/master/csl-citation.json"} </w:instrText>
      </w:r>
      <w:r w:rsidR="006B5C3B" w:rsidRPr="00A9434B">
        <w:fldChar w:fldCharType="separate"/>
      </w:r>
      <w:r w:rsidR="00C71E80" w:rsidRPr="00A9434B">
        <w:t>(Lubell et al., 2010)</w:t>
      </w:r>
      <w:r w:rsidR="006B5C3B" w:rsidRPr="00A9434B">
        <w:fldChar w:fldCharType="end"/>
      </w:r>
      <w:r w:rsidR="006B5C3B" w:rsidRPr="00A9434B">
        <w:t>.</w:t>
      </w:r>
      <w:r w:rsidRPr="008C206F">
        <w:t xml:space="preserve"> The network administrative organization can be created by the network members or provided or imposed externally. An external actor that wants to build a governance network to address invasive</w:t>
      </w:r>
      <w:r w:rsidRPr="56C59A3A">
        <w:rPr>
          <w:color w:val="000000" w:themeColor="text1"/>
        </w:rPr>
        <w:t xml:space="preserve"> </w:t>
      </w:r>
      <w:r w:rsidR="7F246B91" w:rsidRPr="56C59A3A">
        <w:rPr>
          <w:color w:val="000000" w:themeColor="text1"/>
        </w:rPr>
        <w:t>alien</w:t>
      </w:r>
      <w:r w:rsidR="7F246B91" w:rsidRPr="008C206F">
        <w:t xml:space="preserve"> </w:t>
      </w:r>
      <w:r w:rsidRPr="008C206F">
        <w:t>species could create a network administrative organization either to enhance and strengthen (and/or possibly control) existing governance networks, or to build a governance network from scratch.</w:t>
      </w:r>
    </w:p>
    <w:p w14:paraId="19B23236" w14:textId="4EE6DB84" w:rsidR="00017C04" w:rsidRDefault="00F50AF9">
      <w:pPr>
        <w:spacing w:before="0" w:after="0"/>
        <w:rPr>
          <w:rFonts w:ascii="Calibri" w:eastAsia="Calibri" w:hAnsi="Calibri" w:cs="Calibri"/>
          <w:color w:val="000000"/>
          <w:sz w:val="22"/>
          <w:szCs w:val="22"/>
        </w:rPr>
      </w:pPr>
      <w:r>
        <w:lastRenderedPageBreak/>
        <w:t xml:space="preserve">An example of a successful network administrative organization (NAO)-led network management is found in the management of a hybrid between introduced </w:t>
      </w:r>
      <w:r>
        <w:rPr>
          <w:i/>
        </w:rPr>
        <w:t>Sporobolus alterniflorus</w:t>
      </w:r>
      <w:r>
        <w:t xml:space="preserve"> (smooth cordgrass) and native </w:t>
      </w:r>
      <w:r>
        <w:rPr>
          <w:i/>
        </w:rPr>
        <w:t>Sporobolus foliosus</w:t>
      </w:r>
      <w:r>
        <w:t xml:space="preserve"> (</w:t>
      </w:r>
      <w:r>
        <w:rPr>
          <w:color w:val="000000"/>
        </w:rPr>
        <w:t>California cordgrass</w:t>
      </w:r>
      <w:r>
        <w:t xml:space="preserve">) in San Francisco Bay, </w:t>
      </w:r>
      <w:r w:rsidRPr="008C206F">
        <w:rPr>
          <w:color w:val="000000" w:themeColor="text1"/>
        </w:rPr>
        <w:t>a multi-tenure area where government agencies, private landowners and others are involved in efforts to eradicate this ecosystem engineer that will reinfest if it is not eliminated in all areas of the Bay.</w:t>
      </w:r>
      <w:r>
        <w:t xml:space="preserve"> </w:t>
      </w:r>
      <w:r w:rsidRPr="008C206F">
        <w:rPr>
          <w:color w:val="000000" w:themeColor="text1"/>
        </w:rPr>
        <w:t xml:space="preserve">The management of </w:t>
      </w:r>
      <w:r w:rsidRPr="008C206F">
        <w:rPr>
          <w:i/>
          <w:color w:val="000000" w:themeColor="text1"/>
        </w:rPr>
        <w:t>Sporobolus</w:t>
      </w:r>
      <w:r w:rsidRPr="008C206F">
        <w:rPr>
          <w:color w:val="000000" w:themeColor="text1"/>
        </w:rPr>
        <w:t xml:space="preserve"> is governed by a collaborative partnership between private landowners, government agencies</w:t>
      </w:r>
      <w:r w:rsidR="00EB415D">
        <w:rPr>
          <w:color w:val="000000" w:themeColor="text1"/>
        </w:rPr>
        <w:t xml:space="preserve"> and</w:t>
      </w:r>
      <w:r w:rsidRPr="008C206F">
        <w:rPr>
          <w:color w:val="000000" w:themeColor="text1"/>
        </w:rPr>
        <w:t xml:space="preserve"> other stakeholders called the Invasive Spartina Project. The California State Coastal Conservancy, an agency whose mission is to protect the coast, and an environmental consultant founded the project with state funding. Together they serve as “central brokers” that coordinate the activities of stakeholders as a </w:t>
      </w:r>
      <w:r>
        <w:t>NAO</w:t>
      </w:r>
      <w:r w:rsidRPr="008C206F">
        <w:rPr>
          <w:color w:val="000000" w:themeColor="text1"/>
        </w:rPr>
        <w:t xml:space="preserve">. The project has “successfully removed 95% of invasive </w:t>
      </w:r>
      <w:r w:rsidRPr="008C206F">
        <w:rPr>
          <w:i/>
          <w:color w:val="000000" w:themeColor="text1"/>
        </w:rPr>
        <w:t>Spartina</w:t>
      </w:r>
      <w:r w:rsidRPr="008C206F">
        <w:rPr>
          <w:color w:val="000000" w:themeColor="text1"/>
        </w:rPr>
        <w:t xml:space="preserve"> [</w:t>
      </w:r>
      <w:r w:rsidRPr="008C206F">
        <w:rPr>
          <w:i/>
          <w:color w:val="000000" w:themeColor="text1"/>
        </w:rPr>
        <w:t>Sporobolus</w:t>
      </w:r>
      <w:r w:rsidRPr="008C206F">
        <w:rPr>
          <w:color w:val="000000" w:themeColor="text1"/>
        </w:rPr>
        <w:t xml:space="preserve">], and is now engaged in suppressing re-invasion and ecological restoration…the [project] has been very effective in comparison with other local collaborative partnerships” </w:t>
      </w:r>
      <w:r w:rsidR="009E48C2" w:rsidRPr="00A9434B">
        <w:rPr>
          <w:color w:val="000000" w:themeColor="text1"/>
        </w:rPr>
        <w:fldChar w:fldCharType="begin"/>
      </w:r>
      <w:r w:rsidR="0006613E">
        <w:rPr>
          <w:color w:val="000000" w:themeColor="text1"/>
        </w:rPr>
        <w:instrText xml:space="preserve"> ADDIN ZOTERO_ITEM CSL_CITATION {"citationID":"XbvVd1eR","properties":{"formattedCitation":"(Lubell et al., 2017)","plainCitation":"(Lubell et al., 2017)","noteIndex":0},"citationItems":[{"id":29543,"uris":["http://zotero.org/groups/2352922/items/ZEAPGNJU"],"itemData":{"id":29543,"type":"article-journal","container-title":"Conservation Letters","DOI":"10.1111/conl.12311","ISSN":"1755-263X, 1755-263X","issue":"6","journalAbbreviation":"CONSERVATION LETTERS","language":"en","page":"699-707","source":"DOI.org (Crossref)","title":"Network Governance for Invasive Species Management","URL":"https://onlinelibrary.wiley.com/doi/10.1111/conl.12311","volume":"10","author":[{"family":"Lubell","given":"Mark"},{"family":"Jasny","given":"Lorien"},{"family":"Hastings","given":"Alan"}],"accessed":{"date-parts":[["2021",8,3]]},"issued":{"date-parts":[["2017",11]]}}}],"schema":"https://github.com/citation-style-language/schema/raw/master/csl-citation.json"} </w:instrText>
      </w:r>
      <w:r w:rsidR="009E48C2" w:rsidRPr="00A9434B">
        <w:rPr>
          <w:color w:val="000000" w:themeColor="text1"/>
        </w:rPr>
        <w:fldChar w:fldCharType="separate"/>
      </w:r>
      <w:r w:rsidR="00EA1CE6" w:rsidRPr="00EA1CE6">
        <w:t>(Lubell et al., 2017)</w:t>
      </w:r>
      <w:r w:rsidR="009E48C2" w:rsidRPr="00A9434B">
        <w:rPr>
          <w:color w:val="000000" w:themeColor="text1"/>
        </w:rPr>
        <w:fldChar w:fldCharType="end"/>
      </w:r>
      <w:r w:rsidR="78586B7C" w:rsidRPr="00A9434B">
        <w:rPr>
          <w:color w:val="000000" w:themeColor="text1"/>
        </w:rPr>
        <w:t>.</w:t>
      </w:r>
      <w:r w:rsidRPr="008C206F">
        <w:rPr>
          <w:color w:val="000000" w:themeColor="text1"/>
        </w:rPr>
        <w:t xml:space="preserve"> However, such arrangements may not be effective for invasive alien species that have very different ecological dynamics, such as with very fast spreading marine species, where a myriad of organizations and individuals would be involved at short notice.</w:t>
      </w:r>
    </w:p>
    <w:p w14:paraId="643D0739" w14:textId="7A5516AA" w:rsidR="00017C04" w:rsidRDefault="00F50AF9">
      <w:r>
        <w:t xml:space="preserve">Hybrid networks may consist, for example, of bottom-up, participant-led initiatives that are provided with support and coordinated by a </w:t>
      </w:r>
      <w:r w:rsidR="009011F3">
        <w:t>“</w:t>
      </w:r>
      <w:r>
        <w:t>network</w:t>
      </w:r>
      <w:r w:rsidR="009011F3">
        <w:t>er”</w:t>
      </w:r>
      <w:r>
        <w:t xml:space="preserve"> stakeholder. This is the case with the award-winning Victoria Rabbit Action Network (VRAN), which was developed in Victoria, Australia, in response to the failure of a largely top-down regulation and enforcement regime </w:t>
      </w:r>
      <w:r w:rsidR="009E48C2" w:rsidRPr="00A9434B">
        <w:fldChar w:fldCharType="begin"/>
      </w:r>
      <w:r w:rsidR="00E279A7">
        <w:instrText xml:space="preserve"> ADDIN ZOTERO_ITEM CSL_CITATION {"citationID":"oE1GzDXV","properties":{"formattedCitation":"(L. B. Adams, 2014; L. B. Adams et al., 2019)","plainCitation":"(L. B. Adams, 2014; L. B. Adams et al., 2019)","dontUpdate":true,"noteIndex":0},"citationItems":[{"id":27039,"uris":["http://zotero.org/groups/2352922/items/EHXDWGED"],"itemData":{"id":27039,"type":"report","event-place":"Canberra, Australia","note":"publisher: PestSmart Toolkit publication","publisher":"Invasive Animals Cooperative Research Centre, University of Canberra","publisher-place":"Canberra, Australia","title":"Victorian Rabbit Management Collaboration Initiative","URL":"https://pestsmart.org.au/?s=Victorian+rabbit+management+collaboration+initiative","author":[{"family":"Adams","given":"Lisa B."}],"issued":{"date-parts":[["2014"]]}},"label":"page"},{"id":16527,"uris":["http://zotero.org/groups/2352922/items/UHIGUMYY"],"itemData":{"id":16527,"type":"article-journal","abstract":"Empowering integrative, sustainable and equitable approaches to wicked socio-ecological problems requires multiple disciplines and ways of knowing. Following calls for greater attention to political economics in this transdisciplinary work, we offer a practitioner perspective on political economy and collective action and their influences on our community engagement practice and public policy. Our perspective is grounded in a pervasive wicked problem in Australia, invasive rabbits, and the emergence of the Victorian Rabbit Action Network. The network grew out of a publically funded research project to support community-led action in rabbit management. Victorian residents and workers affected by rabbits – public and private land managers, scientists, government officers and others – were invited to engage in a participatory planning process to generate sustainable strategies to address the rabbit problem. Each stage in the process, which involved interviews, a workshop and consultations, was designed to nurture the critical enquiry, listening and learning skills of participants, advance understandings of the problem from multiple perspectives, generate collective options to guide decision-making, and encourage community-led collective action. We reflect on our understanding of these processes using the language and lens of political economics and, in particular, the context of democratic professionalism. In so doing, we define terms and refer to information resources that have enabled us to bring a practical working knowledge of political economics to our professional practice. Our intent is to motivate academics, community members, government officials, and scientists alike, to draw on their knowledge and field experiences and to share practice stories through the lens of political economics and collective action. This is an opportunity to engage each other in small ‘p’ politics of how we understand and act on wicked problems, to negotiate and connect across disciplines, practical experiences and human difference, so that people may work more creatively and effectively together to address the challenging issues of our time.","container-title":"Gateways: International Journal of Community Research and Engagement","DOI":"10.5130/ijcre.v12i1.6496","ISSN":"1836-3393","issue":"1","journalAbbreviation":"Gateways","language":"en","source":"DOI.org (Crossref)","title":"Political economics, collective action and wicked socio-ecological problems: A practice story from the field","title-short":"Political economics, collective action and wicked socio-ecological problems","URL":"https://epress.lib.uts.edu.au/journals/index.php/ijcre/article/view/6496","volume":"12","author":[{"family":"Adams","given":"Lisa B."},{"family":"Alter","given":"Theodore R."},{"family":"Parkes","given":"Margot W."},{"family":"Reid","given":"Michael"},{"family":"Woolnough","given":"Andrew P."}],"accessed":{"date-parts":[["2019",11,30]]},"issued":{"date-parts":[["2019",6,19]]}},"label":"page"}],"schema":"https://github.com/citation-style-language/schema/raw/master/csl-citation.json"} </w:instrText>
      </w:r>
      <w:r w:rsidR="009E48C2" w:rsidRPr="00A9434B">
        <w:fldChar w:fldCharType="separate"/>
      </w:r>
      <w:r w:rsidR="00F71CC6" w:rsidRPr="00F71CC6">
        <w:t>(L. B. Adams, 2014; L. B. Adams et al., 2019</w:t>
      </w:r>
      <w:r w:rsidR="009E48C2" w:rsidRPr="00A9434B">
        <w:fldChar w:fldCharType="end"/>
      </w:r>
      <w:r w:rsidR="00DA5645" w:rsidRPr="00A9434B">
        <w:t xml:space="preserve">; </w:t>
      </w:r>
      <w:r w:rsidR="00B9562C" w:rsidRPr="00673554">
        <w:rPr>
          <w:b/>
          <w:iCs/>
        </w:rPr>
        <w:fldChar w:fldCharType="begin"/>
      </w:r>
      <w:r w:rsidR="00B9562C" w:rsidRPr="00673554">
        <w:rPr>
          <w:b/>
          <w:iCs/>
        </w:rPr>
        <w:instrText xml:space="preserve"> REF _Ref104898763 \h  \* MERGEFORMAT </w:instrText>
      </w:r>
      <w:r w:rsidR="00B9562C" w:rsidRPr="00673554">
        <w:rPr>
          <w:b/>
          <w:iCs/>
        </w:rPr>
      </w:r>
      <w:r w:rsidR="00B9562C" w:rsidRPr="00673554">
        <w:rPr>
          <w:b/>
          <w:iCs/>
        </w:rPr>
        <w:fldChar w:fldCharType="separate"/>
      </w:r>
      <w:r w:rsidR="0011368C" w:rsidRPr="00673554">
        <w:rPr>
          <w:b/>
          <w:iCs/>
        </w:rPr>
        <w:t>Box 6.15</w:t>
      </w:r>
      <w:r w:rsidR="00B9562C" w:rsidRPr="00673554">
        <w:rPr>
          <w:b/>
          <w:iCs/>
        </w:rPr>
        <w:fldChar w:fldCharType="end"/>
      </w:r>
      <w:r w:rsidR="009E48C2" w:rsidRPr="00A9434B">
        <w:t>).</w:t>
      </w:r>
      <w:r>
        <w:t xml:space="preserve"> In Central Burnett, Queensland, Australia, when the state reduced support for management of </w:t>
      </w:r>
      <w:r>
        <w:rPr>
          <w:i/>
        </w:rPr>
        <w:t>Bactrocera tryoni</w:t>
      </w:r>
      <w:r>
        <w:t xml:space="preserve"> (Queensland fruit fly) and encouraged greater grower self-reliance, growers and their industry body formed an Area-Wide Management Committee, which acted as a network administrative organization (NAO), together with government staff, local growers, the industry body</w:t>
      </w:r>
      <w:r w:rsidR="00EB415D">
        <w:t xml:space="preserve"> and</w:t>
      </w:r>
      <w:r>
        <w:t xml:space="preserve"> other local stakeholders. Among other activities, it carried out management trials, fine-tuned management to suit individual grower operations, provided resources for treatments in towns funded by voluntary grower contributions, transferred expert knowledge</w:t>
      </w:r>
      <w:r w:rsidR="00EB415D">
        <w:t xml:space="preserve"> and</w:t>
      </w:r>
      <w:r>
        <w:t xml:space="preserve"> engaged in awareness raising. Reported results were “spectacular” – peak trap catches prior to the new governance arrangements were 240</w:t>
      </w:r>
      <w:r w:rsidR="009011F3">
        <w:t xml:space="preserve"> </w:t>
      </w:r>
      <w:r>
        <w:t>flies</w:t>
      </w:r>
      <w:r w:rsidR="009011F3">
        <w:t xml:space="preserve"> per </w:t>
      </w:r>
      <w:r>
        <w:t>trap</w:t>
      </w:r>
      <w:r w:rsidR="009011F3">
        <w:t xml:space="preserve"> each </w:t>
      </w:r>
      <w:r>
        <w:t xml:space="preserve">day, reducing to one fly within a few years </w:t>
      </w:r>
      <w:r w:rsidR="009E48C2" w:rsidRPr="00A9434B">
        <w:fldChar w:fldCharType="begin"/>
      </w:r>
      <w:r w:rsidR="0006613E">
        <w:instrText xml:space="preserve"> ADDIN ZOTERO_ITEM CSL_CITATION {"citationID":"af9qh9qnp3","properties":{"formattedCitation":"(Kruger, 2016)","plainCitation":"(Kruger, 2016)","noteIndex":0},"citationItems":[{"id":22373,"uris":["http://zotero.org/groups/2352922/items/XHE4ZN8K"],"itemData":{"id":22373,"type":"article-journal","abstract":"Area-wide management is recommended for managing several mobile pests. With limited onground government assistance available, several Australian local industry groups drive such initiatives to minimise Queensland Fruit Fly impacts on production and market access. This qualitative study investigates how adaptive co-management thinking can assist industry-driven area-wide management. The concepts of social learning, communication, adaptive capacity, shared decision-making and shared authority can make valuable contributions to strengthening collaborative pest management. The tension between “top-down” market requirements and “bottom-up” adaptive co-management principles is best addressed if local industries focus primarily on minimising pest infestation and view market requirements as a bolt-on component.","container-title":"International Journal of Pest Management","DOI":"10.1080/09670874.2016.1206992","ISSN":"0967-0874, 1366-5863","issue":"4","journalAbbreviation":"International Journal of Pest Management","language":"en","page":"336-347","source":"DOI.org (Crossref)","title":"Adaptive co-management for collaborative commercial pest management: the case of industry-driven fruit fly area-wide management","title-short":"Adaptive co-management for collaborative commercial pest management","URL":"https://www.tandfonline.com/doi/full/10.1080/09670874.2016.1206992","volume":"62","author":[{"family":"Kruger","given":"Heleen P."}],"accessed":{"date-parts":[["2020",5,22]]},"issued":{"date-parts":[["2016",10]]}},"label":"page"}],"schema":"https://github.com/citation-style-language/schema/raw/master/csl-citation.json"} </w:instrText>
      </w:r>
      <w:r w:rsidR="009E48C2" w:rsidRPr="00A9434B">
        <w:fldChar w:fldCharType="separate"/>
      </w:r>
      <w:r w:rsidR="00C71E80" w:rsidRPr="00A9434B">
        <w:t>(Kruger, 2016)</w:t>
      </w:r>
      <w:r w:rsidR="009E48C2" w:rsidRPr="00A9434B">
        <w:fldChar w:fldCharType="end"/>
      </w:r>
      <w:r w:rsidR="009E48C2" w:rsidRPr="00A9434B">
        <w:t>.</w:t>
      </w:r>
    </w:p>
    <w:p w14:paraId="144B0C19" w14:textId="6262E06D" w:rsidR="00017C04" w:rsidRPr="008C206F" w:rsidRDefault="00F50AF9" w:rsidP="008C206F">
      <w:pPr>
        <w:pStyle w:val="Caption"/>
        <w:pBdr>
          <w:top w:val="single" w:sz="4" w:space="1" w:color="auto"/>
          <w:left w:val="single" w:sz="4" w:space="4" w:color="auto"/>
          <w:bottom w:val="single" w:sz="4" w:space="1" w:color="auto"/>
          <w:right w:val="single" w:sz="4" w:space="4" w:color="auto"/>
        </w:pBdr>
        <w:shd w:val="clear" w:color="auto" w:fill="E7E6E6" w:themeFill="background2"/>
      </w:pPr>
      <w:bookmarkStart w:id="418" w:name="_heading=h.4anzqyu" w:colFirst="0" w:colLast="0"/>
      <w:bookmarkStart w:id="419" w:name="_Ref104898763"/>
      <w:bookmarkStart w:id="420" w:name="_Toc147418624"/>
      <w:bookmarkEnd w:id="418"/>
      <w:r w:rsidRPr="008C206F">
        <w:rPr>
          <w:bCs w:val="0"/>
        </w:rPr>
        <w:t>Box 6</w:t>
      </w:r>
      <w:r w:rsidR="006462E5" w:rsidRPr="008C206F">
        <w:rPr>
          <w:bCs w:val="0"/>
        </w:rPr>
        <w:t>.</w:t>
      </w:r>
      <w:r w:rsidR="007C7AC3">
        <w:fldChar w:fldCharType="begin"/>
      </w:r>
      <w:r w:rsidR="007C7AC3">
        <w:instrText xml:space="preserve"> SEQ Box_6. \* ARABIC </w:instrText>
      </w:r>
      <w:r w:rsidR="007C7AC3">
        <w:fldChar w:fldCharType="separate"/>
      </w:r>
      <w:r w:rsidR="0011368C">
        <w:rPr>
          <w:noProof/>
        </w:rPr>
        <w:t>15</w:t>
      </w:r>
      <w:r w:rsidR="007C7AC3">
        <w:rPr>
          <w:noProof/>
        </w:rPr>
        <w:fldChar w:fldCharType="end"/>
      </w:r>
      <w:bookmarkEnd w:id="419"/>
      <w:r w:rsidR="00FF59A9" w:rsidRPr="00A9434B">
        <w:t>.</w:t>
      </w:r>
      <w:r w:rsidRPr="008C206F">
        <w:t xml:space="preserve"> Case study illustrating a successful expansion and temporal shift in governance from top-down regulation to community-led action</w:t>
      </w:r>
      <w:bookmarkEnd w:id="420"/>
    </w:p>
    <w:p w14:paraId="1E1BCE43" w14:textId="0122B4C0" w:rsidR="00017C04" w:rsidRDefault="00F50AF9" w:rsidP="008C206F">
      <w:pPr>
        <w:pBdr>
          <w:top w:val="single" w:sz="4" w:space="1" w:color="auto"/>
          <w:left w:val="single" w:sz="4" w:space="4" w:color="auto"/>
          <w:bottom w:val="single" w:sz="4" w:space="1" w:color="auto"/>
          <w:right w:val="single" w:sz="4" w:space="4" w:color="auto"/>
        </w:pBdr>
        <w:shd w:val="clear" w:color="auto" w:fill="E7E6E6" w:themeFill="background2"/>
      </w:pPr>
      <w:r>
        <w:t xml:space="preserve">A case that demonstrates the shift from top-down, regulation and enforcement based governance toward a government-supported, community based approach is found in a United Nations Award-winning initiative developed to manage one of Australia’s most costly invasive vertebrates, the </w:t>
      </w:r>
      <w:r w:rsidR="009011F3">
        <w:t>European</w:t>
      </w:r>
      <w:r>
        <w:t xml:space="preserve"> </w:t>
      </w:r>
      <w:r w:rsidR="009011F3">
        <w:t>r</w:t>
      </w:r>
      <w:r>
        <w:t xml:space="preserve">abbit </w:t>
      </w:r>
      <w:r w:rsidR="00B213DD" w:rsidRPr="00A9434B">
        <w:fldChar w:fldCharType="begin"/>
      </w:r>
      <w:r w:rsidR="0006613E">
        <w:instrText xml:space="preserve"> ADDIN ZOTERO_ITEM CSL_CITATION {"citationID":"a1jih9qovtr","properties":{"formattedCitation":"(L. B. Adams, 2014)","plainCitation":"(L. B. Adams, 2014)","noteIndex":0},"citationItems":[{"id":27039,"uris":["http://zotero.org/groups/2352922/items/EHXDWGED"],"itemData":{"id":27039,"type":"report","event-place":"Canberra, Australia","note":"publisher: PestSmart Toolkit publication","publisher":"Invasive Animals Cooperative Research Centre, University of Canberra","publisher-place":"Canberra, Australia","title":"Victorian Rabbit Management Collaboration Initiative","URL":"https://pestsmart.org.au/?s=Victorian+rabbit+management+collaboration+initiative","author":[{"family":"Adams","given":"Lisa B."}],"issued":{"date-parts":[["2014"]]}},"label":"page"}],"schema":"https://github.com/citation-style-language/schema/raw/master/csl-citation.json"} </w:instrText>
      </w:r>
      <w:r w:rsidR="00B213DD" w:rsidRPr="00A9434B">
        <w:fldChar w:fldCharType="separate"/>
      </w:r>
      <w:r w:rsidR="0006613E" w:rsidRPr="0006613E">
        <w:t>(L. B. Adams, 2014)</w:t>
      </w:r>
      <w:r w:rsidR="00B213DD" w:rsidRPr="00A9434B">
        <w:fldChar w:fldCharType="end"/>
      </w:r>
      <w:r w:rsidR="2B994B27" w:rsidRPr="00A9434B">
        <w:t>.</w:t>
      </w:r>
      <w:r>
        <w:t xml:space="preserve"> Prior to the development of the programme, information and power asymmetries limited the effectiveness of rabbit management, as those responsible for on-the-ground control - landowners and community organizations - were “kept at arm’s length,” at the same time that conflicting perspectives on the need to control rabbits, animal welfare concerns and changes in land use presented barriers to top-down regulation and targeted programmes </w:t>
      </w:r>
      <w:r w:rsidR="00B213DD" w:rsidRPr="00A9434B">
        <w:fldChar w:fldCharType="begin"/>
      </w:r>
      <w:r w:rsidR="0006613E">
        <w:instrText xml:space="preserve"> ADDIN ZOTERO_ITEM CSL_CITATION {"citationID":"a17aetc3a20","properties":{"formattedCitation":"(Reid et al., 2019)","plainCitation":"(Reid et al., 2019)","noteIndex":0},"citationItems":[{"id":16526,"uris":["http://zotero.org/groups/2352922/items/RFRXWTU5"],"itemData":{"id":16526,"type":"article-journal","abstract":"This article reports on a United Nations-award winning initiative, the Victoria Rabbit Action Network (VRAN), which applied a systems approach, underpinned by a democratic and participatory engagement strategy, to manage one of Australia’s worst pests: the European rabbit. Over six years of the initiative there has been a shift away from a regulation-andenforcement focused model, towards a community-led, government-supported approach. This has enabled the collective planning, resourcing and implementation of rabbit management programmes. This article outlines the learnings and implications for policy and public management.","container-title":"Public Money &amp; Management","DOI":"10.1080/09540962.2019.1685168","ISSN":"0954-0962, 1467-9302","issue":"4","journalAbbreviation":"Public Money &amp; Management","language":"en","page":"351-355","source":"DOI.org (Crossref)","title":"New development: Public sector responses to complex socio-ecological issues—no silver bullets for rabbits","title-short":"New development","URL":"https://www.tandfonline.com/doi/full/10.1080/09540962.2019.1685168","volume":"41","author":[{"family":"Reid","given":"Michael J."},{"family":"Hull","given":"Lauren A."},{"family":"Alter","given":"Theodore R."},{"family":"Adams","given":"Lisa B."},{"family":"Kleinert","given":"Heidi M."},{"family":"Woolnough","given":"Andrew P."}],"accessed":{"date-parts":[["2019",11,28]]},"issued":{"date-parts":[["2019",11,12]]}},"label":"page"}],"schema":"https://github.com/citation-style-language/schema/raw/master/csl-citation.json"} </w:instrText>
      </w:r>
      <w:r w:rsidR="00B213DD" w:rsidRPr="00A9434B">
        <w:fldChar w:fldCharType="separate"/>
      </w:r>
      <w:r w:rsidR="00C71E80" w:rsidRPr="00A9434B">
        <w:t>(Reid et al., 2019)</w:t>
      </w:r>
      <w:r w:rsidR="00B213DD" w:rsidRPr="00A9434B">
        <w:fldChar w:fldCharType="end"/>
      </w:r>
      <w:r w:rsidR="2B994B27" w:rsidRPr="00A9434B">
        <w:t>.</w:t>
      </w:r>
      <w:r>
        <w:t xml:space="preserve"> The Victorian Rabbit Action Network (VRAN) was developed by the National Rabbit Facilitator collaborating with groups involved in rabbit management, and adopted “systems-thinking…to understand how rabbit management works from a range of perspectives, test assumptions, and…develop and test strategy ideas” </w:t>
      </w:r>
      <w:r w:rsidR="00B213DD" w:rsidRPr="00A9434B">
        <w:fldChar w:fldCharType="begin"/>
      </w:r>
      <w:r w:rsidR="0006613E">
        <w:instrText xml:space="preserve"> ADDIN ZOTERO_ITEM CSL_CITATION {"citationID":"a1m22gukvij","properties":{"formattedCitation":"(L. B. Adams, 2014)","plainCitation":"(L. B. Adams, 2014)","noteIndex":0},"citationItems":[{"id":27039,"uris":["http://zotero.org/groups/2352922/items/EHXDWGED"],"itemData":{"id":27039,"type":"report","event-place":"Canberra, Australia","note":"publisher: PestSmart Toolkit publication","publisher":"Invasive Animals Cooperative Research Centre, University of Canberra","publisher-place":"Canberra, Australia","title":"Victorian Rabbit Management Collaboration Initiative","URL":"https://pestsmart.org.au/?s=Victorian+rabbit+management+collaboration+initiative","author":[{"family":"Adams","given":"Lisa B."}],"issued":{"date-parts":[["2014"]]}},"label":"page"}],"schema":"https://github.com/citation-style-language/schema/raw/master/csl-citation.json"} </w:instrText>
      </w:r>
      <w:r w:rsidR="00B213DD" w:rsidRPr="00A9434B">
        <w:fldChar w:fldCharType="separate"/>
      </w:r>
      <w:r w:rsidR="0006613E" w:rsidRPr="0006613E">
        <w:t>(L. B. Adams, 2014)</w:t>
      </w:r>
      <w:r w:rsidR="00B213DD" w:rsidRPr="00A9434B">
        <w:fldChar w:fldCharType="end"/>
      </w:r>
      <w:r w:rsidR="2B994B27" w:rsidRPr="00A9434B">
        <w:t>.</w:t>
      </w:r>
      <w:r>
        <w:t xml:space="preserve"> The initiative focused on building networks and improving information flows and knowledge sharing through knowledge brokers. Communities were seen as sources of “socio-political and technological innovation, as opposed to consumers” and innovation was stimulated through competitive grants </w:t>
      </w:r>
      <w:r w:rsidR="00B213DD" w:rsidRPr="00A9434B">
        <w:fldChar w:fldCharType="begin"/>
      </w:r>
      <w:r w:rsidR="0006613E">
        <w:instrText xml:space="preserve"> ADDIN ZOTERO_ITEM CSL_CITATION {"citationID":"a1o4tp2vqek","properties":{"formattedCitation":"(Reid et al., 2019)","plainCitation":"(Reid et al., 2019)","noteIndex":0},"citationItems":[{"id":16526,"uris":["http://zotero.org/groups/2352922/items/RFRXWTU5"],"itemData":{"id":16526,"type":"article-journal","abstract":"This article reports on a United Nations-award winning initiative, the Victoria Rabbit Action Network (VRAN), which applied a systems approach, underpinned by a democratic and participatory engagement strategy, to manage one of Australia’s worst pests: the European rabbit. Over six years of the initiative there has been a shift away from a regulation-andenforcement focused model, towards a community-led, government-supported approach. This has enabled the collective planning, resourcing and implementation of rabbit management programmes. This article outlines the learnings and implications for policy and public management.","container-title":"Public Money &amp; Management","DOI":"10.1080/09540962.2019.1685168","ISSN":"0954-0962, 1467-9302","issue":"4","journalAbbreviation":"Public Money &amp; Management","language":"en","page":"351-355","source":"DOI.org (Crossref)","title":"New development: Public sector responses to complex socio-ecological issues—no silver bullets for rabbits","title-short":"New development","URL":"https://www.tandfonline.com/doi/full/10.1080/09540962.2019.1685168","volume":"41","author":[{"family":"Reid","given":"Michael J."},{"family":"Hull","given":"Lauren A."},{"family":"Alter","given":"Theodore R."},{"family":"Adams","given":"Lisa B."},{"family":"Kleinert","given":"Heidi M."},{"family":"Woolnough","given":"Andrew P."}],"accessed":{"date-parts":[["2019",11,28]]},"issued":{"date-parts":[["2019",11,12]]}}}],"schema":"https://github.com/citation-style-language/schema/raw/master/csl-citation.json"} </w:instrText>
      </w:r>
      <w:r w:rsidR="00B213DD" w:rsidRPr="00A9434B">
        <w:fldChar w:fldCharType="separate"/>
      </w:r>
      <w:r w:rsidR="00C71E80" w:rsidRPr="00A9434B">
        <w:t>(Reid et al., 2019)</w:t>
      </w:r>
      <w:r w:rsidR="00B213DD" w:rsidRPr="00A9434B">
        <w:fldChar w:fldCharType="end"/>
      </w:r>
      <w:r w:rsidR="2B994B27" w:rsidRPr="00A9434B">
        <w:t>.</w:t>
      </w:r>
      <w:r>
        <w:t xml:space="preserve"> A democratic, participatory approach not only allowed a diversity of perspectives and experiences to be shared – conflicts inherent in the process “served as a driver of innovation, in that diﬀering perspectives were discussed in respectful and authentic ways, allowing the emergence of innovative ideas and new ways of working together.” </w:t>
      </w:r>
      <w:r w:rsidR="009011F3">
        <w:t xml:space="preserve">The evaluation by </w:t>
      </w:r>
      <w:r w:rsidR="2B994B27" w:rsidRPr="00A9434B">
        <w:t>A</w:t>
      </w:r>
      <w:r w:rsidR="005A1CB8" w:rsidRPr="00A9434B">
        <w:t>llen</w:t>
      </w:r>
      <w:r w:rsidR="2B994B27" w:rsidRPr="00A9434B">
        <w:t xml:space="preserve"> </w:t>
      </w:r>
      <w:r w:rsidR="005A1CB8" w:rsidRPr="00A9434B">
        <w:fldChar w:fldCharType="begin"/>
      </w:r>
      <w:r w:rsidR="0006613E">
        <w:instrText xml:space="preserve"> ADDIN ZOTERO_ITEM CSL_CITATION {"citationID":"a6k2ij8ige","properties":{"formattedCitation":"(2017)","plainCitation":"(2017)","noteIndex":0},"citationItems":[{"id":54720,"uris":["http://zotero.org/groups/2352922/items/GD6E4H82"],"itemData":{"id":54720,"type":"report","publisher":"Victorian Rabbit Action Network","title":"Victorian rabbit action network: Impact analysis","URL":"https://vran.com.au/wp-content/uploads/2020/10/VRAN-Impact-Analysis.pdf","author":[{"family":"Allen","given":"ACIL"}],"issued":{"date-parts":[["2017"]]}},"label":"page","suppress-author":true}],"schema":"https://github.com/citation-style-language/schema/raw/master/csl-citation.json"} </w:instrText>
      </w:r>
      <w:r w:rsidR="005A1CB8" w:rsidRPr="00A9434B">
        <w:fldChar w:fldCharType="separate"/>
      </w:r>
      <w:r w:rsidR="00C71E80" w:rsidRPr="00A9434B">
        <w:t>(2017)</w:t>
      </w:r>
      <w:r w:rsidR="005A1CB8" w:rsidRPr="00A9434B">
        <w:fldChar w:fldCharType="end"/>
      </w:r>
      <w:r>
        <w:t xml:space="preserve"> of VRAN’s </w:t>
      </w:r>
      <w:r>
        <w:lastRenderedPageBreak/>
        <w:t xml:space="preserve">activities found that communities were exercising their agency and acting collectively, with decreased reliance on government </w:t>
      </w:r>
      <w:r w:rsidR="005A1CB8" w:rsidRPr="00A9434B">
        <w:fldChar w:fldCharType="begin"/>
      </w:r>
      <w:r w:rsidR="0006613E">
        <w:instrText xml:space="preserve"> ADDIN ZOTERO_ITEM CSL_CITATION {"citationID":"a1pq97mu6sj","properties":{"formattedCitation":"(Allen, 2017)","plainCitation":"(Allen, 2017)","noteIndex":0},"citationItems":[{"id":54720,"uris":["http://zotero.org/groups/2352922/items/GD6E4H82"],"itemData":{"id":54720,"type":"report","publisher":"Victorian Rabbit Action Network","title":"Victorian rabbit action network: Impact analysis","URL":"https://vran.com.au/wp-content/uploads/2020/10/VRAN-Impact-Analysis.pdf","author":[{"family":"Allen","given":"ACIL"}],"issued":{"date-parts":[["2017"]]}}}],"schema":"https://github.com/citation-style-language/schema/raw/master/csl-citation.json"} </w:instrText>
      </w:r>
      <w:r w:rsidR="005A1CB8" w:rsidRPr="00A9434B">
        <w:fldChar w:fldCharType="separate"/>
      </w:r>
      <w:r w:rsidR="00C71E80" w:rsidRPr="00A9434B">
        <w:t>(Allen, 2017)</w:t>
      </w:r>
      <w:r w:rsidR="005A1CB8" w:rsidRPr="00A9434B">
        <w:fldChar w:fldCharType="end"/>
      </w:r>
      <w:r w:rsidR="005A1CB8" w:rsidRPr="00A9434B">
        <w:t>.</w:t>
      </w:r>
      <w:r>
        <w:t xml:space="preserve"> In four years, over 5,300 people were surveyed and 84 per cent of respondents were using an integrated rabbit management approach. In part due to this success, an additional programme was introduced in 2017 to support coordinated community-led action around the use of a new strain of calcivirus (rabbit haemorrhagic disease virus, RHDV K5) for biocontrol </w:t>
      </w:r>
      <w:r w:rsidR="00B213DD" w:rsidRPr="00A9434B">
        <w:fldChar w:fldCharType="begin"/>
      </w:r>
      <w:r w:rsidR="0006613E">
        <w:instrText xml:space="preserve"> ADDIN ZOTERO_ITEM CSL_CITATION {"citationID":"a2lg212mc2u","properties":{"formattedCitation":"(Reid et al., 2019)","plainCitation":"(Reid et al., 2019)","noteIndex":0},"citationItems":[{"id":16526,"uris":["http://zotero.org/groups/2352922/items/RFRXWTU5"],"itemData":{"id":16526,"type":"article-journal","abstract":"This article reports on a United Nations-award winning initiative, the Victoria Rabbit Action Network (VRAN), which applied a systems approach, underpinned by a democratic and participatory engagement strategy, to manage one of Australia’s worst pests: the European rabbit. Over six years of the initiative there has been a shift away from a regulation-andenforcement focused model, towards a community-led, government-supported approach. This has enabled the collective planning, resourcing and implementation of rabbit management programmes. This article outlines the learnings and implications for policy and public management.","container-title":"Public Money &amp; Management","DOI":"10.1080/09540962.2019.1685168","ISSN":"0954-0962, 1467-9302","issue":"4","journalAbbreviation":"Public Money &amp; Management","language":"en","page":"351-355","source":"DOI.org (Crossref)","title":"New development: Public sector responses to complex socio-ecological issues—no silver bullets for rabbits","title-short":"New development","URL":"https://www.tandfonline.com/doi/full/10.1080/09540962.2019.1685168","volume":"41","author":[{"family":"Reid","given":"Michael J."},{"family":"Hull","given":"Lauren A."},{"family":"Alter","given":"Theodore R."},{"family":"Adams","given":"Lisa B."},{"family":"Kleinert","given":"Heidi M."},{"family":"Woolnough","given":"Andrew P."}],"accessed":{"date-parts":[["2019",11,28]]},"issued":{"date-parts":[["2019",11,12]]}}}],"schema":"https://github.com/citation-style-language/schema/raw/master/csl-citation.json"} </w:instrText>
      </w:r>
      <w:r w:rsidR="00B213DD" w:rsidRPr="00A9434B">
        <w:fldChar w:fldCharType="separate"/>
      </w:r>
      <w:r w:rsidR="00C71E80" w:rsidRPr="00A9434B">
        <w:t>(Reid et al., 2019)</w:t>
      </w:r>
      <w:r w:rsidR="00B213DD" w:rsidRPr="00A9434B">
        <w:fldChar w:fldCharType="end"/>
      </w:r>
      <w:r w:rsidR="2B994B27" w:rsidRPr="00A9434B">
        <w:t>.</w:t>
      </w:r>
      <w:r>
        <w:t xml:space="preserve"> Unfortunately, overall outcomes on rabbit numbers and impact were not monitored.</w:t>
      </w:r>
    </w:p>
    <w:p w14:paraId="59BBEBEE" w14:textId="7A59B192" w:rsidR="00B213DD" w:rsidRPr="00A9434B" w:rsidRDefault="00B213DD" w:rsidP="00DE0E9F">
      <w:pPr>
        <w:pBdr>
          <w:top w:val="single" w:sz="4" w:space="1" w:color="auto"/>
          <w:left w:val="single" w:sz="4" w:space="4" w:color="auto"/>
          <w:bottom w:val="single" w:sz="4" w:space="1" w:color="auto"/>
          <w:right w:val="single" w:sz="4" w:space="4" w:color="auto"/>
        </w:pBdr>
        <w:shd w:val="clear" w:color="auto" w:fill="E7E6E6" w:themeFill="background2"/>
        <w:spacing w:after="0"/>
      </w:pPr>
      <w:r w:rsidRPr="00A9434B">
        <w:t xml:space="preserve">Checklist of principles and requirements for successful community-led action on rabbits </w:t>
      </w:r>
      <w:r w:rsidR="005A1CB8" w:rsidRPr="00A9434B">
        <w:fldChar w:fldCharType="begin"/>
      </w:r>
      <w:r w:rsidR="0006613E">
        <w:instrText xml:space="preserve"> ADDIN ZOTERO_ITEM CSL_CITATION {"citationID":"a8f8lkhbnu","properties":{"formattedCitation":"(L. B. Adams, 2014)","plainCitation":"(L. B. Adams, 2014)","noteIndex":0},"citationItems":[{"id":27039,"uris":["http://zotero.org/groups/2352922/items/EHXDWGED"],"itemData":{"id":27039,"type":"report","event-place":"Canberra, Australia","note":"publisher: PestSmart Toolkit publication","publisher":"Invasive Animals Cooperative Research Centre, University of Canberra","publisher-place":"Canberra, Australia","title":"Victorian Rabbit Management Collaboration Initiative","URL":"https://pestsmart.org.au/?s=Victorian+rabbit+management+collaboration+initiative","author":[{"family":"Adams","given":"Lisa B."}],"issued":{"date-parts":[["2014"]]}},"label":"page"}],"schema":"https://github.com/citation-style-language/schema/raw/master/csl-citation.json"} </w:instrText>
      </w:r>
      <w:r w:rsidR="005A1CB8" w:rsidRPr="00A9434B">
        <w:fldChar w:fldCharType="separate"/>
      </w:r>
      <w:r w:rsidR="0006613E" w:rsidRPr="0006613E">
        <w:t>(L. B. Adams, 2014)</w:t>
      </w:r>
      <w:r w:rsidR="005A1CB8" w:rsidRPr="00A9434B">
        <w:fldChar w:fldCharType="end"/>
      </w:r>
      <w:r w:rsidR="0058151E" w:rsidRPr="00A9434B">
        <w:t>:</w:t>
      </w:r>
    </w:p>
    <w:p w14:paraId="2FC0A697" w14:textId="77777777" w:rsidR="00017C04" w:rsidRDefault="00F50AF9" w:rsidP="008C206F">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E7E6E6" w:themeFill="background2"/>
        <w:spacing w:before="0"/>
      </w:pPr>
      <w:r w:rsidRPr="008C206F">
        <w:t>Leadership with empowered community groups</w:t>
      </w:r>
    </w:p>
    <w:p w14:paraId="0CC3BB96" w14:textId="77777777" w:rsidR="00017C04" w:rsidRDefault="00F50AF9" w:rsidP="008C206F">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E7E6E6" w:themeFill="background2"/>
      </w:pPr>
      <w:r w:rsidRPr="008C206F">
        <w:t>A community owned vision, philosophy, purpose and narrative</w:t>
      </w:r>
    </w:p>
    <w:p w14:paraId="4C001CF8" w14:textId="6F6DF52E" w:rsidR="00017C04" w:rsidRDefault="00F50AF9" w:rsidP="008C206F">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E7E6E6" w:themeFill="background2"/>
      </w:pPr>
      <w:r w:rsidRPr="008C206F">
        <w:t>A partnership approach among the institutions and groups involved in rabbit management, with joint decision</w:t>
      </w:r>
      <w:r w:rsidR="009011F3">
        <w:t>-</w:t>
      </w:r>
      <w:r w:rsidRPr="008C206F">
        <w:t>making, responsibility, action and resourcing</w:t>
      </w:r>
    </w:p>
    <w:p w14:paraId="3B6427C4" w14:textId="77777777" w:rsidR="00017C04" w:rsidRDefault="00F50AF9" w:rsidP="008C206F">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E7E6E6" w:themeFill="background2"/>
      </w:pPr>
      <w:r w:rsidRPr="008C206F">
        <w:t>Coordinated planning and action guided by a strategy, with understanding of:</w:t>
      </w:r>
    </w:p>
    <w:p w14:paraId="0C566399" w14:textId="77777777" w:rsidR="00017C04" w:rsidRDefault="00F50AF9" w:rsidP="008C206F">
      <w:pPr>
        <w:pBdr>
          <w:top w:val="single" w:sz="4" w:space="1" w:color="auto"/>
          <w:left w:val="single" w:sz="4" w:space="4" w:color="auto"/>
          <w:bottom w:val="single" w:sz="4" w:space="1" w:color="auto"/>
          <w:right w:val="single" w:sz="4" w:space="4" w:color="auto"/>
        </w:pBdr>
        <w:shd w:val="clear" w:color="auto" w:fill="E7E6E6" w:themeFill="background2"/>
        <w:spacing w:before="0" w:after="0"/>
        <w:ind w:firstLineChars="100" w:firstLine="240"/>
      </w:pPr>
      <w:r>
        <w:t>a) Community concerns and motivations that are generating interest in rabbit management</w:t>
      </w:r>
    </w:p>
    <w:p w14:paraId="69378C71" w14:textId="77777777" w:rsidR="00017C04" w:rsidRDefault="00F50AF9" w:rsidP="008C206F">
      <w:pPr>
        <w:pBdr>
          <w:top w:val="single" w:sz="4" w:space="1" w:color="auto"/>
          <w:left w:val="single" w:sz="4" w:space="4" w:color="auto"/>
          <w:bottom w:val="single" w:sz="4" w:space="1" w:color="auto"/>
          <w:right w:val="single" w:sz="4" w:space="4" w:color="auto"/>
        </w:pBdr>
        <w:shd w:val="clear" w:color="auto" w:fill="E7E6E6" w:themeFill="background2"/>
        <w:spacing w:before="0" w:after="0"/>
        <w:ind w:firstLineChars="100" w:firstLine="240"/>
      </w:pPr>
      <w:r>
        <w:t>b) What the community seeks to achieve and can realistically achieve - short and longer-term</w:t>
      </w:r>
    </w:p>
    <w:p w14:paraId="1313BD2B" w14:textId="50CB2352" w:rsidR="00017C04" w:rsidRDefault="00F50AF9" w:rsidP="008C206F">
      <w:pPr>
        <w:pBdr>
          <w:top w:val="single" w:sz="4" w:space="1" w:color="auto"/>
          <w:left w:val="single" w:sz="4" w:space="4" w:color="auto"/>
          <w:bottom w:val="single" w:sz="4" w:space="1" w:color="auto"/>
          <w:right w:val="single" w:sz="4" w:space="4" w:color="auto"/>
        </w:pBdr>
        <w:shd w:val="clear" w:color="auto" w:fill="E7E6E6" w:themeFill="background2"/>
        <w:spacing w:before="0" w:after="0"/>
        <w:ind w:firstLineChars="100" w:firstLine="240"/>
      </w:pPr>
      <w:r>
        <w:t>c) Current management practices: adaptive natural resource management, integrated pest management (</w:t>
      </w:r>
      <w:r w:rsidR="00D32F9A">
        <w:rPr>
          <w:b/>
          <w:iCs/>
        </w:rPr>
        <w:t>G</w:t>
      </w:r>
      <w:r w:rsidR="00953858" w:rsidRPr="00673554">
        <w:rPr>
          <w:b/>
          <w:iCs/>
        </w:rPr>
        <w:t>lossary</w:t>
      </w:r>
      <w:r>
        <w:t>), consideration of longer-term options to reduce rabbit impacts which goes beyond a focus on reducing rabbit populations, consideration of regulation and compliance requirements, consideration of options to assess and monitor a rabbit problem and rabbit impacts, consideration of the short and longer-term benefits and costs of different control options</w:t>
      </w:r>
    </w:p>
    <w:p w14:paraId="774CE698" w14:textId="77777777" w:rsidR="00017C04" w:rsidRDefault="00F50AF9" w:rsidP="008C206F">
      <w:pPr>
        <w:pBdr>
          <w:top w:val="single" w:sz="4" w:space="1" w:color="auto"/>
          <w:left w:val="single" w:sz="4" w:space="4" w:color="auto"/>
          <w:bottom w:val="single" w:sz="4" w:space="1" w:color="auto"/>
          <w:right w:val="single" w:sz="4" w:space="4" w:color="auto"/>
        </w:pBdr>
        <w:shd w:val="clear" w:color="auto" w:fill="E7E6E6" w:themeFill="background2"/>
        <w:spacing w:before="0" w:after="0"/>
        <w:ind w:firstLineChars="100" w:firstLine="240"/>
      </w:pPr>
      <w:r>
        <w:t>d) The available resources and tools that can assist community planning, action, learning, awareness, education, leadership development and innovation</w:t>
      </w:r>
    </w:p>
    <w:p w14:paraId="5C375C77" w14:textId="77777777" w:rsidR="00017C04" w:rsidRDefault="00F50AF9" w:rsidP="008C206F">
      <w:pPr>
        <w:pBdr>
          <w:top w:val="single" w:sz="4" w:space="1" w:color="auto"/>
          <w:left w:val="single" w:sz="4" w:space="4" w:color="auto"/>
          <w:bottom w:val="single" w:sz="4" w:space="1" w:color="auto"/>
          <w:right w:val="single" w:sz="4" w:space="4" w:color="auto"/>
        </w:pBdr>
        <w:shd w:val="clear" w:color="auto" w:fill="E7E6E6" w:themeFill="background2"/>
        <w:spacing w:before="0" w:after="0"/>
        <w:ind w:firstLineChars="100" w:firstLine="240"/>
      </w:pPr>
      <w:r>
        <w:t>e) How best to navigate institutional arrangements that affect community capacity and action on rabbits</w:t>
      </w:r>
    </w:p>
    <w:p w14:paraId="52E315D3" w14:textId="77777777" w:rsidR="00017C04" w:rsidRDefault="00F50AF9" w:rsidP="008C206F">
      <w:pPr>
        <w:pBdr>
          <w:top w:val="single" w:sz="4" w:space="1" w:color="auto"/>
          <w:left w:val="single" w:sz="4" w:space="4" w:color="auto"/>
          <w:bottom w:val="single" w:sz="4" w:space="1" w:color="auto"/>
          <w:right w:val="single" w:sz="4" w:space="4" w:color="auto"/>
        </w:pBdr>
        <w:shd w:val="clear" w:color="auto" w:fill="E7E6E6" w:themeFill="background2"/>
        <w:spacing w:before="0" w:after="0"/>
        <w:ind w:firstLineChars="100" w:firstLine="240"/>
      </w:pPr>
      <w:r>
        <w:t>f) How best to focus resources and effort</w:t>
      </w:r>
    </w:p>
    <w:p w14:paraId="6CC91C43" w14:textId="7EBD9872" w:rsidR="00017C04" w:rsidRDefault="00F50AF9" w:rsidP="008C206F">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E7E6E6" w:themeFill="background2"/>
      </w:pPr>
      <w:r w:rsidRPr="008C206F">
        <w:t>Demonstration and celebration of results and success linked to the community</w:t>
      </w:r>
      <w:r w:rsidR="00115F9B">
        <w:t>’</w:t>
      </w:r>
      <w:r w:rsidRPr="008C206F">
        <w:t>s vision and purpose</w:t>
      </w:r>
    </w:p>
    <w:p w14:paraId="7A4E23A8" w14:textId="77777777" w:rsidR="00017C04" w:rsidRDefault="00F50AF9" w:rsidP="008C206F">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E7E6E6" w:themeFill="background2"/>
      </w:pPr>
      <w:r w:rsidRPr="008C206F">
        <w:t>Government support for compliance</w:t>
      </w:r>
    </w:p>
    <w:p w14:paraId="22BAE4D6" w14:textId="002500FC" w:rsidR="00017C04" w:rsidRDefault="00F50AF9" w:rsidP="008C206F">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E7E6E6" w:themeFill="background2"/>
      </w:pPr>
      <w:r w:rsidRPr="008C206F">
        <w:t xml:space="preserve">Recognition that community-led action and collaborative strategies involving all groups with rabbit management responsibilities </w:t>
      </w:r>
      <w:r w:rsidR="00115F9B">
        <w:t>are</w:t>
      </w:r>
      <w:r w:rsidRPr="008C206F">
        <w:t xml:space="preserve"> critical for success</w:t>
      </w:r>
    </w:p>
    <w:p w14:paraId="76E9A282" w14:textId="1DC3BB2B" w:rsidR="00017C04" w:rsidRDefault="00F50AF9">
      <w:r>
        <w:t xml:space="preserve">With respect to the relation between governance networks and cooperation or collaboration problems, it is argued that denser, overlapping networks reduce monitoring and sanctioning costs involved in resolving collective action problems, for example, if some members freeride (e.g., allowing other participants to do the bulk of the work) or do not cooperate. Coordination problems, on the other hand, favour more “open” network structures. </w:t>
      </w:r>
      <w:r w:rsidR="78586B7C" w:rsidRPr="00A9434B">
        <w:t>However, “</w:t>
      </w:r>
      <w:r w:rsidR="00115F9B">
        <w:t>t</w:t>
      </w:r>
      <w:r w:rsidR="78586B7C" w:rsidRPr="00A9434B">
        <w:t xml:space="preserve">he advantage of central coordination declines with the complexity and need for consultation involved in crafting solutions” </w:t>
      </w:r>
      <w:r w:rsidR="002B0856" w:rsidRPr="00A9434B">
        <w:fldChar w:fldCharType="begin"/>
      </w:r>
      <w:r w:rsidR="0006613E">
        <w:instrText xml:space="preserve"> ADDIN ZOTERO_ITEM CSL_CITATION {"citationID":"a1auhio7vkg","properties":{"formattedCitation":"(Berardo &amp; Scholz, 2010)","plainCitation":"(Berardo &amp; Scholz, 2010)","noteIndex":0},"citationItems":[{"id":29920,"uris":["http://zotero.org/groups/2352922/items/4E93GA4G"],"itemData":{"id":29920,"type":"article-journal","container-title":"American Journal of Political Science","DOI":"10.1111/j.1540-5907.2010.00451.x","ISSN":"00925853, 15405907","issue":"3","language":"en","page":"632-649","source":"DOI.org (Crossref)","title":"Self-Organizing Policy Networks: Risk, Partner Selection, and Cooperation in Estuaries","title-short":"Self-Organizing Policy Networks","URL":"https://onlinelibrary.wiley.com/doi/10.1111/j.1540-5907.2010.00451.x","volume":"54","author":[{"family":"Berardo","given":"Ramiro"},{"family":"Scholz","given":"John T."}],"accessed":{"date-parts":[["2021",8,5]]},"issued":{"date-parts":[["2010",6,21]]}},"label":"page"}],"schema":"https://github.com/citation-style-language/schema/raw/master/csl-citation.json"} </w:instrText>
      </w:r>
      <w:r w:rsidR="002B0856" w:rsidRPr="00A9434B">
        <w:fldChar w:fldCharType="separate"/>
      </w:r>
      <w:r w:rsidR="00C71E80" w:rsidRPr="00A9434B">
        <w:t>(Berardo &amp; Scholz, 2010)</w:t>
      </w:r>
      <w:r w:rsidR="002B0856" w:rsidRPr="00A9434B">
        <w:fldChar w:fldCharType="end"/>
      </w:r>
      <w:r w:rsidR="78586B7C" w:rsidRPr="00A9434B">
        <w:t xml:space="preserve">. Participant-governed networks are more effective at addressing cooperation problems (albeit only for smaller networks), while centralized networks (with or without a network administrative organization) are better suited for coordination problems </w:t>
      </w:r>
      <w:r w:rsidR="005A1CB8" w:rsidRPr="00A9434B">
        <w:fldChar w:fldCharType="begin"/>
      </w:r>
      <w:r w:rsidR="0006613E">
        <w:instrText xml:space="preserve"> ADDIN ZOTERO_ITEM CSL_CITATION {"citationID":"a67gu42ldn","properties":{"formattedCitation":"(Bodin, 2017)","plainCitation":"(Bodin, 2017)","noteIndex":0},"citationItems":[{"id":29067,"uris":["http://zotero.org/groups/2352922/items/732VQTUE","http://zotero.org/groups/2352922/items/LNYGMDU4"],"itemData":{"id":29067,"type":"article-journal","abstract":"Managing ecosystems is challenging because of the high number of stakeholders, the permeability of man-made political and jurisdictional demarcations in relation to the temporal and spatial extent of biophysical processes, and a limited understanding of complex ecosystem and societal dynamics. Given these conditions, collaborative governance is commonly put forward as the preferred means of addressing environmental problems. Under this paradigm, a deeper understanding of if, when, and how collaboration is effective, and when other means of addressing environmental problems are better suited, is needed. Interdisciplinary research on collaborative networks demonstrates that which actors get involved, with whom they collaborate, and in what ways they are tied to the structures of the ecosystems have profound implications on actors’ abilities to address different types of environmental problems.","container-title":"Science","DOI":"10.1126/science.aan1114","ISSN":"0036-8075, 1095-9203","issue":"6352","journalAbbreviation":"Science","language":"en","page":"eaan1114","source":"DOI.org (Crossref)","title":"Collaborative environmental governance: Achieving collective action in social-ecological systems","title-short":"Collaborative environmental governance","URL":"https://www.sciencemag.org/lookup/doi/10.1126/science.aan1114","volume":"357","author":[{"family":"Bodin","given":"Örjan"}],"accessed":{"date-parts":[["2021",6,26]]},"issued":{"date-parts":[["2017",8,18]]}}}],"schema":"https://github.com/citation-style-language/schema/raw/master/csl-citation.json"} </w:instrText>
      </w:r>
      <w:r w:rsidR="005A1CB8" w:rsidRPr="00A9434B">
        <w:fldChar w:fldCharType="separate"/>
      </w:r>
      <w:r w:rsidR="00297FD9" w:rsidRPr="00297FD9">
        <w:t>(Bodin, 2017)</w:t>
      </w:r>
      <w:r w:rsidR="005A1CB8" w:rsidRPr="00A9434B">
        <w:fldChar w:fldCharType="end"/>
      </w:r>
      <w:r w:rsidR="005A1CB8" w:rsidRPr="00A9434B">
        <w:t xml:space="preserve">. </w:t>
      </w:r>
      <w:r w:rsidR="78586B7C" w:rsidRPr="00A9434B">
        <w:t>Recent research has nuanced the proposed relationship between network structures and coordination/cooperation problems by explicitly accounting for trust, costs</w:t>
      </w:r>
      <w:r w:rsidR="00EB415D">
        <w:t xml:space="preserve"> and</w:t>
      </w:r>
      <w:r w:rsidR="78586B7C" w:rsidRPr="00A9434B">
        <w:t xml:space="preserve"> risks as intermediate factors </w:t>
      </w:r>
      <w:r w:rsidR="002B0856" w:rsidRPr="00A9434B">
        <w:fldChar w:fldCharType="begin" w:fldLock="1"/>
      </w:r>
      <w:r w:rsidR="0014002B">
        <w:instrText xml:space="preserve"> ADDIN ZOTERO_ITEM CSL_CITATION {"citationID":"a1ongv3ro0l","properties":{"formattedCitation":"(Bodin et al., 2020)","plainCitation":"(Bodin et al., 2020)","noteIndex":0},"citationItems":[{"id":29517,"uris":["http://zotero.org/groups/2352922/items/6FJDPZF9","http://zotero.org/groups/2352922/items/AK7FP5UZ"],"itemData":{"id":29517,"type":"article-journal","container-title":"People and Nature","DOI":"10.1002/pan3.10097","ISSN":"2575-8314, 2575-8314","issue":"3","journalAbbreviation":"People and Nature","language":"en","page":"734-749","source":"DOI.org (Crossref)","title":"The impacts of trust, cost and risk on collaboration in environmental governance","URL":"https://onlinelibrary.wiley.com/doi/10.1002/pan3.10097","volume":"2","author":[{"family":"Bodin","given":"Örjan"},{"family":"Baird","given":"Julia"},{"family":"Schultz","given":"Lisen"},{"family":"Plummer","given":"Ryan"},{"family":"Armitage","given":"Derek"}],"editor":[{"family":"Nimmo","given":"Dale"}],"accessed":{"date-parts":[["2021",8,5]]},"issued":{"date-parts":[["2020",9]]}},"label":"page"}],"schema":"https://github.com/citation-style-language/schema/raw/master/csl-citation.json"} </w:instrText>
      </w:r>
      <w:r w:rsidR="002B0856" w:rsidRPr="00A9434B">
        <w:fldChar w:fldCharType="separate"/>
      </w:r>
      <w:r w:rsidR="0014002B" w:rsidRPr="0014002B">
        <w:t>(Bodin et al., 2020)</w:t>
      </w:r>
      <w:r w:rsidR="002B0856" w:rsidRPr="00A9434B">
        <w:fldChar w:fldCharType="end"/>
      </w:r>
      <w:r w:rsidR="0990827E" w:rsidRPr="00A9434B">
        <w:t>.</w:t>
      </w:r>
      <w:r>
        <w:t xml:space="preserve"> More research in varied biogeographic and socio-economic contexts will contribute to improve governance networks.</w:t>
      </w:r>
    </w:p>
    <w:p w14:paraId="7C0C3AFA" w14:textId="77777777" w:rsidR="00017C04" w:rsidRDefault="00F50AF9" w:rsidP="00AD02AD">
      <w:pPr>
        <w:pStyle w:val="Heading3"/>
      </w:pPr>
      <w:bookmarkStart w:id="421" w:name="_heading=h.2pta16n" w:colFirst="0" w:colLast="0"/>
      <w:bookmarkStart w:id="422" w:name="_Toc590010146"/>
      <w:bookmarkStart w:id="423" w:name="_Toc133428331"/>
      <w:bookmarkEnd w:id="421"/>
      <w:r>
        <w:lastRenderedPageBreak/>
        <w:t>Collective action</w:t>
      </w:r>
      <w:bookmarkEnd w:id="422"/>
      <w:bookmarkEnd w:id="423"/>
    </w:p>
    <w:p w14:paraId="2EAF3A06" w14:textId="2ED67D9A" w:rsidR="00E04143" w:rsidRPr="00A9434B" w:rsidRDefault="00E04143" w:rsidP="006B3143">
      <w:r w:rsidRPr="00A9434B">
        <w:t xml:space="preserve">Governance </w:t>
      </w:r>
      <w:r w:rsidR="00D6699F" w:rsidRPr="00A9434B">
        <w:t>for biological invasions</w:t>
      </w:r>
      <w:r w:rsidRPr="00A9434B">
        <w:t xml:space="preserve"> is in part a collective action problem with </w:t>
      </w:r>
      <w:r w:rsidR="001201AE" w:rsidRPr="00A9434B">
        <w:t>coordination or collaboration</w:t>
      </w:r>
      <w:r w:rsidRPr="00A9434B">
        <w:t xml:space="preserve"> solutions </w:t>
      </w:r>
      <w:r w:rsidRPr="00A9434B">
        <w:fldChar w:fldCharType="begin"/>
      </w:r>
      <w:r w:rsidR="0006613E">
        <w:instrText xml:space="preserve"> ADDIN ZOTERO_ITEM CSL_CITATION {"citationID":"afqiqohr8g","properties":{"unsorted":true,"formattedCitation":"(Hershdorfer et al., 2007; Epanchin-Niell et al., 2010; McLeod &amp; Saunders, 2011; Bagavathiannan et al., 2019)","plainCitation":"(Hershdorfer et al., 2007; Epanchin-Niell et al., 2010; McLeod &amp; Saunders, 2011; Bagavathiannan et al., 2019)","noteIndex":0},"citationItems":[{"id":23965,"uris":["http://zotero.org/groups/2352922/items/FF5QVLTE"],"itemData":{"id":23965,"type":"article-journal","container-title":"Rangeland Ecology and Management","DOI":"10.2111/1551-5028(2007)60[225:KAITPO]2.0.CO;2","ISSN":"1550-7424","issue":"3","language":"English (US)","note":"publisher: Society for Range Management","page":"225-234","source":"arizona.pure.elsevier.com","title":"Key attributes influence the performance of local weed management programs in the southwest United States","URL":"https://arizona.pure.elsevier.com/en/publications/key-attributes-influence-the-performance-of-local-weed-management","volume":"60","author":[{"family":"Hershdorfer","given":"Mary E."},{"family":"Fernandez-Gimenez","given":"Maria E."},{"family":"Howery","given":"Larry D."}],"accessed":{"date-parts":[["2020",8,26]]},"issued":{"date-parts":[["2007",5]]}},"label":"page"},{"id":27185,"uris":["http://zotero.org/groups/2352922/items/UFCYAVUU"],"itemData":{"id":27185,"type":"article-journal","abstract":"Control of biological invasions depends on the collective decisions of resource managers across invasion zones. Regions with high land-use diversity, which we refer to as “management mosaics”, may be subject to severe invasions, for two main reasons. First, as land becomes increasingly subdivided, each manager assumes responsibility for a smaller portion of the total damages imposed by invasive species; the incentive to control invasives is therefore diminished. Secondly, managers opting not to control the invasion increase control costs for neighboring land managers by allowing their lands to act as an invader propagule source. Coordination among managers can help mitigate these effects, but greater numbers – and a wider variety – of land managers occupying a region hinder collective action. Here, we discuss the challenges posed by management mosaics, using a case study of the yellow starthistle (Centaurea solstitialis) invasion in the Sierra Nevada foothills of California. We suggest that the incorporation of management mosaic dynamics into invasive species research and management is essential for successful control of invasions, and provide recommendations to address this need.","container-title":"Frontiers in Ecology and the Environment","DOI":"10.1890/090029","ISSN":"1540-9309","issue":"4","language":"en","license":"© The Ecological Society of America","page":"210-216","source":"Wiley Online Library","title":"Controlling invasive species in complex social landscapes","URL":"https://esajournals.onlinelibrary.wiley.com/doi/abs/10.1890/090029","volume":"8","author":[{"family":"Epanchin-Niell","given":"Rebecca S."},{"family":"Hufford","given":"Matthew B."},{"family":"Aslan","given":"Clare E."},{"family":"Sexton","given":"Jason P."},{"family":"Port","given":"Jeffrey D."},{"family":"Waring","given":"Timothy M."}],"accessed":{"date-parts":[["2019",10,24]]},"issued":{"date-parts":[["2010"]]}},"label":"page"},{"id":23962,"uris":["http://zotero.org/groups/2352922/items/DJVJIJY5"],"itemData":{"id":23962,"type":"article-journal","abstract":"Red fox (Vulpes vulpes) predation impacts on the populations of many preferred species throughout its range and so is the target of continuous control programs. Research has shown that effective long-term control of this pest requires a critical mass of land managers in an area to participate, but under current legislation fox management is not mandatory on private lands in NSW, and hence participation in management programs is voluntary. The declaration of an animal as a pest under the Rural Lands Protection Act 1998 places an obligation on land managers to implement fox-management programs. Three-quarters of land managers surveyed thought the fox should be a declared pest in NSW. We investigated the impact that the introduction of such legislation would have on land managers and the government enforcement agency in a small area of rural NSW. Reasons for and against the introduction of legislation are discussed, along with alternate solutions to improve regional fox management programs across Australia.","container-title":"Australasian Journal of Environmental Management","DOI":"10.1080/14486563.2011.621409","ISSN":"1448-6563","issue":"4","note":"publisher: Taylor &amp; Francis\n_eprint: https://doi.org/10.1080/14486563.2011.621409","page":"248-259","source":"Taylor and Francis+NEJM","title":"Can legislation improve the effectiveness of fox control in NSW?","URL":"https://doi.org/10.1080/14486563.2011.621409","volume":"18","author":[{"family":"McLeod","given":"L. J."},{"family":"Saunders","given":"G. R."}],"accessed":{"date-parts":[["2020",8,26]]},"issued":{"date-parts":[["2011",12,1]]}},"label":"page"},{"id":23970,"uris":["http://zotero.org/groups/2352922/items/XWQSJHX7"],"itemData":{"id":23970,"type":"article-journal","abstract":"Weeds pose severe threats to agricultural and natural landscapes worldwide. One major reason for the failure to effectively manage weeds at landscape scales is that current Best Management Practice guidelines, and research on how to improve such guidelines, focus too narrowly on property-level management decisions. Insufficiently considered are the aggregate effects of individual actions to determine landscape-scale outcomes, or whether there are collective practices that would improve weed management outcomes. Here, we frame landscape-scale weed management as a social dilemma, where trade-offs occur between individual and collective interests. We apply a transdisciplinary system approach-integrating the perspectives of ecologists, evolutionary biologists and agronomists into a social science theory of social dilemmas-to four landscape-scale weed management challenges: (i) achieving plant biosecurity, (ii) preventing weed seed contamination, (iii) maintaining herbicide susceptibility and (iv) sustainably using biological control. We describe how these four challenges exhibit characteristics of 'public good problems', wherein effective weed management requires the active contributions of multiple actors, while benefits are not restricted to these contributors. Adequate solutions to address these public good challenges often involve a subset of the eight design principles developed by Elinor Ostrom for 'common pool social dilemmas', together with design principles that reflect the public good nature of the problems. This paper is a call to action for scholars and practitioners to broaden our conceptualization and approaches to weed management problems. Such progress begins by evaluating the public good characteristics of specific weed management challenges and applying context-specific design principles to realize successful and sustainable weed management.","container-title":"Nature Plants","DOI":"10.1038/s41477-019-0395-y","ISSN":"2055-0278","issue":"4","journalAbbreviation":"Nat Plants","language":"eng","note":"PMID: 30962531","page":"343-351","source":"PubMed","title":"Considering weed management as a social dilemma bridges individual and collective interests","volume":"5","author":[{"family":"Bagavathiannan","given":"Muthukumar V."},{"family":"Graham","given":"Sonia"},{"family":"Ma","given":"Zhao"},{"family":"Barney","given":"Jacob N."},{"family":"Coutts","given":"Shaun R."},{"family":"Caicedo","given":"Ana L."},{"family":"De Clerck-Floate","given":"Rosemarie"},{"family":"West","given":"Natalie M."},{"family":"Blank","given":"Lior"},{"family":"Metcalf","given":"Alexander L."},{"family":"Lacoste","given":"Myrtille"},{"family":"Moreno","given":"Carlo R."},{"family":"Evans","given":"Jeffrey A."},{"family":"Burke","given":"Ian"},{"family":"Beckie","given":"Hugh"}],"issued":{"date-parts":[["2019"]]}},"label":"page"}],"schema":"https://github.com/citation-style-language/schema/raw/master/csl-citation.json"} </w:instrText>
      </w:r>
      <w:r w:rsidRPr="00A9434B">
        <w:fldChar w:fldCharType="separate"/>
      </w:r>
      <w:r w:rsidR="00C71E80" w:rsidRPr="00A9434B">
        <w:t>(Hershdorfer et al., 2007; Epanchin-Niell et al., 2010; McLeod &amp; Saunders, 2011; Bagavathiannan et al., 2019)</w:t>
      </w:r>
      <w:r w:rsidRPr="00A9434B">
        <w:fldChar w:fldCharType="end"/>
      </w:r>
      <w:r w:rsidRPr="00A9434B">
        <w:t xml:space="preserve"> including, for example, public-private partnerships </w:t>
      </w:r>
      <w:r w:rsidRPr="00A9434B">
        <w:fldChar w:fldCharType="begin"/>
      </w:r>
      <w:r w:rsidR="0006613E">
        <w:instrText xml:space="preserve"> ADDIN ZOTERO_ITEM CSL_CITATION {"citationID":"a1ov43jnl42","properties":{"formattedCitation":"(Mato-Amboage et al., 2019)","plainCitation":"(Mato-Amboage et al., 2019)","noteIndex":0},"citationItems":[{"id":53377,"uris":["http://zotero.org/groups/2352922/items/JF9SL9E4"],"itemData":{"id":53377,"type":"article-journal","container-title":"Journal of agricultural economics","DOI":"10.1111/1477-9552.12315","issue":"3","note":"ISBN: 0021-857X\npublisher: Wiley Online Library","page":"771-788","title":"Public–private partnerships for biosecurity: an opportunity for risk sharing","volume":"70","author":[{"family":"Mato-Amboage","given":"Rosa"},{"family":"Pitchford","given":"Jonathan W."},{"family":"Touza","given":"Julia"}],"issued":{"date-parts":[["2019"]]}},"label":"page"}],"schema":"https://github.com/citation-style-language/schema/raw/master/csl-citation.json"} </w:instrText>
      </w:r>
      <w:r w:rsidRPr="00A9434B">
        <w:fldChar w:fldCharType="separate"/>
      </w:r>
      <w:r w:rsidR="00E452E2" w:rsidRPr="00E452E2">
        <w:t>(Mato-Amboage et al., 2019)</w:t>
      </w:r>
      <w:r w:rsidRPr="00A9434B">
        <w:fldChar w:fldCharType="end"/>
      </w:r>
      <w:r w:rsidRPr="00A9434B">
        <w:t xml:space="preserve">. As outlined earlier, the mobility of invasive alien species means that prevention of their movement and management of established populations can benefit from </w:t>
      </w:r>
      <w:r w:rsidR="001201AE" w:rsidRPr="00A9434B">
        <w:t>collaboration</w:t>
      </w:r>
      <w:r w:rsidRPr="00A9434B">
        <w:t xml:space="preserve"> and coordination across property and jurisdictional boundaries </w:t>
      </w:r>
      <w:r w:rsidRPr="00A9434B">
        <w:fldChar w:fldCharType="begin"/>
      </w:r>
      <w:r w:rsidR="0006613E">
        <w:instrText xml:space="preserve"> ADDIN ZOTERO_ITEM CSL_CITATION {"citationID":"ak5c75ktq8","properties":{"unsorted":true,"formattedCitation":"(Graham, 2014; Yung et al., 2015; T. M. Howard et al., 2018)","plainCitation":"(Graham, 2014; Yung et al., 2015; T. M. Howard et al., 2018)","noteIndex":0},"citationItems":[{"id":11322,"uris":["http://zotero.org/groups/2352922/items/794HXDZS"],"itemData":{"id":11322,"type":"article-journal","abstract":"Many of the world's most challenging environmental problems are trans-boundary in nature, requiring the cooperation of diverse actors. This study aims to assess the roles of trust and power in achieving environmental collective action among rural land managers. The empirical example used is serrated tussock (Nassella trichotoma), a highly invasive, noxious weed that covers more than two million hectares in south-eastern Australia. Semi-structured interviews were used to explore relations among the suite of actors responsible for controlling this weed in two case studiesdCooma, NSW and Bacchus Marsh, Victoria. Interactions between trust and power were found to be useful for explaining the development of positive and negative relations among these diverse actors. When trust and power worked in synergy, land managers and government staff were more likely to share information, provide support and defer to enforcement. When trust and power acted as substitutes avoidance, disengagement, resistance and retaliation ensued. The author argues that long-term collective weed control will only be achieved when the focus shifts from enforcement to building stronger rural social relations in which trust and power work in synergy.","container-title":"Journal of Rural Studies","DOI":"10.1016/j.jrurstud.2014.06.010","ISSN":"07430167","journalAbbreviation":"Journal of Rural Studies","language":"en","page":"87-98","source":"DOI.org (Crossref)","title":"A new perspective on the trust power nexus from rural Australia","URL":"https://linkinghub.elsevier.com/retrieve/pii/S0743016714000850","volume":"36","author":[{"family":"Graham","given":"Sonia"}],"accessed":{"date-parts":[["2019",11,6]]},"issued":{"date-parts":[["2014",10]]}},"label":"page"},{"id":23951,"uris":["http://zotero.org/groups/2352922/items/V3JX6E45"],"itemData":{"id":23951,"type":"article-journal","abstract":"Rural landscapes are increasingly diverse and heterogeneous, involving a mix of small and large parcels, amenity and agricultural properties, and resident and absentee owners. Managing invasive plants in landscapes with changing ownership requires understanding the views and practices of different landowners. We surveyed landowners in two rural valleys with 26% absentee ownership and a large number of small parcels in Missoula County, Montana. Landowners indicated a high level of awareness and concern about weeds; more than 80% agreed that weeds are a problem in their valley. Seventy-eight percent of landowners managed weeds, but only 63% were effective at weed management. Absentee owners were far less likely to manage weeds on their properties and less likely to utilize herbicides, as compared with resident landowners. Landowners reported that seeds coming from adjacent properties were the most significant barrier to effective weed control. Many landowners manage weeds to be a good neighbor and believe that cooperation between neighbors is critical to weed management.","container-title":"Invasive Plant Science and Management","DOI":"10.1614/IPSM-D-14-00059.1","ISSN":"1939-7291, 1939-747X","issue":"2","language":"en","note":"publisher: Cambridge University Press","page":"193-202","source":"Cambridge University Press","title":"Effective Weed Management, Collective Action, and Landownership Change in Western Montana","URL":"https://www.cambridge.org/core/journals/invasive-plant-science-and-management/article/effective-weed-management-collective-action-and-landownership-change-in-western-montana/66E5890A62D38C2F3EB667CB87A9B3B3","volume":"8","author":[{"family":"Yung","given":"Laurie"},{"family":"Chandler","given":"John"},{"family":"Haverhals","given":"Marijka"}],"accessed":{"date-parts":[["2020",8,26]]},"issued":{"date-parts":[["2015",6]]}},"label":"page"},{"id":24059,"uris":["http://zotero.org/groups/2352922/items/7BIXVDJH"],"itemData":{"id":24059,"type":"article-journal","abstract":"Wild dogs are a widespread, established pest in Australia and have economic, environmental, and social impacts. Best practice management recommends coordinated community-led action as a key strategy to reduce this vertebrate pest. This research increased understanding of how citizens organize to collectively manage wild dogs in three case studies from Australia, with attention to the interaction of cultural, structural, and interactional domains of group action. Information asymmetry and changing demographic proﬁles emerge as challenges to eﬀective group development. Visible community leaders and strong group identity are important, as is peer recognition of community eﬀorts to develop collective action norms. This article complements and extends existing quantitative data sets with qualitative analysis and contextual understanding, while also reﬂecting on the implications of collective action for wild dog management more broadly. This research is relevant for those concerned with community action and complex issues of vertebrate pest management.","container-title":"Human Dimensions of Wildlife","DOI":"10.1080/10871209.2017.1414337","ISSN":"1087-1209, 1533-158X","issue":"3","journalAbbreviation":"Human Dimensions of Wildlife","language":"en","page":"242-256","source":"DOI.org (Crossref)","title":"Wild dog management in Australia: An interactional approach to case studies of community-led action","title-short":"Wild dog management in Australia","URL":"https://www.tandfonline.com/doi/full/10.1080/10871209.2017.1414337","volume":"23","author":[{"family":"Howard","given":"Tanya M."},{"family":"Thompson","given":"Lyndal J."},{"family":"Frumento","given":"Paloma"},{"family":"Alter","given":"Theodore"}],"accessed":{"date-parts":[["2019",11,30]]},"issued":{"date-parts":[["2018",5,4]]}},"label":"page"}],"schema":"https://github.com/citation-style-language/schema/raw/master/csl-citation.json"} </w:instrText>
      </w:r>
      <w:r w:rsidRPr="00A9434B">
        <w:fldChar w:fldCharType="separate"/>
      </w:r>
      <w:r w:rsidR="00C71E80" w:rsidRPr="00A9434B">
        <w:t>(Graham, 2014; Yung et al., 2015; T. M. Howard et al., 2018)</w:t>
      </w:r>
      <w:r w:rsidRPr="00A9434B">
        <w:fldChar w:fldCharType="end"/>
      </w:r>
      <w:r w:rsidRPr="00A9434B">
        <w:t xml:space="preserve">. </w:t>
      </w:r>
      <w:r w:rsidR="00AD02AD">
        <w:t xml:space="preserve">Achieving such cooperation is challenging because diverse actors have varying levels of interest, skills, resources, capacity and time to commit to management of biological invasions </w:t>
      </w:r>
      <w:r w:rsidRPr="00A9434B">
        <w:fldChar w:fldCharType="begin"/>
      </w:r>
      <w:r w:rsidR="0006613E">
        <w:instrText xml:space="preserve"> ADDIN ZOTERO_ITEM CSL_CITATION {"citationID":"aug2lcrep3","properties":{"unsorted":true,"formattedCitation":"(Donaldson &amp; Mudd, 2010; Graham, 2013; Ma et al., 2018; Kropf et al., 2020)","plainCitation":"(Donaldson &amp; Mudd, 2010; Graham, 2013; Ma et al., 2018; Kropf et al., 2020)","noteIndex":0},"citationItems":[{"id":23968,"uris":["http://zotero.org/groups/2352922/items/XVEXBEQF"],"itemData":{"id":23968,"type":"paper-conference","container-title":"Plant Invasions: Policies, Politics, and Practices","event-place":"Bozeman, Montana.","event-title":"The 5th biennial weeds across borders conference","page":"88-94","publisher":"Center for Invasive  Plant Management","publisher-place":"Bozeman, Montana.","title":"Sustaining cooperative weed management areas in the long-term","URL":"https://files.cfc.umt.edu/cesu/FWS/2010/10Galli-Noble_Weeds_Across_Boarders%20_Proceedings.pdf","author":[{"family":"Donaldson","given":"S."},{"family":"Mudd","given":"T."}],"editor":[{"family":"Rindos","given":"Emily"}],"issued":{"date-parts":[["2010",6,1]]}},"label":"page"},{"id":27165,"uris":["http://zotero.org/groups/2352922/items/968R7586"],"itemData":{"id":27165,"type":"article-journal","abstract":"The spread of pest plants is a trans-boundary problem that causes losses to biodiversity and disrupts ecosystems. Much social research into, and policy development for, weeds has conceptualised their control as a problem facing individual landowners, rather than as a collective action problem. In the case of serrated tussock (Nassella trichotoma), a highly invasive, noxious weed that is widespread in southeastern Australia, landowners and government staff are acutely aware that this weed is a communal problem. Analysis of semi-structured interviews revealed that landowners and agency staff believe there are three pathways available for communities to achieve greater weed control collectively. These involve sharing information, providing support and applying pressure. These pathways provide two options for future policy development. Firstly, future policies could use the findings to make minor adjustments to the way information is distributed, funding is provided and enforcement is administered. Alternatively, future policies could be refocused to acknowledge good farm management, encourage better relationships among neighbours and build on the social capital that exists in Landcare groups.","container-title":"Australasian Journal of Environmental Management","DOI":"10.1080/14486563.2013.774681","ISSN":"1448-6563","issue":"2","note":"publisher: Taylor &amp; Francis\n_eprint: https://doi.org/10.1080/14486563.2013.774681","page":"116-129","source":"Taylor and Francis+NEJM","title":"Three cooperative pathways to solving a collective weed management problem","URL":"https://doi.org/10.1080/14486563.2013.774681","volume":"20","author":[{"family":"Graham","given":"Sonia"}],"accessed":{"date-parts":[["2020",8,26]]},"issued":{"date-parts":[["2013",6,1]]}},"label":"page"},{"id":23964,"uris":["http://zotero.org/groups/2352922/items/4PXRSXH6"],"itemData":{"id":23964,"type":"article-journal","abstract":"Invasive species are reaching epidemic proportions, greatly altering global biomes. The role of private landowners in controlling invasive plants in forest ecosystems has been well recognized, although limited research has investigated their awareness, actions, needs and concerns. Building upon a broader literature on family forest owner decision making and invasive weed management in non-forested landscapes, we conducted 23 semi-structured interviews with family forest owners and forestry professionals in Indiana, USA. We documented and discussed (1) their knowledge and awareness of invasive plant management, (2) current invasive plant management actions, (3) issues surrounding cooperative invasive plant management, (4) how they understand the responsibility of invasive plant control across the landscape, and (5) an information challenge facing invasive plant management. Our results suggest that future education and outreach efforts should broaden to include urban and suburban residents, as well as forestry professionals who are often assumed to be supportive of and knowledgeable about invasive plant management. Our results also suggest that forestry professionals can help motivate family forest owners toward invasive plant management by providing positive psychological reinforcement such as social approval. Further, our results highlight a gap between the recognized importance of cooperative invasive plant management and a lack of on-the-ground practices mainly due to a family forest owner culture of independence. Overcoming the cultural stigma associated with cooperative management requires forestry professionals’ willingness and ability to cultivate a social environment conducive to collective actions by playing the role of community organizers. Together, these insights can be used to inform the development of future invasive plant communication strategies and private forest landowner assistance programs.","container-title":"Land Use Policy","DOI":"10.1016/j.landusepol.2018.02.010","ISSN":"0264-8377","journalAbbreviation":"Land Use Policy","language":"en","page":"682-693","source":"ScienceDirect","title":"Insights into individual and cooperative invasive plant management on family forestlands","URL":"http://www.sciencedirect.com/science/article/pii/S0264837717310657","volume":"75","author":[{"family":"Ma","given":"Zhao"},{"family":"Clarke","given":"Mysha"},{"family":"Church","given":"Sarah P."}],"accessed":{"date-parts":[["2020",8,26]]},"issued":{"date-parts":[["2018",6,1]]}},"label":"page"},{"id":27173,"uris":["http://zotero.org/groups/2352922/items/7WY2GEQR"],"itemData":{"id":27173,"type":"article-journal","abstract":"Invasive species are considered a major threat for global agricultural production, biodiversity and ecosystem services. Their spread and establishment is mainly influenced by bio-physical factors, but also by people’s ac­ tivities such as tourism or farming. Understanding farmers’ behavior is necessary to develop effective control measures. We conducted qualitative semi-structured interviews in south-east Austria to explore factors that facilitate or impede farmers’ behavior to individually or collectively control the invasive Western Corn Root­ worm (WCR, Diabrotica virgifera virgifera). We analyze the interview contents using the Capability-OpportunityMotivation-Behavior model (COM-B model). Our results show that farmers’ motivation and related behavior is influenced by intra- and interpersonal factors such as their knowledge about WCR control measures (capability psychological), perceived societal acceptance of WCR control measures or perceived normative obligations to participate in collective measures (opportunity social). Farmers’ motivation (reflective and automatic) for imple­ menting individual or collective WCR control measures is mainly determined by their perceived self-efficacy, their perceived efficacy of WCR control measures and the perceived severity of WCR damages. Contextual fac­ tors such as environmental conditions, legal regulations, the landscape composition, the farm type or financial impacts of WCR control measures (opportunity physical) are essential prerequisites for farmers’ behavior. The results suggest that new modes of knowledge transfer are required to facilitate the proactive implementation of individual and collective WCR control measures prior to trigger events, such as severe WCR damages. The development of a trusting and communicative environment between farmers is key for collective WCR control. Exchange with residents about WCR and applied control measures may help to create a shared understanding and increase societal acceptance. Moreover, a long-term and proactive coordination which meets individual famers’ needs is required to implement collective WCR control measures. Farmers who have successfully implemented individual and collective WCR measures may encourage non-applicants and sceptics by “learning from peers”.","container-title":"Journal of Environmental Management","DOI":"10.1016/j.jenvman.2020.110431","ISSN":"03014797","journalAbbreviation":"Journal of Environmental Management","language":"en","page":"110431","source":"DOI.org (Crossref)","title":"Exploring farmers’ behavior toward individual and collective measures of Western Corn Rootworm control – A case study in south-east Austria","URL":"https://linkinghub.elsevier.com/retrieve/pii/S0301479720303650","volume":"264","author":[{"family":"Kropf","given":"Bernadette"},{"family":"Schmid","given":"Erwin"},{"family":"Schönhart","given":"Martin"},{"family":"Mitter","given":"Hermine"}],"accessed":{"date-parts":[["2020",5,13]]},"issued":{"date-parts":[["2020",6]]}},"label":"page"}],"schema":"https://github.com/citation-style-language/schema/raw/master/csl-citation.json"} </w:instrText>
      </w:r>
      <w:r w:rsidRPr="00A9434B">
        <w:fldChar w:fldCharType="separate"/>
      </w:r>
      <w:r w:rsidR="00C71E80" w:rsidRPr="00A9434B">
        <w:t>(Donaldson &amp; Mudd, 2010; Graham, 2013; Ma et al., 2018; Kropf et al., 2020)</w:t>
      </w:r>
      <w:r w:rsidRPr="00A9434B">
        <w:fldChar w:fldCharType="end"/>
      </w:r>
      <w:r w:rsidRPr="00A9434B">
        <w:t xml:space="preserve">. Successful collective action can be achieved through stakeholder and </w:t>
      </w:r>
      <w:r w:rsidR="001E7B2B" w:rsidRPr="00A9434B">
        <w:t>Indigenous Peoples</w:t>
      </w:r>
      <w:r w:rsidRPr="00A9434B">
        <w:t xml:space="preserve"> and local communities networks</w:t>
      </w:r>
      <w:r w:rsidR="00CF4E33">
        <w:t>.</w:t>
      </w:r>
      <w:r w:rsidRPr="00A9434B">
        <w:t xml:space="preserve"> </w:t>
      </w:r>
      <w:r w:rsidR="00CF4E33">
        <w:t>S</w:t>
      </w:r>
      <w:r w:rsidRPr="00A9434B">
        <w:t xml:space="preserve">ocial norms and trust </w:t>
      </w:r>
      <w:r w:rsidR="00CF4E33">
        <w:t>can</w:t>
      </w:r>
      <w:r w:rsidRPr="00A9434B">
        <w:t xml:space="preserve"> be established to develop a common understanding of the problem, agree on a common goal, identify measures of success</w:t>
      </w:r>
      <w:r w:rsidR="00EB415D">
        <w:t xml:space="preserve"> and</w:t>
      </w:r>
      <w:r w:rsidRPr="00A9434B">
        <w:t xml:space="preserve"> encourage participation in individual and group activities </w:t>
      </w:r>
      <w:r w:rsidRPr="00A9434B">
        <w:fldChar w:fldCharType="begin"/>
      </w:r>
      <w:r w:rsidR="0006613E">
        <w:instrText xml:space="preserve"> ADDIN ZOTERO_ITEM CSL_CITATION {"citationID":"a1nkpqt0cpt","properties":{"unsorted":true,"formattedCitation":"(Stallman &amp; James, 2015; Niemiec et al., 2016; Graham &amp; Rogers, 2017; T. M. Howard et al., 2018; Bagavathiannan et al., 2019)","plainCitation":"(Stallman &amp; James, 2015; Niemiec et al., 2016; Graham &amp; Rogers, 2017; T. M. Howard et al., 2018; Bagavathiannan et al., 2019)","noteIndex":0},"citationItems":[{"id":23956,"uris":["http://zotero.org/groups/2352922/items/BFVXBJWD"],"itemData":{"id":23956,"type":"article-journal","container-title":"Ecological economics","DOI":"10.1016/j.ecolecon.2015.07.006","note":"ISBN: 0921-8009\npublisher: Elsevier","page":"182-192","title":"Determinants affecting farmers' willingness to cooperate to control pests","volume":"117","author":[{"family":"Stallman","given":"Heidi R."},{"family":"James","given":"Harvey S."}],"issued":{"date-parts":[["2015"]]}},"label":"page"},{"id":23960,"uris":["http://zotero.org/groups/2352922/items/T8XJ98L3"],"itemData":{"id":23960,"type":"article-journal","abstract":"Niemiec, R. M., N. M. Ardoin, C. B. Wharton, and G. P. Asner. 2016. Motivating residents to combat invasive species on private lands: social norms and community reciprocity. Ecology and Society 21(2):30.http://dx.doi.org/10.5751/ES-08362-210230","container-title":"Ecology and Society","DOI":"10.5751/ES-08362-210230","ISSN":"1708-3087","issue":"2","language":"en","license":"© 2016 by the author(s)","note":"publisher: The Resilience Alliance","page":"30","source":"www.ecologyandsociety.org","title":"Motivating residents to combat invasive species on private lands: social norms and community reciprocity","title-short":"Motivating residents to combat invasive species on private lands","URL":"https://www.ecologyandsociety.org/vol21/iss2/art30/","volume":"21","author":[{"family":"Niemiec","given":"Rebecca M."},{"family":"Ardoin","given":"Nicole M."},{"family":"Wharton","given":"Candace B."},{"family":"Asner","given":"Gregory P."}],"accessed":{"date-parts":[["2020",8,26]]},"issued":{"date-parts":[["2016",5,24]]}},"label":"page"},{"id":24262,"uris":["http://zotero.org/groups/2352922/items/BLEYAZ6B"],"itemData":{"id":24262,"type":"article-journal","abstract":"For two decades researchers and policy makers have been arguing that community-based collective action is needed to effectively control weeds. Yet there has been little social research into the ways that collective weed control emerges at local scales. The aim of this paper is to investigate the mechanisms through which three local landholder groups in south-eastern Australia collectively manage weeds and the measures they use to evaluate success. Semi-structured interviews were conducted with members of three Landcare groups—Jerrawa Creek/Upper Lachlan, MacLaughlin River and Towamba Valley—as well as government staff external to the groups. The results reveal that for all three groups collective weed control is about supporting individual weed control efforts as well as proactively engaging landholders with the worst infestations. The groups were seen to be successful because they focused on the common challenge that weeds pose to all landholders, thereby removing the shame associated with having weeds, and because they organised community events that were as much about building and maintaining social relationships as improving weed control. Groups were positive about what they had achieved as collectives of landholders, but also saw an important role for government in providing funding, engaging with landholders who were unwilling to engage directly with the group, and controlling weeds on public lands.","container-title":"Environmental Management","DOI":"10.1007/s00267-017-0859-7","ISSN":"0364-152X, 1432-1009","issue":"3","journalAbbreviation":"Environmental Management","language":"en","page":"396-408","source":"DOI.org (Crossref)","title":"How Local Landholder Groups Collectively Manage Weeds in South-Eastern Australia","URL":"https://doi.org/10.1007/s00267-017-0859-7","volume":"60","author":[{"family":"Graham","given":"Sonia"},{"family":"Rogers","given":"Sarah"}],"accessed":{"date-parts":[["2019",11,6]]},"issued":{"date-parts":[["2017",9]]}},"label":"page"},{"id":24059,"uris":["http://zotero.org/groups/2352922/items/7BIXVDJH"],"itemData":{"id":24059,"type":"article-journal","abstract":"Wild dogs are a widespread, established pest in Australia and have economic, environmental, and social impacts. Best practice management recommends coordinated community-led action as a key strategy to reduce this vertebrate pest. This research increased understanding of how citizens organize to collectively manage wild dogs in three case studies from Australia, with attention to the interaction of cultural, structural, and interactional domains of group action. Information asymmetry and changing demographic proﬁles emerge as challenges to eﬀective group development. Visible community leaders and strong group identity are important, as is peer recognition of community eﬀorts to develop collective action norms. This article complements and extends existing quantitative data sets with qualitative analysis and contextual understanding, while also reﬂecting on the implications of collective action for wild dog management more broadly. This research is relevant for those concerned with community action and complex issues of vertebrate pest management.","container-title":"Human Dimensions of Wildlife","DOI":"10.1080/10871209.2017.1414337","ISSN":"1087-1209, 1533-158X","issue":"3","journalAbbreviation":"Human Dimensions of Wildlife","language":"en","page":"242-256","source":"DOI.org (Crossref)","title":"Wild dog management in Australia: An interactional approach to case studies of community-led action","title-short":"Wild dog management in Australia","URL":"https://www.tandfonline.com/doi/full/10.1080/10871209.2017.1414337","volume":"23","author":[{"family":"Howard","given":"Tanya M."},{"family":"Thompson","given":"Lyndal J."},{"family":"Frumento","given":"Paloma"},{"family":"Alter","given":"Theodore"}],"accessed":{"date-parts":[["2019",11,30]]},"issued":{"date-parts":[["2018",5,4]]}}},{"id":23970,"uris":["http://zotero.org/groups/2352922/items/XWQSJHX7"],"itemData":{"id":23970,"type":"article-journal","abstract":"Weeds pose severe threats to agricultural and natural landscapes worldwide. One major reason for the failure to effectively manage weeds at landscape scales is that current Best Management Practice guidelines, and research on how to improve such guidelines, focus too narrowly on property-level management decisions. Insufficiently considered are the aggregate effects of individual actions to determine landscape-scale outcomes, or whether there are collective practices that would improve weed management outcomes. Here, we frame landscape-scale weed management as a social dilemma, where trade-offs occur between individual and collective interests. We apply a transdisciplinary system approach-integrating the perspectives of ecologists, evolutionary biologists and agronomists into a social science theory of social dilemmas-to four landscape-scale weed management challenges: (i) achieving plant biosecurity, (ii) preventing weed seed contamination, (iii) maintaining herbicide susceptibility and (iv) sustainably using biological control. We describe how these four challenges exhibit characteristics of 'public good problems', wherein effective weed management requires the active contributions of multiple actors, while benefits are not restricted to these contributors. Adequate solutions to address these public good challenges often involve a subset of the eight design principles developed by Elinor Ostrom for 'common pool social dilemmas', together with design principles that reflect the public good nature of the problems. This paper is a call to action for scholars and practitioners to broaden our conceptualization and approaches to weed management problems. Such progress begins by evaluating the public good characteristics of specific weed management challenges and applying context-specific design principles to realize successful and sustainable weed management.","container-title":"Nature Plants","DOI":"10.1038/s41477-019-0395-y","ISSN":"2055-0278","issue":"4","journalAbbreviation":"Nat Plants","language":"eng","note":"PMID: 30962531","page":"343-351","source":"PubMed","title":"Considering weed management as a social dilemma bridges individual and collective interests","volume":"5","author":[{"family":"Bagavathiannan","given":"Muthukumar V."},{"family":"Graham","given":"Sonia"},{"family":"Ma","given":"Zhao"},{"family":"Barney","given":"Jacob N."},{"family":"Coutts","given":"Shaun R."},{"family":"Caicedo","given":"Ana L."},{"family":"De Clerck-Floate","given":"Rosemarie"},{"family":"West","given":"Natalie M."},{"family":"Blank","given":"Lior"},{"family":"Metcalf","given":"Alexander L."},{"family":"Lacoste","given":"Myrtille"},{"family":"Moreno","given":"Carlo R."},{"family":"Evans","given":"Jeffrey A."},{"family":"Burke","given":"Ian"},{"family":"Beckie","given":"Hugh"}],"issued":{"date-parts":[["2019"]]}},"label":"page"}],"schema":"https://github.com/citation-style-language/schema/raw/master/csl-citation.json"} </w:instrText>
      </w:r>
      <w:r w:rsidRPr="00A9434B">
        <w:fldChar w:fldCharType="separate"/>
      </w:r>
      <w:r w:rsidR="00065870" w:rsidRPr="00065870">
        <w:t>(Stallman &amp; James, 2015; Niemiec et al., 2016; Graham &amp; Rogers, 2017; T. M. Howard et al., 2018; Bagavathiannan et al., 2019)</w:t>
      </w:r>
      <w:r w:rsidRPr="00A9434B">
        <w:fldChar w:fldCharType="end"/>
      </w:r>
      <w:r w:rsidRPr="00A9434B">
        <w:t>. There are sets of useful questions that are consistent across these cooperative invasive alien species management initiatives (</w:t>
      </w:r>
      <w:r w:rsidRPr="00673554">
        <w:rPr>
          <w:b/>
          <w:iCs/>
        </w:rPr>
        <w:fldChar w:fldCharType="begin"/>
      </w:r>
      <w:r w:rsidRPr="00673554">
        <w:rPr>
          <w:b/>
          <w:iCs/>
        </w:rPr>
        <w:instrText xml:space="preserve"> REF _Ref114137008 \h  \* MERGEFORMAT </w:instrText>
      </w:r>
      <w:r w:rsidRPr="00673554">
        <w:rPr>
          <w:b/>
          <w:iCs/>
        </w:rPr>
      </w:r>
      <w:r w:rsidRPr="00673554">
        <w:rPr>
          <w:b/>
          <w:iCs/>
        </w:rPr>
        <w:fldChar w:fldCharType="separate"/>
      </w:r>
      <w:r w:rsidR="0011368C" w:rsidRPr="00673554">
        <w:rPr>
          <w:b/>
          <w:iCs/>
        </w:rPr>
        <w:t>Table 6.9</w:t>
      </w:r>
      <w:r w:rsidRPr="00673554">
        <w:rPr>
          <w:b/>
          <w:iCs/>
        </w:rPr>
        <w:fldChar w:fldCharType="end"/>
      </w:r>
      <w:r w:rsidRPr="00A9434B">
        <w:t>). While consideration of these factors</w:t>
      </w:r>
      <w:r w:rsidR="00115F9B">
        <w:t xml:space="preserve"> listed</w:t>
      </w:r>
      <w:r w:rsidRPr="00A9434B">
        <w:t xml:space="preserve"> in </w:t>
      </w:r>
      <w:r w:rsidRPr="00673554">
        <w:rPr>
          <w:b/>
          <w:iCs/>
        </w:rPr>
        <w:fldChar w:fldCharType="begin"/>
      </w:r>
      <w:r w:rsidRPr="00673554">
        <w:rPr>
          <w:b/>
          <w:iCs/>
        </w:rPr>
        <w:instrText xml:space="preserve"> REF _Ref114137008 \h  \* MERGEFORMAT </w:instrText>
      </w:r>
      <w:r w:rsidRPr="00673554">
        <w:rPr>
          <w:b/>
          <w:iCs/>
        </w:rPr>
      </w:r>
      <w:r w:rsidRPr="00673554">
        <w:rPr>
          <w:b/>
          <w:iCs/>
        </w:rPr>
        <w:fldChar w:fldCharType="separate"/>
      </w:r>
      <w:r w:rsidR="0011368C" w:rsidRPr="00673554">
        <w:rPr>
          <w:b/>
          <w:iCs/>
        </w:rPr>
        <w:t>Table 6.9</w:t>
      </w:r>
      <w:r w:rsidRPr="00673554">
        <w:rPr>
          <w:b/>
          <w:iCs/>
        </w:rPr>
        <w:fldChar w:fldCharType="end"/>
      </w:r>
      <w:r w:rsidRPr="00A9434B">
        <w:t xml:space="preserve"> does not guarantee success, the questions do provide practical insights into what collective action offers for improving the governance </w:t>
      </w:r>
      <w:r w:rsidR="00D6699F" w:rsidRPr="00A9434B">
        <w:t>for biological invasions</w:t>
      </w:r>
      <w:r w:rsidRPr="00A9434B">
        <w:t xml:space="preserve"> into the future.</w:t>
      </w:r>
    </w:p>
    <w:p w14:paraId="629E406A" w14:textId="7D0D8D2A" w:rsidR="00017C04" w:rsidRPr="00AD02AD" w:rsidRDefault="00E04143" w:rsidP="00AD02AD">
      <w:pPr>
        <w:pStyle w:val="Caption"/>
        <w:rPr>
          <w:b w:val="0"/>
        </w:rPr>
      </w:pPr>
      <w:bookmarkStart w:id="424" w:name="_Ref104892673"/>
      <w:bookmarkStart w:id="425" w:name="_Ref114137008"/>
      <w:bookmarkStart w:id="426" w:name="_Toc49506962"/>
      <w:bookmarkStart w:id="427" w:name="_Toc147418542"/>
      <w:r w:rsidRPr="00A9434B">
        <w:t>Table 6.</w:t>
      </w:r>
      <w:r w:rsidR="007C7AC3">
        <w:fldChar w:fldCharType="begin"/>
      </w:r>
      <w:r w:rsidR="007C7AC3">
        <w:instrText xml:space="preserve"> SEQ Table_6. \* ARABIC </w:instrText>
      </w:r>
      <w:r w:rsidR="007C7AC3">
        <w:fldChar w:fldCharType="separate"/>
      </w:r>
      <w:r w:rsidR="0011368C">
        <w:rPr>
          <w:noProof/>
        </w:rPr>
        <w:t>9</w:t>
      </w:r>
      <w:r w:rsidR="007C7AC3">
        <w:rPr>
          <w:noProof/>
        </w:rPr>
        <w:fldChar w:fldCharType="end"/>
      </w:r>
      <w:bookmarkEnd w:id="424"/>
      <w:bookmarkEnd w:id="425"/>
      <w:r w:rsidR="0058151E" w:rsidRPr="00A9434B">
        <w:t>.</w:t>
      </w:r>
      <w:bookmarkStart w:id="428" w:name="_heading=h.14ykbeg" w:colFirst="0" w:colLast="0"/>
      <w:bookmarkEnd w:id="428"/>
      <w:r w:rsidR="00F50AF9" w:rsidRPr="00AD02AD">
        <w:rPr>
          <w:b w:val="0"/>
        </w:rPr>
        <w:t xml:space="preserve"> </w:t>
      </w:r>
      <w:r w:rsidR="00F50AF9" w:rsidRPr="00AD02AD">
        <w:rPr>
          <w:b w:val="0"/>
          <w:bCs w:val="0"/>
        </w:rPr>
        <w:t>Collective action questions towards improved governance for biological invasions</w:t>
      </w:r>
      <w:bookmarkEnd w:id="426"/>
      <w:bookmarkEnd w:id="427"/>
    </w:p>
    <w:tbl>
      <w:tblPr>
        <w:tblStyle w:val="GridTable4"/>
        <w:tblW w:w="9469" w:type="dxa"/>
        <w:tblLook w:val="04A0" w:firstRow="1" w:lastRow="0" w:firstColumn="1" w:lastColumn="0" w:noHBand="0" w:noVBand="1"/>
      </w:tblPr>
      <w:tblGrid>
        <w:gridCol w:w="2376"/>
        <w:gridCol w:w="7093"/>
      </w:tblGrid>
      <w:tr w:rsidR="00017C04" w14:paraId="6EE34A28" w14:textId="77777777" w:rsidTr="00AD02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6C19FAB2" w14:textId="77777777" w:rsidR="00017C04" w:rsidRPr="000A1E49" w:rsidRDefault="00F50AF9">
            <w:r w:rsidRPr="000A1E49">
              <w:t>Leadership</w:t>
            </w:r>
          </w:p>
        </w:tc>
        <w:tc>
          <w:tcPr>
            <w:tcW w:w="7093" w:type="dxa"/>
          </w:tcPr>
          <w:p w14:paraId="3BB376DA" w14:textId="77777777" w:rsidR="00017C04" w:rsidRPr="000A1E49" w:rsidRDefault="00F50AF9">
            <w:pPr>
              <w:cnfStyle w:val="100000000000" w:firstRow="1" w:lastRow="0" w:firstColumn="0" w:lastColumn="0" w:oddVBand="0" w:evenVBand="0" w:oddHBand="0" w:evenHBand="0" w:firstRowFirstColumn="0" w:firstRowLastColumn="0" w:lastRowFirstColumn="0" w:lastRowLastColumn="0"/>
            </w:pPr>
            <w:r w:rsidRPr="000A1E49">
              <w:t>Who will lead the collective action initiative?</w:t>
            </w:r>
          </w:p>
        </w:tc>
      </w:tr>
      <w:tr w:rsidR="00017C04" w14:paraId="6B75EF32" w14:textId="77777777" w:rsidTr="00AD02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val="restart"/>
          </w:tcPr>
          <w:p w14:paraId="20A0CCE1" w14:textId="77777777" w:rsidR="00017C04" w:rsidRPr="000A1E49" w:rsidRDefault="00F50AF9">
            <w:pPr>
              <w:spacing w:before="0" w:after="0"/>
            </w:pPr>
            <w:r w:rsidRPr="000A1E49">
              <w:t>Working relationships</w:t>
            </w:r>
          </w:p>
        </w:tc>
        <w:tc>
          <w:tcPr>
            <w:tcW w:w="7093" w:type="dxa"/>
          </w:tcPr>
          <w:p w14:paraId="53E0A064" w14:textId="77777777" w:rsidR="00017C04" w:rsidRPr="000A1E49" w:rsidRDefault="00F50AF9">
            <w:pPr>
              <w:spacing w:before="0" w:after="0"/>
              <w:cnfStyle w:val="000000100000" w:firstRow="0" w:lastRow="0" w:firstColumn="0" w:lastColumn="0" w:oddVBand="0" w:evenVBand="0" w:oddHBand="1" w:evenHBand="0" w:firstRowFirstColumn="0" w:firstRowLastColumn="0" w:lastRowFirstColumn="0" w:lastRowLastColumn="0"/>
            </w:pPr>
            <w:r w:rsidRPr="000A1E49">
              <w:t>Who to include?</w:t>
            </w:r>
          </w:p>
        </w:tc>
      </w:tr>
      <w:tr w:rsidR="00017C04" w14:paraId="4E875F74" w14:textId="77777777" w:rsidTr="00AD02AD">
        <w:tc>
          <w:tcPr>
            <w:cnfStyle w:val="001000000000" w:firstRow="0" w:lastRow="0" w:firstColumn="1" w:lastColumn="0" w:oddVBand="0" w:evenVBand="0" w:oddHBand="0" w:evenHBand="0" w:firstRowFirstColumn="0" w:firstRowLastColumn="0" w:lastRowFirstColumn="0" w:lastRowLastColumn="0"/>
            <w:tcW w:w="2376" w:type="dxa"/>
            <w:vMerge/>
          </w:tcPr>
          <w:p w14:paraId="26664D52" w14:textId="77777777" w:rsidR="00017C04" w:rsidRPr="000A1E49" w:rsidRDefault="00017C04" w:rsidP="00C12647">
            <w:pPr>
              <w:widowControl w:val="0"/>
              <w:pBdr>
                <w:top w:val="nil"/>
                <w:left w:val="nil"/>
                <w:bottom w:val="nil"/>
                <w:right w:val="nil"/>
                <w:between w:val="nil"/>
              </w:pBdr>
              <w:spacing w:before="0" w:after="0" w:line="276" w:lineRule="auto"/>
            </w:pPr>
          </w:p>
        </w:tc>
        <w:tc>
          <w:tcPr>
            <w:tcW w:w="7093" w:type="dxa"/>
          </w:tcPr>
          <w:p w14:paraId="3DB11BE1" w14:textId="77777777" w:rsidR="00017C04" w:rsidRPr="000A1E49" w:rsidRDefault="00F50AF9">
            <w:pPr>
              <w:spacing w:before="0" w:after="0"/>
              <w:cnfStyle w:val="000000000000" w:firstRow="0" w:lastRow="0" w:firstColumn="0" w:lastColumn="0" w:oddVBand="0" w:evenVBand="0" w:oddHBand="0" w:evenHBand="0" w:firstRowFirstColumn="0" w:firstRowLastColumn="0" w:lastRowFirstColumn="0" w:lastRowLastColumn="0"/>
            </w:pPr>
            <w:r w:rsidRPr="000A1E49">
              <w:t>Are there existing relationships among participants?</w:t>
            </w:r>
          </w:p>
        </w:tc>
      </w:tr>
      <w:tr w:rsidR="00017C04" w14:paraId="7AC90B72" w14:textId="77777777" w:rsidTr="00AD02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14:paraId="3A65C161" w14:textId="77777777" w:rsidR="00017C04" w:rsidRPr="000A1E49" w:rsidRDefault="00017C04" w:rsidP="00C12647">
            <w:pPr>
              <w:widowControl w:val="0"/>
              <w:pBdr>
                <w:top w:val="nil"/>
                <w:left w:val="nil"/>
                <w:bottom w:val="nil"/>
                <w:right w:val="nil"/>
                <w:between w:val="nil"/>
              </w:pBdr>
              <w:spacing w:before="0" w:after="0" w:line="276" w:lineRule="auto"/>
            </w:pPr>
          </w:p>
        </w:tc>
        <w:tc>
          <w:tcPr>
            <w:tcW w:w="7093" w:type="dxa"/>
          </w:tcPr>
          <w:p w14:paraId="6CB870B7" w14:textId="77777777" w:rsidR="00017C04" w:rsidRPr="000A1E49" w:rsidRDefault="00F50AF9">
            <w:pPr>
              <w:spacing w:before="0" w:after="0"/>
              <w:cnfStyle w:val="000000100000" w:firstRow="0" w:lastRow="0" w:firstColumn="0" w:lastColumn="0" w:oddVBand="0" w:evenVBand="0" w:oddHBand="1" w:evenHBand="0" w:firstRowFirstColumn="0" w:firstRowLastColumn="0" w:lastRowFirstColumn="0" w:lastRowLastColumn="0"/>
            </w:pPr>
            <w:r w:rsidRPr="000A1E49">
              <w:t>How can trust be built among group members?</w:t>
            </w:r>
          </w:p>
        </w:tc>
      </w:tr>
      <w:tr w:rsidR="00017C04" w14:paraId="2A79BE25" w14:textId="77777777" w:rsidTr="00AD02AD">
        <w:tc>
          <w:tcPr>
            <w:cnfStyle w:val="001000000000" w:firstRow="0" w:lastRow="0" w:firstColumn="1" w:lastColumn="0" w:oddVBand="0" w:evenVBand="0" w:oddHBand="0" w:evenHBand="0" w:firstRowFirstColumn="0" w:firstRowLastColumn="0" w:lastRowFirstColumn="0" w:lastRowLastColumn="0"/>
            <w:tcW w:w="2376" w:type="dxa"/>
            <w:vMerge w:val="restart"/>
          </w:tcPr>
          <w:p w14:paraId="0DC91512" w14:textId="77777777" w:rsidR="00017C04" w:rsidRPr="000A1E49" w:rsidRDefault="00F50AF9">
            <w:pPr>
              <w:spacing w:before="0" w:after="0"/>
            </w:pPr>
            <w:r w:rsidRPr="000A1E49">
              <w:t>Shared goal</w:t>
            </w:r>
          </w:p>
        </w:tc>
        <w:tc>
          <w:tcPr>
            <w:tcW w:w="7093" w:type="dxa"/>
          </w:tcPr>
          <w:p w14:paraId="763A025E" w14:textId="77777777" w:rsidR="00017C04" w:rsidRPr="000A1E49" w:rsidRDefault="00F50AF9">
            <w:pPr>
              <w:spacing w:before="0" w:after="0"/>
              <w:cnfStyle w:val="000000000000" w:firstRow="0" w:lastRow="0" w:firstColumn="0" w:lastColumn="0" w:oddVBand="0" w:evenVBand="0" w:oddHBand="0" w:evenHBand="0" w:firstRowFirstColumn="0" w:firstRowLastColumn="0" w:lastRowFirstColumn="0" w:lastRowLastColumn="0"/>
            </w:pPr>
            <w:r w:rsidRPr="000A1E49">
              <w:t>What is the shared goal?</w:t>
            </w:r>
          </w:p>
        </w:tc>
      </w:tr>
      <w:tr w:rsidR="00017C04" w14:paraId="26127C16" w14:textId="77777777" w:rsidTr="00AD02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14:paraId="1B805DCC" w14:textId="77777777" w:rsidR="00017C04" w:rsidRPr="000A1E49" w:rsidRDefault="00017C04" w:rsidP="00C12647">
            <w:pPr>
              <w:widowControl w:val="0"/>
              <w:pBdr>
                <w:top w:val="nil"/>
                <w:left w:val="nil"/>
                <w:bottom w:val="nil"/>
                <w:right w:val="nil"/>
                <w:between w:val="nil"/>
              </w:pBdr>
              <w:spacing w:before="0" w:after="0" w:line="276" w:lineRule="auto"/>
            </w:pPr>
          </w:p>
        </w:tc>
        <w:tc>
          <w:tcPr>
            <w:tcW w:w="7093" w:type="dxa"/>
          </w:tcPr>
          <w:p w14:paraId="269B121C" w14:textId="700BFAA6" w:rsidR="00017C04" w:rsidRPr="000A1E49" w:rsidRDefault="00F50AF9">
            <w:pPr>
              <w:spacing w:before="0" w:after="0"/>
              <w:cnfStyle w:val="000000100000" w:firstRow="0" w:lastRow="0" w:firstColumn="0" w:lastColumn="0" w:oddVBand="0" w:evenVBand="0" w:oddHBand="1" w:evenHBand="0" w:firstRowFirstColumn="0" w:firstRowLastColumn="0" w:lastRowFirstColumn="0" w:lastRowLastColumn="0"/>
            </w:pPr>
            <w:r w:rsidRPr="000A1E49">
              <w:t>What are the ecological, economic</w:t>
            </w:r>
            <w:r w:rsidR="00115F9B">
              <w:t xml:space="preserve"> and</w:t>
            </w:r>
            <w:r w:rsidRPr="000A1E49">
              <w:t xml:space="preserve"> social dimensions of the goal? (What motivates one person may not motivate another)</w:t>
            </w:r>
          </w:p>
        </w:tc>
      </w:tr>
      <w:tr w:rsidR="00017C04" w14:paraId="6D111B80" w14:textId="77777777" w:rsidTr="00AD02AD">
        <w:tc>
          <w:tcPr>
            <w:cnfStyle w:val="001000000000" w:firstRow="0" w:lastRow="0" w:firstColumn="1" w:lastColumn="0" w:oddVBand="0" w:evenVBand="0" w:oddHBand="0" w:evenHBand="0" w:firstRowFirstColumn="0" w:firstRowLastColumn="0" w:lastRowFirstColumn="0" w:lastRowLastColumn="0"/>
            <w:tcW w:w="2376" w:type="dxa"/>
            <w:vMerge/>
          </w:tcPr>
          <w:p w14:paraId="2E2F2F83" w14:textId="77777777" w:rsidR="00017C04" w:rsidRPr="000A1E49" w:rsidRDefault="00017C04" w:rsidP="00C12647">
            <w:pPr>
              <w:widowControl w:val="0"/>
              <w:pBdr>
                <w:top w:val="nil"/>
                <w:left w:val="nil"/>
                <w:bottom w:val="nil"/>
                <w:right w:val="nil"/>
                <w:between w:val="nil"/>
              </w:pBdr>
              <w:spacing w:before="0" w:after="0" w:line="276" w:lineRule="auto"/>
            </w:pPr>
          </w:p>
        </w:tc>
        <w:tc>
          <w:tcPr>
            <w:tcW w:w="7093" w:type="dxa"/>
          </w:tcPr>
          <w:p w14:paraId="633E6E0F" w14:textId="77777777" w:rsidR="00017C04" w:rsidRPr="000A1E49" w:rsidRDefault="00F50AF9">
            <w:pPr>
              <w:spacing w:before="0" w:after="0"/>
              <w:cnfStyle w:val="000000000000" w:firstRow="0" w:lastRow="0" w:firstColumn="0" w:lastColumn="0" w:oddVBand="0" w:evenVBand="0" w:oddHBand="0" w:evenHBand="0" w:firstRowFirstColumn="0" w:firstRowLastColumn="0" w:lastRowFirstColumn="0" w:lastRowLastColumn="0"/>
            </w:pPr>
            <w:r w:rsidRPr="000A1E49">
              <w:t xml:space="preserve">Does the goal focus on a single species or a whole ecological community? </w:t>
            </w:r>
          </w:p>
        </w:tc>
      </w:tr>
      <w:tr w:rsidR="00017C04" w14:paraId="770C48F7" w14:textId="77777777" w:rsidTr="00AD02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14:paraId="4458E679" w14:textId="77777777" w:rsidR="00017C04" w:rsidRPr="000A1E49" w:rsidRDefault="00017C04" w:rsidP="00C12647">
            <w:pPr>
              <w:widowControl w:val="0"/>
              <w:pBdr>
                <w:top w:val="nil"/>
                <w:left w:val="nil"/>
                <w:bottom w:val="nil"/>
                <w:right w:val="nil"/>
                <w:between w:val="nil"/>
              </w:pBdr>
              <w:spacing w:before="0" w:after="0" w:line="276" w:lineRule="auto"/>
            </w:pPr>
          </w:p>
        </w:tc>
        <w:tc>
          <w:tcPr>
            <w:tcW w:w="7093" w:type="dxa"/>
          </w:tcPr>
          <w:p w14:paraId="218E9C3B" w14:textId="77777777" w:rsidR="00017C04" w:rsidRPr="000A1E49" w:rsidRDefault="00F50AF9">
            <w:pPr>
              <w:spacing w:before="0" w:after="0"/>
              <w:cnfStyle w:val="000000100000" w:firstRow="0" w:lastRow="0" w:firstColumn="0" w:lastColumn="0" w:oddVBand="0" w:evenVBand="0" w:oddHBand="1" w:evenHBand="0" w:firstRowFirstColumn="0" w:firstRowLastColumn="0" w:lastRowFirstColumn="0" w:lastRowLastColumn="0"/>
            </w:pPr>
            <w:r w:rsidRPr="000A1E49">
              <w:t>What area does the goal cover?</w:t>
            </w:r>
          </w:p>
        </w:tc>
      </w:tr>
      <w:tr w:rsidR="00017C04" w14:paraId="7D35B6E3" w14:textId="77777777" w:rsidTr="00AD02AD">
        <w:tc>
          <w:tcPr>
            <w:cnfStyle w:val="001000000000" w:firstRow="0" w:lastRow="0" w:firstColumn="1" w:lastColumn="0" w:oddVBand="0" w:evenVBand="0" w:oddHBand="0" w:evenHBand="0" w:firstRowFirstColumn="0" w:firstRowLastColumn="0" w:lastRowFirstColumn="0" w:lastRowLastColumn="0"/>
            <w:tcW w:w="2376" w:type="dxa"/>
            <w:vMerge/>
          </w:tcPr>
          <w:p w14:paraId="2D581B26" w14:textId="77777777" w:rsidR="00017C04" w:rsidRPr="000A1E49" w:rsidRDefault="00017C04" w:rsidP="00C12647">
            <w:pPr>
              <w:widowControl w:val="0"/>
              <w:pBdr>
                <w:top w:val="nil"/>
                <w:left w:val="nil"/>
                <w:bottom w:val="nil"/>
                <w:right w:val="nil"/>
                <w:between w:val="nil"/>
              </w:pBdr>
              <w:spacing w:before="0" w:after="0" w:line="276" w:lineRule="auto"/>
            </w:pPr>
          </w:p>
        </w:tc>
        <w:tc>
          <w:tcPr>
            <w:tcW w:w="7093" w:type="dxa"/>
          </w:tcPr>
          <w:p w14:paraId="28165E8B" w14:textId="77777777" w:rsidR="00017C04" w:rsidRPr="000A1E49" w:rsidRDefault="00F50AF9">
            <w:pPr>
              <w:spacing w:before="0" w:after="0"/>
              <w:cnfStyle w:val="000000000000" w:firstRow="0" w:lastRow="0" w:firstColumn="0" w:lastColumn="0" w:oddVBand="0" w:evenVBand="0" w:oddHBand="0" w:evenHBand="0" w:firstRowFirstColumn="0" w:firstRowLastColumn="0" w:lastRowFirstColumn="0" w:lastRowLastColumn="0"/>
            </w:pPr>
            <w:r w:rsidRPr="000A1E49">
              <w:t>What does success look like?</w:t>
            </w:r>
          </w:p>
        </w:tc>
      </w:tr>
      <w:tr w:rsidR="00017C04" w14:paraId="50DB5176" w14:textId="77777777" w:rsidTr="00AD02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val="restart"/>
          </w:tcPr>
          <w:p w14:paraId="10B60BBE" w14:textId="77777777" w:rsidR="00017C04" w:rsidRPr="000A1E49" w:rsidRDefault="00F50AF9">
            <w:pPr>
              <w:spacing w:before="0" w:after="0"/>
            </w:pPr>
            <w:r w:rsidRPr="000A1E49">
              <w:t>Pooling resources</w:t>
            </w:r>
          </w:p>
        </w:tc>
        <w:tc>
          <w:tcPr>
            <w:tcW w:w="7093" w:type="dxa"/>
          </w:tcPr>
          <w:p w14:paraId="32ED3371" w14:textId="77777777" w:rsidR="00017C04" w:rsidRPr="000A1E49" w:rsidRDefault="00F50AF9">
            <w:pPr>
              <w:spacing w:before="0" w:after="0"/>
              <w:cnfStyle w:val="000000100000" w:firstRow="0" w:lastRow="0" w:firstColumn="0" w:lastColumn="0" w:oddVBand="0" w:evenVBand="0" w:oddHBand="1" w:evenHBand="0" w:firstRowFirstColumn="0" w:firstRowLastColumn="0" w:lastRowFirstColumn="0" w:lastRowLastColumn="0"/>
            </w:pPr>
            <w:r w:rsidRPr="000A1E49">
              <w:t>What are the asymmetries in the programme?</w:t>
            </w:r>
          </w:p>
        </w:tc>
      </w:tr>
      <w:tr w:rsidR="00017C04" w14:paraId="0F0E7F51" w14:textId="77777777" w:rsidTr="00AD02AD">
        <w:tc>
          <w:tcPr>
            <w:cnfStyle w:val="001000000000" w:firstRow="0" w:lastRow="0" w:firstColumn="1" w:lastColumn="0" w:oddVBand="0" w:evenVBand="0" w:oddHBand="0" w:evenHBand="0" w:firstRowFirstColumn="0" w:firstRowLastColumn="0" w:lastRowFirstColumn="0" w:lastRowLastColumn="0"/>
            <w:tcW w:w="2376" w:type="dxa"/>
            <w:vMerge/>
          </w:tcPr>
          <w:p w14:paraId="08D10CCA" w14:textId="77777777" w:rsidR="00017C04" w:rsidRPr="000A1E49" w:rsidRDefault="00017C04" w:rsidP="00C12647">
            <w:pPr>
              <w:widowControl w:val="0"/>
              <w:pBdr>
                <w:top w:val="nil"/>
                <w:left w:val="nil"/>
                <w:bottom w:val="nil"/>
                <w:right w:val="nil"/>
                <w:between w:val="nil"/>
              </w:pBdr>
              <w:spacing w:before="0" w:after="0" w:line="276" w:lineRule="auto"/>
            </w:pPr>
          </w:p>
        </w:tc>
        <w:tc>
          <w:tcPr>
            <w:tcW w:w="7093" w:type="dxa"/>
          </w:tcPr>
          <w:p w14:paraId="56E44A98" w14:textId="77777777" w:rsidR="00017C04" w:rsidRPr="000A1E49" w:rsidRDefault="00F50AF9">
            <w:pPr>
              <w:spacing w:before="0" w:after="0"/>
              <w:cnfStyle w:val="000000000000" w:firstRow="0" w:lastRow="0" w:firstColumn="0" w:lastColumn="0" w:oddVBand="0" w:evenVBand="0" w:oddHBand="0" w:evenHBand="0" w:firstRowFirstColumn="0" w:firstRowLastColumn="0" w:lastRowFirstColumn="0" w:lastRowLastColumn="0"/>
            </w:pPr>
            <w:r w:rsidRPr="000A1E49">
              <w:t>Who needs support?</w:t>
            </w:r>
          </w:p>
        </w:tc>
      </w:tr>
      <w:tr w:rsidR="00017C04" w14:paraId="0C4ED8C2" w14:textId="77777777" w:rsidTr="00AD02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vMerge/>
          </w:tcPr>
          <w:p w14:paraId="3A36EE97" w14:textId="77777777" w:rsidR="00017C04" w:rsidRPr="000A1E49" w:rsidRDefault="00017C04" w:rsidP="00C12647">
            <w:pPr>
              <w:widowControl w:val="0"/>
              <w:pBdr>
                <w:top w:val="nil"/>
                <w:left w:val="nil"/>
                <w:bottom w:val="nil"/>
                <w:right w:val="nil"/>
                <w:between w:val="nil"/>
              </w:pBdr>
              <w:spacing w:before="0" w:after="0" w:line="276" w:lineRule="auto"/>
            </w:pPr>
          </w:p>
        </w:tc>
        <w:tc>
          <w:tcPr>
            <w:tcW w:w="7093" w:type="dxa"/>
          </w:tcPr>
          <w:p w14:paraId="686BD81E" w14:textId="77777777" w:rsidR="00017C04" w:rsidRPr="000A1E49" w:rsidRDefault="00F50AF9">
            <w:pPr>
              <w:spacing w:before="0" w:after="0"/>
              <w:cnfStyle w:val="000000100000" w:firstRow="0" w:lastRow="0" w:firstColumn="0" w:lastColumn="0" w:oddVBand="0" w:evenVBand="0" w:oddHBand="1" w:evenHBand="0" w:firstRowFirstColumn="0" w:firstRowLastColumn="0" w:lastRowFirstColumn="0" w:lastRowLastColumn="0"/>
            </w:pPr>
            <w:r w:rsidRPr="000A1E49">
              <w:t>How can such support be provided?</w:t>
            </w:r>
          </w:p>
        </w:tc>
      </w:tr>
      <w:tr w:rsidR="00017C04" w14:paraId="6F777CFC" w14:textId="77777777" w:rsidTr="00AD02AD">
        <w:tc>
          <w:tcPr>
            <w:cnfStyle w:val="001000000000" w:firstRow="0" w:lastRow="0" w:firstColumn="1" w:lastColumn="0" w:oddVBand="0" w:evenVBand="0" w:oddHBand="0" w:evenHBand="0" w:firstRowFirstColumn="0" w:firstRowLastColumn="0" w:lastRowFirstColumn="0" w:lastRowLastColumn="0"/>
            <w:tcW w:w="2376" w:type="dxa"/>
            <w:vMerge/>
          </w:tcPr>
          <w:p w14:paraId="47DE467E" w14:textId="77777777" w:rsidR="00017C04" w:rsidRPr="000A1E49" w:rsidRDefault="00017C04" w:rsidP="00C12647">
            <w:pPr>
              <w:widowControl w:val="0"/>
              <w:pBdr>
                <w:top w:val="nil"/>
                <w:left w:val="nil"/>
                <w:bottom w:val="nil"/>
                <w:right w:val="nil"/>
                <w:between w:val="nil"/>
              </w:pBdr>
              <w:spacing w:before="0" w:after="0" w:line="276" w:lineRule="auto"/>
            </w:pPr>
          </w:p>
        </w:tc>
        <w:tc>
          <w:tcPr>
            <w:tcW w:w="7093" w:type="dxa"/>
          </w:tcPr>
          <w:p w14:paraId="35433C92" w14:textId="77777777" w:rsidR="00017C04" w:rsidRPr="000A1E49" w:rsidRDefault="00F50AF9">
            <w:pPr>
              <w:spacing w:before="0" w:after="0"/>
              <w:cnfStyle w:val="000000000000" w:firstRow="0" w:lastRow="0" w:firstColumn="0" w:lastColumn="0" w:oddVBand="0" w:evenVBand="0" w:oddHBand="0" w:evenHBand="0" w:firstRowFirstColumn="0" w:firstRowLastColumn="0" w:lastRowFirstColumn="0" w:lastRowLastColumn="0"/>
            </w:pPr>
            <w:r w:rsidRPr="000A1E49">
              <w:t>Where will resources come from over the short and long term?</w:t>
            </w:r>
          </w:p>
        </w:tc>
      </w:tr>
      <w:tr w:rsidR="00017C04" w14:paraId="69020AF8" w14:textId="77777777" w:rsidTr="00C126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vMerge w:val="restart"/>
            <w:shd w:val="clear" w:color="auto" w:fill="auto"/>
          </w:tcPr>
          <w:p w14:paraId="5602C87B" w14:textId="77777777" w:rsidR="00017C04" w:rsidRPr="000A1E49" w:rsidRDefault="00F50AF9">
            <w:pPr>
              <w:spacing w:before="0" w:after="0"/>
            </w:pPr>
            <w:r w:rsidRPr="000A1E49">
              <w:t>Coordination</w:t>
            </w:r>
          </w:p>
        </w:tc>
        <w:tc>
          <w:tcPr>
            <w:tcW w:w="0" w:type="dxa"/>
          </w:tcPr>
          <w:p w14:paraId="43D1F71E" w14:textId="77777777" w:rsidR="00017C04" w:rsidRPr="000A1E49" w:rsidRDefault="00F50AF9">
            <w:pPr>
              <w:spacing w:before="0" w:after="0"/>
              <w:cnfStyle w:val="000000100000" w:firstRow="0" w:lastRow="0" w:firstColumn="0" w:lastColumn="0" w:oddVBand="0" w:evenVBand="0" w:oddHBand="1" w:evenHBand="0" w:firstRowFirstColumn="0" w:firstRowLastColumn="0" w:lastRowFirstColumn="0" w:lastRowLastColumn="0"/>
            </w:pPr>
            <w:r w:rsidRPr="000A1E49">
              <w:t>How can disparate efforts be connected?</w:t>
            </w:r>
          </w:p>
        </w:tc>
      </w:tr>
      <w:tr w:rsidR="00017C04" w14:paraId="21899E92" w14:textId="77777777" w:rsidTr="00C12647">
        <w:tc>
          <w:tcPr>
            <w:cnfStyle w:val="001000000000" w:firstRow="0" w:lastRow="0" w:firstColumn="1" w:lastColumn="0" w:oddVBand="0" w:evenVBand="0" w:oddHBand="0" w:evenHBand="0" w:firstRowFirstColumn="0" w:firstRowLastColumn="0" w:lastRowFirstColumn="0" w:lastRowLastColumn="0"/>
            <w:tcW w:w="0" w:type="dxa"/>
            <w:vMerge/>
            <w:shd w:val="clear" w:color="auto" w:fill="auto"/>
          </w:tcPr>
          <w:p w14:paraId="0E6BBA77" w14:textId="77777777" w:rsidR="00017C04" w:rsidRPr="000A1E49" w:rsidRDefault="00017C04" w:rsidP="00C12647">
            <w:pPr>
              <w:widowControl w:val="0"/>
              <w:pBdr>
                <w:top w:val="nil"/>
                <w:left w:val="nil"/>
                <w:bottom w:val="nil"/>
                <w:right w:val="nil"/>
                <w:between w:val="nil"/>
              </w:pBdr>
              <w:spacing w:before="0" w:after="0" w:line="276" w:lineRule="auto"/>
            </w:pPr>
          </w:p>
        </w:tc>
        <w:tc>
          <w:tcPr>
            <w:tcW w:w="0" w:type="dxa"/>
          </w:tcPr>
          <w:p w14:paraId="55DD300F" w14:textId="77777777" w:rsidR="00017C04" w:rsidRPr="000A1E49" w:rsidRDefault="00F50AF9">
            <w:pPr>
              <w:spacing w:before="0" w:after="0"/>
              <w:cnfStyle w:val="000000000000" w:firstRow="0" w:lastRow="0" w:firstColumn="0" w:lastColumn="0" w:oddVBand="0" w:evenVBand="0" w:oddHBand="0" w:evenHBand="0" w:firstRowFirstColumn="0" w:firstRowLastColumn="0" w:lastRowFirstColumn="0" w:lastRowLastColumn="0"/>
            </w:pPr>
            <w:r w:rsidRPr="000A1E49">
              <w:t>Who will make the connections?</w:t>
            </w:r>
          </w:p>
        </w:tc>
      </w:tr>
      <w:tr w:rsidR="00017C04" w14:paraId="39C5B3A2" w14:textId="77777777" w:rsidTr="00C126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vMerge/>
            <w:shd w:val="clear" w:color="auto" w:fill="auto"/>
          </w:tcPr>
          <w:p w14:paraId="379508D4" w14:textId="77777777" w:rsidR="00017C04" w:rsidRPr="000A1E49" w:rsidRDefault="00017C04" w:rsidP="00C12647">
            <w:pPr>
              <w:widowControl w:val="0"/>
              <w:pBdr>
                <w:top w:val="nil"/>
                <w:left w:val="nil"/>
                <w:bottom w:val="nil"/>
                <w:right w:val="nil"/>
                <w:between w:val="nil"/>
              </w:pBdr>
              <w:spacing w:before="0" w:after="0" w:line="276" w:lineRule="auto"/>
            </w:pPr>
          </w:p>
        </w:tc>
        <w:tc>
          <w:tcPr>
            <w:tcW w:w="0" w:type="dxa"/>
          </w:tcPr>
          <w:p w14:paraId="6B8072EC" w14:textId="77777777" w:rsidR="00017C04" w:rsidRPr="000A1E49" w:rsidRDefault="00F50AF9">
            <w:pPr>
              <w:spacing w:before="0" w:after="0"/>
              <w:cnfStyle w:val="000000100000" w:firstRow="0" w:lastRow="0" w:firstColumn="0" w:lastColumn="0" w:oddVBand="0" w:evenVBand="0" w:oddHBand="1" w:evenHBand="0" w:firstRowFirstColumn="0" w:firstRowLastColumn="0" w:lastRowFirstColumn="0" w:lastRowLastColumn="0"/>
            </w:pPr>
            <w:r w:rsidRPr="000A1E49">
              <w:t>What support can be provided across initiatives?</w:t>
            </w:r>
          </w:p>
        </w:tc>
      </w:tr>
      <w:tr w:rsidR="00017C04" w14:paraId="0844BC7E" w14:textId="77777777" w:rsidTr="00C12647">
        <w:tc>
          <w:tcPr>
            <w:cnfStyle w:val="001000000000" w:firstRow="0" w:lastRow="0" w:firstColumn="1" w:lastColumn="0" w:oddVBand="0" w:evenVBand="0" w:oddHBand="0" w:evenHBand="0" w:firstRowFirstColumn="0" w:firstRowLastColumn="0" w:lastRowFirstColumn="0" w:lastRowLastColumn="0"/>
            <w:tcW w:w="0" w:type="dxa"/>
            <w:vMerge/>
            <w:shd w:val="clear" w:color="auto" w:fill="auto"/>
          </w:tcPr>
          <w:p w14:paraId="708916E7" w14:textId="77777777" w:rsidR="00017C04" w:rsidRPr="000A1E49" w:rsidRDefault="00017C04" w:rsidP="00C12647">
            <w:pPr>
              <w:widowControl w:val="0"/>
              <w:pBdr>
                <w:top w:val="nil"/>
                <w:left w:val="nil"/>
                <w:bottom w:val="nil"/>
                <w:right w:val="nil"/>
                <w:between w:val="nil"/>
              </w:pBdr>
              <w:spacing w:before="0" w:after="0" w:line="276" w:lineRule="auto"/>
            </w:pPr>
          </w:p>
        </w:tc>
        <w:tc>
          <w:tcPr>
            <w:tcW w:w="0" w:type="dxa"/>
          </w:tcPr>
          <w:p w14:paraId="56409FF1" w14:textId="77777777" w:rsidR="00017C04" w:rsidRPr="000A1E49" w:rsidRDefault="00F50AF9">
            <w:pPr>
              <w:spacing w:before="0" w:after="0"/>
              <w:cnfStyle w:val="000000000000" w:firstRow="0" w:lastRow="0" w:firstColumn="0" w:lastColumn="0" w:oddVBand="0" w:evenVBand="0" w:oddHBand="0" w:evenHBand="0" w:firstRowFirstColumn="0" w:firstRowLastColumn="0" w:lastRowFirstColumn="0" w:lastRowLastColumn="0"/>
            </w:pPr>
            <w:r w:rsidRPr="000A1E49">
              <w:t>How will gaps be filled?</w:t>
            </w:r>
          </w:p>
        </w:tc>
      </w:tr>
    </w:tbl>
    <w:p w14:paraId="4FFFDC61" w14:textId="2D5CD581" w:rsidR="00017C04" w:rsidRDefault="00F50AF9" w:rsidP="00C12647">
      <w:pPr>
        <w:pStyle w:val="Heading3"/>
        <w:ind w:left="720"/>
      </w:pPr>
      <w:bookmarkStart w:id="429" w:name="_heading=h.3oy7u29" w:colFirst="0" w:colLast="0"/>
      <w:bookmarkStart w:id="430" w:name="_Toc133428332"/>
      <w:bookmarkStart w:id="431" w:name="_Toc938061273"/>
      <w:bookmarkEnd w:id="429"/>
      <w:r>
        <w:t>Applications of network analysis to support adaptive-collaborative governance</w:t>
      </w:r>
      <w:bookmarkEnd w:id="430"/>
      <w:r>
        <w:t xml:space="preserve"> </w:t>
      </w:r>
      <w:bookmarkEnd w:id="431"/>
    </w:p>
    <w:p w14:paraId="25B64E54" w14:textId="6274C933" w:rsidR="00017C04" w:rsidRDefault="00F50AF9">
      <w:r>
        <w:t xml:space="preserve">Network analysis of governance structures and stakeholders is useful for understanding and improving cooperation, coordination and information flows across a large number of actors and organizations engaged in biosecurity. As an example, in Australia, there is a “recognition that government players are neither resourced sufficiently to fill all required roles and responsibilities, nor necessarily the most capable of filling all roles…biosecurity now turns to multiple purpose networks that seek to mesh diverse tasks such as surveillance, policy development, response to </w:t>
      </w:r>
      <w:r>
        <w:lastRenderedPageBreak/>
        <w:t xml:space="preserve">incursion, awareness building, and research and development” </w:t>
      </w:r>
      <w:r w:rsidR="001B2938" w:rsidRPr="00A9434B">
        <w:rPr>
          <w:iCs/>
        </w:rPr>
        <w:fldChar w:fldCharType="begin"/>
      </w:r>
      <w:r w:rsidR="002D2756">
        <w:rPr>
          <w:iCs/>
        </w:rPr>
        <w:instrText xml:space="preserve"> ADDIN ZOTERO_ITEM CSL_CITATION {"citationID":"a2irqp83lo","properties":{"formattedCitation":"(McAllister et al., 2020)","plainCitation":"(McAllister et al., 2020)","noteIndex":0},"citationItems":[{"id":27087,"uris":["http://zotero.org/groups/2352922/items/HSEJKAXS","http://zotero.org/groups/2352922/items/Q8M8CBR8"],"itemData":{"id":27087,"type":"article-journal","abstract":"The structure of stakeholder networks impacts the ability for environmental governance to fulfil core functions: share information; agree on problem framing and actions; and resolve conflict. Managing pest and disease incursions presents particular challenges. Rapid coordination of action is needed in times of crisis, but any hope of success during crisis requires a foundation of ongoing communication and surveillance. Recent Australian strategic planning for marine biosecurity identified the critical role of an independent national marine pest network in providing ongoing communication. We surveyed stakeholders in the existing marine pest network to map how they share information. Constructing a multilevel, directed network, with 304 organizations and 12 policy forums, we applied statistical network theory to identify which subnetwork configuration patterns were present more or less than by chance. We mapped configurations against how they shape the network’s propensity for information sharing. What we found was a marine pest network with a predisposition for bridging; evidence of hubs for both provision and receiving of information; and organizations reporting greater levels of information provision to others compared to receiving information. Our assessment is that the network is well structured for top-down information provision, but that a more sustainable network will require attention to building two-way communication particularly with community groups.","container-title":"Ecology and Society","DOI":"10.5751/ES-11583-250318","ISSN":"1708-3087","issue":"3","journalAbbreviation":"E&amp;S","language":"en","page":"art18","source":"DOI.org (Crossref)","title":"Multilevel stakeholder networks for Australian marine biosecurity: well-structured for top-down information provision, requires better two-way communication","title-short":"Multilevel stakeholder networks for Australian marine biosecurity","URL":"https://www.ecologyandsociety.org/vol25/iss3/art18/","volume":"25","author":[{"family":"McAllister","given":"Ryan R. J."},{"family":"Kruger","given":"Heleen"},{"family":"Stenekes","given":"Nyree"},{"family":"Garrard","given":"Robert"}],"accessed":{"date-parts":[["2021",6,17]]},"issued":{"date-parts":[["2020"]]}},"label":"page"}],"schema":"https://github.com/citation-style-language/schema/raw/master/csl-citation.json"} </w:instrText>
      </w:r>
      <w:r w:rsidR="001B2938" w:rsidRPr="00A9434B">
        <w:rPr>
          <w:iCs/>
        </w:rPr>
        <w:fldChar w:fldCharType="separate"/>
      </w:r>
      <w:r w:rsidR="00E452E2" w:rsidRPr="00E452E2">
        <w:t>(McAllister et al., 2020)</w:t>
      </w:r>
      <w:r w:rsidR="001B2938" w:rsidRPr="00A9434B">
        <w:rPr>
          <w:iCs/>
        </w:rPr>
        <w:fldChar w:fldCharType="end"/>
      </w:r>
      <w:r w:rsidR="001B2938" w:rsidRPr="00A9434B">
        <w:rPr>
          <w:iCs/>
        </w:rPr>
        <w:t>.</w:t>
      </w:r>
      <w:r>
        <w:t xml:space="preserve"> An </w:t>
      </w:r>
      <w:r w:rsidR="00115F9B">
        <w:t xml:space="preserve">independent marine pest network </w:t>
      </w:r>
      <w:r>
        <w:t>was formed to provide continuous communication for surveillance and rapid response (i.e., a “suite of organizational interactions that emerge around the Government’s Marine Pest Sectoral Committee”), and includes scientists, industry</w:t>
      </w:r>
      <w:r w:rsidR="00EB415D">
        <w:t xml:space="preserve"> and</w:t>
      </w:r>
      <w:r>
        <w:t xml:space="preserve"> members of the public. The </w:t>
      </w:r>
      <w:r w:rsidR="00115F9B">
        <w:t>n</w:t>
      </w:r>
      <w:r>
        <w:t xml:space="preserve">etwork is focused on communication, surveillance and engagement but does not manage incursions. Social network analysis showed that the “network is well-structured for information dissemination and there is evidence that nongovernment actors already play some role in integrating and brokering information”, however, improvement is required, as it was found that, while information is provided to the community, there is a “near absence of ties for receiving information from the community” </w:t>
      </w:r>
      <w:r w:rsidR="00115F9B" w:rsidRPr="00A9434B">
        <w:rPr>
          <w:iCs/>
        </w:rPr>
        <w:fldChar w:fldCharType="begin"/>
      </w:r>
      <w:r w:rsidR="002D2756">
        <w:rPr>
          <w:iCs/>
        </w:rPr>
        <w:instrText xml:space="preserve"> ADDIN ZOTERO_ITEM CSL_CITATION {"citationID":"09pBP70L","properties":{"formattedCitation":"(McAllister et al., 2020)","plainCitation":"(McAllister et al., 2020)","noteIndex":0},"citationItems":[{"id":27087,"uris":["http://zotero.org/groups/2352922/items/HSEJKAXS","http://zotero.org/groups/2352922/items/Q8M8CBR8"],"itemData":{"id":27087,"type":"article-journal","abstract":"The structure of stakeholder networks impacts the ability for environmental governance to fulfil core functions: share information; agree on problem framing and actions; and resolve conflict. Managing pest and disease incursions presents particular challenges. Rapid coordination of action is needed in times of crisis, but any hope of success during crisis requires a foundation of ongoing communication and surveillance. Recent Australian strategic planning for marine biosecurity identified the critical role of an independent national marine pest network in providing ongoing communication. We surveyed stakeholders in the existing marine pest network to map how they share information. Constructing a multilevel, directed network, with 304 organizations and 12 policy forums, we applied statistical network theory to identify which subnetwork configuration patterns were present more or less than by chance. We mapped configurations against how they shape the network’s propensity for information sharing. What we found was a marine pest network with a predisposition for bridging; evidence of hubs for both provision and receiving of information; and organizations reporting greater levels of information provision to others compared to receiving information. Our assessment is that the network is well structured for top-down information provision, but that a more sustainable network will require attention to building two-way communication particularly with community groups.","container-title":"Ecology and Society","DOI":"10.5751/ES-11583-250318","ISSN":"1708-3087","issue":"3","journalAbbreviation":"E&amp;S","language":"en","page":"art18","source":"DOI.org (Crossref)","title":"Multilevel stakeholder networks for Australian marine biosecurity: well-structured for top-down information provision, requires better two-way communication","title-short":"Multilevel stakeholder networks for Australian marine biosecurity","URL":"https://www.ecologyandsociety.org/vol25/iss3/art18/","volume":"25","author":[{"family":"McAllister","given":"Ryan R. J."},{"family":"Kruger","given":"Heleen"},{"family":"Stenekes","given":"Nyree"},{"family":"Garrard","given":"Robert"}],"accessed":{"date-parts":[["2021",6,17]]},"issued":{"date-parts":[["2020"]]}},"label":"page"}],"schema":"https://github.com/citation-style-language/schema/raw/master/csl-citation.json"} </w:instrText>
      </w:r>
      <w:r w:rsidR="00115F9B" w:rsidRPr="00A9434B">
        <w:rPr>
          <w:iCs/>
        </w:rPr>
        <w:fldChar w:fldCharType="separate"/>
      </w:r>
      <w:r w:rsidR="00115F9B" w:rsidRPr="00E452E2">
        <w:t>(McAllister et al., 2020)</w:t>
      </w:r>
      <w:r w:rsidR="00115F9B" w:rsidRPr="00A9434B">
        <w:rPr>
          <w:iCs/>
        </w:rPr>
        <w:fldChar w:fldCharType="end"/>
      </w:r>
      <w:r w:rsidR="00115F9B">
        <w:rPr>
          <w:iCs/>
        </w:rPr>
        <w:t>.</w:t>
      </w:r>
    </w:p>
    <w:p w14:paraId="5DE7C53B" w14:textId="24644C5D" w:rsidR="00017C04" w:rsidRDefault="00F50AF9">
      <w:r w:rsidRPr="00AD02AD">
        <w:rPr>
          <w:color w:val="000000" w:themeColor="text1"/>
        </w:rPr>
        <w:t>Adaptive-collaborative governance thus</w:t>
      </w:r>
      <w:r>
        <w:t xml:space="preserve"> involves multi-level and multi-actor coordination and collaboration based on knowledge and disciplinary integration, experimentation, monitoring, the use of the best available technology</w:t>
      </w:r>
      <w:r w:rsidR="00EB415D">
        <w:t xml:space="preserve"> and</w:t>
      </w:r>
      <w:r>
        <w:t xml:space="preserve"> social learning </w:t>
      </w:r>
      <w:r w:rsidR="009E48C2" w:rsidRPr="00A9434B">
        <w:fldChar w:fldCharType="begin"/>
      </w:r>
      <w:r w:rsidR="0006613E">
        <w:instrText xml:space="preserve"> ADDIN ZOTERO_ITEM CSL_CITATION {"citationID":"a19b9qfkgib","properties":{"formattedCitation":"\\uldash{(Kirkfeldt, 2019)}","plainCitation":"(Kirkfeldt, 2019)","dontUpdate":true,"noteIndex":0},"citationItems":[{"id":11732,"uris":["http://zotero.org/groups/2352922/items/MVACVH3T"],"itemData":{"id":11732,"type":"article-journal","abstract":"The need for management approaches based on ecosystem perspectives that thoroughly incorporate ecosystem considerations into marine planning has become increasingly urgent. In response, concepts such as ecosystembased management (EBM), ecosystem-based approach (EBA) and ecosystem approach (EA) are increasingly being applied in marine/maritime spatial planning (MSP). The purpose of this article is to clarify potential diﬀerences and similarities between the three concepts and potential consequences of choosing one over the others. From a questionnaire and literature analysis, the ﬁndings showed vast disagreements on how the concepts are related, however the main perception is that the concepts overlap. Respondents agreed that a lack of clear deﬁnitions and understandings of the three concepts causes confusion and expect negative consequences for planning outcomes. Eleven principles for how the concepts are ideally performed were found, including; acknowledge interlinkages, see humans as a part of the ecosystem and consider cumulative impacts. While a complete overlap between EBM and EA principles were found, the weighting of each principle was diﬀerent for each concept. Diﬀerences were also found in objectives of the concepts, where deﬁnitions of EBM were the only ones to include the objective of co-existence and deﬁnitions of EBA the only to include objectives of impact management and good environmental status. As this could have consequences in planning processes and thus in the outcomes, it is crucial that MSP practitioners and stakeholders are aware of diﬀerent perceptions so that choosing between concepts does not lead to less ambitious or inadequate outcomes.","container-title":"Marine Policy","DOI":"10.1016/j.marpol.2019.103541","ISSN":"0308597X","journalAbbreviation":"Marine Policy","language":"en","page":"103541","source":"DOI.org (Crossref)","title":"An ocean of concepts: Why choosing between ecosystem-based management, ecosystem-based approach and ecosystem approach makes a difference","title-short":"An ocean of concepts","URL":"https://linkinghub.elsevier.com/retrieve/pii/S0308597X18309655","volume":"106","author":[{"family":"Kirkfeldt","given":"Trine Skovgaard"}],"accessed":{"date-parts":[["2020",6,16]]},"issued":{"date-parts":[["2019",8]]}},"label":"page"}],"schema":"https://github.com/citation-style-language/schema/raw/master/csl-citation.json"} </w:instrText>
      </w:r>
      <w:r w:rsidR="009E48C2" w:rsidRPr="00A9434B">
        <w:fldChar w:fldCharType="separate"/>
      </w:r>
      <w:r w:rsidR="00FE2905" w:rsidRPr="00A9434B">
        <w:t>(Kirkfeldt, 2019</w:t>
      </w:r>
      <w:r w:rsidR="009E48C2" w:rsidRPr="00A9434B">
        <w:fldChar w:fldCharType="end"/>
      </w:r>
      <w:r w:rsidR="0034340B" w:rsidRPr="00A9434B">
        <w:t>;</w:t>
      </w:r>
      <w:r>
        <w:t xml:space="preserve"> </w:t>
      </w:r>
      <w:r>
        <w:rPr>
          <w:b/>
        </w:rPr>
        <w:t>section 6.2.3.1(4)</w:t>
      </w:r>
      <w:r>
        <w:t xml:space="preserve">). Many frameworks have been developed that explicitly consider the interactions between social and ecological systems. Not all frameworks, however, give equal emphasis to humans and ecosystems or their dynamic interactions </w:t>
      </w:r>
      <w:r w:rsidR="009E48C2" w:rsidRPr="00A9434B">
        <w:fldChar w:fldCharType="begin"/>
      </w:r>
      <w:r w:rsidR="0006613E">
        <w:instrText xml:space="preserve"> ADDIN ZOTERO_ITEM CSL_CITATION {"citationID":"a1d8qhstgo5","properties":{"formattedCitation":"(Binder et al., 2013)","plainCitation":"(Binder et al., 2013)","noteIndex":0},"citationItems":[{"id":11724,"uris":["http://zotero.org/groups/2352922/items/LJHQN34J"],"itemData":{"id":11724,"type":"article-journal","abstract":"In this paper we compare 10 established frameworks for analyzing social-ecological systems. We limited ourselves to frameworks that were explicitly designed to be used by a wider community of researchers and practitioners. Although all these frameworks seem to have emerged from the need for concepts that permit structured, interdisciplinary reasoning about complex problems in social-ecological systems, they differ significantly with respect to contextual and structural criteria, such as conceptualization of the ecological and social systems and their interrelation. It appears that three main criteria suffice to produce a classification of frameworks that may be used as a decision tree when choosing a framework for analysis. These criteria are (i) whether a framework conceptualizes the relationship between the social and ecological systems as being uni- or bidirectional; (ii) whether it takes an anthropocentric or an ecocentric perspective on the ecological system; and (iii) whether it is an action-oriented or an analysis-oriented framework.","container-title":"Ecology and Society","DOI":"10.5751/ES-05551-180426","ISSN":"1708-3087","issue":"4","journalAbbreviation":"E&amp;S","language":"en","page":"art26","source":"DOI.org (Crossref)","title":"Comparison of Frameworks for Analyzing Social-ecological Systems","URL":"http://www.ecologyandsociety.org/vol18/iss4/art26/","volume":"18","author":[{"family":"Binder","given":"Claudia R."},{"family":"Hinkel","given":"Jochen"},{"family":"Bots","given":"Pieter W. G."},{"family":"Pahl-Wostl","given":"Claudia"}],"accessed":{"date-parts":[["2020",6,18]]},"issued":{"date-parts":[["2013"]]}},"label":"page"}],"schema":"https://github.com/citation-style-language/schema/raw/master/csl-citation.json"} </w:instrText>
      </w:r>
      <w:r w:rsidR="009E48C2" w:rsidRPr="00A9434B">
        <w:fldChar w:fldCharType="separate"/>
      </w:r>
      <w:r w:rsidR="00C71E80" w:rsidRPr="00A9434B">
        <w:t>(Binder et al., 2013)</w:t>
      </w:r>
      <w:r w:rsidR="009E48C2" w:rsidRPr="00A9434B">
        <w:fldChar w:fldCharType="end"/>
      </w:r>
      <w:r w:rsidR="009E48C2" w:rsidRPr="00A9434B">
        <w:t>.</w:t>
      </w:r>
      <w:r>
        <w:t xml:space="preserve"> Those that do, insist that involving stakeholders in collaborative environmental governance of such systems is imperative. Some of these approaches focus on networks of human-ecological interdependencies either within bounded geographical areas or, more often, across geographical barriers or boundaries and governance realms. This includes, for example, marine protected networks that usually involve large geographic areas, ecological connectivity, and many different government agencies and stakeholder and Indigenous Peoples and local communities groups </w:t>
      </w:r>
      <w:r w:rsidR="009E48C2" w:rsidRPr="00A9434B">
        <w:fldChar w:fldCharType="begin"/>
      </w:r>
      <w:r w:rsidR="0006613E">
        <w:instrText xml:space="preserve"> ADDIN ZOTERO_ITEM CSL_CITATION {"citationID":"ae1fm42u3m","properties":{"formattedCitation":"(S. M. Alexander et al., 2017)","plainCitation":"(S. M. Alexander et al., 2017)","noteIndex":0},"citationItems":[{"id":23521,"uris":["http://zotero.org/groups/2352922/items/564CDJ5C"],"itemData":{"id":23521,"type":"article-journal","container-title":"Aquatic Conservation: Marine and Freshwater Ecosystems","DOI":"10.1002/aqc.2775","ISSN":"10527613","issue":"6","journalAbbreviation":"Aquatic Conserv: Mar Freshw Ecosyst","language":"en","page":"1209-1223","source":"DOI.org (Crossref)","title":"Examining horizontal and vertical social ties to achieve social-ecological fit in an emerging marine reserve network","URL":"http://doi.wiley.com/10.1002/aqc.2775","volume":"27","author":[{"family":"Alexander","given":"Steven M."},{"family":"Armitage","given":"Derek"},{"family":"Carrington","given":"Peter J."},{"family":"Bodin","given":"Örjan"}],"accessed":{"date-parts":[["2019",11,28]]},"issued":{"date-parts":[["2017",12]]}},"label":"page"}],"schema":"https://github.com/citation-style-language/schema/raw/master/csl-citation.json"} </w:instrText>
      </w:r>
      <w:r w:rsidR="009E48C2" w:rsidRPr="00A9434B">
        <w:fldChar w:fldCharType="separate"/>
      </w:r>
      <w:r w:rsidR="00C71E80" w:rsidRPr="00A9434B">
        <w:t>(S. M. Alexander et al., 2017)</w:t>
      </w:r>
      <w:r w:rsidR="009E48C2" w:rsidRPr="00A9434B">
        <w:fldChar w:fldCharType="end"/>
      </w:r>
      <w:r w:rsidR="009E48C2" w:rsidRPr="00A9434B">
        <w:t>.</w:t>
      </w:r>
      <w:r>
        <w:t xml:space="preserve"> </w:t>
      </w:r>
    </w:p>
    <w:p w14:paraId="1F8644AC" w14:textId="485F49FF" w:rsidR="00017C04" w:rsidRDefault="00F50AF9">
      <w:r>
        <w:t>Network analysis may be used to examine both the “fit” between governance and ecological scales and processes</w:t>
      </w:r>
      <w:r w:rsidR="00EB415D">
        <w:t xml:space="preserve"> and</w:t>
      </w:r>
      <w:r>
        <w:t xml:space="preserve"> the need to achieve coordination and collaboration among a large number of government agencies and stakeholders. Multilevel horizontal and vertical governance ties bring actors together to form multilevel (local to national) networks to coordinate, collaborate</w:t>
      </w:r>
      <w:r w:rsidR="00EB415D">
        <w:t xml:space="preserve"> and</w:t>
      </w:r>
      <w:r>
        <w:t xml:space="preserve"> share knowledge that is needed, e.g., to address </w:t>
      </w:r>
      <w:r w:rsidR="00115F9B">
        <w:t xml:space="preserve">a </w:t>
      </w:r>
      <w:r>
        <w:t xml:space="preserve">lionfish invasion in Jamaica’s marine protected areas </w:t>
      </w:r>
      <w:r w:rsidR="009E48C2" w:rsidRPr="00A9434B">
        <w:t>(</w:t>
      </w:r>
      <w:r w:rsidR="00B9562C" w:rsidRPr="00673554">
        <w:rPr>
          <w:b/>
          <w:iCs/>
        </w:rPr>
        <w:fldChar w:fldCharType="begin"/>
      </w:r>
      <w:r w:rsidR="00B9562C" w:rsidRPr="00673554">
        <w:rPr>
          <w:b/>
          <w:iCs/>
        </w:rPr>
        <w:instrText xml:space="preserve"> REF _Ref104898788 \h  \* MERGEFORMAT </w:instrText>
      </w:r>
      <w:r w:rsidR="00B9562C" w:rsidRPr="00673554">
        <w:rPr>
          <w:b/>
          <w:iCs/>
        </w:rPr>
      </w:r>
      <w:r w:rsidR="00B9562C" w:rsidRPr="00673554">
        <w:rPr>
          <w:b/>
          <w:iCs/>
        </w:rPr>
        <w:fldChar w:fldCharType="separate"/>
      </w:r>
      <w:r w:rsidR="0011368C" w:rsidRPr="00673554">
        <w:rPr>
          <w:b/>
          <w:iCs/>
        </w:rPr>
        <w:t>Box 6.16</w:t>
      </w:r>
      <w:r w:rsidR="00B9562C" w:rsidRPr="00673554">
        <w:rPr>
          <w:b/>
          <w:iCs/>
        </w:rPr>
        <w:fldChar w:fldCharType="end"/>
      </w:r>
      <w:r w:rsidR="009E48C2" w:rsidRPr="00A9434B">
        <w:t>).</w:t>
      </w:r>
      <w:r>
        <w:t xml:space="preserve"> Another example of how collaborative governance networks can be established to achieve greater ecological and governance fit is presented by network administrative organization-led coordination of </w:t>
      </w:r>
      <w:r>
        <w:rPr>
          <w:i/>
        </w:rPr>
        <w:t>Phragmites australis</w:t>
      </w:r>
      <w:r>
        <w:t xml:space="preserve"> (common reed) management in the Great Lakes, United States </w:t>
      </w:r>
      <w:r w:rsidR="00894215" w:rsidRPr="00A9434B">
        <w:t>(</w:t>
      </w:r>
      <w:r w:rsidR="00894215" w:rsidRPr="00673554">
        <w:rPr>
          <w:b/>
          <w:iCs/>
        </w:rPr>
        <w:fldChar w:fldCharType="begin"/>
      </w:r>
      <w:r w:rsidR="00894215" w:rsidRPr="00673554">
        <w:rPr>
          <w:b/>
          <w:iCs/>
        </w:rPr>
        <w:instrText xml:space="preserve"> REF _Ref104898788 \h  \* MERGEFORMAT </w:instrText>
      </w:r>
      <w:r w:rsidR="00894215" w:rsidRPr="00673554">
        <w:rPr>
          <w:b/>
          <w:iCs/>
        </w:rPr>
      </w:r>
      <w:r w:rsidR="00894215" w:rsidRPr="00673554">
        <w:rPr>
          <w:b/>
          <w:iCs/>
        </w:rPr>
        <w:fldChar w:fldCharType="separate"/>
      </w:r>
      <w:r w:rsidR="0011368C" w:rsidRPr="00673554">
        <w:rPr>
          <w:b/>
          <w:iCs/>
        </w:rPr>
        <w:t>Box 6.16</w:t>
      </w:r>
      <w:r w:rsidR="00894215" w:rsidRPr="00673554">
        <w:rPr>
          <w:b/>
          <w:iCs/>
        </w:rPr>
        <w:fldChar w:fldCharType="end"/>
      </w:r>
      <w:r w:rsidR="009E48C2" w:rsidRPr="00A9434B">
        <w:t>).</w:t>
      </w:r>
    </w:p>
    <w:p w14:paraId="7D0544F6" w14:textId="3E3E0406" w:rsidR="00017C04" w:rsidRDefault="00F50AF9" w:rsidP="00AD02AD">
      <w:pPr>
        <w:pStyle w:val="Caption"/>
        <w:pBdr>
          <w:top w:val="single" w:sz="4" w:space="1" w:color="auto"/>
          <w:left w:val="single" w:sz="4" w:space="4" w:color="auto"/>
          <w:bottom w:val="single" w:sz="4" w:space="1" w:color="auto"/>
          <w:right w:val="single" w:sz="4" w:space="4" w:color="auto"/>
        </w:pBdr>
        <w:shd w:val="clear" w:color="auto" w:fill="E7E6E6" w:themeFill="background2"/>
      </w:pPr>
      <w:bookmarkStart w:id="432" w:name="_heading=h.243i4a2"/>
      <w:bookmarkStart w:id="433" w:name="_Ref104898788"/>
      <w:bookmarkStart w:id="434" w:name="_Toc147418625"/>
      <w:bookmarkEnd w:id="432"/>
      <w:r w:rsidRPr="00AD02AD">
        <w:rPr>
          <w:bCs w:val="0"/>
        </w:rPr>
        <w:t>Box 6</w:t>
      </w:r>
      <w:r w:rsidR="00A61EAD" w:rsidRPr="00A9434B">
        <w:t>.</w:t>
      </w:r>
      <w:r w:rsidR="007C7AC3">
        <w:fldChar w:fldCharType="begin"/>
      </w:r>
      <w:r w:rsidR="007C7AC3">
        <w:instrText xml:space="preserve"> SEQ Box_6. \* ARABIC </w:instrText>
      </w:r>
      <w:r w:rsidR="007C7AC3">
        <w:fldChar w:fldCharType="separate"/>
      </w:r>
      <w:r w:rsidR="0011368C">
        <w:rPr>
          <w:noProof/>
        </w:rPr>
        <w:t>16</w:t>
      </w:r>
      <w:r w:rsidR="007C7AC3">
        <w:rPr>
          <w:noProof/>
        </w:rPr>
        <w:fldChar w:fldCharType="end"/>
      </w:r>
      <w:bookmarkEnd w:id="433"/>
      <w:r w:rsidR="00D82E20" w:rsidRPr="00A9434B">
        <w:t>.</w:t>
      </w:r>
      <w:r w:rsidRPr="00AD02AD">
        <w:t xml:space="preserve"> Two examples of network analysis and adaptive-collaborative governance to strengthen the prevention and control of</w:t>
      </w:r>
      <w:r w:rsidR="00C12647">
        <w:t xml:space="preserve"> </w:t>
      </w:r>
      <w:r w:rsidR="00AD02AD">
        <w:t>invasive alien species</w:t>
      </w:r>
      <w:bookmarkEnd w:id="434"/>
    </w:p>
    <w:p w14:paraId="4E338056" w14:textId="6592CB42" w:rsidR="00017C04" w:rsidRPr="00C12647" w:rsidRDefault="00F50AF9" w:rsidP="00AD02AD">
      <w:pPr>
        <w:pStyle w:val="Caption"/>
        <w:pBdr>
          <w:top w:val="single" w:sz="4" w:space="1" w:color="auto"/>
          <w:left w:val="single" w:sz="4" w:space="4" w:color="auto"/>
          <w:bottom w:val="single" w:sz="4" w:space="1" w:color="auto"/>
          <w:right w:val="single" w:sz="4" w:space="4" w:color="auto"/>
        </w:pBdr>
        <w:shd w:val="clear" w:color="auto" w:fill="E7E6E6" w:themeFill="background2"/>
        <w:rPr>
          <w:i/>
          <w:color w:val="000000"/>
        </w:rPr>
      </w:pPr>
      <w:r w:rsidRPr="00C12647">
        <w:rPr>
          <w:color w:val="000000"/>
        </w:rPr>
        <w:t xml:space="preserve">(1) Horizontal and vertical governance ties to achieve social–ecological fit in response to </w:t>
      </w:r>
      <w:r w:rsidR="00115F9B">
        <w:rPr>
          <w:color w:val="000000"/>
        </w:rPr>
        <w:t>a l</w:t>
      </w:r>
      <w:r w:rsidRPr="00C12647">
        <w:rPr>
          <w:color w:val="000000"/>
        </w:rPr>
        <w:t>ionfish invasion an emerging marine reserve network</w:t>
      </w:r>
      <w:r w:rsidRPr="00C12647">
        <w:rPr>
          <w:color w:val="000000"/>
          <w:sz w:val="36"/>
        </w:rPr>
        <w:t xml:space="preserve"> </w:t>
      </w:r>
      <w:r w:rsidRPr="00C12647">
        <w:rPr>
          <w:color w:val="000000"/>
        </w:rPr>
        <w:t>in Jamaica.</w:t>
      </w:r>
    </w:p>
    <w:p w14:paraId="28CF3D88" w14:textId="4E2C4400" w:rsidR="00017C04" w:rsidRDefault="00F50AF9" w:rsidP="00AD02AD">
      <w:pPr>
        <w:pBdr>
          <w:top w:val="single" w:sz="4" w:space="1" w:color="auto"/>
          <w:left w:val="single" w:sz="4" w:space="4" w:color="auto"/>
          <w:bottom w:val="single" w:sz="4" w:space="1" w:color="auto"/>
          <w:right w:val="single" w:sz="4" w:space="4" w:color="auto"/>
        </w:pBdr>
        <w:shd w:val="clear" w:color="auto" w:fill="E7E6E6" w:themeFill="background2"/>
        <w:rPr>
          <w:b/>
        </w:rPr>
      </w:pPr>
      <w:r>
        <w:t>Invasive alien species context:</w:t>
      </w:r>
      <w:r>
        <w:rPr>
          <w:b/>
        </w:rPr>
        <w:t xml:space="preserve"> </w:t>
      </w:r>
      <w:r>
        <w:rPr>
          <w:i/>
        </w:rPr>
        <w:t xml:space="preserve">Pterois volitans </w:t>
      </w:r>
      <w:r>
        <w:t xml:space="preserve">(red lionfish) and </w:t>
      </w:r>
      <w:r>
        <w:rPr>
          <w:i/>
        </w:rPr>
        <w:t>Pterois miles</w:t>
      </w:r>
      <w:r>
        <w:t xml:space="preserve"> (lionfish) favour near-shore reef habitat and are now prevalent across the Caribbean, Gulf of Mexico</w:t>
      </w:r>
      <w:r w:rsidR="00EB415D">
        <w:t xml:space="preserve"> and</w:t>
      </w:r>
      <w:r>
        <w:t xml:space="preserve"> Western Atlantic. First sited in the Bahamas in 2004, populations and distributions expanded rapidly </w:t>
      </w:r>
      <w:r w:rsidR="00B213DD" w:rsidRPr="00A9434B">
        <w:fldChar w:fldCharType="begin"/>
      </w:r>
      <w:r w:rsidR="0006613E">
        <w:instrText xml:space="preserve"> ADDIN ZOTERO_ITEM CSL_CITATION {"citationID":"a27qii00ldl","properties":{"formattedCitation":"(C\\uc0\\u244{}t\\uc0\\u233{} et al., 2013)","plainCitation":"(Côté et al., 2013)","noteIndex":0},"citationItems":[{"id":29981,"uris":["http://zotero.org/groups/2352922/items/MLMCD5YW"],"itemData":{"id":29981,"type":"article-journal","container-title":"Biological Conservation","DOI":"10.1016/j.biocon.2013.04.014","ISSN":"00063207","journalAbbreviation":"Biological Conservation","language":"en","page":"50-61","source":"DOI.org (Crossref)","title":"Predatory fish invaders: Insights from Indo-Pacific lionfish in the western Atlantic and Caribbean","title-short":"Predatory fish invaders","URL":"https://linkinghub.elsevier.com/retrieve/pii/S0006320713001171","volume":"164","author":[{"family":"Côté","given":"Isabelle M."},{"family":"Green","given":"Stephanie J."},{"family":"Hixon","given":"Mark A."}],"accessed":{"date-parts":[["2021",4,14]]},"issued":{"date-parts":[["2013",8]]}},"label":"page"}],"schema":"https://github.com/citation-style-language/schema/raw/master/csl-citation.json"} </w:instrText>
      </w:r>
      <w:r w:rsidR="00B213DD" w:rsidRPr="00A9434B">
        <w:fldChar w:fldCharType="separate"/>
      </w:r>
      <w:r w:rsidR="00C71E80" w:rsidRPr="00A9434B">
        <w:t>(Côté et al., 2013)</w:t>
      </w:r>
      <w:r w:rsidR="00B213DD" w:rsidRPr="00A9434B">
        <w:fldChar w:fldCharType="end"/>
      </w:r>
      <w:r w:rsidR="00B213DD" w:rsidRPr="00A9434B">
        <w:t>.</w:t>
      </w:r>
      <w:r>
        <w:t xml:space="preserve"> By 2009, their range had expanded to Jamaica, with populations becoming established around the entire island within a year </w:t>
      </w:r>
      <w:r w:rsidR="00B213DD" w:rsidRPr="00A9434B">
        <w:fldChar w:fldCharType="begin"/>
      </w:r>
      <w:r w:rsidR="0006613E">
        <w:instrText xml:space="preserve"> ADDIN ZOTERO_ITEM CSL_CITATION {"citationID":"asdquomlu7","properties":{"formattedCitation":"(Schofield, 2009)","plainCitation":"(Schofield, 2009)","noteIndex":0},"citationItems":[{"id":10433,"uris":["http://zotero.org/groups/2352922/items/K52Q8E9I"],"itemData":{"id":10433,"type":"article-journal","abstract":"The Indo-Pacific lionfishes (Pterois volitans [Linnaeus 1758] and P. miles [Bennett 1828]: Family Scorpaenidae) are the first non-native marine fishes to establish in the Western North Atlantic. The chronology of the invasion is reported here using records from the US Geological Survey’s Nonindigenous Aquatic Species database. Currently, lionfish are established off the Atlantic coast of the USA from the Florida Keys to Cape Hatteras (North Carolina), the Great Antilles, Bermuda, Bahamas, Cayman Islands and Turks and Caicos. The species have been reported from only one island in the Lesser Antilles (St. Croix), but it is not yet established there. Lionfish are established in Mexico, Honduras and Costa Rica. Reports have come from the Gulf of Mexico (Florida), Belize, Panamá and Colombia; although lionfish are not considered established in these localities at this time (August 2009), invasion is likely imminent.","container-title":"Aquatic Invasions","DOI":"10.3391/ai.2009.4.3.5","ISSN":"18185487","issue":"3","journalAbbreviation":"AI","language":"en","page":"473-479","source":"DOI.org (Crossref)","title":"Geographic extent and chronology of the invasion of non-native lionfish (&lt;i&gt;Pterois volitans&lt;/i&gt; [Linnaeus 1758] and &lt;i&gt;P. miles&lt;/i&gt; [Bennett 1828]) in the Western North Atlantic and Caribbean Sea","URL":"http://www.aquaticinvasions.net/2009/index3.html","volume":"4","author":[{"family":"Schofield","given":"Pamela J."}],"accessed":{"date-parts":[["2021",8,7]]},"issued":{"date-parts":[["2009",9]]}},"label":"page"}],"schema":"https://github.com/citation-style-language/schema/raw/master/csl-citation.json"} </w:instrText>
      </w:r>
      <w:r w:rsidR="00B213DD" w:rsidRPr="00A9434B">
        <w:fldChar w:fldCharType="separate"/>
      </w:r>
      <w:r w:rsidR="00C71E80" w:rsidRPr="00A9434B">
        <w:t>(Schofield, 2009)</w:t>
      </w:r>
      <w:r w:rsidR="00B213DD" w:rsidRPr="00A9434B">
        <w:fldChar w:fldCharType="end"/>
      </w:r>
      <w:r w:rsidR="00B213DD" w:rsidRPr="00A9434B">
        <w:t>.</w:t>
      </w:r>
      <w:r>
        <w:t xml:space="preserve"> With no natural predators, lionfish consume a significant amount of especially juvenile native fish, depleting near-shore fisheries and coastal biodiversity in Jamaica. A study in the Bahamas found that, over a 2-year period, an increase in lionfish biomass coincided with a 65 per cent decrease in the biomass of 42 native species </w:t>
      </w:r>
      <w:r w:rsidR="00B213DD" w:rsidRPr="00A9434B">
        <w:fldChar w:fldCharType="begin"/>
      </w:r>
      <w:r w:rsidR="0006613E">
        <w:instrText xml:space="preserve"> ADDIN ZOTERO_ITEM CSL_CITATION {"citationID":"a2h776562kg","properties":{"formattedCitation":"(Green et al., 2012)","plainCitation":"(Green et al., 2012)","noteIndex":0},"citationItems":[{"id":10434,"uris":["http://zotero.org/groups/2352922/items/WSSNE9SM"],"itemData":{"id":10434,"type":"article-journal","abstract":"Indo-Pacific lionfish (Pterois volitans and P. miles) have spread swiftly across the Western Atlantic, producing a marine predator invasion of unparalleled speed and magnitude. There is growing concern that lionfish will affect the structure and function of invaded marine ecosystems, however detrimental impacts on natural communities have yet to be measured. Here we document the response of native fish communities to predation by lionfish populations on nine coral reefs off New Providence Island, Bahamas. We assessed lionfish diet through stomach contents analysis, and quantified changes in fish biomass through visual surveys of lionfish and native fishes at the sites over time. Lionfish abundance increased rapidly between 2004 and 2010, by which time lionfish comprised nearly 40% of the total predator biomass in the system. The increase in lionfish abundance coincided with a 65% decline in the biomass of the lionfish's 42 Atlantic prey fishes in just two years. Without prompt action to control increasing lionfish populations, similar effects across the region may have long-term negative implications for the structure of Atlantic marine communities, as well as the societies and economies that depend on them.","container-title":"PLoS ONE","DOI":"10.1371/journal.pone.0032596","ISSN":"1932-6203","issue":"3","journalAbbreviation":"PLOS ONE","language":"en","note":"publisher: Public Library of Science","page":"e32596","source":"PLoS Journals","title":"Invasive Lionfish Drive Atlantic Coral Reef Fish Declines","URL":"https://journals.plos.org/plosone/article?id=10.1371/journal.pone.0032596","volume":"7","author":[{"family":"Green","given":"Stephanie J."},{"family":"Akins","given":"John L."},{"family":"Maljković","given":"Aleksandra"},{"family":"Côté","given":"Isabelle M."}],"accessed":{"date-parts":[["2021",8,7]]},"issued":{"date-parts":[["2012",3,7]]}},"label":"page"}],"schema":"https://github.com/citation-style-language/schema/raw/master/csl-citation.json"} </w:instrText>
      </w:r>
      <w:r w:rsidR="00B213DD" w:rsidRPr="00A9434B">
        <w:fldChar w:fldCharType="separate"/>
      </w:r>
      <w:r w:rsidR="00C71E80" w:rsidRPr="00A9434B">
        <w:t>(Green et al., 2012)</w:t>
      </w:r>
      <w:r w:rsidR="00B213DD" w:rsidRPr="00A9434B">
        <w:fldChar w:fldCharType="end"/>
      </w:r>
      <w:r w:rsidR="00B213DD" w:rsidRPr="00A9434B">
        <w:t>.</w:t>
      </w:r>
      <w:r>
        <w:t xml:space="preserve"> </w:t>
      </w:r>
    </w:p>
    <w:p w14:paraId="31785F87" w14:textId="5B8D3648" w:rsidR="00017C04" w:rsidRDefault="00F50AF9" w:rsidP="00AD02AD">
      <w:pPr>
        <w:pBdr>
          <w:top w:val="single" w:sz="4" w:space="1" w:color="auto"/>
          <w:left w:val="single" w:sz="4" w:space="4" w:color="auto"/>
          <w:bottom w:val="single" w:sz="4" w:space="1" w:color="auto"/>
          <w:right w:val="single" w:sz="4" w:space="4" w:color="auto"/>
        </w:pBdr>
        <w:shd w:val="clear" w:color="auto" w:fill="E7E6E6" w:themeFill="background2"/>
      </w:pPr>
      <w:r>
        <w:lastRenderedPageBreak/>
        <w:t>Governance context:</w:t>
      </w:r>
      <w:r>
        <w:rPr>
          <w:b/>
          <w:i/>
        </w:rPr>
        <w:t xml:space="preserve"> </w:t>
      </w:r>
      <w:r>
        <w:t>The Jamaican Government has established, to date, 17 “special fishery conservation areas” (i.e., marine no‐take areas that range from about 1 km</w:t>
      </w:r>
      <w:r>
        <w:rPr>
          <w:vertAlign w:val="superscript"/>
        </w:rPr>
        <w:t>2</w:t>
      </w:r>
      <w:r>
        <w:t xml:space="preserve"> to 18.73 km</w:t>
      </w:r>
      <w:r>
        <w:rPr>
          <w:vertAlign w:val="superscript"/>
        </w:rPr>
        <w:t>2</w:t>
      </w:r>
      <w:r>
        <w:t xml:space="preserve">). The majority of these conservation areas are close to small coastal communities with active small-scale and artisanal fisheries that use mixed gear (e.g., fish traps, spear guns) and target multiple species (e.g., conch, lobster, reef fish). It also established co‐management arrangements with local non-governmental organizations and/or fisher cooperatives that devolve roles and responsibilities (e.g., monitoring) associated with the day-to-day management of these marine reserves </w:t>
      </w:r>
      <w:r w:rsidR="00B213DD" w:rsidRPr="00A9434B">
        <w:fldChar w:fldCharType="begin"/>
      </w:r>
      <w:r w:rsidR="0006613E">
        <w:instrText xml:space="preserve"> ADDIN ZOTERO_ITEM CSL_CITATION {"citationID":"a2bsq772gsg","properties":{"formattedCitation":"(S. M. Alexander et al., 2015)","plainCitation":"(S. M. Alexander et al., 2015)","noteIndex":0},"citationItems":[{"id":10432,"uris":["http://zotero.org/groups/2352922/items/TWGMDCE6"],"itemData":{"id":10432,"type":"article-journal","abstract":"How social networks support or constrain the transition to co-management of small-scale fisheries and marine reserves is poorly understood. In this paper, we undertake a comparative analysis of the social network structures associated with the transition to co-management in three Jamaican marine reserves. Data from quantitative social relational surveys (n = 380) are","container-title":"Global Environmental Change","DOI":"10.1016/j.gloenvcha.2015.09.001","ISSN":"09593780","language":"en","page":"213-225","source":"www.openchannels.org","title":"Social networks and transitions to co-management in Jamaican marine reserves and small-scale fisheries","URL":"https://www.openchannels.org/literature/11127","volume":"35","author":[{"family":"Alexander","given":"Steven M."},{"family":"Armitage","given":"Derek"},{"family":"Charles","given":"Anthony"}],"accessed":{"date-parts":[["2021",8,7]]},"issued":{"date-parts":[["2015"]]}},"label":"page"}],"schema":"https://github.com/citation-style-language/schema/raw/master/csl-citation.json"} </w:instrText>
      </w:r>
      <w:r w:rsidR="00B213DD" w:rsidRPr="00A9434B">
        <w:fldChar w:fldCharType="separate"/>
      </w:r>
      <w:r w:rsidR="00C71E80" w:rsidRPr="00A9434B">
        <w:t>(S. M. Alexander et al., 2015)</w:t>
      </w:r>
      <w:r w:rsidR="00B213DD" w:rsidRPr="00A9434B">
        <w:fldChar w:fldCharType="end"/>
      </w:r>
      <w:r w:rsidR="00B213DD" w:rsidRPr="00A9434B">
        <w:t>.</w:t>
      </w:r>
    </w:p>
    <w:p w14:paraId="71F57EB4" w14:textId="17207F91" w:rsidR="00017C04" w:rsidRDefault="2F958343" w:rsidP="00AD02AD">
      <w:pPr>
        <w:pBdr>
          <w:top w:val="single" w:sz="4" w:space="1" w:color="auto"/>
          <w:left w:val="single" w:sz="4" w:space="4" w:color="auto"/>
          <w:bottom w:val="single" w:sz="4" w:space="1" w:color="auto"/>
          <w:right w:val="single" w:sz="4" w:space="4" w:color="auto"/>
        </w:pBdr>
        <w:shd w:val="clear" w:color="auto" w:fill="E7E6E6" w:themeFill="background2"/>
      </w:pPr>
      <w:r>
        <w:t xml:space="preserve">A multi-actor network: Social network analysis revealed that the governance structure of the Special Fishery Conservation Areas is constituted of ties between actors, including government and non-governmental organizations </w:t>
      </w:r>
      <w:r w:rsidR="00B213DD" w:rsidRPr="00A9434B">
        <w:fldChar w:fldCharType="begin"/>
      </w:r>
      <w:r w:rsidR="0006613E">
        <w:instrText xml:space="preserve"> ADDIN ZOTERO_ITEM CSL_CITATION {"citationID":"a1jgkm2c14q","properties":{"formattedCitation":"(S. M. Alexander et al., 2016)","plainCitation":"(S. M. Alexander et al., 2016)","noteIndex":0},"citationItems":[{"id":10435,"uris":["http://zotero.org/groups/2352922/items/7PRR4MWJ"],"itemData":{"id":10435,"type":"article-journal","container-title":"Frontiers in Ecology and the Environment","DOI":"10.1002/fee.1251","ISSN":"15409295","issue":"3","journalAbbreviation":"Front Ecol Environ","language":"en","page":"155-164","source":"DOI.org (Crossref)","title":"Navigating governance networks for community-based conservation","URL":"https://onlinelibrary.wiley.com/doi/10.1002/fee.1251","volume":"14","author":[{"family":"Alexander","given":"Steven M"},{"family":"Andrachuk","given":"Mark"},{"family":"Armitage","given":"Derek"}],"accessed":{"date-parts":[["2021",8,7]]},"issued":{"date-parts":[["2016",4]]}},"label":"page"}],"schema":"https://github.com/citation-style-language/schema/raw/master/csl-citation.json"} </w:instrText>
      </w:r>
      <w:r w:rsidR="00B213DD" w:rsidRPr="00A9434B">
        <w:fldChar w:fldCharType="separate"/>
      </w:r>
      <w:r w:rsidR="00C71E80" w:rsidRPr="00A9434B">
        <w:t>(S. M. Alexander et al., 2016)</w:t>
      </w:r>
      <w:r w:rsidR="00B213DD" w:rsidRPr="00A9434B">
        <w:fldChar w:fldCharType="end"/>
      </w:r>
      <w:r w:rsidR="00B213DD" w:rsidRPr="00A9434B">
        <w:t>.</w:t>
      </w:r>
      <w:r>
        <w:t xml:space="preserve"> Many of the ties emerged through one of the following three processes: (i) formal partnerships (e.g., co-management arrangements, capacity</w:t>
      </w:r>
      <w:r w:rsidR="006F2BE1">
        <w:t>-</w:t>
      </w:r>
      <w:r>
        <w:t>building); (ii) personal connections and relationships; and (iii) joint membership on committees, boards</w:t>
      </w:r>
      <w:r w:rsidR="00EB415D">
        <w:t xml:space="preserve"> and</w:t>
      </w:r>
      <w:r>
        <w:t xml:space="preserve"> projects. For example, the Lionfish Project – funded by the Global Environment Facility (GEF) – fostered network ties between government agencies, non-governmental organizations, community-based organizations</w:t>
      </w:r>
      <w:r w:rsidR="00EB415D">
        <w:t xml:space="preserve"> and</w:t>
      </w:r>
      <w:r>
        <w:t xml:space="preserve"> private resorts. Collectively, the resulting governance network provided a critical foundation for an island-wide lionfish monitoring and culling programme. Multi-actor network ties connect actors horizontally across local sites of action and management that are geographically distributed, which is essential when effective responses to a biological invasion occurs simultaneously across sites. However, research revealed a lack of strong ties and information sharing between those local level management organizations with a mandate to manage one or more special fishery conservation areas. Multi-actor governance networks that span sectors, departments</w:t>
      </w:r>
      <w:r w:rsidR="00EB415D">
        <w:t xml:space="preserve"> and</w:t>
      </w:r>
      <w:r>
        <w:t xml:space="preserve"> agencies can contribute to increased coordination, which is central for effectively responding to and governing </w:t>
      </w:r>
      <w:r w:rsidR="3E7FC14F">
        <w:t xml:space="preserve">biological invasions </w:t>
      </w:r>
      <w:r>
        <w:t xml:space="preserve">and the multiple dimensions of socioecological fit associated with marine protected areas. Multi-level network ties can be central to linking action at multiple scales and tightening feedback, which are critical processes for effectively responding to and managing </w:t>
      </w:r>
      <w:r w:rsidR="7261CC48">
        <w:t>biological invasions</w:t>
      </w:r>
      <w:r>
        <w:t>. Multilevel linkages played the greatest role in enhancing fit in the marine reserve network. However, the long‐term propensity of the multi‐actor and multilevel networks to enhance social–ecological fit is uncertain given the prevalence of weak social ties, lack of a culture of information sharing and collaboration</w:t>
      </w:r>
      <w:r w:rsidR="00EB415D">
        <w:t xml:space="preserve"> and</w:t>
      </w:r>
      <w:r>
        <w:t xml:space="preserve"> limited financial resources.</w:t>
      </w:r>
    </w:p>
    <w:p w14:paraId="720AB639" w14:textId="7B1878E8" w:rsidR="00017C04" w:rsidRPr="00C12647" w:rsidRDefault="00F50AF9" w:rsidP="00AD02AD">
      <w:pPr>
        <w:pStyle w:val="Caption"/>
        <w:pBdr>
          <w:top w:val="single" w:sz="4" w:space="1" w:color="auto"/>
          <w:left w:val="single" w:sz="4" w:space="4" w:color="auto"/>
          <w:bottom w:val="single" w:sz="4" w:space="1" w:color="auto"/>
          <w:right w:val="single" w:sz="4" w:space="4" w:color="auto"/>
        </w:pBdr>
        <w:shd w:val="clear" w:color="auto" w:fill="E7E6E6" w:themeFill="background2"/>
        <w:rPr>
          <w:i/>
          <w:color w:val="000000"/>
        </w:rPr>
      </w:pPr>
      <w:r w:rsidRPr="00C12647">
        <w:rPr>
          <w:color w:val="000000"/>
        </w:rPr>
        <w:t xml:space="preserve">(2) An adaptive collaborative governance approach to </w:t>
      </w:r>
      <w:r w:rsidRPr="00C12647">
        <w:rPr>
          <w:i/>
          <w:color w:val="000000"/>
        </w:rPr>
        <w:t xml:space="preserve">Phragmites australis </w:t>
      </w:r>
      <w:r w:rsidRPr="00C12647">
        <w:rPr>
          <w:color w:val="000000"/>
        </w:rPr>
        <w:t>(common reed) management in the Great Lakes, United States</w:t>
      </w:r>
      <w:r w:rsidR="00516C94">
        <w:rPr>
          <w:color w:val="000000"/>
        </w:rPr>
        <w:t>.</w:t>
      </w:r>
      <w:r w:rsidRPr="00C12647">
        <w:rPr>
          <w:color w:val="000000"/>
        </w:rPr>
        <w:t xml:space="preserve"> </w:t>
      </w:r>
    </w:p>
    <w:p w14:paraId="1FFDAC35" w14:textId="74E361A7" w:rsidR="00017C04" w:rsidRDefault="00F50AF9" w:rsidP="00AD02AD">
      <w:pPr>
        <w:pBdr>
          <w:top w:val="single" w:sz="4" w:space="1" w:color="auto"/>
          <w:left w:val="single" w:sz="4" w:space="4" w:color="auto"/>
          <w:bottom w:val="single" w:sz="4" w:space="1" w:color="auto"/>
          <w:right w:val="single" w:sz="4" w:space="4" w:color="auto"/>
        </w:pBdr>
        <w:shd w:val="clear" w:color="auto" w:fill="E7E6E6" w:themeFill="background2"/>
        <w:rPr>
          <w:b/>
        </w:rPr>
      </w:pPr>
      <w:r>
        <w:t>An example of adaptive collaborative governance is presented by the Great Lakes Restoration Initiative,</w:t>
      </w:r>
      <w:r w:rsidRPr="00115F9B">
        <w:rPr>
          <w:vertAlign w:val="superscript"/>
        </w:rPr>
        <w:footnoteReference w:id="13"/>
      </w:r>
      <w:r>
        <w:t xml:space="preserve"> which supports a basin-wide initiative called the Great Lakes </w:t>
      </w:r>
      <w:r>
        <w:rPr>
          <w:i/>
        </w:rPr>
        <w:t>Phragmites</w:t>
      </w:r>
      <w:r>
        <w:t xml:space="preserve"> Collaborative </w:t>
      </w:r>
      <w:r w:rsidR="00096EAC" w:rsidRPr="00A9434B">
        <w:fldChar w:fldCharType="begin"/>
      </w:r>
      <w:r w:rsidR="0006613E">
        <w:instrText xml:space="preserve"> ADDIN ZOTERO_ITEM CSL_CITATION {"citationID":"a1m57dsgpgh","properties":{"formattedCitation":"(Braun et al., 2016)","plainCitation":"(Braun et al., 2016)","noteIndex":0},"citationItems":[{"id":22596,"uris":["http://zotero.org/groups/2352922/items/MLBGE8PL"],"itemData":{"id":22596,"type":"article-journal","container-title":"Biological Invasions","DOI":"10.1007/s10530-016-1142-1","ISSN":"1387-3547, 1573-1464","issue":"9","journalAbbreviation":"Biol Invasions","language":"en","page":"2729-2738","source":"DOI.org (Crossref)","title":"Applying the collective impact approach to address non-native species: a case study of the Great Lakes Phragmites Collaborative","title-short":"Applying the collective impact approach to address non-native species","URL":"http://link.springer.com/10.1007/s10530-016-1142-1","volume":"18","author":[{"family":"Braun","given":"H. A."},{"family":"Kowalski","given":"K. P."},{"family":"Hollins","given":"K."}],"accessed":{"date-parts":[["2020",6,23]]},"issued":{"date-parts":[["2016",9]]}},"label":"page"}],"schema":"https://github.com/citation-style-language/schema/raw/master/csl-citation.json"} </w:instrText>
      </w:r>
      <w:r w:rsidR="00096EAC" w:rsidRPr="00A9434B">
        <w:fldChar w:fldCharType="separate"/>
      </w:r>
      <w:r w:rsidR="00C71E80" w:rsidRPr="00A9434B">
        <w:t>(Braun et al., 2016)</w:t>
      </w:r>
      <w:r w:rsidR="00096EAC" w:rsidRPr="00A9434B">
        <w:fldChar w:fldCharType="end"/>
      </w:r>
      <w:r w:rsidR="00096EAC" w:rsidRPr="00A9434B">
        <w:t>.</w:t>
      </w:r>
      <w:r>
        <w:t xml:space="preserve"> </w:t>
      </w:r>
      <w:r>
        <w:rPr>
          <w:i/>
        </w:rPr>
        <w:t>Phragmites</w:t>
      </w:r>
      <w:r>
        <w:t xml:space="preserve"> </w:t>
      </w:r>
      <w:r>
        <w:rPr>
          <w:i/>
        </w:rPr>
        <w:t>australis</w:t>
      </w:r>
      <w:r>
        <w:t xml:space="preserve"> is an invasive alien wetland species that affects ecosystem functions, biodiversity</w:t>
      </w:r>
      <w:r w:rsidR="00EB415D">
        <w:t xml:space="preserve"> and</w:t>
      </w:r>
      <w:r>
        <w:t xml:space="preserve"> social and economic values, and threatens restoration, generating large financial burdens for land management. A total of $16 million was invested in the Great Lakes Restoration Initiative from 2010-2015 to support the Great Lakes </w:t>
      </w:r>
      <w:r>
        <w:rPr>
          <w:i/>
        </w:rPr>
        <w:t>Phragmites</w:t>
      </w:r>
      <w:r>
        <w:t xml:space="preserve"> Collaborative, which was developed to address numerous barriers to </w:t>
      </w:r>
      <w:r>
        <w:rPr>
          <w:i/>
        </w:rPr>
        <w:t>Phragmites</w:t>
      </w:r>
      <w:r>
        <w:t xml:space="preserve"> </w:t>
      </w:r>
      <w:r>
        <w:rPr>
          <w:i/>
        </w:rPr>
        <w:t>australis</w:t>
      </w:r>
      <w:r>
        <w:t xml:space="preserve"> management, including a lack of organized communication among managers and between managers and researchers; a failure to address </w:t>
      </w:r>
      <w:r>
        <w:rPr>
          <w:i/>
        </w:rPr>
        <w:t>Phragmites</w:t>
      </w:r>
      <w:r>
        <w:t xml:space="preserve"> </w:t>
      </w:r>
      <w:r>
        <w:rPr>
          <w:i/>
        </w:rPr>
        <w:t>australis</w:t>
      </w:r>
      <w:r>
        <w:t xml:space="preserve"> at a landscape scale (multi-state and bi-regional), and a lack of a common agenda or strategic plan in a context where stakeholders working independently were producing isolated impacts or duplicating efforts, leaving gaps that undermined management. </w:t>
      </w:r>
    </w:p>
    <w:p w14:paraId="61C43EB3" w14:textId="522629CB" w:rsidR="00017C04" w:rsidRDefault="00F50AF9" w:rsidP="00AD02AD">
      <w:pPr>
        <w:pBdr>
          <w:top w:val="single" w:sz="4" w:space="1" w:color="auto"/>
          <w:left w:val="single" w:sz="4" w:space="4" w:color="auto"/>
          <w:bottom w:val="single" w:sz="4" w:space="1" w:color="auto"/>
          <w:right w:val="single" w:sz="4" w:space="4" w:color="auto"/>
        </w:pBdr>
        <w:shd w:val="clear" w:color="auto" w:fill="E7E6E6" w:themeFill="background2"/>
      </w:pPr>
      <w:r>
        <w:t xml:space="preserve">As a “neutral facilitating” entity, the Great Lakes </w:t>
      </w:r>
      <w:r>
        <w:rPr>
          <w:i/>
        </w:rPr>
        <w:t>Phragmites</w:t>
      </w:r>
      <w:r>
        <w:t xml:space="preserve"> Collaborative serves as a regional representative for impacted stakeholders, providing support to develop common agendas, mutually </w:t>
      </w:r>
      <w:r>
        <w:lastRenderedPageBreak/>
        <w:t>reinforce activities</w:t>
      </w:r>
      <w:r w:rsidR="00EB415D">
        <w:t xml:space="preserve"> and</w:t>
      </w:r>
      <w:r>
        <w:t xml:space="preserve"> share measurements for assessing progress. An advisory committee represents a diversity of disciplines and expertise across different state and non-state organizations and geographical areas. The committee articulated a vision statement and common agenda that will be elaborated on, as much as possible, by consensus, which also includes support for individual initiatives. An adaptive collaborative process “involves stakeholders progressing toward a goal through a structure that facilitates mutually reinforcing activities and regular feedback…aligned efforts, support for discovery of new practices, and widespread adaptation of successful practices…an adaptive management technique because it promotes learning and adaptation.” A shared measurement system is considered to be essential for adaptive management - to assess progress, align individual strategies with landscape-level goals, and provide empirical information for adaptation. It showcases best management practices and lessons learned, and responds to needs identified in a stakeholder and Indigenous Peoples and local communities survey by providing access to information resources, information sharing and technology transfer </w:t>
      </w:r>
      <w:r w:rsidR="00096EAC" w:rsidRPr="00A9434B">
        <w:fldChar w:fldCharType="begin"/>
      </w:r>
      <w:r w:rsidR="0006613E">
        <w:instrText xml:space="preserve"> ADDIN ZOTERO_ITEM CSL_CITATION {"citationID":"ahvfa20ik5","properties":{"formattedCitation":"(Braun et al., 2016)","plainCitation":"(Braun et al., 2016)","noteIndex":0},"citationItems":[{"id":22596,"uris":["http://zotero.org/groups/2352922/items/MLBGE8PL"],"itemData":{"id":22596,"type":"article-journal","container-title":"Biological Invasions","DOI":"10.1007/s10530-016-1142-1","ISSN":"1387-3547, 1573-1464","issue":"9","journalAbbreviation":"Biol Invasions","language":"en","page":"2729-2738","source":"DOI.org (Crossref)","title":"Applying the collective impact approach to address non-native species: a case study of the Great Lakes Phragmites Collaborative","title-short":"Applying the collective impact approach to address non-native species","URL":"http://link.springer.com/10.1007/s10530-016-1142-1","volume":"18","author":[{"family":"Braun","given":"H. A."},{"family":"Kowalski","given":"K. P."},{"family":"Hollins","given":"K."}],"accessed":{"date-parts":[["2020",6,23]]},"issued":{"date-parts":[["2016",9]]}}}],"schema":"https://github.com/citation-style-language/schema/raw/master/csl-citation.json"} </w:instrText>
      </w:r>
      <w:r w:rsidR="00096EAC" w:rsidRPr="00A9434B">
        <w:fldChar w:fldCharType="separate"/>
      </w:r>
      <w:r w:rsidR="00C71E80" w:rsidRPr="00A9434B">
        <w:t>(Braun et al., 2016)</w:t>
      </w:r>
      <w:r w:rsidR="00096EAC" w:rsidRPr="00A9434B">
        <w:fldChar w:fldCharType="end"/>
      </w:r>
      <w:r w:rsidR="06216F58" w:rsidRPr="00A9434B">
        <w:t>.</w:t>
      </w:r>
    </w:p>
    <w:p w14:paraId="06305C76" w14:textId="1EDAE25A" w:rsidR="009E48C2" w:rsidRPr="00A9434B" w:rsidRDefault="009E48C2" w:rsidP="006B3143">
      <w:r w:rsidRPr="00A9434B">
        <w:t xml:space="preserve">Network </w:t>
      </w:r>
      <w:r w:rsidR="00F50B7B" w:rsidRPr="00A9434B">
        <w:t>analysis</w:t>
      </w:r>
      <w:r w:rsidRPr="00A9434B">
        <w:t xml:space="preserve"> can also be applied to both the biophysical and social processes entailed in pathways of introduction or spread of invasive pathogens, plants, or mammals, which includes international and domestic transport and other types of movements involving stakeholders, agents (e.g., ships), events and species or hosts that interact in space and time </w:t>
      </w:r>
      <w:r w:rsidRPr="00A9434B">
        <w:fldChar w:fldCharType="begin"/>
      </w:r>
      <w:r w:rsidR="0006613E">
        <w:instrText xml:space="preserve"> ADDIN ZOTERO_ITEM CSL_CITATION {"citationID":"a8h3d025jg","properties":{"formattedCitation":"(D. C. Cook et al., 2010; Hulme et al., 2018; Lansink et al., 2018)","plainCitation":"(D. C. Cook et al., 2010; Hulme et al., 2018; Lansink et al., 2018)","noteIndex":0},"citationItems":[{"id":10809,"uris":["http://zotero.org/groups/2352922/items/WCG8AH7V"],"itemData":{"id":10809,"type":"article-journal","container-title":"Risk Analysis","DOI":"10.1111/j.1539-6924.2010.01439.x","ISSN":"02724332","issue":"9","language":"en","page":"1303-1314","source":"DOI.org (Crossref)","title":"Adaptive Approaches to Biosecurity Governance","title-short":"Adaptive Approaches to Biosecurity Governance","URL":"http://doi.wiley.com/10.1111/j.1539-6924.2010.01439.x","volume":"30","author":[{"family":"Cook","given":"David C."},{"family":"Liu","given":"Shuang"},{"family":"Murphy","given":"Brendan"},{"family":"Lonsdale","given":"W. Mark"}],"accessed":{"date-parts":[["2021",5,27]]},"issued":{"date-parts":[["2010",9]]}},"label":"page"},{"id":29159,"uris":["http://zotero.org/groups/2352922/items/FBUVL8DD"],"itemData":{"id":29159,"type":"article-journal","abstract":"Ornamental horticulture is the primary pathway for invasive alien plant introductions. We critically appraise published evidence on the effectiveness of four policy instruments that tackle invasions along the horticulture supply chain: pre-border import restrictions, post-border bans, industry codes of conduct and consumer education. Effective pre-border interventions rely on rigorous risk assessment and high industry compliance. Post-border sales bans become progressively less effective when alien species become widespread in a region. A lack of independent performance evaluation and of public disclosure, limits the uptake and effectiveness of voluntary codes of conduct and discourages shifts in consumer preference away from invasive alien species. Policy implications. Closing the plant invasion pathway associated with ornamental horticulture requires government-industry agreements to fund effective pre- and post-border weed risk assessments that can be subsequently supported by widely adopted, as well as verifiable, industry codes of conduct. This will ensure producers and consumers make informed choices in the face of better targeted public education addressing plant invasions. © 2017 The Authors. Journal of Applied Ecology © 2017 British Ecological Society","container-title":"Journal of Applied Ecology","DOI":"10.1111/1365-2664.12953","ISSN":"00218901","issue":"1","journalAbbreviation":"J Appl Ecol","language":"en","page":"92-98","source":"DOI.org (Crossref)","title":"Integrating invasive species policies across ornamental horticulture supply chains to prevent plant invasions","URL":"http://doi.wiley.com/10.1111/1365-2664.12953","volume":"55","author":[{"family":"Hulme","given":"Philip E."},{"family":"Brundu","given":"Giuseppe"},{"family":"Carboni","given":"Marta"},{"family":"Dehnen-Schmutz","given":"Katharina"},{"family":"Dullinger","given":"Stefan"},{"family":"Early","given":"Regan"},{"family":"Essl","given":"Franz"},{"family":"González-Moreno","given":"Pablo"},{"family":"Groom","given":"Quentin J."},{"family":"Kueffer","given":"Christoph"},{"family":"Kühn","given":"Ingolf"},{"family":"Maurel","given":"Noëlie"},{"family":"Novoa","given":"Ana"},{"family":"Pergl","given":"Jan"},{"family":"Pyšek","given":"Petr"},{"family":"Seebens","given":"Hanno"},{"family":"Tanner","given":"Rob"},{"family":"Touza","given":"Julia M."},{"family":"Kleunen","given":"Mark","non-dropping-particle":"van"},{"family":"Verbrugge","given":"Laura N.H."}],"editor":[{"family":"Flory","given":"Luke"}],"accessed":{"date-parts":[["2019",10,21]]},"issued":{"date-parts":[["2018"]]}},"label":"page"},{"id":53409,"uris":["http://zotero.org/groups/2352922/items/XS3NCSK5"],"itemData":{"id":53409,"type":"article-journal","abstract":"Invasive species such as Ambrosia (an annual weed) pose a biosecurity risk whose management depends on the knowledge, attitudes and practices of many stakeholders. It can therefore be considered a complex policy and risk governance problem. Complex policy problems are characterised by high uncertainty, multiple dimensions, interactions across different spatial and policy levels, and the involvement of a multitude of actors and organisations. This paper provides a conceptual framework for analysing the multi-level and multi-actor dimensions of Ambrosia management. Potential and existing public, private and public–private management strategies are identified to address the interests and needs of different actor groups across different levels. We conclude that policies that promote a mix of public and private Ambrosia management strategies may respond better to the needs and interests of different actor groups across different levels than a one-size-fits-all approach. However, multiple policy strategies need to be aligned in order to lead to synergies and spreading coherent messages to the public. Collaboration may enhance the likelihood of biosecurity management and risk governance of Ambrosia being adequately implemented and enforced.","container-title":"Journal of Risk Research","DOI":"10.1080/13669877.2016.1247376","ISSN":"1366-9877","issue":"6","journalAbbreviation":"Journal of Risk Research","language":"en","page":"780-799","title":"A multi-level and multi-actor approach to risk governance: a conceptual framework to support policy development for Ambrosia weed control","URL":"https://doi.org/10.1080/13669877.2016.1247376","volume":"21","author":[{"family":"Lansink","given":"Alfons Oude"},{"family":"Schut","given":"Marc"},{"family":"Kamanda","given":"Josey"},{"family":"Klerkx","given":"Laurens"}],"issued":{"date-parts":[["2018"]]}},"label":"page"}],"schema":"https://github.com/citation-style-language/schema/raw/master/csl-citation.json"} </w:instrText>
      </w:r>
      <w:r w:rsidRPr="00A9434B">
        <w:fldChar w:fldCharType="separate"/>
      </w:r>
      <w:r w:rsidR="00D13761" w:rsidRPr="00D13761">
        <w:t>(D. C. Cook et al., 2010; Hulme et al., 2018; Lansink et al., 2018)</w:t>
      </w:r>
      <w:r w:rsidRPr="00A9434B">
        <w:fldChar w:fldCharType="end"/>
      </w:r>
      <w:r w:rsidRPr="00422F61">
        <w:rPr>
          <w:lang w:val="de-DE"/>
        </w:rPr>
        <w:t xml:space="preserve">. </w:t>
      </w:r>
      <w:r w:rsidRPr="00A9434B">
        <w:t xml:space="preserve">Within-sector (e.g., livestock, forestry) network analysis is related </w:t>
      </w:r>
      <w:r w:rsidR="00A53A4B" w:rsidRPr="00A9434B">
        <w:t xml:space="preserve">to </w:t>
      </w:r>
      <w:r w:rsidRPr="00A9434B">
        <w:t xml:space="preserve">the movement of invasive vectors and hosts through chains that link </w:t>
      </w:r>
      <w:r w:rsidR="002C1BE0">
        <w:t>v</w:t>
      </w:r>
      <w:r w:rsidRPr="00A9434B">
        <w:t xml:space="preserve">ector stakeholders and </w:t>
      </w:r>
      <w:r w:rsidR="001E7B2B" w:rsidRPr="00A9434B">
        <w:t>Indigenous Peoples</w:t>
      </w:r>
      <w:r w:rsidR="00F004D9" w:rsidRPr="00A9434B">
        <w:t xml:space="preserve"> and local communities</w:t>
      </w:r>
      <w:r w:rsidRPr="00A9434B">
        <w:t xml:space="preserve"> </w:t>
      </w:r>
      <w:r w:rsidR="00C86E5A" w:rsidRPr="00A9434B">
        <w:t xml:space="preserve">with </w:t>
      </w:r>
      <w:r w:rsidR="002C1BE0">
        <w:t>c</w:t>
      </w:r>
      <w:r w:rsidRPr="00A9434B">
        <w:t>ontributors in supply or value chains</w:t>
      </w:r>
      <w:r w:rsidR="00996855" w:rsidRPr="00A9434B">
        <w:t xml:space="preserve"> </w:t>
      </w:r>
      <w:r w:rsidR="00F806B6" w:rsidRPr="00A9434B">
        <w:t>(</w:t>
      </w:r>
      <w:r w:rsidR="00F8521D">
        <w:rPr>
          <w:b/>
          <w:iCs/>
        </w:rPr>
        <w:t>G</w:t>
      </w:r>
      <w:r w:rsidR="00996855" w:rsidRPr="00673554">
        <w:rPr>
          <w:b/>
          <w:iCs/>
        </w:rPr>
        <w:t>lossary</w:t>
      </w:r>
      <w:r w:rsidR="00996855" w:rsidRPr="00A9434B">
        <w:t>)</w:t>
      </w:r>
      <w:r w:rsidRPr="00A9434B">
        <w:t xml:space="preserve">. The FAO promotes such analysis to provide an evidence-base </w:t>
      </w:r>
      <w:r w:rsidR="001B4712">
        <w:t>for</w:t>
      </w:r>
      <w:r w:rsidRPr="00A9434B">
        <w:t xml:space="preserve"> </w:t>
      </w:r>
      <w:r w:rsidR="001B4712">
        <w:t xml:space="preserve">animal </w:t>
      </w:r>
      <w:r w:rsidRPr="00A9434B">
        <w:t>disease</w:t>
      </w:r>
      <w:r w:rsidR="001B4712">
        <w:t>s</w:t>
      </w:r>
      <w:r w:rsidRPr="00A9434B">
        <w:t xml:space="preserve"> epidemiology to inform risk analysis and develop strategic plans for disease control and surveillance </w:t>
      </w:r>
      <w:r w:rsidR="001B4712" w:rsidRPr="00A9434B">
        <w:fldChar w:fldCharType="begin"/>
      </w:r>
      <w:r w:rsidR="0006613E">
        <w:instrText xml:space="preserve"> ADDIN ZOTERO_ITEM CSL_CITATION {"citationID":"a7sv8k9bh5","properties":{"formattedCitation":"(FAO, 2011)","plainCitation":"(FAO, 2011)","noteIndex":0},"citationItems":[{"id":30145,"uris":["http://zotero.org/groups/2352922/items/VWIZ3YKZ"],"itemData":{"id":30145,"type":"book","call-number":"SF781 .V35 2011","collection-number":"4","collection-title":"FAO animal production and health guidelines","event-place":"Rome","ISBN":"978-92-5-106861-8","language":"en","note":"OCLC: ocn740629734","number-of-pages":"121","publisher":"Food and Agriculture Organization of the United Nations","publisher-place":"Rome","source":"Library of Congress ISBN","title":"A value chain approach to animal diseases risk management – Technical foundations and practical framework for field application","author":[{"literal":"FAO"}],"editor":[{"family":"Taylor","given":"N"},{"family":"Rushton","given":"J"}],"issued":{"date-parts":[["2011"]]}},"label":"page"}],"schema":"https://github.com/citation-style-language/schema/raw/master/csl-citation.json"} </w:instrText>
      </w:r>
      <w:r w:rsidR="001B4712" w:rsidRPr="00A9434B">
        <w:fldChar w:fldCharType="separate"/>
      </w:r>
      <w:r w:rsidR="00F77855" w:rsidRPr="00F77855">
        <w:t>(FAO, 2011)</w:t>
      </w:r>
      <w:r w:rsidR="001B4712" w:rsidRPr="00A9434B">
        <w:fldChar w:fldCharType="end"/>
      </w:r>
      <w:r w:rsidR="001B4712" w:rsidRPr="00A9434B">
        <w:t xml:space="preserve">. </w:t>
      </w:r>
      <w:r w:rsidR="001B4712">
        <w:t xml:space="preserve">Contact networks (i.e., networks and linkages in value chains that connect production systems, markets and consumers) </w:t>
      </w:r>
      <w:r w:rsidR="00590330">
        <w:t xml:space="preserve">can </w:t>
      </w:r>
      <w:r w:rsidR="001B4712">
        <w:t>favour the transmission of contagious diseases within and between sectors, and need to be taken into account in</w:t>
      </w:r>
      <w:r w:rsidR="00590330">
        <w:t xml:space="preserve"> the development of</w:t>
      </w:r>
      <w:r w:rsidR="001B4712">
        <w:t xml:space="preserve"> risk management strategies for the control and prevention of animal diseases</w:t>
      </w:r>
      <w:r w:rsidR="00C12647">
        <w:t xml:space="preserve"> </w:t>
      </w:r>
      <w:r w:rsidRPr="00A9434B">
        <w:fldChar w:fldCharType="begin"/>
      </w:r>
      <w:r w:rsidR="0006613E">
        <w:instrText xml:space="preserve"> ADDIN ZOTERO_ITEM CSL_CITATION {"citationID":"P9ol9Hnt","properties":{"formattedCitation":"(FAO, 2011)","plainCitation":"(FAO, 2011)","noteIndex":0},"citationItems":[{"id":30145,"uris":["http://zotero.org/groups/2352922/items/VWIZ3YKZ"],"itemData":{"id":30145,"type":"book","call-number":"SF781 .V35 2011","collection-number":"4","collection-title":"FAO animal production and health guidelines","event-place":"Rome","ISBN":"978-92-5-106861-8","language":"en","note":"OCLC: ocn740629734","number-of-pages":"121","publisher":"Food and Agriculture Organization of the United Nations","publisher-place":"Rome","source":"Library of Congress ISBN","title":"A value chain approach to animal diseases risk management – Technical foundations and practical framework for field application","author":[{"literal":"FAO"}],"editor":[{"family":"Taylor","given":"N"},{"family":"Rushton","given":"J"}],"issued":{"date-parts":[["2011"]]}},"label":"page"}],"schema":"https://github.com/citation-style-language/schema/raw/master/csl-citation.json"} </w:instrText>
      </w:r>
      <w:r w:rsidRPr="00A9434B">
        <w:fldChar w:fldCharType="separate"/>
      </w:r>
      <w:r w:rsidR="00F77855" w:rsidRPr="00F77855">
        <w:t>(FAO, 2011)</w:t>
      </w:r>
      <w:r w:rsidRPr="00A9434B">
        <w:fldChar w:fldCharType="end"/>
      </w:r>
      <w:r w:rsidRPr="00A9434B">
        <w:t>. The input of a wide range of stakeholders is essential for this network analysis to be effective.</w:t>
      </w:r>
    </w:p>
    <w:p w14:paraId="0857E0DB" w14:textId="77777777" w:rsidR="00B213DD" w:rsidRPr="00A9434B" w:rsidRDefault="724CEC21" w:rsidP="00AD02AD">
      <w:pPr>
        <w:pStyle w:val="Heading3"/>
      </w:pPr>
      <w:bookmarkStart w:id="435" w:name="_Toc2113248269"/>
      <w:bookmarkStart w:id="436" w:name="_Toc133428333"/>
      <w:r w:rsidRPr="00A9434B">
        <w:t>Challenges</w:t>
      </w:r>
      <w:r w:rsidR="2B994B27" w:rsidRPr="00A9434B">
        <w:t xml:space="preserve"> of collaborative governance approaches and success factors</w:t>
      </w:r>
      <w:bookmarkEnd w:id="435"/>
      <w:bookmarkEnd w:id="436"/>
    </w:p>
    <w:p w14:paraId="5DF2485C" w14:textId="4B8C8E33" w:rsidR="00017C04" w:rsidRDefault="00F50AF9">
      <w:bookmarkStart w:id="437" w:name="_heading=h.j8sehv" w:colFirst="0" w:colLast="0"/>
      <w:bookmarkEnd w:id="437"/>
      <w:r>
        <w:t>Governance approaches themselves can be a significant source of conflict in invasive species management, particularly when various groups of influencers or interested stakeholders an</w:t>
      </w:r>
      <w:r w:rsidR="00115F9B">
        <w:t>d</w:t>
      </w:r>
      <w:r>
        <w:t xml:space="preserve"> Indigenous Peoples and local communities are not consulted, their knowledge is not taken into account, or they are not involved in implementation actions that affect them </w:t>
      </w:r>
      <w:r w:rsidR="009E48C2" w:rsidRPr="00A9434B">
        <w:fldChar w:fldCharType="begin"/>
      </w:r>
      <w:r w:rsidR="0006613E">
        <w:instrText xml:space="preserve"> ADDIN ZOTERO_ITEM CSL_CITATION {"citationID":"atn48udm2r","properties":{"formattedCitation":"(Crowley et al., 2017a; Est\\uc0\\u233{}vez et al., 2015; Lynch, 2020)","plainCitation":"(Crowley et al., 2017a; Estévez et al., 2015; Lynch, 2020)","noteIndex":0},"citationItems":[{"id":30389,"uris":["http://zotero.org/groups/2352922/items/RICLEV26"],"itemData":{"id":30389,"type":"article-journal","abstract":"Decision makers and researchers recognize the need to effectively confront the social dimensions and conflicts inherent to invasive species research and management. Yet, despite numerous contentious situations that have arisen, no systematic evaluation of the literature has examined the commonalities in the patterns and types of these emergent social issues. Using social and ecological keywords, we reviewed trends in the social dimensions of invasive species research and management and the sources and potential solutions to problems and conflicts that arise around invasive species. We integrated components of cognitive hierarchy theory and risk perceptions theory to provide a conceptual framework to identify, distinguish, and provide understanding of the driving factors underlying disputes associated with invasive species. In the ISI Web of Science database, we found 15,915 peer-reviewed publications on biological invasions, 124 of which included social dimensions of this phenomenon. Of these 124, 28 studies described specific contentious situations. Social approaches to biological invasions have emerged largely in the last decade and have focused on both environmental social sciences and resource management. Despite being distributed in a range of journals, these 124 articles were concentrated mostly in ecology and conservation-oriented outlets. We found that conflicts surrounding invasive species arose based largely on differences in value systems and to a lesser extent stakeholder and decision maker’s risk perceptions. To confront or avoid such situations, we suggest integrating the plurality of environmental values into invasive species research and management via structured decision making techniques, which enhance effective risk communication that promotes trust and confidence between stakeholders and decision makers.","container-title":"Conservation Biology","DOI":"10.1111/cobi.12359","ISSN":"08888892","issue":"1","journalAbbreviation":"Conservation Biology","language":"en","page":"19-30","source":"DOI.org (Crossref)","title":"Clarifying values, risk perceptions, and attitudes to resolve or avoid social conflicts in invasive species management","title-short":"Clarifying values, risk perceptions, and attitudes to resolve or avoid social conflicts in invasive species management","URL":"http://doi.wiley.com/10.1111/cobi.12359","volume":"29","author":[{"family":"Estévez","given":"Rodrigo A."},{"family":"Anderson","given":"Christopher B."},{"family":"Pizarro","given":"J. Cristobal"},{"family":"Burgman","given":"Mark A."}],"accessed":{"date-parts":[["2021",4,13]]},"issued":{"date-parts":[["2015",2]]}},"label":"page"},{"id":32632,"uris":["http://zotero.org/groups/2352922/items/MI5XWV87"],"itemData":{"id":32632,"type":"article-journal","container-title":"Frontiers in Ecology and the Environment","DOI":"10.1002/fee.1471","issue":"3","language":"en","page":"133-141","title":"Conflict in invasive species management","URL":"http://doi.wiley.com/10.1002/fee.1471","volume":"15","author":[{"family":"Crowley","given":"Sarah L"},{"family":"Hinchliffe","given":"Steve"},{"family":"McDonald","given":"Robbie A"}],"accessed":{"date-parts":[["2019",9,10]]},"issued":{"date-parts":[["2017",4]]}},"label":"page"},{"id":29320,"uris":["http://zotero.org/groups/2352922/items/GSSV3EBS"],"itemData":{"id":29320,"type":"thesis","event-place":"Ann Arbor, Michigan: University Microfilms International","genre":"Doctoral Thesis","language":"en","publisher":"University of California, Santa Cruz","publisher-place":"Ann Arbor, Michigan: University Microfilms International","source":"Zotero","title":"Responding to an emergent plant pest-pathogen complex across social-ecological scales","URL":"https://escholarship.org/uc/item/19f5d5vk","author":[{"family":"Lynch","given":"S.C."}],"issued":{"date-parts":[["2020"]]}},"label":"page"}],"schema":"https://github.com/citation-style-language/schema/raw/master/csl-citation.json"} </w:instrText>
      </w:r>
      <w:r w:rsidR="009E48C2" w:rsidRPr="00A9434B">
        <w:fldChar w:fldCharType="separate"/>
      </w:r>
      <w:r w:rsidR="00017441" w:rsidRPr="00017441">
        <w:t>(Crowley et al., 2017a; Estévez et al., 2015; Lynch, 2020)</w:t>
      </w:r>
      <w:r w:rsidR="009E48C2" w:rsidRPr="00A9434B">
        <w:fldChar w:fldCharType="end"/>
      </w:r>
      <w:r w:rsidR="009E48C2" w:rsidRPr="00A9434B">
        <w:t xml:space="preserve">. Adaptive-collaborative management benefits from good governance, and </w:t>
      </w:r>
      <w:r w:rsidR="009E48C2" w:rsidRPr="00A9434B">
        <w:rPr>
          <w:iCs/>
        </w:rPr>
        <w:t>vice versa</w:t>
      </w:r>
      <w:r w:rsidR="009E48C2" w:rsidRPr="00A9434B">
        <w:t>. Plummer et al</w:t>
      </w:r>
      <w:r w:rsidR="007B01A7" w:rsidRPr="00A9434B">
        <w:t>.</w:t>
      </w:r>
      <w:r w:rsidR="009E48C2" w:rsidRPr="00A9434B">
        <w:t xml:space="preserve"> </w:t>
      </w:r>
      <w:r w:rsidR="009E48C2" w:rsidRPr="00A9434B">
        <w:fldChar w:fldCharType="begin"/>
      </w:r>
      <w:r w:rsidR="0006613E">
        <w:instrText xml:space="preserve"> ADDIN ZOTERO_ITEM CSL_CITATION {"citationID":"a2q36tjfdll","properties":{"formattedCitation":"(2013)","plainCitation":"(2013)","noteIndex":0},"citationItems":[{"id":22085,"uris":["http://zotero.org/groups/2352922/items/KDDY6VSS"],"itemData":{"id":22085,"type":"article-journal","abstract":"We provide a systematic review of the adaptive comanagement (ACM) literature to (i) investigate how the concept of governance is considered and (ii) examine what insights ACM offers with reference to six key concerns in environmental governance literature: accountability and legitimacy; actors and roles; fit, interplay, and scale; adaptiveness, flexibility, and learning; evaluation and monitoring; and, knowledge. Findings from the systematic review uncover a complicated relationship with evidence of conceptual closeness as well as relational ambiguities. The findings also reveal several specific contributions from the ACM literature to each of the six key environmental governance concerns, including applied strategies for sharing power and responsibility and value of systems approaches in understanding problems of fit. More broadly, the research suggests a dissolving or fuzzy boundary between ACM and governance, with implications for understanding emerging approaches to navigate social-ecological system change. Future research opportunities may be found at the confluence of ACM and environmental governance scholarship, such as identifying ways to build adaptive capacity and encouraging the development of more flexible governance arrangements.","container-title":"Ecology and Society","DOI":"10.5751/ES-05383-180121","ISSN":"1708-3087","issue":"1","journalAbbreviation":"E&amp;S","language":"en","page":"21","source":"DOI.org (Crossref)","title":"Adaptive Comanagement and Its Relationship to Environmental Governance","URL":"http://www.ecologyandsociety.org/vol18/iss1/art21/","volume":"18","author":[{"family":"Plummer","given":"Ryan"},{"family":"Armitage","given":"Derek R."},{"family":"Loë","given":"Rob C.","non-dropping-particle":"de"}],"accessed":{"date-parts":[["2020",5,12]]},"issued":{"date-parts":[["2013"]]}},"label":"page","suppress-author":true}],"schema":"https://github.com/citation-style-language/schema/raw/master/csl-citation.json"} </w:instrText>
      </w:r>
      <w:r w:rsidR="009E48C2" w:rsidRPr="00A9434B">
        <w:fldChar w:fldCharType="separate"/>
      </w:r>
      <w:r w:rsidR="00C71E80" w:rsidRPr="00A9434B">
        <w:t>(2013)</w:t>
      </w:r>
      <w:r w:rsidR="009E48C2" w:rsidRPr="00A9434B">
        <w:fldChar w:fldCharType="end"/>
      </w:r>
      <w:r>
        <w:t xml:space="preserve"> examined the literature on adaptive collaborative management for governance content and found multiple relationships: among others, good governance is necessary to facilitate adaptive collaborative management, which helps facilitate a shift to good governance and can operationalize governance, while stressing multi-level, multi-sector</w:t>
      </w:r>
      <w:r w:rsidR="00EB415D">
        <w:t xml:space="preserve"> and</w:t>
      </w:r>
      <w:r>
        <w:t xml:space="preserve"> multi-stakeholder and Indigenous Peoples and local communities engagement (</w:t>
      </w:r>
      <w:r>
        <w:rPr>
          <w:b/>
        </w:rPr>
        <w:t>section 6.7</w:t>
      </w:r>
      <w:r>
        <w:t>). Common themes that emerge include the need for: accountability and legitimacy, the involvement of diverse stakeholder groups and Indigenous Peoples and local communities and bridging organizations, the need to achieve organizational fit, interplay</w:t>
      </w:r>
      <w:r w:rsidR="00EB415D">
        <w:t xml:space="preserve"> and</w:t>
      </w:r>
      <w:r>
        <w:t xml:space="preserve"> scale; for adaptiveness, flexibility and learning, as well as social learning and knowledge sharing</w:t>
      </w:r>
      <w:r w:rsidRPr="00AD02AD">
        <w:rPr>
          <w:rStyle w:val="FootnoteReference"/>
        </w:rPr>
        <w:footnoteReference w:id="14"/>
      </w:r>
      <w:r>
        <w:t xml:space="preserve"> (drawn together</w:t>
      </w:r>
      <w:r>
        <w:rPr>
          <w:i/>
        </w:rPr>
        <w:t xml:space="preserve"> </w:t>
      </w:r>
      <w:r>
        <w:t>in</w:t>
      </w:r>
      <w:r>
        <w:rPr>
          <w:i/>
        </w:rPr>
        <w:t xml:space="preserve"> </w:t>
      </w:r>
      <w:r>
        <w:rPr>
          <w:b/>
        </w:rPr>
        <w:t>section 6.7</w:t>
      </w:r>
      <w:r>
        <w:t>).</w:t>
      </w:r>
    </w:p>
    <w:p w14:paraId="32CEC7F7" w14:textId="40E87DA8" w:rsidR="00017C04" w:rsidRDefault="00F50AF9">
      <w:r>
        <w:t>In addition to giving citizens and stakeholders a voice in decisions that affect them, it is claimed that collaborative approaches to environmental governance can reduce conflict, build trust</w:t>
      </w:r>
      <w:r w:rsidR="00EB415D">
        <w:t xml:space="preserve"> and</w:t>
      </w:r>
      <w:r>
        <w:t xml:space="preserve"> </w:t>
      </w:r>
      <w:r>
        <w:lastRenderedPageBreak/>
        <w:t>facilitate learning among citizens and stakeholders, increasing the likelihood that decisions are implemented on the ground and over the long-term (e.g</w:t>
      </w:r>
      <w:r w:rsidR="78586B7C" w:rsidRPr="00A9434B">
        <w:t>.,</w:t>
      </w:r>
      <w:r w:rsidR="00AD02AD">
        <w:t xml:space="preserve"> </w:t>
      </w:r>
      <w:r w:rsidR="009E48C2" w:rsidRPr="00A9434B">
        <w:fldChar w:fldCharType="begin"/>
      </w:r>
      <w:r w:rsidR="0006613E">
        <w:instrText xml:space="preserve"> ADDIN ZOTERO_ITEM CSL_CITATION {"citationID":"H9otLXaB","properties":{"formattedCitation":"(Beierle, 2002; De Vente et al., 2016; Derak et al., 2018; M. S. Reed, 2008; M. S. Reed et al., 2018)","plainCitation":"(Beierle, 2002; De Vente et al., 2016; Derak et al., 2018; M. S. Reed, 2008; M. S. Reed et al., 2018)","dontUpdate":true,"noteIndex":0},"citationItems":[{"id":53375,"uris":["http://zotero.org/groups/2352922/items/QAQAB6KJ"],"itemData":{"id":53375,"type":"article-journal","container-title":"Risk An</w:instrText>
      </w:r>
      <w:r w:rsidR="0006613E">
        <w:rPr>
          <w:rFonts w:hint="eastAsia"/>
        </w:rPr>
        <w:instrText>alysis: An Official Publication of the Society for Risk Analysis","DOI":"10.1111/0272-4332.00065","issue":"4","note":"ISBN: 0272-4332\npublisher: Wiley Online Library","page":"739-749","title":"The quality of stakeholder</w:instrText>
      </w:r>
      <w:r w:rsidR="0006613E">
        <w:rPr>
          <w:rFonts w:hint="eastAsia"/>
        </w:rPr>
        <w:instrText>‐</w:instrText>
      </w:r>
      <w:r w:rsidR="0006613E">
        <w:rPr>
          <w:rFonts w:hint="eastAsia"/>
        </w:rPr>
        <w:instrText>based decisions","volume":"22","au</w:instrText>
      </w:r>
      <w:r w:rsidR="0006613E">
        <w:instrText xml:space="preserve">thor":[{"family":"Beierle","given":"Thomas C."}],"issued":{"date-parts":[["2002"]]}},"label":"page"},{"id":53374,"uris":["http://zotero.org/groups/2352922/items/X3BM5FV4"],"itemData":{"id":53374,"type":"article-journal","container-title":"Ecology and Society","DOI":"10.5751/ES-08053-210224","issue":"2","note":"ISBN: 1708-3087\npublisher: JSTOR","page":"24","title":"How does the context and design of participatory decision making processes affect their outcomes? Evidence from sustainable land management in global drylands","volume":"21","author":[{"family":"De Vente","given":"Joris"},{"family":"Reed","given":"Mark S."},{"family":"Stringer","given":"Lindsay C."},{"family":"Valente","given":"Sandra"},{"family":"Newig","given":"Jens"}],"issued":{"date-parts":[["2016"]]}},"label":"page"},{"id":53373,"uris":["http://zotero.org/groups/2352922/items/5PESJLIC"],"itemData":{"id":53373,"type":"article-journal","container-title":"Restoration ecology","DOI":"10.1111/rec.12486","issue":"S1","note":"ISBN: 1061-2971\npublisher: Wiley Online Library","page":"S18-S25","title":"A proposed framework for participatory forest restoration in semiarid areas of North Africa","volume":"26","author":[{"family":"Derak","given":"Mchich"},{"family":"Cortina","given":"Jordi"},{"family":"Taiqui","given":"Lahcen"},{"family":"Aledo","given":"Antonio"}],"issued":{"date-parts":[["2018"]]}},"label":"page"},{"id":14507,"uris":["http://zotero.org/groups/2352922/items/3PCNMCKC"],"itemData":{"id":14507,"type":"article-journal","abstract":"The complex and dynamic nature of environmental problems requires flexible and transparent decision-making that embraces a diversity of knowledges and values. For this reason, stakeholder participation in environmental decision-making has been increasingly sought and embedded into national and international policy. Although many benefits have been claimed for participation, disillusionment has grown amongst practitioners and stakeholders who have felt let down when these claims are not realised. This review first traces the development of participatory approaches in different disciplinary and geographical contexts, and reviews typologies that can be used to categorise and select participatory methods. It then reviews evidence for normative and pragmatic benefits of participation, and evaluates limitations and drawbacks. Although few of the claims that are made have been tested, there is evidence that stakeholder participation can enhance the quality of environmental decisions by considering more comprehensive information inputs. However, the quality of decisions made through stakeholder participation is strongly dependant on the nature of the process leading to them. Eight features of best practice participation are then identified from a Grounded Theory Analysis of the literature. These features emphasise the need to replace a “tool-kit” approach, which emphasises selecting the relevant tools for the job, with an approach that emphasises participation as a process. It is argued that stakeholder participation needs to be underpinned by a philosophy that emphasises empowerment, equity, trust and learning. Where relevant, participation should be considered as early as possible and throughout the process, representing relevant stakeholders systematically. The process needs to have clear objectives from the outset, and should not overlook the need for highly skilled facilitation. Local and scientific knowledges can be integrated to provide a more comprehensive understanding of complex and dynamic socio-ecological systems and processes. Such knowledge can also be used to evaluate the appropriateness of potential technical and local solutions to environmental problems. Finally, it is argued that to overcome many of its limitations, stakeholder participation must be institutionalised, creating organisational cultures that can facilitate processes where goals are negotiated and outcomes are necessarily uncertain. In this light, participatory processes may seem very risky, but there is growing evidence that if well designed, these perceived risks may be well worth taking. The review concludes by identifying future research needs.","container-title":"Biological Conservation","DOI":"10.1016/J.BIOCON.2008.07.014","ISSN":"0006-3207","issue":"10","page":"2417–2431","title":"Stakeholder participation for environmental management: A literature review","URL":"https://www.sciencedirect.com/science/article/pii/S0006320708002693?via%3Dihub","volume":"141","author":[{"family":"Reed","given":"Mark S."}],"issued":{"date-parts":[["2008",10]]}},"label":"page"},{"id":26767,"uris":["http://zotero.org/groups/2352922/items/MBX6C84R"],"itemData":{"id":26767,"type":"article-journal","container-title":"Restoration Ecology","DOI":"10.1111/rec.12541","ISSN":"10612971","issue":"S1","journalAbbreviation":"Restor Ecol","language":"en","page":"S7-S17","source":"DOI.org (Crossref)","title":"A theory of participation: what makes stakeholder and public engagement in environmental management work?","title-short":"A theory of participation","URL":"https://doi.org/10.1111/rec.12541","volume":"26","author":[{"family":"Reed","given":"Mark S."},{"family":"Vella","given":"Steven"},{"family":"Challies","given":"Edward"},{"family":"Vente","given":"Joris","non-dropping-particle":"de"},{"family":"Frewer","given":"Lynne"},{"family":"Hohenwallner-Ries","given":"Daniela"},{"family":"Huber","given":"Tobias"},{"family":"Neumann","given":"Rosmarie K."},{"family":"Oughton","given":"Elizabeth A."},{"family":"Sidoli del Ceno","given":"Julian"},{"family":"Delden","given":"Hedwig","non-dropping-particle":"van"}],"accessed":{"date-parts":[["2021",5,7]]},"issued":{"date-parts":[["2018",4]]}},"label":"page"}],"schema":"https://github.com/citation-style-language/schema/raw/master/csl-citation.json"} </w:instrText>
      </w:r>
      <w:r w:rsidR="009E48C2" w:rsidRPr="00A9434B">
        <w:fldChar w:fldCharType="separate"/>
      </w:r>
      <w:r w:rsidR="00772E4B" w:rsidRPr="00772E4B">
        <w:t>Beierle, 2002; De Vente et al., 2016; Derak et al., 2018; M. S. Reed, 2008; M. S. Reed et al., 2018)</w:t>
      </w:r>
      <w:r w:rsidR="009E48C2" w:rsidRPr="00A9434B">
        <w:fldChar w:fldCharType="end"/>
      </w:r>
      <w:r w:rsidR="78586B7C" w:rsidRPr="00A9434B">
        <w:t xml:space="preserve">. However, </w:t>
      </w:r>
      <w:r w:rsidR="2CD3AECF" w:rsidRPr="00A9434B">
        <w:t xml:space="preserve">stakeholders and </w:t>
      </w:r>
      <w:r w:rsidR="4C1F436F" w:rsidRPr="00A9434B">
        <w:rPr>
          <w:rFonts w:eastAsiaTheme="majorEastAsia"/>
        </w:rPr>
        <w:t>Indigenous Peoples</w:t>
      </w:r>
      <w:r w:rsidR="6661D606" w:rsidRPr="00A9434B">
        <w:rPr>
          <w:rFonts w:eastAsiaTheme="majorEastAsia"/>
        </w:rPr>
        <w:t xml:space="preserve"> and local communit</w:t>
      </w:r>
      <w:r w:rsidR="00351A46">
        <w:rPr>
          <w:rFonts w:eastAsiaTheme="majorEastAsia"/>
        </w:rPr>
        <w:t>ies</w:t>
      </w:r>
      <w:r w:rsidR="78586B7C" w:rsidRPr="00A9434B">
        <w:rPr>
          <w:rFonts w:eastAsiaTheme="majorEastAsia"/>
        </w:rPr>
        <w:t xml:space="preserve"> involvement </w:t>
      </w:r>
      <w:r w:rsidR="007804B8">
        <w:rPr>
          <w:rFonts w:eastAsiaTheme="majorEastAsia"/>
        </w:rPr>
        <w:t>can only be successful when</w:t>
      </w:r>
      <w:r w:rsidR="78586B7C" w:rsidRPr="00A9434B">
        <w:rPr>
          <w:rFonts w:eastAsiaTheme="majorEastAsia"/>
        </w:rPr>
        <w:t xml:space="preserve"> tailored to the problem and context </w:t>
      </w:r>
      <w:r w:rsidR="00F806B6" w:rsidRPr="00A9434B">
        <w:rPr>
          <w:rFonts w:eastAsiaTheme="majorEastAsia"/>
        </w:rPr>
        <w:t>(</w:t>
      </w:r>
      <w:r w:rsidR="78586B7C" w:rsidRPr="00673554">
        <w:rPr>
          <w:rFonts w:eastAsiaTheme="majorEastAsia"/>
          <w:b/>
          <w:iCs/>
        </w:rPr>
        <w:t>section 6.4.</w:t>
      </w:r>
      <w:r w:rsidR="00A54D71" w:rsidRPr="00673554">
        <w:rPr>
          <w:rFonts w:eastAsiaTheme="majorEastAsia"/>
          <w:b/>
          <w:iCs/>
        </w:rPr>
        <w:t>1</w:t>
      </w:r>
      <w:r w:rsidR="00A54D71" w:rsidRPr="00A9434B">
        <w:rPr>
          <w:rFonts w:eastAsiaTheme="majorEastAsia"/>
        </w:rPr>
        <w:t>)</w:t>
      </w:r>
      <w:r w:rsidR="78586B7C" w:rsidRPr="00A9434B">
        <w:rPr>
          <w:rFonts w:eastAsiaTheme="majorEastAsia"/>
        </w:rPr>
        <w:t>. In some cases, stakeholders</w:t>
      </w:r>
      <w:r w:rsidR="2CD3AECF" w:rsidRPr="00A9434B">
        <w:rPr>
          <w:rFonts w:eastAsiaTheme="majorEastAsia"/>
        </w:rPr>
        <w:t xml:space="preserve"> and Indigenous Peoples and local communities</w:t>
      </w:r>
      <w:r w:rsidR="78586B7C" w:rsidRPr="00A9434B">
        <w:rPr>
          <w:rFonts w:eastAsiaTheme="majorEastAsia"/>
        </w:rPr>
        <w:t xml:space="preserve"> need to be involved in “deeper, two-way, co-productive engagement (possibly over long time-scales)” </w:t>
      </w:r>
      <w:r w:rsidR="009E48C2" w:rsidRPr="00A9434B">
        <w:rPr>
          <w:rFonts w:eastAsiaTheme="majorEastAsia"/>
        </w:rPr>
        <w:fldChar w:fldCharType="begin"/>
      </w:r>
      <w:r w:rsidR="0006613E">
        <w:rPr>
          <w:rFonts w:eastAsiaTheme="majorEastAsia"/>
        </w:rPr>
        <w:instrText xml:space="preserve"> ADDIN ZOTERO_ITEM CSL_CITATION {"citationID":"a1pe8kfvn2s","properties":{"formattedCitation":"(Shackleton, Adriaens, et al., 2019)","plainCitation":"(Shackleton, Adriaens, et al., 2019)","noteIndex":0},"citationItems":[{"id":29948,"uris":["http://zotero.org/groups/2352922/items/AVRETIRN"],"itemData":{"id":29948,"type":"article-journal","container-title":"Journal of Environmental Management","DOI":"10.1016/j.jenvman.2018.04.044","ISSN":"03014797","journalAbbreviation":"Journal of Environmental Management","language":"en","page":"88-101","source":"DOI.org (Crossref)","title":"Stakeholder engagement in the study and management of invasive alien species","URL":"https://linkinghub.elsevier.com/retrieve/pii/S0301479718304262","volume":"229","author":[{"family":"Shackleton","given":"Ross T."},{"family":"Adriaens","given":"Tim"},{"family":"Brundu","given":"Giuseppe"},{"family":"Dehnen-Schmutz","given":"Katharina"},{"family":"Estévez","given":"Rodrigo A."},{"family":"Fried","given":"Jana"},{"family":"Larson","given":"Brendon M.H."},{"family":"Liu","given":"Shuang"},{"family":"Marchante","given":"Elizabete"},{"family":"Marchante","given":"Hélia"},{"family":"Moshobane","given":"Moleseng C."},{"family":"Novoa","given":"Ana"},{"family":"Reed","given":"Mark"},{"family":"Richardson","given":"David M."}],"accessed":{"date-parts":[["2021",8,16]]},"issued":{"date-parts":[["2019",1]]}},"label":"page"}],"schema":"https://github.com/citation-style-language/schema/raw/master/csl-citation.json"} </w:instrText>
      </w:r>
      <w:r w:rsidR="009E48C2" w:rsidRPr="00A9434B">
        <w:rPr>
          <w:rFonts w:eastAsiaTheme="majorEastAsia"/>
        </w:rPr>
        <w:fldChar w:fldCharType="separate"/>
      </w:r>
      <w:r w:rsidR="00C71E80" w:rsidRPr="00A9434B">
        <w:t>(Shackleton, Adriaens, et al., 2019)</w:t>
      </w:r>
      <w:r w:rsidR="009E48C2" w:rsidRPr="00A9434B">
        <w:rPr>
          <w:rFonts w:eastAsiaTheme="majorEastAsia"/>
        </w:rPr>
        <w:fldChar w:fldCharType="end"/>
      </w:r>
      <w:r w:rsidR="78586B7C" w:rsidRPr="00A9434B">
        <w:rPr>
          <w:rFonts w:eastAsiaTheme="majorEastAsia"/>
        </w:rPr>
        <w:t xml:space="preserve">. </w:t>
      </w:r>
      <w:r w:rsidR="00AD02AD">
        <w:t xml:space="preserve">This may be the case, for example, when coordination of the management of biological invasions occurs across multiple land tenures or land-use settings </w:t>
      </w:r>
      <w:r w:rsidR="009E48C2" w:rsidRPr="00A9434B">
        <w:rPr>
          <w:rFonts w:eastAsiaTheme="majorEastAsia"/>
        </w:rPr>
        <w:fldChar w:fldCharType="begin"/>
      </w:r>
      <w:r w:rsidR="0006613E">
        <w:rPr>
          <w:rFonts w:eastAsiaTheme="majorEastAsia"/>
        </w:rPr>
        <w:instrText xml:space="preserve"> ADDIN ZOTERO_ITEM CSL_CITATION {"citationID":"a1iugoktqh8","properties":{"formattedCitation":"(Bryce et al., 2011; Shackleton et al., 2015)","plainCitation":"(Bryce et al., 2011; Shackleton et al., 2015)","noteIndex":0},"citationItems":[{"id":11153,"uris":["http://zotero.org/groups/2352922/items/464QZUIG"],"itemData":{"id":11153,"type":"article-journal","abstract":"Successful eradications of harmful invasive species have been mostly confined to islands while control programs in mainland areas remain small, uncoordinated and vulnerable to recolonisation. To allow the recovery of threatened native species, innovative management strategies are required to remove invasives from large areas. We took an adaptive approach to achieve large scale eradication of invasive American mink in North East Scotland. The project was centred on the Cairngorms National Park (Scotland), with the primary aim of protecting endangered water vole populations. The project was initiated by scientists and supported and implemented through a partnership comprising a government agency, national park authority and local fisheries boards. Capitalising on the convergent interests of a diverse range of local stakeholders, we created a coordinated coalition of trained volunteers to detect and trap mink. Starting in montane headwaters, we systematically moved down river catchments, deploying mink rafts, an effective detection and trapping platform. Volunteers took increasing responsibility for raft monitoring and mink trapping as the project progressed. Within 3years, the project removed 376 mink from 10570km2 with the involvement of 186 volunteers. Capture rate within sub-catchments increased with greater connectivity to mink in other sub-catchments and with proximity to the coast where there is more productive habitat. The main factor underpinning the success of this project was functional volunteer participation. The project is a reason for optimism that the tide of invasion can be rolled back on a large scale where the convergent interest of local communities can be harnessed.","container-title":"Biological Conservation","DOI":"10.1016/j.biocon.2010.10.013","ISSN":"0006-3207","issue":"1","journalAbbreviation":"Biological Conservation","language":"en","page":"575-583","source":"ScienceDirect","title":"Turning back the tide of American mink invasion at an unprecedented scale through community participation and adaptive management","URL":"https://doi.org/10.1016/j.biocon.2010.10.013","volume":"144","author":[{"family":"Bryce","given":"Rosalind"},{"family":"Oliver","given":"Matthew K."},{"family":"Davies","given":"Llinos"},{"family":"Gray","given":"Helen"},{"family":"Urquhart","given":"Jamie"},{"family":"Lambin","given":"Xavier"}],"accessed":{"date-parts":[["2021",3,30]]},"issued":{"date-parts":[["2011",1,1]]}},"label":"page"},{"id":30215,"uris":["http://zotero.org/groups/2352922/items/4XK7RZP7"],"itemData":{"id":30215,"type":"article-journal","abstract":"Many Prosopis species have been introduced to South Africa; some taxa and their hybrids have naturalised and become widespread invasive trees. These invasions have detrimental effects on biodiversity, ecosystem services and human livelihoods. Although several studies have documented these impacts, the studies have been limited to single sites or restricted areas. This study assessed the Prosopis population across the full invasive range of the genus in South Africa, and quantiﬁed the effects of invasions on native woody and herbaceous species. Basal areas of invasive Prosopis stands reached 9 m2/ha, and were on average higher along perennial rivers than along ephemeral rivers (mean basal areas of 3.2 vs. 1.4 m2/ha). Native woody species density, basal area, richness and diversity all decreased signiﬁcantly as the basal area of Prosopis stands increased. For example, up to eight native woody species occurred at basal area of b 2 m2/ha, this decreased to three native species or fewer at basal areas of N4 m2/ha. The cover of native perennial grasses and herbaceous plants declined from 15–20% where the basal area of Prosopis was b2 m2/ha to zero where the basal area of Prosopis was N4.5 m2/ha. The results highlight the widespread nature of the impacts across all invaded biomes. Current control of Prosopis has had limited success, and alternative, potentially more effective, options are controversial. In the light of the widespread impacts, we recommend that a thorough assessment of the problem be undertaken to inform policy. © 2014 SAAB. Published by Elsevier B.V. All rights reserved.","container-title":"South African Journal of Botany","DOI":"10.1016/j.sajb.2014.12.008","ISSN":"02546299","journalAbbreviation":"South African Journal of Botany","language":"en","page":"25-31","source":"DOI.org (Crossref)","title":"The impact of invasive alien &lt;i&gt;Prosopis&lt;/i&gt; species (mesquite) on native plants in different environments in South Africa","URL":"https://linkinghub.elsevier.com/retrieve/pii/S0254629914002336","volume":"97","author":[{"family":"Shackleton","given":"Ross T."},{"family":"Le Maitre","given":"David C."},{"family":"Wilgen","given":"Brian W.","non-dropping-particle":"van"},{"family":"Richardson","given":"David M."}],"accessed":{"date-parts":[["2019",10,12]]},"issued":{"date-parts":[["2015",3]]}},"label":"page"}],"schema":"https://github.com/citation-style-language/schema/raw/master/csl-citation.json"} </w:instrText>
      </w:r>
      <w:r w:rsidR="009E48C2" w:rsidRPr="00A9434B">
        <w:rPr>
          <w:rFonts w:eastAsiaTheme="majorEastAsia"/>
        </w:rPr>
        <w:fldChar w:fldCharType="separate"/>
      </w:r>
      <w:r w:rsidR="00C71E80" w:rsidRPr="00A9434B">
        <w:t>(Bryce et al., 2011; Shackleton et al., 2015)</w:t>
      </w:r>
      <w:r w:rsidR="009E48C2" w:rsidRPr="00A9434B">
        <w:rPr>
          <w:rFonts w:eastAsiaTheme="majorEastAsia"/>
        </w:rPr>
        <w:fldChar w:fldCharType="end"/>
      </w:r>
      <w:r w:rsidR="78586B7C" w:rsidRPr="00A9434B">
        <w:rPr>
          <w:rFonts w:eastAsiaTheme="majorEastAsia"/>
        </w:rPr>
        <w:t>, or where cooperation problems are evident and thus the potential for conflict or lack of cooperation is high.</w:t>
      </w:r>
      <w:r>
        <w:t xml:space="preserve"> These conditions may call for stakeholder and Indigenous Peoples and local communities’ involvement in the co-design or co-development of risk assessments, strategies</w:t>
      </w:r>
      <w:r w:rsidR="00EB415D">
        <w:t xml:space="preserve"> and</w:t>
      </w:r>
      <w:r>
        <w:t xml:space="preserve"> management approaches, co-creation of knowledge</w:t>
      </w:r>
      <w:r w:rsidR="00EB415D">
        <w:t xml:space="preserve"> and</w:t>
      </w:r>
      <w:r>
        <w:t xml:space="preserve"> co-implementation</w:t>
      </w:r>
      <w:r w:rsidRPr="56C59A3A">
        <w:rPr>
          <w:color w:val="000000" w:themeColor="text1"/>
        </w:rPr>
        <w:t xml:space="preserve">. </w:t>
      </w:r>
    </w:p>
    <w:p w14:paraId="3F73F0AF" w14:textId="3ADAA2BA" w:rsidR="009E48C2" w:rsidRPr="00A9434B" w:rsidRDefault="78586B7C" w:rsidP="006B3143">
      <w:r w:rsidRPr="00A9434B">
        <w:t xml:space="preserve">Several factors seem to be key to the success of </w:t>
      </w:r>
      <w:r w:rsidR="002A48CB">
        <w:t>a</w:t>
      </w:r>
      <w:r w:rsidRPr="00A9434B">
        <w:t xml:space="preserve">daptive-collaborative governance </w:t>
      </w:r>
      <w:r w:rsidR="00D6699F" w:rsidRPr="00A9434B">
        <w:t>for biological invasions</w:t>
      </w:r>
      <w:r w:rsidRPr="00A9434B">
        <w:t xml:space="preserve">. One </w:t>
      </w:r>
      <w:r w:rsidR="007804B8">
        <w:t xml:space="preserve">of them </w:t>
      </w:r>
      <w:r w:rsidRPr="00A9434B">
        <w:t xml:space="preserve">is the breadth of </w:t>
      </w:r>
      <w:r w:rsidR="00BA11B0" w:rsidRPr="00A9434B">
        <w:t xml:space="preserve">involvement of </w:t>
      </w:r>
      <w:r w:rsidRPr="00A9434B">
        <w:t>stakeholder</w:t>
      </w:r>
      <w:r w:rsidR="00115F9B">
        <w:t>s</w:t>
      </w:r>
      <w:r w:rsidRPr="00A9434B">
        <w:t xml:space="preserve"> and </w:t>
      </w:r>
      <w:r w:rsidR="4C1F436F" w:rsidRPr="00A9434B">
        <w:t>Indigenous Peoples</w:t>
      </w:r>
      <w:r w:rsidR="6661D606" w:rsidRPr="00A9434B">
        <w:t xml:space="preserve"> and local communities</w:t>
      </w:r>
      <w:r w:rsidR="007804B8">
        <w:t>,</w:t>
      </w:r>
      <w:r w:rsidRPr="00A9434B">
        <w:t xml:space="preserve"> ensuring that all stakeholders with influence and interests are included lends governance the legitimacy it needs for policy implementation. Another </w:t>
      </w:r>
      <w:r w:rsidR="007804B8">
        <w:t>factor is the</w:t>
      </w:r>
      <w:r w:rsidRPr="00A9434B">
        <w:t xml:space="preserve"> deliberative</w:t>
      </w:r>
      <w:r w:rsidR="007804B8">
        <w:t xml:space="preserve"> and </w:t>
      </w:r>
      <w:r w:rsidRPr="00A9434B">
        <w:t xml:space="preserve">transparent </w:t>
      </w:r>
      <w:r w:rsidR="007804B8">
        <w:t xml:space="preserve">nature of the </w:t>
      </w:r>
      <w:r w:rsidR="007804B8" w:rsidRPr="00A9434B">
        <w:t>collaborative process</w:t>
      </w:r>
      <w:r w:rsidR="007804B8">
        <w:t>, as well as its ability</w:t>
      </w:r>
      <w:r w:rsidRPr="00A9434B">
        <w:t xml:space="preserve"> to account for and manage power imbalances and conflicts</w:t>
      </w:r>
      <w:r w:rsidR="007804B8">
        <w:t xml:space="preserve"> </w:t>
      </w:r>
      <w:r w:rsidR="009E48C2" w:rsidRPr="00A9434B">
        <w:fldChar w:fldCharType="begin"/>
      </w:r>
      <w:r w:rsidR="0006613E">
        <w:instrText xml:space="preserve"> ADDIN ZOTERO_ITEM CSL_CITATION {"citationID":"a4kj6i3e8p","properties":{"formattedCitation":"(Newig et al., 2018)","plainCitation":"(Newig et al., 2018)","noteIndex":0},"citationItems":[{"id":29936,"uris":["http://zotero.org/groups/2352922/items/8C52SSJT"],"itemData":{"id":29936,"type":"article-journal","abstract":"Many have advocated for collaborative governance and the participation of citizens and stakeholders on the basis that it can improve the environmental outcomes of public decision making, as compared to traditional, top-down decision making. Others, however, point to the potential negative effects of participation and collaboration on environmental outcomes. This article draws on several literatures to identify five clusters of causal mechanisms describing the relationship between participation and environmental outcomes. We distinguish (i) mechanisms that describe how participation impacts on the environmental standard of outputs, from (ii) mechanisms relating to the implementation of outputs. Three mechanism clusters focus on the role of representation of environmental concerns, participants' environmental knowledge, and dialogical interaction in decision making. Two further clusters elaborate on the role of acceptance, conflict resolution, and collaborative networks for the implementation of decisions. In addition to the mechanisms, linking independent with dependent variables, we identify the conditions under which participation may lead to better (or worse) environmental outcomes. This helps to resolve apparent contradictions in the literature. We conclude by outlining avenues for research that builds on this framework for analysis.","container-title":"Policy Studies Journal","DOI":"10.1111/psj.12209","ISSN":"1541-0072","issue":"2","language":"en","note":"_eprint: https://onlinelibrary.wiley.com/doi/pdf/10.1111/psj.12209","page":"269-297","source":"Wiley Online Library","title":"The Environmental Performance of Participatory and Collaborative Governance: A Framework of Causal Mechanisms","title-short":"The Environmental Performance of Participatory and Collaborative Governance","URL":"https://onlinelibrary.wiley.com/doi/abs/10.1111/psj.12209","volume":"46","author":[{"family":"Newig","given":"Jens"},{"family":"Challies","given":"Edward"},{"family":"Jager","given":"Nicolas W."},{"family":"Kochskaemper","given":"Elisa"},{"family":"Adzersen","given":"Ana"}],"accessed":{"date-parts":[["2021",8,3]]},"issued":{"date-parts":[["2018"]]}},"label":"page"}],"schema":"https://github.com/citation-style-language/schema/raw/master/csl-citation.json"} </w:instrText>
      </w:r>
      <w:r w:rsidR="009E48C2" w:rsidRPr="00A9434B">
        <w:fldChar w:fldCharType="separate"/>
      </w:r>
      <w:r w:rsidR="00C71E80" w:rsidRPr="00A9434B">
        <w:t>(Newig et al., 2018)</w:t>
      </w:r>
      <w:r w:rsidR="009E48C2" w:rsidRPr="00A9434B">
        <w:fldChar w:fldCharType="end"/>
      </w:r>
      <w:r w:rsidRPr="00A9434B">
        <w:t xml:space="preserve">. Finally, high levels of social interaction among the participating actors </w:t>
      </w:r>
      <w:r w:rsidR="7667E3F3" w:rsidRPr="00A9434B">
        <w:t>favour</w:t>
      </w:r>
      <w:r w:rsidRPr="00A9434B">
        <w:t xml:space="preserve"> positive outcomes and help to build commitments, knowledge and trust </w:t>
      </w:r>
      <w:r w:rsidR="009E48C2" w:rsidRPr="00A9434B">
        <w:fldChar w:fldCharType="begin"/>
      </w:r>
      <w:r w:rsidR="0006613E">
        <w:instrText xml:space="preserve"> ADDIN ZOTERO_ITEM CSL_CITATION {"citationID":"a2j65l0bops","properties":{"formattedCitation":"(S. M. Alexander et al., 2018; Bodin, 2017; Newig et al., 2018)","plainCitation":"(S. M. Alexander et al., 2018; Bodin, 2017; Newig et al., 2018)","noteIndex":0},"citationItems":[{"id":29994,"uris":["http://zotero.org/groups/2352922/items/WP8WPMEP"],"itemData":{"id":29994,"type":"article-journal","abstract":"Biodiversity conservation is often limited by inadequate investments in monitoring and enforcement. However, monitoring and enforcement problems may be overcome by encouraging resource users to develop, endorse, and subsequently enforce conservation regulations. In this article, we draw upon the literature on common-pool resources and social networks to assess the impacts of participation and network ties on the decisions of fishers to voluntarily report rule violations in two Jamaican marine reserves. Data was collected using questionnaires administered through personal interviews with fishers (n = 277). The results suggest that local fishers are more likely to report illegal fishing if they had participated in conservation planning and if they are directly linked to community-based wardens in information sharing networks. This research extends well-established findings regarding the role and impacts of participation on biodiversity conservation by highlighting the importance of synergies between participation and social networks for voluntary monitoring of conservation regulations.","container-title":"Conservation Letters","DOI":"10.1111/conl.12562","ISSN":"1755-263X","issue":"5","language":"en","note":"_eprint: https://conbio.onlinelibrary.wiley.com/doi/pdf/10.1111/conl.12562","page":"e12562","source":"Wiley Online Library","title":"Participation in planning and social networks increase social monitoring in community-based conservation","URL":"https://conbio.onlinelibrary.wiley.com/doi/abs/10.1111/conl.12562","volume":"11","author":[{"family":"Alexander","given":"Steven M."},{"family":"Epstein","given":"Graham"},{"family":"Bodin","given":"Örjan"},{"family":"Armitage","given":"Derek"},{"family":"Campbell","given":"Donovan"}],"accessed":{"date-parts":[["2021",8,3]]},"issued":{"date-parts":[["2018"]]}},"label":"page"},{"id":29067,"uris":["http://zotero.org/groups/2352922/items/732VQTUE","http://zotero.org/groups/2352922/items/LNYGMDU4"],"itemData":{"id":29067,"type":"article-journal","abstract":"Managing ecosystems is challenging because of the high number of stakeholders, the permeability of man-made political and jurisdictional demarcations in relation to the temporal and spatial extent of biophysical processes, and a limited understanding of complex ecosystem and societal dynamics. Given these conditions, collaborative governance is commonly put forward as the preferred means of addressing environmental problems. Under this paradigm, a deeper understanding of if, when, and how collaboration is effective, and when other means of addressing environmental problems are better suited, is needed. Interdisciplinary research on collaborative networks demonstrates that which actors get involved, with whom they collaborate, and in what ways they are tied to the structures of the ecosystems have profound implications on actors’ abilities to address different types of environmental problems.","container-title":"Science","DOI":"10.1126/science.aan1114","ISSN":"0036-8075, 1095-9203","issue":"6352","journalAbbreviation":"Science","language":"en","page":"eaan1114","source":"DOI.org (Crossref)","title":"Collaborative environmental governance: Achieving collective action in social-ecological systems","title-short":"Collaborative environmental governance","URL":"https://www.sciencemag.org/lookup/doi/10.1126/science.aan1114","volume":"357","author":[{"family":"Bodin","given":"Örjan"}],"accessed":{"date-parts":[["2021",6,26]]},"issued":{"date-parts":[["2017",8,18]]}},"label":"page"},{"id":29936,"uris":["http://zotero.org/groups/2352922/items/8C52SSJT"],"itemData":{"id":29936,"type":"article-journal","abstract":"Many have advocated for collaborative governance and the participation of citizens and stakeholders on the basis that it can improve the environmental outcomes of public decision making, as compared to traditional, top-down decision making. Others, however, point to the potential negative effects of participation and collaboration on environmental outcomes. This article draws on several literatures to identify five clusters of causal mechanisms describing the relationship between participation and environmental outcomes. We distinguish (i) mechanisms that describe how participation impacts on the environmental standard of outputs, from (ii) mechanisms relating to the implementation of outputs. Three mechanism clusters focus on the role of representation of environmental concerns, participants' environmental knowledge, and dialogical interaction in decision making. Two further clusters elaborate on the role of acceptance, conflict resolution, and collaborative networks for the implementation of decisions. In addition to the mechanisms, linking independent with dependent variables, we identify the conditions under which participation may lead to better (or worse) environmental outcomes. This helps to resolve apparent contradictions in the literature. We conclude by outlining avenues for research that builds on this framework for analysis.","container-title":"Policy Studies Journal","DOI":"10.1111/psj.12209","ISSN":"1541-0072","issue":"2","language":"en","note":"_eprint: https://onlinelibrary.wiley.com/doi/pdf/10.1111/psj.12209","page":"269-297","source":"Wiley Online Library","title":"The Environmental Performance of Participatory and Collaborative Governance: A Framework of Causal Mechanisms","title-short":"The Environmental Performance of Participatory and Collaborative Governance","URL":"https://onlinelibrary.wiley.com/doi/abs/10.1111/psj.12209","volume":"46","author":[{"family":"Newig","given":"Jens"},{"family":"Challies","given":"Edward"},{"family":"Jager","given":"Nicolas W."},{"family":"Kochskaemper","given":"Elisa"},{"family":"Adzersen","given":"Ana"}],"accessed":{"date-parts":[["2021",8,3]]},"issued":{"date-parts":[["2018"]]}},"label":"page"}],"schema":"https://github.com/citation-style-language/schema/raw/master/csl-citation.json"} </w:instrText>
      </w:r>
      <w:r w:rsidR="009E48C2" w:rsidRPr="00A9434B">
        <w:fldChar w:fldCharType="separate"/>
      </w:r>
      <w:r w:rsidR="00297FD9" w:rsidRPr="00297FD9">
        <w:t>(S. M. Alexander et al., 2018; Bodin, 2017; Newig et al., 2018)</w:t>
      </w:r>
      <w:r w:rsidR="009E48C2" w:rsidRPr="00A9434B">
        <w:fldChar w:fldCharType="end"/>
      </w:r>
      <w:r w:rsidR="093C0085" w:rsidRPr="00A9434B">
        <w:t>. These</w:t>
      </w:r>
      <w:r w:rsidRPr="00A9434B">
        <w:t xml:space="preserve"> in turn are instrumental for collectively addressing coordination and collaboration problems. In other words, one key factor that is needed to achieve successful collective action is to build appropriate governance networks where relevant actors, individuals and/or organizations are included and engaged with each other </w:t>
      </w:r>
      <w:r w:rsidR="009E48C2" w:rsidRPr="00A9434B">
        <w:fldChar w:fldCharType="begin"/>
      </w:r>
      <w:r w:rsidR="0006613E">
        <w:instrText xml:space="preserve"> ADDIN ZOTERO_ITEM CSL_CITATION {"citationID":"a1kbooenjbp","properties":{"formattedCitation":"(DeFries &amp; Nagendra, 2017)","plainCitation":"(DeFries &amp; Nagendra, 2017)","noteIndex":0},"citationItems":[{"id":29545,"uris":["http://zotero.org/groups/2352922/items/D8FSMINH"],"itemData":{"id":29545,"type":"article-journal","abstract":"Ecosystems are self-regulating systems that provide societies with food, water, timber, and other resources. As demands for resources increase, management decisions are replacing self-regulating properties. Counter to previous technical approaches that applied simple formulas to estimate sustainable yields of single species, current research recognizes the inherent complexity of ecosystems and the inability to foresee all consequences of interventions across different spatial, temporal, and administrative scales. Ecosystem management is thus more realistically seen as a “wicked problem” that has no clear-cut solution. Approaches for addressing such problems include multisector decision-making, institutions that enable management to span across administrative boundaries, adaptive management, markets that incorporate natural capital, and collaborative processes to engage diverse stakeholders and address inequalities. Ecosystem management must avoid two traps: falsely assuming a tame solution and inaction from overwhelming complexity. An incremental approach can help to avoid these traps.","container-title":"Science","DOI":"10.1126/science.aal1950","ISSN":"0036-8075, 1095-9203","issue":"6335","language":"en","license":"Copyright © 2017, American Association for the Advancement of Science","note":"publisher: American Association for the Advancement of Science\nsection: Review\nPMID: 28428392","page":"265-270","source":"science.sciencemag.org","title":"Ecosystem management as a wicked problem","URL":"https://science.sciencemag.org/content/356/6335/265","volume":"356","author":[{"family":"DeFries","given":"Ruth"},{"family":"Nagendra","given":"Harini"}],"accessed":{"date-parts":[["2021",8,3]]},"issued":{"date-parts":[["2017",4,21]]}},"label":"page"}],"schema":"https://github.com/citation-style-language/schema/raw/master/csl-citation.json"} </w:instrText>
      </w:r>
      <w:r w:rsidR="009E48C2" w:rsidRPr="00A9434B">
        <w:fldChar w:fldCharType="separate"/>
      </w:r>
      <w:r w:rsidR="00C71E80" w:rsidRPr="00A9434B">
        <w:t>(DeFries &amp; Nagendra, 2017)</w:t>
      </w:r>
      <w:r w:rsidR="009E48C2" w:rsidRPr="00A9434B">
        <w:fldChar w:fldCharType="end"/>
      </w:r>
      <w:r w:rsidRPr="00A9434B">
        <w:t xml:space="preserve">. Other critical factors that affect the effectiveness of networks include consensus around goals and the need for </w:t>
      </w:r>
      <w:r w:rsidR="00B0712F" w:rsidRPr="00A9434B">
        <w:t>“</w:t>
      </w:r>
      <w:r w:rsidRPr="00A9434B">
        <w:t>network competencies,</w:t>
      </w:r>
      <w:r w:rsidR="00B0712F" w:rsidRPr="00A9434B">
        <w:t>”</w:t>
      </w:r>
      <w:r w:rsidRPr="00A9434B">
        <w:t xml:space="preserve"> or specializations, among the network’s participants, such as research competence </w:t>
      </w:r>
      <w:r w:rsidR="009E48C2" w:rsidRPr="00A9434B">
        <w:fldChar w:fldCharType="begin"/>
      </w:r>
      <w:r w:rsidR="0006613E">
        <w:instrText xml:space="preserve"> ADDIN ZOTERO_ITEM CSL_CITATION {"citationID":"a9kun9ld9i","properties":{"formattedCitation":"(Lubell et al., 2017)","plainCitation":"(Lubell et al., 2017)","noteIndex":0},"citationItems":[{"id":29543,"uris":["http://zotero.org/groups/2352922/items/ZEAPGNJU"],"itemData":{"id":29543,"type":"article-journal","container-title":"Conservation Letters","DOI":"10.1111/conl.12311","ISSN":"1755-263X, 1755-263X","issue":"6","journalAbbreviation":"CONSERVATION LETTERS","language":"en","page":"699-707","source":"DOI.org (Crossref)","title":"Network Governance for Invasive Species Management","URL":"https://onlinelibrary.wiley.com/doi/10.1111/conl.12311","volume":"10","author":[{"family":"Lubell","given":"Mark"},{"family":"Jasny","given":"Lorien"},{"family":"Hastings","given":"Alan"}],"accessed":{"date-parts":[["2021",8,3]]},"issued":{"date-parts":[["2017",11]]}},"label":"page"}],"schema":"https://github.com/citation-style-language/schema/raw/master/csl-citation.json"} </w:instrText>
      </w:r>
      <w:r w:rsidR="009E48C2" w:rsidRPr="00A9434B">
        <w:fldChar w:fldCharType="separate"/>
      </w:r>
      <w:r w:rsidR="00EA1CE6" w:rsidRPr="00EA1CE6">
        <w:t>(Lubell et al., 2017)</w:t>
      </w:r>
      <w:r w:rsidR="009E48C2" w:rsidRPr="00A9434B">
        <w:fldChar w:fldCharType="end"/>
      </w:r>
      <w:r w:rsidRPr="00A9434B">
        <w:t xml:space="preserve">. </w:t>
      </w:r>
    </w:p>
    <w:p w14:paraId="6825684A" w14:textId="20F316FF" w:rsidR="00017C04" w:rsidRDefault="001B2F53">
      <w:r w:rsidRPr="00A9434B">
        <w:t>E</w:t>
      </w:r>
      <w:r w:rsidR="00C61B13" w:rsidRPr="00A9434B">
        <w:t xml:space="preserve">ngagement with </w:t>
      </w:r>
      <w:r w:rsidR="004F5E61" w:rsidRPr="00A9434B">
        <w:t xml:space="preserve">stakeholders and </w:t>
      </w:r>
      <w:r w:rsidR="001E7B2B" w:rsidRPr="00A9434B">
        <w:t>Indigenous Peoples</w:t>
      </w:r>
      <w:r w:rsidR="004F5E61" w:rsidRPr="00A9434B">
        <w:t xml:space="preserve"> and</w:t>
      </w:r>
      <w:r w:rsidR="00C61B13" w:rsidRPr="00A9434B">
        <w:t xml:space="preserve"> </w:t>
      </w:r>
      <w:r w:rsidR="00F004D9" w:rsidRPr="00A9434B">
        <w:t>local communities</w:t>
      </w:r>
      <w:r w:rsidR="00C61B13" w:rsidRPr="00A9434B">
        <w:t xml:space="preserve"> </w:t>
      </w:r>
      <w:r w:rsidR="009E48C2" w:rsidRPr="00A9434B">
        <w:t xml:space="preserve">is </w:t>
      </w:r>
      <w:r w:rsidRPr="00A9434B">
        <w:t xml:space="preserve">therefore </w:t>
      </w:r>
      <w:r w:rsidR="009E48C2" w:rsidRPr="00A9434B">
        <w:t xml:space="preserve">an essential element of </w:t>
      </w:r>
      <w:r w:rsidR="00AD02AD">
        <w:t xml:space="preserve">integrated governance of biological invasions </w:t>
      </w:r>
      <w:r w:rsidR="00F806B6" w:rsidRPr="00A9434B">
        <w:t>(</w:t>
      </w:r>
      <w:r w:rsidR="00C61B13" w:rsidRPr="00673554">
        <w:rPr>
          <w:b/>
          <w:iCs/>
        </w:rPr>
        <w:t>section 6.7</w:t>
      </w:r>
      <w:r w:rsidR="00C61B13" w:rsidRPr="00A9434B">
        <w:t>)</w:t>
      </w:r>
      <w:r w:rsidR="009E48C2" w:rsidRPr="00A9434B">
        <w:t>.</w:t>
      </w:r>
      <w:r w:rsidR="2F958343">
        <w:t xml:space="preserve"> While it may not be possible, due to time or resource constraints, to develop effective adaptive-collaborate governance networks, deep stakeholder and Indigenous Peoples and local communit</w:t>
      </w:r>
      <w:r w:rsidR="00351A46">
        <w:t>ies</w:t>
      </w:r>
      <w:r w:rsidR="2F958343">
        <w:t xml:space="preserve"> engagement can be built into any governance and policy development approach.</w:t>
      </w:r>
    </w:p>
    <w:p w14:paraId="7E1EC2FC" w14:textId="77777777" w:rsidR="00017C04" w:rsidRDefault="00F50AF9">
      <w:r>
        <w:br w:type="page"/>
      </w:r>
    </w:p>
    <w:p w14:paraId="7D2B3128" w14:textId="77777777" w:rsidR="00017C04" w:rsidRDefault="00F50AF9" w:rsidP="00AD02AD">
      <w:pPr>
        <w:pStyle w:val="Heading1"/>
        <w:numPr>
          <w:ilvl w:val="1"/>
          <w:numId w:val="10"/>
        </w:numPr>
      </w:pPr>
      <w:bookmarkStart w:id="438" w:name="_Toc74146139"/>
      <w:bookmarkStart w:id="439" w:name="_Toc59584669"/>
      <w:bookmarkStart w:id="440" w:name="_Toc133428334"/>
      <w:bookmarkStart w:id="441" w:name="_Toc133428795"/>
      <w:bookmarkStart w:id="442" w:name="_Toc147417590"/>
      <w:r>
        <w:lastRenderedPageBreak/>
        <w:t>Economic and financial options</w:t>
      </w:r>
      <w:bookmarkEnd w:id="438"/>
      <w:bookmarkEnd w:id="439"/>
      <w:bookmarkEnd w:id="440"/>
      <w:bookmarkEnd w:id="441"/>
      <w:bookmarkEnd w:id="442"/>
    </w:p>
    <w:p w14:paraId="7D09D638" w14:textId="15F450D8" w:rsidR="00017C04" w:rsidRDefault="00F50AF9">
      <w:r>
        <w:t xml:space="preserve">Although the costs associated with invasive alien species have been estimated to be in the trillions of dollars globally </w:t>
      </w:r>
      <w:r w:rsidR="002F2897" w:rsidRPr="00A9434B">
        <w:fldChar w:fldCharType="begin"/>
      </w:r>
      <w:r w:rsidR="0006613E">
        <w:instrText xml:space="preserve"> ADDIN ZOTERO_ITEM CSL_CITATION {"citationID":"R3oI0ZuV","properties":{"formattedCitation":"(Diagne et al., 2021)","plainCitation":"(Diagne et al., 2021)","dontUpdate":true,"noteIndex":0},"citationItems":[{"id":31652,"uris":["http://zotero.org/groups/2352922/items/QP3BVTGW"],"itemData":{"id":31652,"type":"article-journal","abstract":"Biological invasions are responsible for substantial biodiversity declines as well as high economic losses to society and monetary expenditures associated with the management of these invasions1,2. The InvaCost database has enabled the generation of a reliable, comprehensive, standardized and easily updatable synthesis of the monetary costs of biological invasions worldwide3. Here we found that the total reported costs of invasions reached a minimum of US$1.288 trillion (2017 US dollars) over the past few decades (1970–2017), with an annual mean cost of US$26.8 billion. Moreover, we estimate that the annual mean cost could reach US$162.7 billion in 2017. These costs remain strongly underestimated and do not show any sign of slowing down, exhibiting a consistent threefold increase per decade. We show that the documented costs are widely distributed and have strong gaps at regional and taxonomic scales, with damage costs being an order of magnitude higher than management expenditures. Research approaches that document the costs of biological invasions need to be further improved. Nonetheless, our findings call for the implementation of consistent management actions and international policy agreements that aim to reduce the burden of invasive alien species.","container-title":"Nature","DOI":"10.1038/s41586-021-03405-6","ISSN":"0028-0836, 1476-4687","issue":"7855","journalAbbreviation":"Nature","language":"en","page":"571-576","source":"DOI.org (Crossref)","title":"High and rising economic costs of biological invasions worldwide","URL":"http://www.nature.com/articles/s41586-021-03405-6","volume":"592","author":[{"family":"Diagne","given":"Christophe"},{"family":"Leroy","given":"Boris"},{"family":"Vaissière","given":"Anne-Charlotte"},{"family":"Gozlan","given":"Rodolphe E."},{"family":"Roiz","given":"David"},{"family":"Jarić","given":"Ivan"},{"family":"Salles","given":"Jean-Michel"},{"family":"Bradshaw","given":"Corey J. A."},{"family":"Courchamp","given":"Franck"}],"accessed":{"date-parts":[["2021",8,10]]},"issued":{"date-parts":[["2021",4,22]]}},"label":"page"}],"schema":"https://github.com/citation-style-language/schema/raw/master/csl-citation.json"} </w:instrText>
      </w:r>
      <w:r w:rsidR="002F2897" w:rsidRPr="00A9434B">
        <w:fldChar w:fldCharType="separate"/>
      </w:r>
      <w:r w:rsidR="00215172" w:rsidRPr="00215172">
        <w:t>(Diagne et al., 2021</w:t>
      </w:r>
      <w:r w:rsidR="002F2897" w:rsidRPr="00A9434B">
        <w:fldChar w:fldCharType="end"/>
      </w:r>
      <w:r w:rsidR="008A68B3" w:rsidRPr="00A9434B">
        <w:t xml:space="preserve">; </w:t>
      </w:r>
      <w:r w:rsidR="00772E4B">
        <w:rPr>
          <w:b/>
          <w:iCs/>
        </w:rPr>
        <w:t>C</w:t>
      </w:r>
      <w:r w:rsidR="008A68B3" w:rsidRPr="00673554">
        <w:rPr>
          <w:b/>
          <w:iCs/>
        </w:rPr>
        <w:t>hapter 4</w:t>
      </w:r>
      <w:r w:rsidR="008A68B3" w:rsidRPr="00673554">
        <w:rPr>
          <w:iCs/>
        </w:rPr>
        <w:t>,</w:t>
      </w:r>
      <w:r w:rsidR="008A68B3" w:rsidRPr="00673554">
        <w:rPr>
          <w:b/>
          <w:iCs/>
        </w:rPr>
        <w:t xml:space="preserve"> Box 4.1</w:t>
      </w:r>
      <w:r w:rsidR="006B2B4A" w:rsidRPr="00673554">
        <w:rPr>
          <w:b/>
          <w:iCs/>
        </w:rPr>
        <w:t>3</w:t>
      </w:r>
      <w:r w:rsidR="008A68B3" w:rsidRPr="00A9434B">
        <w:t>)</w:t>
      </w:r>
      <w:r w:rsidR="002F2897" w:rsidRPr="00A9434B">
        <w:t xml:space="preserve">, </w:t>
      </w:r>
      <w:r w:rsidR="00BA0072">
        <w:t>the</w:t>
      </w:r>
      <w:r w:rsidR="002F2897" w:rsidRPr="00A9434B">
        <w:t xml:space="preserve"> economic, political</w:t>
      </w:r>
      <w:r w:rsidR="00EB415D">
        <w:t xml:space="preserve"> and</w:t>
      </w:r>
      <w:r w:rsidR="002F2897" w:rsidRPr="00A9434B">
        <w:t xml:space="preserve"> financial systems have not yet sufficiently internalized these estimates</w:t>
      </w:r>
      <w:r w:rsidR="0019300F" w:rsidRPr="00A9434B">
        <w:t>. T</w:t>
      </w:r>
      <w:r w:rsidR="002F2897" w:rsidRPr="00A9434B">
        <w:t>herefore</w:t>
      </w:r>
      <w:r w:rsidR="001A1E3C">
        <w:t>,</w:t>
      </w:r>
      <w:r w:rsidR="002F2897" w:rsidRPr="00A9434B">
        <w:t xml:space="preserve"> </w:t>
      </w:r>
      <w:r w:rsidR="001A1E3C">
        <w:t>biological invasions</w:t>
      </w:r>
      <w:r w:rsidR="002F2897" w:rsidRPr="00A9434B">
        <w:t xml:space="preserve"> remains largely unaddressed at the national and international level </w:t>
      </w:r>
      <w:r w:rsidR="002F2897" w:rsidRPr="00A9434B">
        <w:fldChar w:fldCharType="begin"/>
      </w:r>
      <w:r w:rsidR="0006613E">
        <w:instrText xml:space="preserve"> ADDIN ZOTERO_ITEM CSL_CITATION {"citationID":"a2he3cf0m3k","properties":{"formattedCitation":"(Pimentel et al., 2005)","plainCitation":"(Pimentel et al., 2005)","noteIndex":0},"citationItems":[{"id":29729,"uris":["http://zotero.org/groups/2352922/items/CX8W66LE"],"itemData":{"id":29729,"type":"article-journal","abstract":"Invading alien species in the United States cause major environmental damages and losses adding up to almost $120 billion per year. There are approximately 50,000 foreign species and the number is increasing. About 42% of the species on the Threatened or Endangered species lists are at risk primarily because of alien-invasive species.","container-title":"Ecological Economics","DOI":"10.1016/j.ecolecon.2004.10.002","ISSN":"09218009","issue":"3","journalAbbreviation":"Ecological Economics","language":"en","page":"273-288","source":"DOI.org (Crossref)","title":"Update on the environmental and economic costs associated with alien-invasive species in the United States","URL":"https://linkinghub.elsevier.com/retrieve/pii/S0921800904003027","volume":"52","author":[{"family":"Pimentel","given":"David"},{"family":"Zuniga","given":"Rodolfo"},{"family":"Morrison","given":"Doug"}],"accessed":{"date-parts":[["2021",8,10]]},"issued":{"date-parts":[["2005",2]]}},"label":"page"}],"schema":"https://github.com/citation-style-language/schema/raw/master/csl-citation.json"} </w:instrText>
      </w:r>
      <w:r w:rsidR="002F2897" w:rsidRPr="00A9434B">
        <w:fldChar w:fldCharType="separate"/>
      </w:r>
      <w:r w:rsidR="00C71E80" w:rsidRPr="00A9434B">
        <w:t>(Pimentel et al., 2005)</w:t>
      </w:r>
      <w:r w:rsidR="002F2897" w:rsidRPr="00A9434B">
        <w:fldChar w:fldCharType="end"/>
      </w:r>
      <w:r w:rsidR="002F2897" w:rsidRPr="00A9434B">
        <w:t xml:space="preserve">. Many impacts are unrecorded due to serious data gaps in several regions and there are ongoing methodological challenges </w:t>
      </w:r>
      <w:r w:rsidR="006748DB" w:rsidRPr="00A9434B">
        <w:t>about</w:t>
      </w:r>
      <w:r w:rsidR="002F2897" w:rsidRPr="00A9434B">
        <w:t xml:space="preserve"> how </w:t>
      </w:r>
      <w:r w:rsidR="006748DB" w:rsidRPr="00A9434B">
        <w:t>to</w:t>
      </w:r>
      <w:r w:rsidR="002F2897" w:rsidRPr="00A9434B">
        <w:t xml:space="preserve"> estimate social costs. It is clear, however, that the costs of impacts far outweigh the costs of </w:t>
      </w:r>
      <w:r w:rsidR="00123870" w:rsidRPr="00A9434B">
        <w:t>management</w:t>
      </w:r>
      <w:r w:rsidR="0037082F" w:rsidRPr="00A9434B">
        <w:t xml:space="preserve"> </w:t>
      </w:r>
      <w:r w:rsidR="00F806B6" w:rsidRPr="00A9434B">
        <w:t>(</w:t>
      </w:r>
      <w:r w:rsidR="00772E4B">
        <w:rPr>
          <w:b/>
          <w:iCs/>
        </w:rPr>
        <w:t>C</w:t>
      </w:r>
      <w:r w:rsidR="0037082F" w:rsidRPr="00673554">
        <w:rPr>
          <w:b/>
          <w:iCs/>
        </w:rPr>
        <w:t>hapter</w:t>
      </w:r>
      <w:r w:rsidR="00134B6C" w:rsidRPr="00673554">
        <w:rPr>
          <w:b/>
          <w:iCs/>
        </w:rPr>
        <w:t xml:space="preserve"> 5</w:t>
      </w:r>
      <w:r w:rsidR="0037082F" w:rsidRPr="00673554">
        <w:rPr>
          <w:iCs/>
        </w:rPr>
        <w:t xml:space="preserve">, </w:t>
      </w:r>
      <w:r w:rsidR="0037082F" w:rsidRPr="00673554">
        <w:rPr>
          <w:b/>
          <w:iCs/>
        </w:rPr>
        <w:t>section 5.5.</w:t>
      </w:r>
      <w:r w:rsidR="008D781F" w:rsidRPr="00673554">
        <w:rPr>
          <w:b/>
          <w:iCs/>
        </w:rPr>
        <w:t>7</w:t>
      </w:r>
      <w:r w:rsidR="0037082F" w:rsidRPr="00A9434B">
        <w:t>;</w:t>
      </w:r>
      <w:r w:rsidR="00123870" w:rsidRPr="00A9434B">
        <w:t xml:space="preserve"> </w:t>
      </w:r>
      <w:r w:rsidR="00A8290E" w:rsidRPr="00A9434B">
        <w:fldChar w:fldCharType="begin"/>
      </w:r>
      <w:r w:rsidR="0006613E">
        <w:instrText xml:space="preserve"> ADDIN ZOTERO_ITEM CSL_CITATION {"citationID":"wDQRLfXa","properties":{"formattedCitation":"(Diagne et al., 2021)","plainCitation":"(Diagne et al., 2021)","dontUpdate":true,"noteIndex":0},"citationItems":[{"id":31652,"uris":["http://zotero.org/groups/2352922/items/QP3BVTGW"],"itemData":{"id":31652,"type":"article-journal","abstract":"Biological invasions are responsible for substantial biodiversity declines as well as high economic losses to society and monetary expenditures associated with the management of these invasions1,2. The InvaCost database has enabled the generation of a reliable, comprehensive, standardized and easily updatable synthesis of the monetary costs of biological invasions worldwide3. Here we found that the total reported costs of invasions reached a minimum of US$1.288 trillion (2017 US dollars) over the past few decades (1970–2017), with an annual mean cost of US$26.8 billion. Moreover, we estimate that the annual mean cost could reach US$162.7 billion in 2017. These costs remain strongly underestimated and do not show any sign of slowing down, exhibiting a consistent threefold increase per decade. We show that the documented costs are widely distributed and have strong gaps at regional and taxonomic scales, with damage costs being an order of magnitude higher than management expenditures. Research approaches that document the costs of biological invasions need to be further improved. Nonetheless, our findings call for the implementation of consistent management actions and international policy agreements that aim to reduce the burden of invasive alien species.","container-title":"Nature","DOI":"10.1038/s41586-021-03405-6","ISSN":"0028-0836, 1476-4687","issue":"7855","journalAbbreviation":"Nature","language":"en","page":"571-576","source":"DOI.org (Crossref)","title":"High and rising economic costs of biological invasions worldwide","URL":"http://www.nature.com/articles/s41586-021-03405-6","volume":"592","author":[{"family":"Diagne","given":"Christophe"},{"family":"Leroy","given":"Boris"},{"family":"Vaissière","given":"Anne-Charlotte"},{"family":"Gozlan","given":"Rodolphe E."},{"family":"Roiz","given":"David"},{"family":"Jarić","given":"Ivan"},{"family":"Salles","given":"Jean-Michel"},{"family":"Bradshaw","given":"Corey J. A."},{"family":"Courchamp","given":"Franck"}],"accessed":{"date-parts":[["2021",8,10]]},"issued":{"date-parts":[["2021",4,22]]}},"label":"page"}],"schema":"https://github.com/citation-style-language/schema/raw/master/csl-citation.json"} </w:instrText>
      </w:r>
      <w:r w:rsidR="00A8290E" w:rsidRPr="00A9434B">
        <w:fldChar w:fldCharType="separate"/>
      </w:r>
      <w:r w:rsidR="00215172" w:rsidRPr="00215172">
        <w:t>Diagne et al., 2021)</w:t>
      </w:r>
      <w:r w:rsidR="00A8290E" w:rsidRPr="00A9434B">
        <w:fldChar w:fldCharType="end"/>
      </w:r>
      <w:r w:rsidR="002F2897" w:rsidRPr="00A9434B">
        <w:t>.</w:t>
      </w:r>
    </w:p>
    <w:p w14:paraId="7D6C2AEF" w14:textId="58CE2132" w:rsidR="00017C04" w:rsidRDefault="00F50AF9">
      <w:r>
        <w:t xml:space="preserve">Of particular concern are the indirect impacts of invasive alien species, as they are both inherently difficult to quantify and, in some cases, magnified under the prism of climate change </w:t>
      </w:r>
      <w:r w:rsidR="002F2897" w:rsidRPr="00A9434B">
        <w:fldChar w:fldCharType="begin"/>
      </w:r>
      <w:r w:rsidR="0006613E">
        <w:instrText xml:space="preserve"> ADDIN ZOTERO_ITEM CSL_CITATION {"citationID":"a24grg80n9","properties":{"formattedCitation":"(Mainka &amp; Howard, 2010)","plainCitation":"(Mainka &amp; Howard, 2010)","noteIndex":0},"citationItems":[{"id":16345,"uris":["http://zotero.org/groups/2352922/items/YTN9W3SN"],"itemData":{"id":16345,"type":"article-journal","abstract":"Two of the key drivers of biodiversity loss today are climate change and invasive species. Climate change is already having a measurable impact on species distributions, reproduction and behavior, and all evidence suggests that things will get worse even if we act tomorrow to mitigate any future increases in greenhouse gas emissions: temperature will increase, precipitation will change, sea level will rise and ocean chemistry will change. At the same time, biological invasions remain an important threat to biodiversity, causing species loss, changes in distribution and habitat degradation. Acting together, the impacts of each of these drivers of change are compounded and interactions between these two threats present even greater challenges to field conservationists as well as policymakers. Similarly, the social and economic impacts of climate change and invasive species, already substantial, will be magnified. Awareness of the links between the two should underpin all biodiversity management planning and policy.","container-title":"Integrative Zoology","DOI":"10.1111/j.1749-4877.2010.00193.x","ISSN":"17494877","issue":"2","language":"en","page":"102-111","source":"DOI.org (Crossref)","title":"Climate change and invasive species: double jeopardy","title-short":"Climate change and invasive species","URL":"http://doi.wiley.com/10.1111/j.1749-4877.2010.00193.x","volume":"5","author":[{"family":"Mainka","given":"Susan A."},{"family":"Howard","given":"Geoffrey W."}],"accessed":{"date-parts":[["2019",11,6]]},"issued":{"date-parts":[["2010",6]]}},"label":"page"}],"schema":"https://github.com/citation-style-language/schema/raw/master/csl-citation.json"} </w:instrText>
      </w:r>
      <w:r w:rsidR="002F2897" w:rsidRPr="00A9434B">
        <w:fldChar w:fldCharType="separate"/>
      </w:r>
      <w:r w:rsidR="00C71E80" w:rsidRPr="00A9434B">
        <w:t>(Mainka &amp; Howard, 2010)</w:t>
      </w:r>
      <w:r w:rsidR="002F2897" w:rsidRPr="00A9434B">
        <w:fldChar w:fldCharType="end"/>
      </w:r>
      <w:r w:rsidR="002F2897" w:rsidRPr="00A9434B">
        <w:t>.</w:t>
      </w:r>
      <w:r>
        <w:t xml:space="preserve"> Invasive alien species pose an enormous risk to good quality of life through their effects on social, economic</w:t>
      </w:r>
      <w:r w:rsidR="00EB415D">
        <w:t xml:space="preserve"> and</w:t>
      </w:r>
      <w:r>
        <w:t xml:space="preserve"> environmental systems (</w:t>
      </w:r>
      <w:r>
        <w:rPr>
          <w:b/>
        </w:rPr>
        <w:t>Chapter 4</w:t>
      </w:r>
      <w:r>
        <w:t>,</w:t>
      </w:r>
      <w:r>
        <w:rPr>
          <w:b/>
        </w:rPr>
        <w:t xml:space="preserve"> sections 4.5 </w:t>
      </w:r>
      <w:r>
        <w:t>and</w:t>
      </w:r>
      <w:r>
        <w:rPr>
          <w:b/>
        </w:rPr>
        <w:t xml:space="preserve"> 4.6.3</w:t>
      </w:r>
      <w:r>
        <w:t xml:space="preserve">). In some cases, such as invasive alien species-related agricultural losses, these effects can potentially destabilize socioeconomic and democratic structures by causing famine and social unrest </w:t>
      </w:r>
      <w:r w:rsidR="002F2897" w:rsidRPr="00A9434B">
        <w:fldChar w:fldCharType="begin"/>
      </w:r>
      <w:r w:rsidR="0006613E">
        <w:instrText xml:space="preserve"> ADDIN ZOTERO_ITEM CSL_CITATION {"citationID":"a2e623i0i9p","properties":{"formattedCitation":"(Goss et al., 2014; Singh &amp; Kaur, 2002)","plainCitation":"(Goss et al., 2014; Singh &amp; Kaur, 2002)","noteIndex":0},"citationItems":[{"id":10910,"uris":["http://zotero.org/groups/2352922/items/RDGAZ75I"],"itemData":{"id":10910,"type":"article-journal","container-title":"Proceedings of the National Academy of Sciences","DOI":"10.1073/pnas.1401884111","issue":"24","note":"ISBN: 0027-8424\npublisher: National Acad Sciences","page":"8791-8796","title":"The Irish potato famine pathogen &lt;i&gt;Phytophthora infestans&lt;/i&gt; originated in central Mexico rather than the Andes","volume":"111","author":[{"family":"Goss","given":"Erica M."},{"family":"Tabima","given":"Javier F."},{"family":"Cooke","given":"David EL"},{"family":"Restrepo","given":"Silvia"},{"family":"Fry","given":"William E."},{"family":"Forbes","given":"Gregory A."},{"family":"Fieland","given":"Valerie J."},{"family":"Cardenas","given":"Martha"},{"family":"Grünwald","given":"Niklaus J."}],"issued":{"date-parts":[["2014"]]}},"label":"page"},{"id":10911,"uris":["http://zotero.org/groups/2352922/items/UFPNTGH8"],"itemData":{"id":10911,"type":"article-journal","container-title":"Biological Invasions","note":"No unique identifier","page":"159-170","title":"Alien plant pathogens in India","author":[{"family":"Singh","given":"Rama S."},{"family":"Kaur","given":"Jaspal"}],"issued":{"date-parts":[["2002"]]}},"label":"page"}],"schema":"https://github.com/citation-style-language/schema/raw/master/csl-citation.json"} </w:instrText>
      </w:r>
      <w:r w:rsidR="002F2897" w:rsidRPr="00A9434B">
        <w:fldChar w:fldCharType="separate"/>
      </w:r>
      <w:r w:rsidR="00C71E80" w:rsidRPr="00A9434B">
        <w:t>(Goss et al., 2014; Singh &amp; Kaur, 2002)</w:t>
      </w:r>
      <w:r w:rsidR="002F2897" w:rsidRPr="00A9434B">
        <w:fldChar w:fldCharType="end"/>
      </w:r>
      <w:r w:rsidR="002F2897" w:rsidRPr="00A9434B">
        <w:t>.</w:t>
      </w:r>
      <w:r>
        <w:t xml:space="preserve"> </w:t>
      </w:r>
    </w:p>
    <w:p w14:paraId="39B8181F" w14:textId="289D9C37" w:rsidR="00017C04" w:rsidRDefault="00F50AF9">
      <w:r>
        <w:t xml:space="preserve">These indirect impacts are yet to be incorporated into </w:t>
      </w:r>
      <w:r>
        <w:rPr>
          <w:color w:val="222222"/>
        </w:rPr>
        <w:t xml:space="preserve">national accounting measurements </w:t>
      </w:r>
      <w:r>
        <w:t xml:space="preserve">of economic growth (e.g., gross domestic product (GDP) and gross national product (GNP)). For example, economic growth measures include exports as a benefit but ignore possible damage from potential unintentional species introductions. Several researchers and governments have recognized the importance of accounting for economic activity’s environmental impact, called green national accounting </w:t>
      </w:r>
      <w:r w:rsidR="003F2885" w:rsidRPr="00A9434B">
        <w:fldChar w:fldCharType="begin"/>
      </w:r>
      <w:r w:rsidR="0006613E">
        <w:instrText xml:space="preserve"> ADDIN ZOTERO_ITEM CSL_CITATION {"citationID":"a1ambetbs52","properties":{"formattedCitation":"(Fenichel &amp; Abbott, 2014; Kubiszewski et al., 2013)","plainCitation":"(Fenichel &amp; Abbott, 2014; Kubiszewski et al., 2013)","noteIndex":0},"citationItems":[{"id":54724,"uris":["http://zotero.org/groups/2352922/items/JBFNEE9E"],"itemData":{"id":54724,"type":"article-journal","container-title":"Journal of the Association of Environmental and Resource Economists","DOI":"10.1086/6760341","issue":"1/2","note":"ISBN: 2333-5955\npublisher: University of Chicago Press Chicago, IL","page":"1-27","title":"Natural capital: from metaphor to measurement","volume":"1","author":[{"family":"Fenichel","given":"Eli P."},{"family":"Abbott","given":"Joshua K."}],"issued":{"date-parts":[["2014"]]}},"label":"page"},{"id":54725,"uris":["http://zotero.org/groups/2352922/items/SWM353YW"],"itemData":{"id":54725,"type":"article-journal","container-title":"Ecological economics","DOI":"10.1016/j.ecolecon.2013.04.019","note":"ISBN: 0921-8009\npublisher: Elsevier","page":"57-68","title":"Beyond GDP: Measuring and achieving global genuine progress","volume":"93","author":[{"family":"Kubiszewski","given":"Ida"},{"family":"Costanza","given":"Robert"},{"family":"Franco","given":"Carol"},{"family":"Lawn","given":"Philip"},{"family":"Talberth","given":"John"},{"family":"Jackson","given":"Tim"},{"family":"Aylmer","given":"Camille"}],"issued":{"date-parts":[["2013"]]}},"label":"page"}],"schema":"https://github.com/citation-style-language/schema/raw/master/csl-citation.json"} </w:instrText>
      </w:r>
      <w:r w:rsidR="003F2885" w:rsidRPr="00A9434B">
        <w:fldChar w:fldCharType="separate"/>
      </w:r>
      <w:r w:rsidR="00C71E80" w:rsidRPr="00A9434B">
        <w:t>(Fenichel &amp; Abbott, 2014; Kubiszewski et al., 2013)</w:t>
      </w:r>
      <w:r w:rsidR="003F2885" w:rsidRPr="00A9434B">
        <w:fldChar w:fldCharType="end"/>
      </w:r>
      <w:r w:rsidR="00626A3B" w:rsidRPr="00A9434B">
        <w:t xml:space="preserve">. </w:t>
      </w:r>
      <w:r w:rsidR="001C1880" w:rsidRPr="00A9434B">
        <w:t>P</w:t>
      </w:r>
      <w:r w:rsidR="0400EDB8" w:rsidRPr="00A9434B">
        <w:t>rogress in green national accounting</w:t>
      </w:r>
      <w:r w:rsidR="001C1880" w:rsidRPr="00A9434B">
        <w:t xml:space="preserve"> has been seen in</w:t>
      </w:r>
      <w:r w:rsidR="0400EDB8" w:rsidRPr="00A9434B">
        <w:t xml:space="preserve"> the Genuine Progress Indicator </w:t>
      </w:r>
      <w:r w:rsidR="00626A3B" w:rsidRPr="00A9434B">
        <w:fldChar w:fldCharType="begin"/>
      </w:r>
      <w:r w:rsidR="0006613E">
        <w:instrText xml:space="preserve"> ADDIN ZOTERO_ITEM CSL_CITATION {"citationID":"aje5hmpoit","properties":{"formattedCitation":"(Kubiszewski et al., 2013)","plainCitation":"(Kubiszewski et al., 2013)","noteIndex":0},"citationItems":[{"id":54725,"uris":["http://zotero.org/groups/2352922/items/SWM353YW"],"itemData":{"id":54725,"type":"article-journal","container-title":"Ecological economics","DOI":"10.1016/j.ecolecon.2013.04.019","note":"ISBN: 0921-8009\npublisher: Elsevier","page":"57-68","title":"Beyond GDP: Measuring and achieving global genuine progress","volume":"93","author":[{"family":"Kubiszewski","given":"Ida"},{"family":"Costanza","given":"Robert"},{"family":"Franco","given":"Carol"},{"family":"Lawn","given":"Philip"},{"family":"Talberth","given":"John"},{"family":"Jackson","given":"Tim"},{"family":"Aylmer","given":"Camille"}],"issued":{"date-parts":[["2013"]]}}}],"schema":"https://github.com/citation-style-language/schema/raw/master/csl-citation.json"} </w:instrText>
      </w:r>
      <w:r w:rsidR="00626A3B" w:rsidRPr="00A9434B">
        <w:fldChar w:fldCharType="separate"/>
      </w:r>
      <w:r w:rsidR="00C71E80" w:rsidRPr="00A9434B">
        <w:t>(Kubiszewski et al., 2013)</w:t>
      </w:r>
      <w:r w:rsidR="00626A3B" w:rsidRPr="00A9434B">
        <w:fldChar w:fldCharType="end"/>
      </w:r>
      <w:r w:rsidR="00626A3B" w:rsidRPr="00A9434B">
        <w:t xml:space="preserve">, </w:t>
      </w:r>
      <w:r w:rsidR="0400EDB8" w:rsidRPr="00A9434B">
        <w:t xml:space="preserve">the Index of Sustainable Economic Welfare </w:t>
      </w:r>
      <w:r w:rsidR="00626A3B" w:rsidRPr="00A9434B">
        <w:fldChar w:fldCharType="begin"/>
      </w:r>
      <w:r w:rsidR="0006613E">
        <w:instrText xml:space="preserve"> ADDIN ZOTERO_ITEM CSL_CITATION {"citationID":"a17s82ghgak","properties":{"formattedCitation":"(Be\\uc0\\u231{}a &amp; Santos, 2010; Stockhammer et al., 1997)","plainCitation":"(Beça &amp; Santos, 2010; Stockhammer et al., 1997)","noteIndex":0},"citationItems":[{"id":54726,"uris":["http://zotero.org/groups/2352922/items/V6JB7QML"],"itemData":{"id":54726,"type":"article-journal","container-title":"Ecological Economics","DOI":"10.1016/j.ecolecon.2009.11.031","issue":"4","note":"ISBN: 0921-8009\npublisher: Elsevier","page":"810-819","title":"Measuring sustainable welfare: A new approach to the ISEW","volume":"69","author":[{"family":"Beça","given":"Pedro"},{"family":"Santos","given":"Rui"}],"issued":{"date-parts":[["2010"]]}},"label":"page"},{"id":54727,"uris":["http://zotero.org/groups/2352922/items/CBF4FAXM"],"itemData":{"id":54727,"type":"article-journal","container-title":"Ecological Economics","DOI":"10.1016/S0921-8009(96)00088-2","issue":"1","note":"ISBN: 0921-8009\npublisher: Elsevier","page":"19-34","title":"The index of sustainable economic welfare (ISEW) as an alternative to GDP in measuring economic welfare. The results of the Austrian (revised) ISEW calculation 1955–1992","volume":"21","author":[{"family":"Stockhammer","given":"Engelbert"},{"family":"Hochreiter","given":"Harald"},{"family":"Obermayr","given":"Bernhard"},{"family":"Steiner","given":"Klaus"}],"issued":{"date-parts":[["1997"]]}},"label":"page"}],"schema":"https://github.com/citation-style-language/schema/raw/master/csl-citation.json"} </w:instrText>
      </w:r>
      <w:r w:rsidR="00626A3B" w:rsidRPr="00A9434B">
        <w:fldChar w:fldCharType="separate"/>
      </w:r>
      <w:r w:rsidR="00C71E80" w:rsidRPr="00A9434B">
        <w:t>(Beça &amp; Santos, 2010; Stockhammer et al., 1997)</w:t>
      </w:r>
      <w:r w:rsidR="00626A3B" w:rsidRPr="00A9434B">
        <w:fldChar w:fldCharType="end"/>
      </w:r>
      <w:r w:rsidR="00EB415D">
        <w:t xml:space="preserve"> and</w:t>
      </w:r>
      <w:r w:rsidR="0400EDB8" w:rsidRPr="00A9434B">
        <w:t xml:space="preserve"> the Gross National Happiness measure </w:t>
      </w:r>
      <w:r w:rsidR="00626A3B" w:rsidRPr="00A9434B">
        <w:fldChar w:fldCharType="begin"/>
      </w:r>
      <w:r w:rsidR="00E279A7">
        <w:instrText xml:space="preserve"> ADDIN ZOTERO_ITEM CSL_CITATION {"citationID":"h4zwYUdf","properties":{"formattedCitation":"(Ura et al., 2012)","plainCitation":"(Ura et al., 2012)","noteIndex":0},"citationItems":[{"id":60087,"uris":["http://zotero.org/groups/2352922/items/EHR9LBLC"],"itemData":{"id":60087,"type":"report","title":"A short guide to gross national happiness index","URL":"https://www.gov.uk/research-for-development-outputs/a-short-guide-to-gross-national-happiness-index","author":[{"family":"Ura","given":"K"},{"family":"Alkire","given":"S"},{"family":"Zangmo","given":"T"},{"family":"Wangdi","given":"K"}],"issued":{"date-parts":[["2012"]]}}}],"schema":"https://github.com/citation-style-language/schema/raw/master/csl-citation.json"} </w:instrText>
      </w:r>
      <w:r w:rsidR="00626A3B" w:rsidRPr="00A9434B">
        <w:fldChar w:fldCharType="separate"/>
      </w:r>
      <w:r w:rsidR="00E279A7" w:rsidRPr="00E279A7">
        <w:t>(Ura et al., 2012)</w:t>
      </w:r>
      <w:r w:rsidR="00626A3B" w:rsidRPr="00A9434B">
        <w:fldChar w:fldCharType="end"/>
      </w:r>
      <w:r w:rsidR="00626A3B" w:rsidRPr="00A9434B">
        <w:t xml:space="preserve">. </w:t>
      </w:r>
      <w:r w:rsidR="25D7BFB0" w:rsidRPr="00A9434B">
        <w:t>Nonetheless</w:t>
      </w:r>
      <w:r w:rsidR="0400EDB8" w:rsidRPr="00A9434B">
        <w:t xml:space="preserve">, most </w:t>
      </w:r>
      <w:r w:rsidR="7AE159B9" w:rsidRPr="00A9434B">
        <w:t xml:space="preserve">of these </w:t>
      </w:r>
      <w:r w:rsidR="0400EDB8" w:rsidRPr="00A9434B">
        <w:t xml:space="preserve">green national accounting measures (aside from </w:t>
      </w:r>
      <w:r w:rsidR="00626A3B" w:rsidRPr="00A9434B">
        <w:fldChar w:fldCharType="begin"/>
      </w:r>
      <w:r w:rsidR="0006613E">
        <w:instrText xml:space="preserve"> ADDIN ZOTERO_ITEM CSL_CITATION {"citationID":"UUcPYmU8","properties":{"formattedCitation":"(Be\\uc0\\u231{}a &amp; Santos, 2010)","plainCitation":"(Beça &amp; Santos, 2010)","dontUpdate":true,"noteIndex":0},"citationItems":[{"id":54726,"uris":["http://zotero.org/groups/2352922/items/V6JB7QML"],"itemData":{"id":54726,"type":"article-journal","container-title":"Ecological Economics","DOI":"10.1016/j.ecolecon.2009.11.031","issue":"4","note":"ISBN: 0921-8009\npublisher: Elsevier","page":"810-819","title":"Measuring sustainable welfare: A new approach to the ISEW","volume":"69","author":[{"family":"Beça","given":"Pedro"},{"family":"Santos","given":"Rui"}],"issued":{"date-parts":[["2010"]]}}}],"schema":"https://github.com/citation-style-language/schema/raw/master/csl-citation.json"} </w:instrText>
      </w:r>
      <w:r w:rsidR="00626A3B" w:rsidRPr="00A9434B">
        <w:fldChar w:fldCharType="separate"/>
      </w:r>
      <w:r w:rsidR="00215172" w:rsidRPr="00215172">
        <w:t>Beça &amp; Santos, 2010)</w:t>
      </w:r>
      <w:r w:rsidR="00626A3B" w:rsidRPr="00A9434B">
        <w:fldChar w:fldCharType="end"/>
      </w:r>
      <w:r w:rsidR="0400EDB8" w:rsidRPr="00A9434B">
        <w:t xml:space="preserve"> continue to ignore invasive alien species, which is a significant oversight. </w:t>
      </w:r>
      <w:r w:rsidR="002F2897" w:rsidRPr="00A9434B">
        <w:t>According to</w:t>
      </w:r>
      <w:r w:rsidR="00123870" w:rsidRPr="00A9434B">
        <w:t xml:space="preserve"> a recent report from</w:t>
      </w:r>
      <w:r w:rsidR="002F2897" w:rsidRPr="00A9434B">
        <w:t xml:space="preserve"> the CBD </w:t>
      </w:r>
      <w:r w:rsidR="00123870" w:rsidRPr="00A9434B">
        <w:t xml:space="preserve">on the resources needed </w:t>
      </w:r>
      <w:r w:rsidR="007F1558" w:rsidRPr="00A9434B">
        <w:t>to</w:t>
      </w:r>
      <w:r w:rsidR="00123870" w:rsidRPr="00A9434B">
        <w:t xml:space="preserve"> implement the </w:t>
      </w:r>
      <w:r w:rsidR="008C0CC7">
        <w:t>Kunming-Montreal</w:t>
      </w:r>
      <w:r w:rsidR="00123870" w:rsidRPr="00A9434B">
        <w:t xml:space="preserve"> Global Biodiversity Framework, the cost of the continuous management of alien invasive species is estimated at $36 billion to $84 billion per year, depending on </w:t>
      </w:r>
      <w:r w:rsidR="0092632A" w:rsidRPr="00A9434B">
        <w:t>the</w:t>
      </w:r>
      <w:r w:rsidR="00123870" w:rsidRPr="00A9434B">
        <w:t xml:space="preserve"> assumptions used in the calculations </w:t>
      </w:r>
      <w:r w:rsidR="00123870" w:rsidRPr="00A9434B">
        <w:fldChar w:fldCharType="begin"/>
      </w:r>
      <w:r w:rsidR="002D2756">
        <w:instrText xml:space="preserve"> ADDIN ZOTERO_ITEM CSL_CITATION {"citationID":"a1u2q0udd2p","properties":{"formattedCitation":"(CBD, 2021a)","plainCitation":"(CBD, 2021a)","noteIndex":0},"citationItems":[{"id":53371,"uris":["http://zotero.org/groups/2352922/items/4CZU52UU"],"itemData":{"id":53371,"type":"report","genre":"Subsidiary Body on Implementation Third Meeting","number":"CBD/SBI/3/5/Add.2/Rev.1","publisher":"Convention on Biodiversity, United Nations Environment Programme","title":"Estimation of Resources Needed for Implementing the Post-2020 Global Biodiversity Framework","URL":"https://www.cbd.int/doc/c/b858/143f/c58220e9a61c4b5fc2dfeed3/sbi-03-05-add2-rev1-en.pdf","author":[{"literal":"CBD"}],"issued":{"date-parts":[["2021"]]}},"label":"page"}],"schema":"https://github.com/citation-style-language/schema/raw/master/csl-citation.json"} </w:instrText>
      </w:r>
      <w:r w:rsidR="00123870" w:rsidRPr="00A9434B">
        <w:fldChar w:fldCharType="separate"/>
      </w:r>
      <w:r w:rsidR="002D2756" w:rsidRPr="002D2756">
        <w:t>(CBD, 2021a)</w:t>
      </w:r>
      <w:r w:rsidR="00123870" w:rsidRPr="00A9434B">
        <w:fldChar w:fldCharType="end"/>
      </w:r>
      <w:r w:rsidR="002F2897" w:rsidRPr="00A9434B">
        <w:t xml:space="preserve">. </w:t>
      </w:r>
      <w:r w:rsidR="001917FA">
        <w:t>T</w:t>
      </w:r>
      <w:r w:rsidR="002F2897" w:rsidRPr="00A9434B">
        <w:t>o halt and reverse the trends of biodiversity loss and impac</w:t>
      </w:r>
      <w:r w:rsidR="00765143" w:rsidRPr="00A9434B">
        <w:t>ts on good quality of life</w:t>
      </w:r>
      <w:r w:rsidR="002F2897" w:rsidRPr="00A9434B">
        <w:t xml:space="preserve">, it is urgent to make the case for the importance of invasive alien species in the larger context of global biodiversity change </w:t>
      </w:r>
      <w:r w:rsidR="002F2897" w:rsidRPr="00A9434B">
        <w:fldChar w:fldCharType="begin"/>
      </w:r>
      <w:r w:rsidR="0006613E">
        <w:instrText xml:space="preserve"> ADDIN ZOTERO_ITEM CSL_CITATION {"citationID":"a10vvmojgu3","properties":{"formattedCitation":"(Mooney &amp; Hobbs, 2000)","plainCitation":"(Mooney &amp; Hobbs, 2000)","noteIndex":0},"citationItems":[{"id":10908,"uris":["http://zotero.org/groups/2352922/items/F9Y33MEH"],"itemData":{"id":10908,"type":"chapter","container-title":"Invasive species in a changing world","event-place":"Washington, DC","ISBN":"1-55963-781-1","page":"425-434","publisher":"Island Press","publisher-place":"Washington, DC","title":"Global change and invasive species: where do we go from here","author":[{"family":"Mooney","given":"Harold A."},{"family":"Hobbs","given":"Richard J."}],"editor":[{"family":"Moone","given":"Harold A."},{"family":"Hobbs","given":"Richard J."}],"issued":{"date-parts":[["2000"]]}},"label":"page"}],"schema":"https://github.com/citation-style-language/schema/raw/master/csl-citation.json"} </w:instrText>
      </w:r>
      <w:r w:rsidR="002F2897" w:rsidRPr="00A9434B">
        <w:fldChar w:fldCharType="separate"/>
      </w:r>
      <w:r w:rsidR="00C71E80" w:rsidRPr="00A9434B">
        <w:t>(Mooney &amp; Hobbs, 2000)</w:t>
      </w:r>
      <w:r w:rsidR="002F2897" w:rsidRPr="00A9434B">
        <w:fldChar w:fldCharType="end"/>
      </w:r>
      <w:r w:rsidR="001C1880" w:rsidRPr="00A9434B">
        <w:t>;</w:t>
      </w:r>
      <w:r>
        <w:t xml:space="preserve"> cross-sector policy, coordination and collaboration h</w:t>
      </w:r>
      <w:r w:rsidR="00115F9B">
        <w:t>ave</w:t>
      </w:r>
      <w:r>
        <w:t xml:space="preserve"> been identified as essential to invasive alien species prevention and control (</w:t>
      </w:r>
      <w:r>
        <w:rPr>
          <w:b/>
        </w:rPr>
        <w:t>sections 6.2</w:t>
      </w:r>
      <w:r>
        <w:t xml:space="preserve"> and </w:t>
      </w:r>
      <w:r>
        <w:rPr>
          <w:b/>
        </w:rPr>
        <w:t>6.3</w:t>
      </w:r>
      <w:r>
        <w:t>).</w:t>
      </w:r>
    </w:p>
    <w:p w14:paraId="66823C7E" w14:textId="77777777" w:rsidR="00017C04" w:rsidRDefault="00F50AF9">
      <w:pPr>
        <w:spacing w:after="0"/>
      </w:pPr>
      <w:r>
        <w:t xml:space="preserve">Identifying financial and economic mechanisms to address invasive alien species is challenging for three principal reasons: </w:t>
      </w:r>
    </w:p>
    <w:p w14:paraId="1D671658" w14:textId="566F06CE" w:rsidR="0092632A" w:rsidRPr="00A9434B" w:rsidRDefault="002F2897" w:rsidP="00035223">
      <w:pPr>
        <w:pStyle w:val="ListParagraph"/>
        <w:numPr>
          <w:ilvl w:val="0"/>
          <w:numId w:val="56"/>
        </w:numPr>
        <w:spacing w:before="0"/>
      </w:pPr>
      <w:r w:rsidRPr="00A9434B">
        <w:t>they affect public goods, which</w:t>
      </w:r>
      <w:r w:rsidR="007A44C8" w:rsidRPr="00A9434B">
        <w:t xml:space="preserve"> </w:t>
      </w:r>
      <w:r w:rsidRPr="00A9434B">
        <w:t>complicates the important tas</w:t>
      </w:r>
      <w:r w:rsidR="00BA6BA2" w:rsidRPr="00A9434B">
        <w:t>k of defining responsibilities</w:t>
      </w:r>
      <w:r w:rsidR="006C328A" w:rsidRPr="00A9434B">
        <w:t xml:space="preserve"> </w:t>
      </w:r>
      <w:r w:rsidRPr="00A9434B">
        <w:fldChar w:fldCharType="begin"/>
      </w:r>
      <w:r w:rsidR="0006613E">
        <w:instrText xml:space="preserve"> ADDIN ZOTERO_ITEM CSL_CITATION {"citationID":"j6D3UWrs","properties":{"formattedCitation":"(Perrings et al., 2002)","plainCitation":"(Perrings et al., 2002)","dontUpdate":true,"noteIndex":0},"citationItems":[{"id":29112,"uris":["http://zotero.org/groups/2352922/items/2YVKG4KB"],"itemData":{"id":29112,"type":"article-journal","abstract":"ABSTRACT. We postulate that the causes of the problem of invasive alien species are primarily economic and, as such, require economic solutions. Invasive alien species are of increasing concern for four reasons. First, introductions are increasing sharply, while mechanisms for excluding or eradicating alien species have been either withdrawn or progressively weakened. Both trends are due to the liberalization of and increase in international travel and trade, an economic phenomenon. Second, the costs of invasions are rising rapidly due partly to increasing human population density, and partly to increasing intensity of production in genetically impoverished agricultural systems. Third, biological invasions are associated with a high degree of uncertainty both because they involve novel interactions, and because invasion risks are endogenous. Actual risks depend on how people react to the possibility of invasions. Fourth, the exclusion and control of invasive species is a \"weakest-link\" public good. This places the well-being of society in the hands of the least effective provider. We argue that an economic solution to the problem of invasive species has two components. One is to use incentives to change human behavior so as to enhance protection against the introduction, establishment, and spread of invasive behavior. The other is to develop institutions that support the weakest members of global society, converting a \"weakest-link\" to a \"best-shot\" public good.","container-title":"Conservation Ecology","ISSN":"1195-5449","issue":"1","title":"Biological Invasion Risks and the Public Good: an Economic Perspective","title-short":"Biological Invasion Risks and the Public Good","URL":"https://www.jstor.org/stable/26271860","volume":"6","author":[{"family":"Perrings","given":"Charles"},{"family":"Williamson","given":"Mark"},{"family":"Barbier","given":"Edward B."},{"family":"Delfino","given":"Doriana"},{"family":"Dalmazzone","given":"Silvana"},{"family":"Shogren","given":"Jason"},{"family":"Simmons","given":"Peter"},{"family":"Watkinson","given":"Andrew"}],"accessed":{"date-parts":[["2019",10,12]]},"issued":{"date-parts":[["2002"]]}},"label":"page"}],"schema":"https://github.com/citation-style-language/schema/raw/master/csl-citation.json"} </w:instrText>
      </w:r>
      <w:r w:rsidRPr="00A9434B">
        <w:fldChar w:fldCharType="separate"/>
      </w:r>
      <w:r w:rsidR="00215172" w:rsidRPr="00215172">
        <w:t>(Perrings et al., 2002</w:t>
      </w:r>
      <w:r w:rsidRPr="00A9434B">
        <w:fldChar w:fldCharType="end"/>
      </w:r>
      <w:r w:rsidR="006462E5" w:rsidRPr="00A9434B">
        <w:t xml:space="preserve">; </w:t>
      </w:r>
      <w:r w:rsidR="006462E5" w:rsidRPr="00673554">
        <w:rPr>
          <w:b/>
        </w:rPr>
        <w:t>s</w:t>
      </w:r>
      <w:r w:rsidRPr="00673554">
        <w:rPr>
          <w:b/>
        </w:rPr>
        <w:t>ection 6.3.</w:t>
      </w:r>
      <w:r w:rsidR="006462E5" w:rsidRPr="00673554">
        <w:rPr>
          <w:b/>
        </w:rPr>
        <w:t>1.1</w:t>
      </w:r>
      <w:r w:rsidR="00C436F4" w:rsidRPr="00A9434B">
        <w:t>)</w:t>
      </w:r>
      <w:r w:rsidRPr="00A9434B">
        <w:t xml:space="preserve">; </w:t>
      </w:r>
    </w:p>
    <w:p w14:paraId="16D0F1B5" w14:textId="744BECB8" w:rsidR="0092632A" w:rsidRPr="00A9434B" w:rsidRDefault="002F2897" w:rsidP="00035223">
      <w:pPr>
        <w:pStyle w:val="ListParagraph"/>
        <w:numPr>
          <w:ilvl w:val="0"/>
          <w:numId w:val="56"/>
        </w:numPr>
      </w:pPr>
      <w:r w:rsidRPr="00A9434B">
        <w:t xml:space="preserve">many of the costs and benefits of investment in invasive alien species management are </w:t>
      </w:r>
      <w:r w:rsidR="007E1ACC" w:rsidRPr="00A9434B">
        <w:t>non-market values</w:t>
      </w:r>
      <w:r w:rsidR="007A44C8" w:rsidRPr="00A9434B">
        <w:t xml:space="preserve"> </w:t>
      </w:r>
      <w:r w:rsidRPr="00A9434B">
        <w:fldChar w:fldCharType="begin"/>
      </w:r>
      <w:r w:rsidR="0006613E">
        <w:instrText xml:space="preserve"> ADDIN ZOTERO_ITEM CSL_CITATION {"citationID":"arni4ivsr1","properties":{"formattedCitation":"(Perrings et al., 2010)","plainCitation":"(Perrings et al., 2010)","noteIndex":0},"citationItems":[{"id":10790,"uris":["http://zotero.org/groups/2352922/items/N6KEWNYD"],"itemData":{"id":10790,"type":"article-journal","abstract":"In this paper, we consider the factors behind the growth of invasive species as a global problem, and the scope for international cooperation and coordination in addressing that problem. This is limited by the terms of the various international agreements governing trade, health, and biodiversity. The default strategy in most cases has two parts: border protection and the control of or adaptation to introduced species that have escaped detection at the border. Most invasive species policy involves unilateral national defensive action as opposed to coordinated international action. We argue that an important part of the solution to the problem lies in global coordination and cooperation in the management of both pathways and sanitary and phytosanitary risks at all scales. More particularly, because invasive species are an externality of trade, transport, and travel that involve public goods, they require collective regulation of international markets that goes beyond that admitted under the World Trade Organization's (WTO) Agreement on the Application of Sanitary and Phytosanitary Measures. We argue that it is important to bring that agreement into conformity with the International Health Regulations (IHR), and to develop an international mechanism to generate and disseminate information on invasive species risks and their impacts.","container-title":"Annals of the New York Academy of Sciences","DOI":"10.1111/j.1749-6632.2010.05453.x","ISSN":"1749-6632","issue":"1","language":"en","license":"© 2010 New York Academy of Sciences","note":"_eprint: https://nyaspubs.onlinelibrary.wiley.com/doi/pdf/10.1111/j.1749-6632.2010.05453.x","page":"198-212","source":"Wiley Online Library","title":"International cooperation in the solution to trade-related invasive species risks","URL":"https://nyaspubs.onlinelibrary.wiley.com/doi/abs/10.1111/j.1749-6632.2010.05453.x","volume":"1195","author":[{"family":"Perrings","given":"Charles"},{"family":"Burgiel","given":"Stas"},{"family":"Lonsdale","given":"Mark"},{"family":"Mooney","given":"Harold"},{"family":"Williamson","given":"Mark"}],"accessed":{"date-parts":[["2020",3,29]]},"issued":{"date-parts":[["2010"]]}},"label":"page"}],"schema":"https://github.com/citation-style-language/schema/raw/master/csl-citation.json"} </w:instrText>
      </w:r>
      <w:r w:rsidRPr="00A9434B">
        <w:fldChar w:fldCharType="separate"/>
      </w:r>
      <w:r w:rsidR="00C71E80" w:rsidRPr="00A9434B">
        <w:t>(Perrings et al., 2010)</w:t>
      </w:r>
      <w:r w:rsidRPr="00A9434B">
        <w:fldChar w:fldCharType="end"/>
      </w:r>
      <w:r w:rsidRPr="00A9434B">
        <w:t xml:space="preserve">, in some cases affecting values that cannot be monetized thereby limiting their consideration in economic flows and return on investment analyses </w:t>
      </w:r>
      <w:r w:rsidRPr="00A9434B">
        <w:fldChar w:fldCharType="begin"/>
      </w:r>
      <w:r w:rsidR="0006613E">
        <w:instrText xml:space="preserve"> ADDIN ZOTERO_ITEM CSL_CITATION {"citationID":"a27jqpleubc","properties":{"formattedCitation":"(Auerbach et al., 2014)","plainCitation":"(Auerbach et al., 2014)","noteIndex":0},"citationItems":[{"id":10907,"uris":["http://zotero.org/groups/2352922/items/KFU8I368"],"itemData":{"id":10907,"type":"article-journal","container-title":"Ecological Applications","DOI":"10.1890/13-0711.1","issue":"6","note":"ISBN: 1939-5582\npublisher: Wiley Online Library","page":"1357-1373","title":"Informed actions: where to cost effectively manage multiple threats to species to maximize return on investment","volume":"24","author":[{"family":"Auerbach","given":"Nancy A."},{"family":"Tulloch","given":"Ayesha I T"},{"family":"Possingham","given":"Hugh P."}],"issued":{"date-parts":[["2014"]]}},"label":"page"}],"schema":"https://github.com/citation-style-language/schema/raw/master/csl-citation.json"} </w:instrText>
      </w:r>
      <w:r w:rsidRPr="00A9434B">
        <w:fldChar w:fldCharType="separate"/>
      </w:r>
      <w:r w:rsidR="00C71E80" w:rsidRPr="00A9434B">
        <w:t>(Auerbach et al., 2014)</w:t>
      </w:r>
      <w:r w:rsidRPr="00A9434B">
        <w:fldChar w:fldCharType="end"/>
      </w:r>
      <w:r w:rsidRPr="00A9434B">
        <w:t>, and their use as arguments for generating resources and investment;</w:t>
      </w:r>
    </w:p>
    <w:p w14:paraId="21A92DB6" w14:textId="36AC7D3E" w:rsidR="00017C04" w:rsidRDefault="00F50AF9" w:rsidP="00AD02AD">
      <w:pPr>
        <w:pStyle w:val="ListParagraph"/>
        <w:numPr>
          <w:ilvl w:val="0"/>
          <w:numId w:val="56"/>
        </w:numPr>
      </w:pPr>
      <w:r w:rsidRPr="00AD02AD">
        <w:t xml:space="preserve">the ambiguous property rights of some goods and services that are affected by invasive alien species make it extremely difficult to implement public policy, legislation and regulatory mechanisms to protect these goods and services </w:t>
      </w:r>
      <w:r w:rsidR="002F2897" w:rsidRPr="00A9434B">
        <w:fldChar w:fldCharType="begin"/>
      </w:r>
      <w:r w:rsidR="0006613E">
        <w:instrText xml:space="preserve"> ADDIN ZOTERO_ITEM CSL_CITATION {"citationID":"a1gqdnnqvt2","properties":{"formattedCitation":"(Reichard et al., 2005)","plainCitation":"(Reichard et al., 2005)","noteIndex":0},"citationItems":[{"id":10906,"uris":["http://zotero.org/groups/2352922/items/XBI9ZZ3B"],"itemData":{"id":10906,"type":"article-journal","container-title":"Frontiers in Ecology and the Environment","DOI":"10.1890/1540-9295(2005)003[0103:TTOTCR]2.0.CO;2","issue":"2","note":"ISBN: 1540-9295\npublisher: JSTOR","page":"109-115","title":"The tragedy of the commons revisited: invasive species","volume":"3","author":[{"family":"Reichard","given":"Sarah"},{"family":"Schmitz","given":"C."},{"family":"Simberloff","given":"Dan"},{"family":"Morrison","given":"Darrel"},{"family":"Lehtonen","given":"Polly P."},{"family":"Windle","given":"Phyllis N."},{"family":"Chavarría","given":"Gabriela"},{"family":"Mezitt","given":"R. Wayne"}],"issued":{"date-parts":[["2005"]]}},"label":"page"}],"schema":"https://github.com/citation-style-language/schema/raw/master/csl-citation.json"} </w:instrText>
      </w:r>
      <w:r w:rsidR="002F2897" w:rsidRPr="00A9434B">
        <w:fldChar w:fldCharType="separate"/>
      </w:r>
      <w:r w:rsidR="00C71E80" w:rsidRPr="00A9434B">
        <w:t>(Reichard et al., 2005)</w:t>
      </w:r>
      <w:r w:rsidR="002F2897" w:rsidRPr="00A9434B">
        <w:fldChar w:fldCharType="end"/>
      </w:r>
      <w:r w:rsidR="002F2897" w:rsidRPr="00A9434B">
        <w:t>.</w:t>
      </w:r>
      <w:r w:rsidRPr="00AD02AD">
        <w:t xml:space="preserve"> </w:t>
      </w:r>
    </w:p>
    <w:p w14:paraId="724B537D" w14:textId="5CCE141B" w:rsidR="00017C04" w:rsidRDefault="00F50AF9">
      <w:r>
        <w:t xml:space="preserve">These three characteristics, compounded by the probabilistic nature of a successful invasion event </w:t>
      </w:r>
      <w:r w:rsidR="002F2897" w:rsidRPr="00A9434B">
        <w:fldChar w:fldCharType="begin"/>
      </w:r>
      <w:r w:rsidR="0006613E">
        <w:instrText xml:space="preserve"> ADDIN ZOTERO_ITEM CSL_CITATION {"citationID":"a23vjpshsk7","properties":{"formattedCitation":"(Fournier et al., 2019)","plainCitation":"(Fournier et al., 2019)","noteIndex":0},"citationItems":[{"id":10484,"uris":["http://zotero.org/groups/2352922/items/SQRKDH99"],"itemData":{"id":10484,"type":"article-journal","abstract":"Invasive alien species are a great threat to biodiversity and human livelihoods worldwide. The most effective way to limit their impacts and costs is to prevent their introduction into new areas. Identifying invaders and invasions before their occurrence would arguably be the most efficient strategy. Here, we provide a profiling method to predict which species-with which particular ecological characteristics-will invade, and where they could invade. We illustrate our approach with ants, which are among the most detrimental invasive species, as they are responsible for declines of numerous taxa, are involved in local extinctions, disturb ecosystem functioning, and impact multiple human activities. Based on statistical profiling of 1,002 ant species from an extensive trait database, we identify 13 native ant species with an ecological profile that matches that of known invasive ants. Even though they are not currently described as such, these species are likely to become the next global invaders. We couple these predictions with species distribution models to identify the regions most at risk from the invasion of these species: Florida and Central America, Brazil, Central Africa and Madagascar, Southeast Asia, Papua New Guinea Northeast Australia, and many islands worldwide. This framework, applicable to any other taxa, represents a remarkable opportunity to implement timely and specifically shaped proactive management strategies against biological invasions.","container-title":"Proceedings of the National Academy of Sciences of the United States of America","DOI":"10.1073/pnas.1803456116","ISSN":"0027-8424","issue":"16","journalAbbreviation":"Proc. Natl. Acad. Sci. U. S. A.","language":"English","page":"7905-7910","title":"Predicting future invaders and future invasions","volume":"116","author":[{"family":"Fournier","given":"Alice"},{"family":"Penone","given":"Caterina"},{"family":"Grazia Pennino","given":"Maria"},{"family":"Courchamp","given":"Franck"}],"issued":{"date-parts":[["2019",4,16]]}},"label":"page"}],"schema":"https://github.com/citation-style-language/schema/raw/master/csl-citation.json"} </w:instrText>
      </w:r>
      <w:r w:rsidR="002F2897" w:rsidRPr="00A9434B">
        <w:fldChar w:fldCharType="separate"/>
      </w:r>
      <w:r w:rsidR="00C71E80" w:rsidRPr="00A9434B">
        <w:t>(Fournier et al., 2019)</w:t>
      </w:r>
      <w:r w:rsidR="002F2897" w:rsidRPr="00A9434B">
        <w:fldChar w:fldCharType="end"/>
      </w:r>
      <w:r w:rsidR="002F2897" w:rsidRPr="00A9434B">
        <w:t xml:space="preserve"> and the lag time that</w:t>
      </w:r>
      <w:r w:rsidR="00BB647D" w:rsidRPr="00A9434B">
        <w:t xml:space="preserve"> often</w:t>
      </w:r>
      <w:r w:rsidR="002F2897" w:rsidRPr="00A9434B">
        <w:t xml:space="preserve"> separates an introduction from a successful </w:t>
      </w:r>
      <w:r w:rsidR="002F2897" w:rsidRPr="00A9434B">
        <w:lastRenderedPageBreak/>
        <w:t xml:space="preserve">invasion </w:t>
      </w:r>
      <w:r w:rsidR="002F2897" w:rsidRPr="00A9434B">
        <w:fldChar w:fldCharType="begin"/>
      </w:r>
      <w:r w:rsidR="0006613E">
        <w:instrText xml:space="preserve"> ADDIN ZOTERO_ITEM CSL_CITATION {"citationID":"an2k8tuod4","properties":{"formattedCitation":"(Essl et al., 2011)","plainCitation":"(Essl et al., 2011)","noteIndex":0},"citationItems":[{"id":56280,"uris":["http://zotero.org/groups/2352922/items/YY5ECPQJ","http://zotero.org/groups/2352922/items/ITJAFPQE"],"itemData":{"id":56280,"type":"article-journal","abstract":"Globalization and economic growth are widely recognized as important drivers of biological invasions. Consequently, there is an increasing need for governments to address the role of international trade in their strategies to prevent species introductions. However, many of the most problematic alien species are not recent arrivals but were introduced several decades ago. Hence, current patterns of alien-species richness may better reflect historical rather than contemporary human activities, a phenomenon which might be called “invasion debt.” Here, we show that across 10 taxonomic groups (vascular plants, bryophytes, fungi, birds, mammals, reptiles, amphibians, fish, terrestrial insects, and aquatic invertebrates) in 28 European countries, current numbers of alien species established in the wild are indeed more closely related to indicators of socioeconomic activity from the year 1900 than to those from 2000, although the majority of species introductions occurred during the second half of the 20th century. The strength of the historical signal varies among taxonomic groups, with those possessing good capabilities for dispersal (birds, insects) more strongly associated with recent socioeconomic drivers. Nevertheless, our results suggest a considerable historical legacy for the majority of the taxa analyzed. The consequences of the current high levels of socioeconomic activity on the extent of biological invasions will thus probably not be completely realized until several decades into the future.","container-title":"Proceedings of the National Academy of Sciences","DOI":"10.1073/pnas.1011728108","ISSN":"0027-8424, 1091-6490","issue":"1","journalAbbreviation":"Proc. Natl. Acad. Sci. U.S.A.","language":"en","page":"203-207","source":"DOI.org (Crossref)","title":"Socioeconomic legacy yields an invasion debt","URL":"https://pnas.org/doi/full/10.1073/pnas.1011728108","volume":"108","author":[{"family":"Essl","given":"Franz"},{"family":"Dullinger","given":"Stefan"},{"family":"Rabitsch","given":"Wolfgang"},{"family":"Hulme","given":"Philip E."},{"family":"Hülber","given":"Karl"},{"family":"Jarošík","given":"Vojtěch"},{"family":"Kleinbauer","given":"Ingrid"},{"family":"Krausmann","given":"Fridolin"},{"family":"Kühn","given":"Ingolf"},{"family":"Nentwig","given":"Wolfgang"},{"family":"Vilà","given":"Montserrat"},{"family":"Genovesi","given":"Piero"},{"family":"Gherardi","given":"Francesca"},{"family":"Desprez-Loustau","given":"Marie-Laure"},{"family":"Roques","given":"Alain"},{"family":"Pyšek","given":"Petr"}],"accessed":{"date-parts":[["2023",6,8]]},"issued":{"date-parts":[["2011",1,4]]}},"label":"page"}],"schema":"https://github.com/citation-style-language/schema/raw/master/csl-citation.json"} </w:instrText>
      </w:r>
      <w:r w:rsidR="002F2897" w:rsidRPr="00A9434B">
        <w:fldChar w:fldCharType="separate"/>
      </w:r>
      <w:r w:rsidR="00C71E80" w:rsidRPr="00A9434B">
        <w:t>(Essl et al., 2011)</w:t>
      </w:r>
      <w:r w:rsidR="002F2897" w:rsidRPr="00A9434B">
        <w:fldChar w:fldCharType="end"/>
      </w:r>
      <w:r w:rsidR="002F2897" w:rsidRPr="00A9434B">
        <w:t xml:space="preserve">, make it difficult to internalize the effects of </w:t>
      </w:r>
      <w:r w:rsidR="00AD02AD">
        <w:t>invasive alien species</w:t>
      </w:r>
      <w:r>
        <w:t>, and therefore argue successfully for investing the resources necessary to adequately confront this global issue in a given region.</w:t>
      </w:r>
    </w:p>
    <w:p w14:paraId="4ECEE157" w14:textId="3540D986" w:rsidR="00017C04" w:rsidRDefault="00F50AF9">
      <w:r>
        <w:t>This IPBES assessment of invasive alien species cannot offer a comprehensive global review of existing financial and economic mechanisms, nor can it define a road map for success in the management of biological invasions (</w:t>
      </w:r>
      <w:r>
        <w:rPr>
          <w:b/>
        </w:rPr>
        <w:t>section 6.2</w:t>
      </w:r>
      <w:r>
        <w:t>). Rather, it presents some of the economic instruments available to finance different aspects of the invasion process, including prevention, eradication, containment, mitigation</w:t>
      </w:r>
      <w:r w:rsidR="00EB415D">
        <w:t xml:space="preserve"> and</w:t>
      </w:r>
      <w:r>
        <w:t xml:space="preserve"> restoration. The IPBES assessment of invasive alien species also examines some of the challenges, benefits, appropriateness</w:t>
      </w:r>
      <w:r w:rsidR="00EB415D">
        <w:t xml:space="preserve"> and</w:t>
      </w:r>
      <w:r>
        <w:t xml:space="preserve"> implications of adopting these instruments in different contexts and at various scales. It provides some insights for generating the economic incentives and deterrents that support a sustainable global effort to address the problem of invasive alien species in a more coordinated and better-financed manner. Some of the options presented are likely to resonate better in some regions than in others, and work best at some scales rather than others; the instruments outlined here are scale and context dependent. This simply reflects the diversity of the planet, its human societies</w:t>
      </w:r>
      <w:r w:rsidR="00EB415D">
        <w:t xml:space="preserve"> and</w:t>
      </w:r>
      <w:r>
        <w:t xml:space="preserve"> political systems, as well as the tremendous complexity of biological invasion process and its relationship with global biodiversity change.</w:t>
      </w:r>
    </w:p>
    <w:p w14:paraId="71A7950D" w14:textId="13E5C6BE" w:rsidR="00017C04" w:rsidRDefault="00F50AF9">
      <w:r>
        <w:t>Finally, there is no doubt that the power to advance the global invasive alien species agenda lies primarily in the hands of governments that lead legal and regulatory initiatives, supported by economic command-and-control instruments, tariffs</w:t>
      </w:r>
      <w:r w:rsidR="00EB415D">
        <w:t xml:space="preserve"> and</w:t>
      </w:r>
      <w:r>
        <w:t xml:space="preserve"> penalty systems. Government agencies are, and will likely continue to be, the organizations with the greatest capacity to respond to invasive alien species </w:t>
      </w:r>
      <w:r w:rsidR="002F2897" w:rsidRPr="00A9434B">
        <w:fldChar w:fldCharType="begin"/>
      </w:r>
      <w:r w:rsidR="0006613E">
        <w:instrText xml:space="preserve"> ADDIN ZOTERO_ITEM CSL_CITATION {"citationID":"a1f5amo2723","properties":{"formattedCitation":"(Leadley et al., 2014)","plainCitation":"(Leadley et al., 2014)","noteIndex":0},"citationItems":[{"id":30288,"uris":["http://zotero.org/groups/2352922/items/E66TASPF"],"itemData":{"id":30288,"type":"report","abstract":"\"In 2010, the Parties to the Convention on Biological Diversity (CBD) adopted the Strategic Plan for Biodiversity 2011-2020 in Nagoya, Japan. This Strategic Plan includes a 'shared vision, a mission, strategic goals and 20 ambitious yet achievable targets, collectively known as the Aichi Targets.' The vision is that 'By 2050, biodiversity is valued, conserved, restored and wisely used, maintaining ecosystem services, sustaining a healthy planet and delivering benefits essential for all people.' The Global Biodiversity Outlook 4 is an assessment of progress towards attaining the Strategic Plan roughly halfway between its adoption in 2010 and the deadline for achieving most of the Aichi Targets in 2020. This Global Biodiversity Outlook 4 (GBO-4) Technical Report provides a detailed assessment of the evidence base underlying the conclusions in the main Global Biodiversity Outlook 4 report\"--","collection-title":"CBD Technical Series","event-place":"Montreal, Canada","genre":"Global Biodiversity Outlook 4 (GBO-4) Technical Report","language":"en","note":"OCLC: 899004983","number":"78","page":"500","publisher":"Secretariat of the Convention on Biological Diversity","publisher-place":"Montreal, Canada","source":"Open WorldCat","title":"Progress towards the Aichi biodiversity targets: An assessment of biodiversity trends, policy scenarios and key actions","title-short":"Progress towards the Aichi biodiversity targets","URL":"http://www.deslibris.ca/ID/244310","author":[{"family":"Leadley","given":"Paul W."},{"family":"Krug","given":"Cornelia B"},{"family":"Alkemade","given":"R"},{"family":"Pereira","given":"H. M."},{"family":"Sumaila","given":"U. R."},{"family":"Walpole","given":"M."},{"family":"Marques","given":"A."},{"family":"Newbold","given":"T."},{"family":"Teh","given":"L. S. L."},{"family":"Kolck","given":"J.","non-dropping-particle":"van"},{"family":"Bellard","given":"C."},{"family":"Januchowski-Hartley","given":"S. R."},{"family":"Mumby","given":"P. J."}],"accessed":{"date-parts":[["2021",8,25]]},"issued":{"date-parts":[["2014"]]}},"label":"page"}],"schema":"https://github.com/citation-style-language/schema/raw/master/csl-citation.json"} </w:instrText>
      </w:r>
      <w:r w:rsidR="002F2897" w:rsidRPr="00A9434B">
        <w:fldChar w:fldCharType="separate"/>
      </w:r>
      <w:r w:rsidR="00C71E80" w:rsidRPr="00A9434B">
        <w:t>(Leadley et al., 2014)</w:t>
      </w:r>
      <w:r w:rsidR="002F2897" w:rsidRPr="00A9434B">
        <w:fldChar w:fldCharType="end"/>
      </w:r>
      <w:r w:rsidR="4560485F" w:rsidRPr="00A9434B">
        <w:t>.</w:t>
      </w:r>
      <w:r>
        <w:t xml:space="preserve"> However, in many cases, especially in countries with developing economies, multilateral and bilateral development aid will play a significant role. The magnitude and intrinsic characteristics of the problem call for an urgent and coordinated diversification of financing options and mechanisms. </w:t>
      </w:r>
    </w:p>
    <w:p w14:paraId="450E1ABE" w14:textId="77777777" w:rsidR="00017C04" w:rsidRDefault="00F50AF9" w:rsidP="008521D1">
      <w:pPr>
        <w:pStyle w:val="Heading2"/>
      </w:pPr>
      <w:bookmarkStart w:id="443" w:name="_Toc88742707"/>
      <w:bookmarkStart w:id="444" w:name="_Toc88743137"/>
      <w:bookmarkStart w:id="445" w:name="_Toc88743376"/>
      <w:bookmarkStart w:id="446" w:name="_Toc89445603"/>
      <w:bookmarkStart w:id="447" w:name="_Toc89445699"/>
      <w:bookmarkStart w:id="448" w:name="_Toc89771050"/>
      <w:bookmarkStart w:id="449" w:name="_Toc89879502"/>
      <w:bookmarkStart w:id="450" w:name="_Toc74146140"/>
      <w:bookmarkStart w:id="451" w:name="_Toc917079786"/>
      <w:bookmarkStart w:id="452" w:name="_Toc133428335"/>
      <w:bookmarkStart w:id="453" w:name="_Toc133428796"/>
      <w:bookmarkStart w:id="454" w:name="_Toc147417591"/>
      <w:bookmarkEnd w:id="443"/>
      <w:bookmarkEnd w:id="444"/>
      <w:bookmarkEnd w:id="445"/>
      <w:bookmarkEnd w:id="446"/>
      <w:bookmarkEnd w:id="447"/>
      <w:bookmarkEnd w:id="448"/>
      <w:bookmarkEnd w:id="449"/>
      <w:r>
        <w:t>Government financing</w:t>
      </w:r>
      <w:bookmarkEnd w:id="450"/>
      <w:bookmarkEnd w:id="451"/>
      <w:bookmarkEnd w:id="452"/>
      <w:bookmarkEnd w:id="453"/>
      <w:bookmarkEnd w:id="454"/>
    </w:p>
    <w:p w14:paraId="4924D127" w14:textId="15A30A9A" w:rsidR="00017C04" w:rsidRDefault="2F958343">
      <w:r>
        <w:t>Government financing continues to play a leading role in invasive management efforts. However, this varies greatly between regions and countries (</w:t>
      </w:r>
      <w:r w:rsidR="35E942C6" w:rsidRPr="00673554">
        <w:rPr>
          <w:b/>
          <w:iCs/>
        </w:rPr>
        <w:t>Figures</w:t>
      </w:r>
      <w:r w:rsidRPr="0B8DB0CC">
        <w:rPr>
          <w:b/>
          <w:bCs/>
        </w:rPr>
        <w:t xml:space="preserve"> 6.4 </w:t>
      </w:r>
      <w:r>
        <w:t>and</w:t>
      </w:r>
      <w:r w:rsidRPr="0B8DB0CC">
        <w:rPr>
          <w:b/>
          <w:bCs/>
        </w:rPr>
        <w:t xml:space="preserve"> 6.5</w:t>
      </w:r>
      <w:r>
        <w:t xml:space="preserve">), partly because of specific national fiscal and regulatory policies and public sector development strategies. In many countries there is considerable government investment in management of </w:t>
      </w:r>
      <w:r w:rsidR="0FCCC2CD">
        <w:t xml:space="preserve">biological invasions </w:t>
      </w:r>
      <w:r>
        <w:t xml:space="preserve">through sub-national and national support programmes. However, these rarely translate to a multilateral coordinated effort required to adequately address the problem </w:t>
      </w:r>
      <w:r w:rsidR="002F2897" w:rsidRPr="00A9434B">
        <w:fldChar w:fldCharType="begin"/>
      </w:r>
      <w:r w:rsidR="0006613E">
        <w:instrText xml:space="preserve"> ADDIN ZOTERO_ITEM CSL_CITATION {"citationID":"a1cgkp90a2d","properties":{"formattedCitation":"(Tollington et al., 2017)","plainCitation":"(Tollington et al., 2017)","noteIndex":0},"citationItems":[{"id":11134,"uris":["http://zotero.org/groups/2352922/items/GYW9HL7I"],"itemData":{"id":11134,"type":"article-journal","abstract":"The European Union's (EU) new legislation concerning Invasive Alien Species (IAS) is a ground-breaking and commendable attempt to set a common standard for combating IAS across political jurisdictions at a multinational scale. However, the regulation, underpinned by a list of IAS of Union concern, affords Member States a degree of operational flexibility and its successful implementation will be dictated by appropriate national enforcement and resource use. In evaluating this EU legislation, we provide pragmatic recommendations based upon a geo-political analysis of the pan-European capabilities to combat IAS and discuss measures to avoid the risk that the regulation will promote a piecemeal response by stakeholders instead of a truly collaborative effort. We highlight a major deficit in the funding mechanisms to support a comprehensive implementation of the legislation and stress the importance of consultation with the broader scientific community, including with key stakeholders, businesses and the general public. Our recommendations will create incentives for industries, raise awareness among citizens and stakeholders, and help establish a social norm for the EU and further afield. The legislation offers a collaborative Europe the chance to demonstrate its commitment to tackling the problems of IAS and to achieve a successful conservation breakthrough of international importance.","container-title":"Conservation Letters","DOI":"10.1111/conl.12214","ISSN":"1755-263X","issue":"1","language":"en","license":"Copyright and Photocopying: © 2015 The Authors. Conservation Letters published by Wiley Periodicals, Inc.","page":"112-120","source":"Wiley Online Library","title":"Making the EU Legislation on Invasive Species a Conservation Success","URL":"https://onlinelibrary.wiley.com/doi/abs/10.1111/conl.12214","volume":"10","author":[{"family":"Tollington","given":"Simon"},{"family":"Turbé","given":"Anne"},{"family":"Rabitsch","given":"Wolfgang"},{"family":"Groombridge","given":"Jim J."},{"family":"Scalera","given":"Riccardo"},{"family":"Essl","given":"Franz"},{"family":"Shwartz","given":"Assaf"}],"accessed":{"date-parts":[["2019",8,12]]},"issued":{"date-parts":[["2017"]]}},"label":"page"}],"schema":"https://github.com/citation-style-language/schema/raw/master/csl-citation.json"} </w:instrText>
      </w:r>
      <w:r w:rsidR="002F2897" w:rsidRPr="00A9434B">
        <w:fldChar w:fldCharType="separate"/>
      </w:r>
      <w:r w:rsidR="00C71E80" w:rsidRPr="00A9434B">
        <w:t>(Tollington et al., 2017)</w:t>
      </w:r>
      <w:r w:rsidR="002F2897" w:rsidRPr="00A9434B">
        <w:fldChar w:fldCharType="end"/>
      </w:r>
      <w:r w:rsidR="4560485F" w:rsidRPr="00A9434B">
        <w:t>.</w:t>
      </w:r>
      <w:r>
        <w:t xml:space="preserve"> Surveillance and monitoring are also aspects that receive government funding through the efforts of different agencies, but most of these activities have short time horizons, are limited to a few species</w:t>
      </w:r>
      <w:r w:rsidR="00EB415D">
        <w:t xml:space="preserve"> and</w:t>
      </w:r>
      <w:r>
        <w:t xml:space="preserve"> lack coordination, which all work to diminish their impact over time </w:t>
      </w:r>
      <w:r w:rsidR="002F2897" w:rsidRPr="00A9434B">
        <w:fldChar w:fldCharType="begin"/>
      </w:r>
      <w:r w:rsidR="0006613E">
        <w:instrText xml:space="preserve"> ADDIN ZOTERO_ITEM CSL_CITATION {"citationID":"a24d6d4smh0","properties":{"formattedCitation":"(Liebhold et al., 2021)","plainCitation":"(Liebhold et al., 2021)","noteIndex":0},"citationItems":[{"id":10905,"uris":["http://zotero.org/groups/2352922/items/K6WFLX7M"],"itemData":{"id":10905,"type":"chapter","container-title":"Invasive Species in Forests and Rangelands of the United States","event-place":"Cham, Switzerland","note":"DOI: 10.1007/978-3-030-45367-1_13","page":"293-303","publisher":"Springer","publisher-place":"Cham, Switzerland","title":"The Role of International Cooperation in Invasive Species Research","author":[{"family":"Liebhold","given":"Andrew M."},{"family":"Campbell","given":"Faith T."},{"family":"Gordon","given":"Doria R."},{"family":"Guo","given":"Qinfeng"},{"family":"Havill","given":"Nathan"},{"family":"Kinder","given":"Bradley"},{"family":"MacKenzie","given":"Richard"},{"family":"Lance","given":"David R."},{"family":"Pearson","given":"Dean E."},{"family":"Sing","given":"Sharlene E."},{"family":"Warziniack","given":"Travis"},{"family":"Venette","given":"Robert C."},{"family":"Yemshanov","given":"Denys"}],"editor":[{"family":"Poland","given":"Therese M."},{"family":"Patel-Weynand","given":"Toral"},{"family":"Finch","given":"Deborah M."},{"family":"Miniat","given":"Chelcy Ford"},{"family":"Hayes","given":"Deborah C."},{"family":"Lopez","given":"Vanessa M."}],"issued":{"date-parts":[["2021"]]}},"label":"page"}],"schema":"https://github.com/citation-style-language/schema/raw/master/csl-citation.json"} </w:instrText>
      </w:r>
      <w:r w:rsidR="002F2897" w:rsidRPr="00A9434B">
        <w:fldChar w:fldCharType="separate"/>
      </w:r>
      <w:r w:rsidR="00C71E80" w:rsidRPr="00A9434B">
        <w:t>(Liebhold et al., 2021)</w:t>
      </w:r>
      <w:r w:rsidR="002F2897" w:rsidRPr="00A9434B">
        <w:fldChar w:fldCharType="end"/>
      </w:r>
      <w:r w:rsidR="4560485F" w:rsidRPr="00A9434B">
        <w:t>.</w:t>
      </w:r>
    </w:p>
    <w:p w14:paraId="1F951706" w14:textId="08B476E1" w:rsidR="002F2897" w:rsidRPr="00A9434B" w:rsidRDefault="002F2897" w:rsidP="006B3143">
      <w:r w:rsidRPr="00A9434B">
        <w:t xml:space="preserve">To achieve adequate management of public funds to respond to invasive species, it is </w:t>
      </w:r>
      <w:r w:rsidR="008A2287" w:rsidRPr="00A9434B">
        <w:t>useful</w:t>
      </w:r>
      <w:r w:rsidRPr="00A9434B">
        <w:t xml:space="preserve"> to coordinate robust policies at all levels of government in which diverse areas of administration are involved, including but not limited to financial, economic</w:t>
      </w:r>
      <w:r w:rsidR="00EB415D">
        <w:t xml:space="preserve"> and</w:t>
      </w:r>
      <w:r w:rsidRPr="00A9434B">
        <w:t xml:space="preserve"> environmental regulatory bodies, as well as those in charge of international trade and commerce</w:t>
      </w:r>
      <w:r w:rsidR="00EB415D">
        <w:t xml:space="preserve"> and</w:t>
      </w:r>
      <w:r w:rsidRPr="00A9434B">
        <w:t xml:space="preserve"> foreign policy </w:t>
      </w:r>
      <w:r w:rsidRPr="00A9434B">
        <w:fldChar w:fldCharType="begin"/>
      </w:r>
      <w:r w:rsidR="0006613E">
        <w:instrText xml:space="preserve"> ADDIN ZOTERO_ITEM CSL_CITATION {"citationID":"ISUMR7ms","properties":{"formattedCitation":"(Tollington et al., 2017)","plainCitation":"(Tollington et al., 2017)","dontUpdate":true,"noteIndex":0},"citationItems":[{"id":11134,"uris":["http://zotero.org/groups/2352922/items/GYW9HL7I"],"itemData":{"id":11134,"type":"article-journal","abstract":"The European Union's (EU) new legislation concerning Invasive Alien Species (IAS) is a ground-breaking and commendable attempt to set a common standard for combating IAS across political jurisdictions at a multinational scale. However, the regulation, underpinned by a list of IAS of Union concern, affords Member States a degree of operational flexibility and its successful implementation will be dictated by appropriate national enforcement and resource use. In evaluating this EU legislation, we provide pragmatic recommendations based upon a geo-political analysis of the pan-European capabilities to combat IAS and discuss measures to avoid the risk that the regulation will promote a piecemeal response by stakeholders instead of a truly collaborative effort. We highlight a major deficit in the funding mechanisms to support a comprehensive implementation of the legislation and stress the importance of consultation with the broader scientific community, including with key stakeholders, businesses and the general public. Our recommendations will create incentives for industries, raise awareness among citizens and stakeholders, and help establish a social norm for the EU and further afield. The legislation offers a collaborative Europe the chance to demonstrate its commitment to tackling the problems of IAS and to achieve a successful conservation breakthrough of international importance.","container-title":"Conservation Letters","DOI":"10.1111/conl.12214","ISSN":"1755-263X","issue":"1","language":"en","license":"Copyright and Photocopying: © 2015 The Authors. Conservation Letters published by Wiley Periodicals, Inc.","page":"112-120","source":"Wiley Online Library","title":"Making the EU Legislation on Invasive Species a Conservation Success","URL":"https://onlinelibrary.wiley.com/doi/abs/10.1111/conl.12214","volume":"10","author":[{"family":"Tollington","given":"Simon"},{"family":"Turbé","given":"Anne"},{"family":"Rabitsch","given":"Wolfgang"},{"family":"Groombridge","given":"Jim J."},{"family":"Scalera","given":"Riccardo"},{"family":"Essl","given":"Franz"},{"family":"Shwartz","given":"Assaf"}],"accessed":{"date-parts":[["2019",8,12]]},"issued":{"date-parts":[["2017"]]}},"label":"page"}],"schema":"https://github.com/citation-style-language/schema/raw/master/csl-citation.json"} </w:instrText>
      </w:r>
      <w:r w:rsidRPr="00A9434B">
        <w:fldChar w:fldCharType="separate"/>
      </w:r>
      <w:r w:rsidR="00215172" w:rsidRPr="00215172">
        <w:t>(Tollington et al., 2017</w:t>
      </w:r>
      <w:r w:rsidRPr="00A9434B">
        <w:fldChar w:fldCharType="end"/>
      </w:r>
      <w:r w:rsidR="00021310" w:rsidRPr="00A9434B">
        <w:t>,</w:t>
      </w:r>
      <w:r w:rsidR="00BE2A81" w:rsidRPr="00A9434B">
        <w:t xml:space="preserve"> </w:t>
      </w:r>
      <w:r w:rsidR="00C436F4" w:rsidRPr="00673554">
        <w:rPr>
          <w:b/>
          <w:iCs/>
        </w:rPr>
        <w:t>s</w:t>
      </w:r>
      <w:r w:rsidRPr="00673554">
        <w:rPr>
          <w:b/>
          <w:iCs/>
        </w:rPr>
        <w:t xml:space="preserve">ections 6.2 </w:t>
      </w:r>
      <w:r w:rsidRPr="00772E4B">
        <w:t>and</w:t>
      </w:r>
      <w:r w:rsidRPr="00673554">
        <w:rPr>
          <w:b/>
          <w:iCs/>
        </w:rPr>
        <w:t xml:space="preserve"> 6.3</w:t>
      </w:r>
      <w:r w:rsidRPr="00A9434B">
        <w:t xml:space="preserve">). </w:t>
      </w:r>
      <w:r w:rsidR="00E16805" w:rsidRPr="00A9434B">
        <w:t xml:space="preserve">Likewise, </w:t>
      </w:r>
      <w:r w:rsidR="00E23D9D" w:rsidRPr="00A9434B">
        <w:t>it is important to finance educational and outreach strategies to gain public support for the investment of resources into prevention, control</w:t>
      </w:r>
      <w:r w:rsidR="00EB415D">
        <w:t xml:space="preserve"> and</w:t>
      </w:r>
      <w:r w:rsidR="00E23D9D" w:rsidRPr="00A9434B">
        <w:t xml:space="preserve"> eradication projects </w:t>
      </w:r>
      <w:r w:rsidR="00021310" w:rsidRPr="00A9434B">
        <w:fldChar w:fldCharType="begin"/>
      </w:r>
      <w:r w:rsidR="0006613E">
        <w:instrText xml:space="preserve"> ADDIN ZOTERO_ITEM CSL_CITATION {"citationID":"arlc1nqlbd","properties":{"formattedCitation":"(Bertolino &amp; Genovesi, 2003)","plainCitation":"(Bertolino &amp; Genovesi, 2003)","noteIndex":0},"citationItems":[{"id":25156,"uris":["http://zotero.org/groups/2352922/items/9MJ52GBX","http://zotero.org/groups/2352922/items/VL6AY865"],"itemData":{"id":25156,"type":"article-journal","abstract":"In 1997, the National Wildlife Institute, in co-operation with the University of Turin, produced an action plan to eradicate the American grey squirrel from Italy, as this introduced species replaces the native red squirrel through competitive exclusion and damages trees through de-barking. The ﬁrst step, a trial eradication of a small population of grey squirrels at Racconigi (Turin) to evaluate the eﬃciency of the removal techniques, started in May 1997. Preliminary results showed that eradication was feasible, but the project was opposed by radical animal rights groups which took the National Wildlife Institute to court in June 1997. This legal action caused a suspension of the project and led to a lengthy judicial enquiry that ended in July 2000 with the acquittal of the Institute. Nevertheless, the 3-year suspension of all actions led to a signiﬁcant expansion of the grey squirrel’s range and thus eradication is no longer considered practical. Therefore, in the medium to long term, grey squirrels are likely to expand through continental Eurasia. This constitutes a major threat to the survival of the red squirrel over a large portion of its distribution range and will have a signiﬁcant impact on forests, with economic damage to timber crops. # 2002 Elsevier Science Ltd. All rights reserved.","container-title":"Biological Conservation","DOI":"10.1016/S0006-3207(02)00161-1","ISSN":"00063207","issue":"3","journalAbbreviation":"Biological Conservation","language":"en","page":"351-358","source":"DOI.org (Crossref)","title":"Spread and attempted eradication of the grey squirrel (&lt;i&gt;Sciurus carolinensis&lt;/i&gt;) in Italy, and consequences for the red squirrel (&lt;i&gt;Sciurus vulgaris&lt;/i&gt;) in Eurasia","URL":"https://linkinghub.elsevier.com/retrieve/pii/S0006320702001611","volume":"109","author":[{"family":"Bertolino","given":"Sandro"},{"family":"Genovesi","given":"Piero"}],"accessed":{"date-parts":[["2019",10,11]]},"issued":{"date-parts":[["2003",3]]}}}],"schema":"https://github.com/citation-style-language/schema/raw/master/csl-citation.json"} </w:instrText>
      </w:r>
      <w:r w:rsidR="00021310" w:rsidRPr="00A9434B">
        <w:fldChar w:fldCharType="separate"/>
      </w:r>
      <w:r w:rsidR="00C71E80" w:rsidRPr="00A9434B">
        <w:t>(Bertolino &amp; Genovesi, 2003)</w:t>
      </w:r>
      <w:r w:rsidR="00021310" w:rsidRPr="00A9434B">
        <w:fldChar w:fldCharType="end"/>
      </w:r>
      <w:r w:rsidR="00E23D9D" w:rsidRPr="00A9434B">
        <w:t>.</w:t>
      </w:r>
    </w:p>
    <w:p w14:paraId="40091D76" w14:textId="0E96C805" w:rsidR="00017C04" w:rsidRDefault="2F958343">
      <w:r>
        <w:t xml:space="preserve">Dividing the main sources of tax revenue into four broad categories allows us to understand how each could provide opportunities to respond to invasive alien species at different stages of the </w:t>
      </w:r>
      <w:r w:rsidR="633295A1">
        <w:t xml:space="preserve">biological </w:t>
      </w:r>
      <w:r>
        <w:t xml:space="preserve">invasion process: </w:t>
      </w:r>
    </w:p>
    <w:p w14:paraId="38BC1D2C" w14:textId="77777777" w:rsidR="00017C04" w:rsidRDefault="00F50AF9">
      <w:pPr>
        <w:pStyle w:val="Heading5"/>
      </w:pPr>
      <w:r>
        <w:lastRenderedPageBreak/>
        <w:t>Direct taxes</w:t>
      </w:r>
    </w:p>
    <w:p w14:paraId="23B7EAA4" w14:textId="0E414E03" w:rsidR="00017C04" w:rsidRDefault="00F50AF9">
      <w:pPr>
        <w:spacing w:before="0"/>
      </w:pPr>
      <w:r>
        <w:t>The first group is direct taxes paid by households and businesses, which include income taxes, payroll taxes</w:t>
      </w:r>
      <w:r w:rsidR="00EB415D">
        <w:t xml:space="preserve"> and</w:t>
      </w:r>
      <w:r>
        <w:t xml:space="preserve"> corporate income taxes, among other taxes (i.e., capital gains and other investment incomes). A portion of direct taxes, which in theory are a reliable source of tax revenue, could be redirected to invasive alien species projects. Specifically, direct taxes are best used to address pre-invasion stages. In pre-invasion stages, biological invasions can be prevented with constant vigilance, including surveillance and monitoring, and therefore sustained funding. Also, investments made in preventing invasions pay dividends, as they eliminate invasions and all the associated costs.</w:t>
      </w:r>
    </w:p>
    <w:p w14:paraId="61B15E42" w14:textId="77777777" w:rsidR="00017C04" w:rsidRDefault="00F50AF9">
      <w:pPr>
        <w:pStyle w:val="Heading5"/>
      </w:pPr>
      <w:r>
        <w:t>Indirect taxes</w:t>
      </w:r>
    </w:p>
    <w:p w14:paraId="6C79EB28" w14:textId="7EC81D0E" w:rsidR="00017C04" w:rsidRDefault="00F50AF9">
      <w:pPr>
        <w:spacing w:before="0"/>
      </w:pPr>
      <w:r>
        <w:t>The second category comprises indirect taxes, or taxes paid to the government or other public body through a third party, such as a retailer or suppliers. This category includes value added taxes, sales taxes, special taxes on products such as alcohol or tobacco</w:t>
      </w:r>
      <w:r w:rsidR="00EB415D">
        <w:t xml:space="preserve"> and</w:t>
      </w:r>
      <w:r>
        <w:t xml:space="preserve"> import duties. Indirect taxes are slightly less dependable than direct taxes because they vary with both household and commercial consumption patterns, as well as the specific tax policies of a given jurisdiction within a nation. Additionally, some subcategories of indirect taxes such as excise taxes can place an unequal burden on taxpayers at different income levels, as the tax per unit of a given good or service will constitute a higher portion of a lower-income taxpayer’s income. However, the mandatory nature of this category of tax revenue means that they still are by-and-large a dependable source of tax revenue. Thus, they are appropriate sources of revenue for regular post-invasion control, mitigation</w:t>
      </w:r>
      <w:r w:rsidR="00EB415D">
        <w:t xml:space="preserve"> and</w:t>
      </w:r>
      <w:r>
        <w:t xml:space="preserve"> management programmes. </w:t>
      </w:r>
    </w:p>
    <w:p w14:paraId="1C3F4DED" w14:textId="77777777" w:rsidR="00017C04" w:rsidRDefault="00F50AF9">
      <w:pPr>
        <w:pStyle w:val="Heading5"/>
      </w:pPr>
      <w:r>
        <w:t>Non-tax revenues</w:t>
      </w:r>
    </w:p>
    <w:p w14:paraId="439D4242" w14:textId="5E0FAEBA" w:rsidR="00017C04" w:rsidRDefault="2F958343">
      <w:pPr>
        <w:spacing w:before="0"/>
      </w:pPr>
      <w:r>
        <w:t xml:space="preserve">In the third category are non-tax revenues from state-owned enterprises, including revenues from natural resources such as oil and gas. This category could help in research stages, as revenues from such sources already subsidize research in public universities and other institutions in some regions of the globe. Funding for research could be directed towards creating partnerships between public research institutions and natural resource management programmes to increase communication between academia and those responsible </w:t>
      </w:r>
      <w:r w:rsidR="00AD02AD">
        <w:t>for implementing management programmes for biological invasions.</w:t>
      </w:r>
      <w:r w:rsidR="002F2897" w:rsidRPr="00A9434B">
        <w:t xml:space="preserve"> This idea is particularly attractive as surveys of invasive alien species program</w:t>
      </w:r>
      <w:r w:rsidR="001C7482" w:rsidRPr="00A9434B">
        <w:t>me</w:t>
      </w:r>
      <w:r w:rsidR="002F2897" w:rsidRPr="00A9434B">
        <w:t xml:space="preserve"> managers commonly cite a lack of communication with invasive alien species experts as a major barrier to implementing holistic invasive alien species management program</w:t>
      </w:r>
      <w:r w:rsidR="001C7482" w:rsidRPr="00A9434B">
        <w:t>me</w:t>
      </w:r>
      <w:r w:rsidR="002F2897" w:rsidRPr="00A9434B">
        <w:t xml:space="preserve">s </w:t>
      </w:r>
      <w:r w:rsidR="002F2897" w:rsidRPr="00A9434B">
        <w:fldChar w:fldCharType="begin"/>
      </w:r>
      <w:r w:rsidR="0006613E">
        <w:instrText xml:space="preserve"> ADDIN ZOTERO_ITEM CSL_CITATION {"citationID":"a1lchqvrhct","properties":{"formattedCitation":"(Beaury et al., 2020)","plainCitation":"(Beaury et al., 2020)","noteIndex":0},"citationItems":[{"id":30457,"uris":["http://zotero.org/groups/2352922/items/F8MPB2NA"],"itemData":{"id":30457,"type":"article-journal","abstract":"Invasive alien species are likely to interact with climate change, thus necessitating management that proactively addresses both global changes. However, invasive species managers’ concerns about the effects of climate change, the degree to which they incorporate climate change into their management, and what stops them from doing so remain unknown. Therefore, we surveyed natural resource managers addressing invasive species across the U.S. about their priorities, concerns, and management strategies in a changing climate. Of the 211 managers we surveyed, most were very concerned about the influence of climate change on invasive species management, but their organizations were significantly less so. Managers reported that lack of funding and personnel limited their ability to effectively manage invasive species, while lack of information limited their consideration of climate change in decision-making. Additionally, managers prioritized research that identifies range-shifting invasive species and native communities resilient to invasions and climate change. Managers also reported that this information would be most effectively communicated through conversations, research summaries, and meetings/symposia. Despite the need for more information, 65% of managers incorporate climate change into their invasive species management through strategic planning, preventative management, changing treatment and control, and increasing education and outreach. These results show the potential for incorporating climate change into management, but also highlight a clear and pressing need for more targeted research, accessible science communication, and two-way dialogue between researchers and managers focused on invasive species and climate change.","container-title":"Biological Invasions","DOI":"10.1007/s10530-019-02087-6","ISSN":"1573-1464","issue":"2","journalAbbreviation":"Biol Invasions","language":"en","page":"233-252","source":"Springer Link","title":"Incorporating climate change into invasive species management: insights from managers","title-short":"Incorporating climate change into invasive species management","URL":"https://doi.org/10.1007/s10530-019-02087-6","volume":"22","author":[{"family":"Beaury","given":"Evelyn M."},{"family":"Fusco","given":"Emily J."},{"family":"Jackson","given":"Michelle R."},{"family":"Laginhas","given":"Brittany B."},{"family":"Morelli","given":"Toni Lyn"},{"family":"Allen","given":"Jenica M."},{"family":"Pasquarella","given":"Valerie J."},{"family":"Bradley","given":"Bethany A."}],"accessed":{"date-parts":[["2020",5,10]]},"issued":{"date-parts":[["2020",2,1]]}},"label":"page"}],"schema":"https://github.com/citation-style-language/schema/raw/master/csl-citation.json"} </w:instrText>
      </w:r>
      <w:r w:rsidR="002F2897" w:rsidRPr="00A9434B">
        <w:fldChar w:fldCharType="separate"/>
      </w:r>
      <w:r w:rsidR="00C71E80" w:rsidRPr="00A9434B">
        <w:t>(Beaury et al., 2020)</w:t>
      </w:r>
      <w:r w:rsidR="002F2897" w:rsidRPr="00A9434B">
        <w:fldChar w:fldCharType="end"/>
      </w:r>
      <w:r w:rsidR="002F2897" w:rsidRPr="00A9434B">
        <w:t>.</w:t>
      </w:r>
    </w:p>
    <w:p w14:paraId="0303AA8F" w14:textId="77777777" w:rsidR="00017C04" w:rsidRDefault="00F50AF9">
      <w:pPr>
        <w:pStyle w:val="Heading5"/>
      </w:pPr>
      <w:r>
        <w:t>External sources</w:t>
      </w:r>
    </w:p>
    <w:p w14:paraId="3EB2D57D" w14:textId="7E3FC559" w:rsidR="00017C04" w:rsidRDefault="2F958343">
      <w:pPr>
        <w:spacing w:before="0"/>
      </w:pPr>
      <w:r>
        <w:t>Finally, there is funding from external sources, such as from bilateral or multilateral funding agencies (i.e., World Bank Group: International Bank for Reconstruction and Development (IBRD), International Development Association (IDA), International Finance Corporation (IFC), Multilateral Investment Guarantee Agency (MIGA), International Centre for Settlement of Investment Disputes (ICSID), Asian Development Bank (ADB), International Monetary Fund (IMF)</w:t>
      </w:r>
      <w:r w:rsidR="00EB415D">
        <w:t xml:space="preserve"> and</w:t>
      </w:r>
      <w:r>
        <w:t xml:space="preserve"> International Fund for Agricultural Development (IFAD)), that are also considered public funding when the funds are disseminated through the recipient governments. Governments that depend heavily on funding from these sources are likely to not have other robust sources of tax revenue meant for controlling invasive alien species, and such funds therefore could be used to address the most pertinent areas of management </w:t>
      </w:r>
      <w:r w:rsidR="233E70D9">
        <w:t xml:space="preserve">of biological invasions </w:t>
      </w:r>
      <w:r>
        <w:t xml:space="preserve">in that region. In regions where there is significant government capacity for managing </w:t>
      </w:r>
      <w:r w:rsidR="13A11BDA">
        <w:t>biological invasions</w:t>
      </w:r>
      <w:r>
        <w:t>, these funds could be directed specifically towards increasing international coordination of management efforts such as prevention and monitoring. External funding sources could support any action considered as a priority by the government, that requires special support and/or is very costly, such as eradication, or action that depend on international coordination, such as prevention and monitoring.</w:t>
      </w:r>
    </w:p>
    <w:p w14:paraId="6DB4F653" w14:textId="3B886C2C" w:rsidR="00017C04" w:rsidRDefault="00F50AF9">
      <w:r>
        <w:lastRenderedPageBreak/>
        <w:t>In summary, the coordinating role and much of the economic drive to address and reduce the risk of invasive alien species currently involves state actors. However, biological invasions are a complex problem with many facets and actors involved (</w:t>
      </w:r>
      <w:r>
        <w:rPr>
          <w:b/>
        </w:rPr>
        <w:t>section 6.2</w:t>
      </w:r>
      <w:r>
        <w:t>), so it cannot be thought of as the sole responsibility of governments. While fiscal policies and regulations at the national level have the potential to establish central guidance and coordination mechanisms, it is also important to manage multilateral and bilateral mechanisms, philanthropic support and, above all, to involve the private sector to reinforce government initiatives and address neglected aspects of the problem (Epanchin-Niell, 2017).</w:t>
      </w:r>
    </w:p>
    <w:p w14:paraId="525ABDCB" w14:textId="1D99B90C" w:rsidR="00017C04" w:rsidRDefault="00F50AF9" w:rsidP="008521D1">
      <w:pPr>
        <w:pStyle w:val="Heading2"/>
      </w:pPr>
      <w:bookmarkStart w:id="455" w:name="_Toc1950546443"/>
      <w:bookmarkStart w:id="456" w:name="_Toc133428336"/>
      <w:bookmarkStart w:id="457" w:name="_Toc133428797"/>
      <w:bookmarkStart w:id="458" w:name="_Toc147417592"/>
      <w:r>
        <w:t>Laws, regulations and incentives for the private sector</w:t>
      </w:r>
      <w:bookmarkEnd w:id="455"/>
      <w:bookmarkEnd w:id="456"/>
      <w:bookmarkEnd w:id="457"/>
      <w:bookmarkEnd w:id="458"/>
    </w:p>
    <w:p w14:paraId="7E300775" w14:textId="47F64573" w:rsidR="00017C04" w:rsidRDefault="00F50AF9">
      <w:r>
        <w:t>Three examples of tools available to governments that incentivize the private sector to address invasive alien species prevention and control efforts include: ambient taxes, Pigouvian taxes</w:t>
      </w:r>
      <w:r w:rsidR="00EB415D">
        <w:t xml:space="preserve"> and</w:t>
      </w:r>
      <w:r>
        <w:t xml:space="preserve"> compensation, subsidies</w:t>
      </w:r>
      <w:r w:rsidR="00EB415D">
        <w:t xml:space="preserve"> and</w:t>
      </w:r>
      <w:r>
        <w:t xml:space="preserve"> fiscal incentives, and promoting the private sector to engage with prevention and control</w:t>
      </w:r>
      <w:r w:rsidR="42ABC50E">
        <w:t xml:space="preserve"> of invasive alien species</w:t>
      </w:r>
      <w:r>
        <w:t>.</w:t>
      </w:r>
    </w:p>
    <w:p w14:paraId="1A3ABD8D" w14:textId="729EB751" w:rsidR="002F2897" w:rsidRPr="00A9434B" w:rsidRDefault="2897B9F7" w:rsidP="0076414B">
      <w:pPr>
        <w:pStyle w:val="Heading3"/>
      </w:pPr>
      <w:bookmarkStart w:id="459" w:name="_heading=h.2hio093" w:colFirst="0" w:colLast="0"/>
      <w:bookmarkStart w:id="460" w:name="_Toc74146141"/>
      <w:bookmarkStart w:id="461" w:name="_Toc1828474956"/>
      <w:bookmarkStart w:id="462" w:name="_Toc133428337"/>
      <w:bookmarkEnd w:id="459"/>
      <w:r w:rsidRPr="00A9434B">
        <w:t xml:space="preserve">Ambient </w:t>
      </w:r>
      <w:bookmarkEnd w:id="460"/>
      <w:r w:rsidR="43D572D9" w:rsidRPr="0076414B">
        <w:t>t</w:t>
      </w:r>
      <w:r w:rsidRPr="0076414B">
        <w:t>ax</w:t>
      </w:r>
      <w:r w:rsidRPr="00A9434B">
        <w:t>es</w:t>
      </w:r>
      <w:r w:rsidR="58DF3E50" w:rsidRPr="00A9434B">
        <w:t xml:space="preserve"> and subsidies</w:t>
      </w:r>
      <w:bookmarkEnd w:id="461"/>
      <w:bookmarkEnd w:id="462"/>
    </w:p>
    <w:p w14:paraId="5A86821E" w14:textId="263FEC65" w:rsidR="005A709C" w:rsidRPr="00A9434B" w:rsidRDefault="002F2897" w:rsidP="006B3143">
      <w:r w:rsidRPr="00A9434B">
        <w:t>Beyond the more standard sources of tax revenue mentioned above are ambient taxes. Ambient taxes’ purpose is to levy taxes on industries responsible for generating non-point sources of pollution</w:t>
      </w:r>
      <w:r w:rsidR="00683D87" w:rsidRPr="00A9434B">
        <w:t>,</w:t>
      </w:r>
      <w:r w:rsidRPr="00A9434B">
        <w:t xml:space="preserve"> such as carbon emissions or invasive alien species. </w:t>
      </w:r>
      <w:r w:rsidR="005B0A94" w:rsidRPr="00A9434B">
        <w:t xml:space="preserve">This type of taxation in the context of invasions, as introduced by </w:t>
      </w:r>
      <w:r w:rsidR="00021310" w:rsidRPr="00A9434B">
        <w:t xml:space="preserve">Segerson </w:t>
      </w:r>
      <w:r w:rsidR="00021310" w:rsidRPr="00A9434B">
        <w:fldChar w:fldCharType="begin"/>
      </w:r>
      <w:r w:rsidR="0006613E">
        <w:instrText xml:space="preserve"> ADDIN ZOTERO_ITEM CSL_CITATION {"citationID":"ab2kvjbtqk","properties":{"formattedCitation":"(1988)","plainCitation":"(1988)","noteIndex":0},"citationItems":[{"id":54732,"uris":["http://zotero.org/groups/2352922/items/BZ7TERUR"],"itemData":{"id":54732,"type":"article-journal","container-title":"Journal of environmental economics and management","DOI":"10.1016/0095-0696(88)90030-7","issue":"1","note":"ISBN: 0095-0696\npublisher: Elsevier","page":"87-98","title":"Uncertainty and incentives for nonpoint pollution control","volume":"15","author":[{"family":"Segerson","given":"Kathleen"}],"issued":{"date-parts":[["1988"]]}},"label":"page","suppress-author":true}],"schema":"https://github.com/citation-style-language/schema/raw/master/csl-citation.json"} </w:instrText>
      </w:r>
      <w:r w:rsidR="00021310" w:rsidRPr="00A9434B">
        <w:fldChar w:fldCharType="separate"/>
      </w:r>
      <w:r w:rsidR="00C71E80" w:rsidRPr="00A9434B">
        <w:t>(1988)</w:t>
      </w:r>
      <w:r w:rsidR="00021310" w:rsidRPr="00A9434B">
        <w:fldChar w:fldCharType="end"/>
      </w:r>
      <w:r w:rsidR="00021310" w:rsidRPr="00A9434B">
        <w:t xml:space="preserve">, </w:t>
      </w:r>
      <w:r w:rsidR="005B0A94" w:rsidRPr="00A9434B">
        <w:t xml:space="preserve">would </w:t>
      </w:r>
      <w:r w:rsidR="00F8534C" w:rsidRPr="00A9434B">
        <w:t>incentivize</w:t>
      </w:r>
      <w:r w:rsidR="005B0A94" w:rsidRPr="00A9434B">
        <w:t xml:space="preserve"> risk reduction by encouraging a shift towards more eco-friendly choices and ensure socially optimal behaviour in both the short and the long</w:t>
      </w:r>
      <w:r w:rsidR="000A770F" w:rsidRPr="00A9434B">
        <w:t xml:space="preserve"> </w:t>
      </w:r>
      <w:r w:rsidR="005B0A94" w:rsidRPr="00A9434B">
        <w:t xml:space="preserve">run </w:t>
      </w:r>
      <w:r w:rsidR="00021310" w:rsidRPr="00A9434B">
        <w:fldChar w:fldCharType="begin"/>
      </w:r>
      <w:r w:rsidR="0006613E">
        <w:instrText xml:space="preserve"> ADDIN ZOTERO_ITEM CSL_CITATION {"citationID":"au43auvukf","properties":{"formattedCitation":"(K. R. Jones &amp; Corona, 2008)","plainCitation":"(K. R. Jones &amp; Corona, 2008)","noteIndex":0},"citationItems":[{"id":53892,"uris":["http://zotero.org/groups/2352922/items/A3XM5RG4","http://zotero.org/groups/2352922/items/68K9U29A"],"itemData":{"id":53892,"type":"article-journal","abstract":"Invasive species have become an issue of increasing concern in recent years. Invasive species are species that are not native to an area but are imported either intentionally or unintentionally and become established. A primary pathway for introduction is the ballast water of ships. Although not all imported species become invasive, those that do cause extensive damage to ecosystems and have been blamed for the endangerment of numerous native species. In many cases, release of non-native species can be prevented, either through open-ocean ballast water exchange, retention of ballast water, or other biosecurity measures. However, policies designed to encourage such actions face several specific challenges. The difficulty of linking an invasion to a specific vessel and of monitoring individual vessels' care makes using standard environmental liability plans difficult if not impossible. In this paper, we present an alternative policy option, that of an ambient tax. Building on the work of Segerson [Segerson, Kathleen, 1988. Uncertainty and incentives for nonpoint pollution control. journal of Environmental Economics and Management, 15: 87-98.], we show that an ambient tax can ensure socially optimal behavior in both the short-run and the long-run with minimal vessel specific information. (C) 2007 Elsevier B.V. All rights reserved.","container-title":"Ecological Economics","DOI":"10.1016/j.ecolecon.2007.03.006","ISSN":"0921-8009","issue":"3","note":"type: Journal Article","page":"534-541","title":"An ambient tax approach to invasive species","URL":"&lt;Go to ISI&gt;://WOS:000252917100009","volume":"64","author":[{"family":"Jones","given":"K. R."},{"family":"Corona","given":"J. P."}],"issued":{"date-parts":[["2008"]]}},"label":"page"}],"schema":"https://github.com/citation-style-language/schema/raw/master/csl-citation.json"} </w:instrText>
      </w:r>
      <w:r w:rsidR="00021310" w:rsidRPr="00A9434B">
        <w:fldChar w:fldCharType="separate"/>
      </w:r>
      <w:r w:rsidR="00C71E80" w:rsidRPr="00A9434B">
        <w:t>(K. R. Jones &amp; Corona, 2008)</w:t>
      </w:r>
      <w:r w:rsidR="00021310" w:rsidRPr="00A9434B">
        <w:fldChar w:fldCharType="end"/>
      </w:r>
      <w:r w:rsidR="00021310" w:rsidRPr="00A9434B">
        <w:t xml:space="preserve">. </w:t>
      </w:r>
      <w:r w:rsidR="005B0A94" w:rsidRPr="00A9434B">
        <w:t>Furthermore, these taxes could serve as a cost recuperation strategy (to help pay for invasion impacts)</w:t>
      </w:r>
      <w:r w:rsidR="00DA7B3D" w:rsidRPr="00A9434B">
        <w:t xml:space="preserve"> and </w:t>
      </w:r>
      <w:r w:rsidR="005B0A94" w:rsidRPr="00A9434B">
        <w:t>provid</w:t>
      </w:r>
      <w:r w:rsidR="00DA7B3D" w:rsidRPr="00A9434B">
        <w:t>e</w:t>
      </w:r>
      <w:r w:rsidR="005B0A94" w:rsidRPr="00A9434B">
        <w:t xml:space="preserve"> both the financial resources for prevention (including subsidies, surveillance</w:t>
      </w:r>
      <w:r w:rsidR="00EB415D">
        <w:t xml:space="preserve"> and</w:t>
      </w:r>
      <w:r w:rsidR="005B0A94" w:rsidRPr="00A9434B">
        <w:t xml:space="preserve"> monitoring) and control strategies. </w:t>
      </w:r>
      <w:r w:rsidRPr="00A9434B">
        <w:t xml:space="preserve">Research has suggested that ambient taxes can be applied to users of ports to incentivize vessels to use proper, resource-appropriate, biosecurity measures </w:t>
      </w:r>
      <w:r w:rsidR="00021310" w:rsidRPr="00A9434B">
        <w:fldChar w:fldCharType="begin"/>
      </w:r>
      <w:r w:rsidR="0006613E">
        <w:instrText xml:space="preserve"> ADDIN ZOTERO_ITEM CSL_CITATION {"citationID":"xt52xAhW","properties":{"formattedCitation":"(K. R. Jones &amp; Corona, 2008)","plainCitation":"(K. R. Jones &amp; Corona, 2008)","noteIndex":0},"citationItems":[{"id":53892,"uris":["http://zotero.org/groups/2352922/items/A3XM5RG4","http://zotero.org/groups/2352922/items/68K9U29A"],"itemData":{"id":53892,"type":"article-journal","abstract":"Invasive species have become an issue of increasing concern in recent years. Invasive species are species that are not native to an area but are imported either intentionally or unintentionally and become established. A primary pathway for introduction is the ballast water of ships. Although not all imported species become invasive, those that do cause extensive damage to ecosystems and have been blamed for the endangerment of numerous native species. In many cases, release of non-native species can be prevented, either through open-ocean ballast water exchange, retention of ballast water, or other biosecurity measures. However, policies designed to encourage such actions face several specific challenges. The difficulty of linking an invasion to a specific vessel and of monitoring individual vessels' care makes using standard environmental liability plans difficult if not impossible. In this paper, we present an alternative policy option, that of an ambient tax. Building on the work of Segerson [Segerson, Kathleen, 1988. Uncertainty and incentives for nonpoint pollution control. journal of Environmental Economics and Management, 15: 87-98.], we show that an ambient tax can ensure socially optimal behavior in both the short-run and the long-run with minimal vessel specific information. (C) 2007 Elsevier B.V. All rights reserved.","container-title":"Ecological Economics","DOI":"10.1016/j.ecolecon.2007.03.006","ISSN":"0921-8009","issue":"3","note":"type: Journal Article","page":"534-541","title":"An ambient tax approach to invasive species","URL":"&lt;Go to ISI&gt;://WOS:000252917100009","volume":"64","author":[{"family":"Jones","given":"K. R."},{"family":"Corona","given":"J. P."}],"issued":{"date-parts":[["2008"]]}},"label":"page"}],"schema":"https://github.com/citation-style-language/schema/raw/master/csl-citation.json"} </w:instrText>
      </w:r>
      <w:r w:rsidR="00021310" w:rsidRPr="00A9434B">
        <w:fldChar w:fldCharType="separate"/>
      </w:r>
      <w:r w:rsidR="00C71E80" w:rsidRPr="00A9434B">
        <w:t>(K. R. Jones &amp; Corona, 2008)</w:t>
      </w:r>
      <w:r w:rsidR="00021310" w:rsidRPr="00A9434B">
        <w:fldChar w:fldCharType="end"/>
      </w:r>
      <w:r w:rsidRPr="00A9434B">
        <w:t xml:space="preserve">. </w:t>
      </w:r>
      <w:r w:rsidR="007674AB" w:rsidRPr="00A9434B">
        <w:t>E</w:t>
      </w:r>
      <w:r w:rsidR="007668BB" w:rsidRPr="00A9434B">
        <w:t>ffectiv</w:t>
      </w:r>
      <w:r w:rsidR="007674AB" w:rsidRPr="00A9434B">
        <w:t xml:space="preserve">e </w:t>
      </w:r>
      <w:r w:rsidR="007668BB" w:rsidRPr="00A9434B">
        <w:t>ambient tax</w:t>
      </w:r>
      <w:r w:rsidR="00342597">
        <w:t>es</w:t>
      </w:r>
      <w:r w:rsidR="007668BB" w:rsidRPr="00A9434B">
        <w:t xml:space="preserve"> </w:t>
      </w:r>
      <w:r w:rsidR="007674AB" w:rsidRPr="00A9434B">
        <w:t>are</w:t>
      </w:r>
      <w:r w:rsidR="007668BB" w:rsidRPr="00A9434B">
        <w:t xml:space="preserve"> tailored to the nature and impacts of </w:t>
      </w:r>
      <w:r w:rsidR="0076414B">
        <w:t xml:space="preserve">invasive alien species </w:t>
      </w:r>
      <w:r w:rsidR="007668BB" w:rsidRPr="00A9434B">
        <w:t>from specific ports of entry</w:t>
      </w:r>
      <w:r w:rsidR="001E61B9" w:rsidRPr="00A9434B">
        <w:t>, which is achieved through</w:t>
      </w:r>
      <w:r w:rsidRPr="00A9434B">
        <w:t xml:space="preserve"> greater levels of communication between regulators, researchers</w:t>
      </w:r>
      <w:r w:rsidR="00EB415D">
        <w:t xml:space="preserve"> and</w:t>
      </w:r>
      <w:r w:rsidRPr="00A9434B">
        <w:t xml:space="preserve"> industry stakeholders to </w:t>
      </w:r>
      <w:r w:rsidR="001E61B9" w:rsidRPr="00A9434B">
        <w:t>reach</w:t>
      </w:r>
      <w:r w:rsidRPr="00A9434B">
        <w:t xml:space="preserve"> appropriate tax rates. </w:t>
      </w:r>
      <w:r w:rsidR="00F457D2" w:rsidRPr="00A9434B">
        <w:t>Furthermore, more research is needed to ensure that these taxes are levied without placing an undue and unequal burden on actors in international trade</w:t>
      </w:r>
      <w:r w:rsidR="00EB415D">
        <w:t xml:space="preserve"> and</w:t>
      </w:r>
      <w:r w:rsidR="00C14813" w:rsidRPr="00A9434B">
        <w:t xml:space="preserve"> into how to properly value the impacts of invasive alien species </w:t>
      </w:r>
      <w:r w:rsidR="005A709C" w:rsidRPr="00A9434B">
        <w:fldChar w:fldCharType="begin"/>
      </w:r>
      <w:r w:rsidR="0006613E">
        <w:instrText xml:space="preserve"> ADDIN ZOTERO_ITEM CSL_CITATION {"citationID":"a2k7k47m430","properties":{"formattedCitation":"(Epanchin-Niell, 2017; K. R. Jones &amp; Corona, 2008)","plainCitation":"(Epanchin-Niell, 2017; K. R. Jones &amp; Corona, 2008)","noteIndex":0},"citationItems":[{"id":53897,"uris":["http://zotero.org/groups/2352922/items/RHQHDGF2","http://zotero.org/groups/2352922/items/CWGRRPBP"],"itemData":{"id":53897,"type":"article-journal","abstract":"This article examines the use of economic analysis to inform bioinvasion management, with particular focus on forest resources. Economics is key for understanding invasion processes, impacts, and decision-making. Biological invasions are driven by and affect economic activities at multiple scales and stages of an invasion. Bioeconomic modeling seeks to inform how resources can be optimally allocated across invasion management activities-including prevention, surveillance programs for early detection and management, and controlling invasion populations and spread-to minimize the long-term costs and damages. Economic analysis facilitates understanding of decisions by public and private decision-makers, gaps between these, and the design of policies to achieve socially desirable outcomes. Private decision-makers may undercontrol invasions relative to socially optimal levels, because they generally account for their own costs and benefits of control but less often for broader ecosystem impacts or future spread across the landscape. Economic analysis considers approaches for increasing private invasion management and evaluates feedbacks between ecological and economic systems that can affect policy outcomes. Future research should continue evaluation and design of control strategies across the biosecurity continuum and across species to enhance cost-effectiveness, better incorporate uncertainty into policy design, increase focus on incentives and behavioral tools to influence private behaviors that affect invasion spread, and incorporate invasive species consideration within broader systems-focused science. In addition, challenges in valuing biodiversity and ecosystem service impacts and the costs and effectiveness of control measures are key data gaps. Greater collaboration between decision-makers and researchers will facilitate development and communication of usable economic research.","container-title":"Biological Invasions","DOI":"10.1007/s10530-017-1406-4","ISSN":"1387-3547","issue":"11","note":"type: Journal Article","page":"3333-3354","title":"Economics of invasive species policy and management","URL":"&lt;Go to ISI&gt;://WOS:000413988900017","volume":"19","author":[{"family":"Epanchin-Niell","given":"Rebecca S."}],"issued":{"date-parts":[["2017"]]}}},{"id":53892,"uris":["http://zotero.org/groups/2352922/items/A3XM5RG4","http://zotero.org/groups/2352922/items/68K9U29A"],"itemData":{"id":53892,"type":"article-journal","abstract":"Invasive species have become an issue of increasing concern in recent years. Invasive species are species that are not native to an area but are imported either intentionally or unintentionally and become established. A primary pathway for introduction is the ballast water of ships. Although not all imported species become invasive, those that do cause extensive damage to ecosystems and have been blamed for the endangerment of numerous native species. In many cases, release of non-native species can be prevented, either through open-ocean ballast water exchange, retention of ballast water, or other biosecurity measures. However, policies designed to encourage such actions face several specific challenges. The difficulty of linking an invasion to a specific vessel and of monitoring individual vessels' care makes using standard environmental liability plans difficult if not impossible. In this paper, we present an alternative policy option, that of an ambient tax. Building on the work of Segerson [Segerson, Kathleen, 1988. Uncertainty and incentives for nonpoint pollution control. journal of Environmental Economics and Management, 15: 87-98.], we show that an ambient tax can ensure socially optimal behavior in both the short-run and the long-run with minimal vessel specific information. (C) 2007 Elsevier B.V. All rights reserved.","container-title":"Ecological Economics","DOI":"10.1016/j.ecolecon.2007.03.006","ISSN":"0921-8009","issue":"3","note":"type: Journal Article","page":"534-541","title":"An ambient tax approach to invasive species","URL":"&lt;Go to ISI&gt;://WOS:000252917100009","volume":"64","author":[{"family":"Jones","given":"K. R."},{"family":"Corona","given":"J. P."}],"issued":{"date-parts":[["2008"]]}}}],"schema":"https://github.com/citation-style-language/schema/raw/master/csl-citation.json"} </w:instrText>
      </w:r>
      <w:r w:rsidR="005A709C" w:rsidRPr="00A9434B">
        <w:fldChar w:fldCharType="separate"/>
      </w:r>
      <w:r w:rsidR="00C71E80" w:rsidRPr="00A9434B">
        <w:t>(Epanchin-Niell, 2017; K. R. Jones &amp; Corona, 2008)</w:t>
      </w:r>
      <w:r w:rsidR="005A709C" w:rsidRPr="00A9434B">
        <w:fldChar w:fldCharType="end"/>
      </w:r>
      <w:r w:rsidR="005A709C" w:rsidRPr="00A9434B">
        <w:t>.</w:t>
      </w:r>
    </w:p>
    <w:p w14:paraId="3421D797" w14:textId="77777777" w:rsidR="00017C04" w:rsidRDefault="00F50AF9" w:rsidP="00C12647">
      <w:pPr>
        <w:pStyle w:val="Heading3"/>
        <w:ind w:left="720"/>
      </w:pPr>
      <w:bookmarkStart w:id="463" w:name="_heading=h.wnyagw" w:colFirst="0" w:colLast="0"/>
      <w:bookmarkStart w:id="464" w:name="_Toc304185787"/>
      <w:bookmarkStart w:id="465" w:name="_Toc133428338"/>
      <w:bookmarkEnd w:id="463"/>
      <w:r>
        <w:t>Pigouvian taxes</w:t>
      </w:r>
      <w:bookmarkStart w:id="466" w:name="_Toc74146142"/>
      <w:bookmarkEnd w:id="464"/>
      <w:bookmarkEnd w:id="465"/>
    </w:p>
    <w:p w14:paraId="3BB0FF22" w14:textId="7D5C9948" w:rsidR="008D245D" w:rsidRPr="00A9434B" w:rsidRDefault="0076414B" w:rsidP="006B3143">
      <w:r>
        <w:t xml:space="preserve">Pigouvian taxes, also known as an “introducers pay” tax, are another market-based approach to addressing invasive alien species control and are a particularly important policy tool when the private control of invasive alien species introductions is insufficient because of negative externalities or impacts from introductions that extend outside the market. </w:t>
      </w:r>
      <w:r w:rsidR="24D29080" w:rsidRPr="00A9434B">
        <w:t xml:space="preserve">Pigouvian taxes aim to tax </w:t>
      </w:r>
      <w:r w:rsidR="39955E92" w:rsidRPr="00A9434B">
        <w:t xml:space="preserve">individuals or companies </w:t>
      </w:r>
      <w:r w:rsidR="7CC556A8" w:rsidRPr="00A9434B">
        <w:t xml:space="preserve">to interiorize external costs not included in the market price </w:t>
      </w:r>
      <w:r w:rsidR="0015366D" w:rsidRPr="00A9434B">
        <w:fldChar w:fldCharType="begin"/>
      </w:r>
      <w:r w:rsidR="0006613E">
        <w:instrText xml:space="preserve"> ADDIN ZOTERO_ITEM CSL_CITATION {"citationID":"ailcf7pfgd","properties":{"formattedCitation":"(Sandmo, 2008)","plainCitation":"(Sandmo, 2008)","noteIndex":0},"citationItems":[{"id":54733,"uris":["http://zotero.org/groups/2352922/items/EMJT577W"],"itemData":{"id":54733,"type":"chapter","container-title":"The new Palgrave dictionary of economics","event-place":"London","ISBN":"978-1-349-95121-5","note":"DOI: 10.1057/978-1-349-95121-5_2678-1\npublisher: Palgrave Macmillan, 148–152, London","publisher":"Palgrave Macmillan","publisher-place":"London","title":"Pigouvian taxes","URL":"https://doi.org/10.1057/978-1-349-95121-5_2678-1","volume":"2","author":[{"family":"Sandmo","given":"Agnar"}],"issued":{"date-parts":[["2008"]]}},"label":"page"}],"schema":"https://github.com/citation-style-language/schema/raw/master/csl-citation.json"} </w:instrText>
      </w:r>
      <w:r w:rsidR="0015366D" w:rsidRPr="00A9434B">
        <w:fldChar w:fldCharType="separate"/>
      </w:r>
      <w:r w:rsidR="00C71E80" w:rsidRPr="00A9434B">
        <w:t>(Sandmo, 2008)</w:t>
      </w:r>
      <w:r w:rsidR="0015366D" w:rsidRPr="00A9434B">
        <w:fldChar w:fldCharType="end"/>
      </w:r>
      <w:r w:rsidR="0015366D" w:rsidRPr="00A9434B">
        <w:t xml:space="preserve">. </w:t>
      </w:r>
      <w:r w:rsidR="75882DB1" w:rsidRPr="00A9434B">
        <w:t xml:space="preserve">The overall aim is </w:t>
      </w:r>
      <w:r w:rsidR="35186C6E" w:rsidRPr="00A9434B">
        <w:t xml:space="preserve">to </w:t>
      </w:r>
      <w:r w:rsidR="75882DB1" w:rsidRPr="00A9434B">
        <w:t xml:space="preserve">incentive </w:t>
      </w:r>
      <w:r w:rsidR="24D29080" w:rsidRPr="00A9434B">
        <w:t xml:space="preserve">invasion </w:t>
      </w:r>
      <w:r w:rsidR="75882DB1" w:rsidRPr="00A9434B">
        <w:t xml:space="preserve">prevention </w:t>
      </w:r>
      <w:r w:rsidR="75E975C5" w:rsidRPr="00A9434B">
        <w:t xml:space="preserve">by </w:t>
      </w:r>
      <w:r w:rsidR="50FE9CF1" w:rsidRPr="00A9434B">
        <w:t xml:space="preserve">inducing a cost to </w:t>
      </w:r>
      <w:r w:rsidR="75882DB1" w:rsidRPr="00A9434B">
        <w:t xml:space="preserve">the </w:t>
      </w:r>
      <w:r w:rsidR="24D29080" w:rsidRPr="00A9434B">
        <w:t xml:space="preserve">expected damages from </w:t>
      </w:r>
      <w:r w:rsidR="75882DB1" w:rsidRPr="00A9434B">
        <w:t xml:space="preserve">an </w:t>
      </w:r>
      <w:r>
        <w:t xml:space="preserve">invasive alien species </w:t>
      </w:r>
      <w:r w:rsidR="4E313DF7" w:rsidRPr="00A9434B">
        <w:t xml:space="preserve">to a level that equals the marginal cost to producers of reducing </w:t>
      </w:r>
      <w:r w:rsidR="0C7EE46D" w:rsidRPr="00A9434B">
        <w:t xml:space="preserve">the </w:t>
      </w:r>
      <w:r w:rsidR="4E313DF7" w:rsidRPr="00A9434B">
        <w:t xml:space="preserve">risk of </w:t>
      </w:r>
      <w:r w:rsidR="536F899D" w:rsidRPr="00A9434B">
        <w:t>invasions</w:t>
      </w:r>
      <w:r w:rsidR="0D409A8E" w:rsidRPr="00A9434B">
        <w:t>.</w:t>
      </w:r>
      <w:r w:rsidR="55BDD820" w:rsidRPr="00A9434B">
        <w:t xml:space="preserve"> </w:t>
      </w:r>
      <w:r w:rsidR="0D409A8E" w:rsidRPr="00A9434B">
        <w:t xml:space="preserve">By doing this, </w:t>
      </w:r>
      <w:r w:rsidR="1C5E4822" w:rsidRPr="00A9434B">
        <w:t xml:space="preserve">producers </w:t>
      </w:r>
      <w:r w:rsidR="0D409A8E" w:rsidRPr="00A9434B">
        <w:t xml:space="preserve">would </w:t>
      </w:r>
      <w:r w:rsidR="1C5E4822" w:rsidRPr="00A9434B">
        <w:t>interiorize the societal costs not usually included in the market price (i.e.</w:t>
      </w:r>
      <w:r w:rsidR="3268DE99" w:rsidRPr="00A9434B">
        <w:t xml:space="preserve">, </w:t>
      </w:r>
      <w:r w:rsidR="1C5E4822" w:rsidRPr="00A9434B">
        <w:t>externalities)</w:t>
      </w:r>
      <w:r w:rsidR="536F899D" w:rsidRPr="00A9434B">
        <w:t xml:space="preserve">. These </w:t>
      </w:r>
      <w:r w:rsidR="586DC609" w:rsidRPr="00A9434B">
        <w:t>taxes</w:t>
      </w:r>
      <w:r w:rsidR="536F899D" w:rsidRPr="00A9434B">
        <w:t xml:space="preserve"> are </w:t>
      </w:r>
      <w:r w:rsidR="586DC609" w:rsidRPr="00A9434B">
        <w:t xml:space="preserve">usually </w:t>
      </w:r>
      <w:r w:rsidR="536F899D" w:rsidRPr="00A9434B">
        <w:t xml:space="preserve">perceived as a socially efficient strategy </w:t>
      </w:r>
      <w:r w:rsidR="2123AB48" w:rsidRPr="00A9434B">
        <w:t>for</w:t>
      </w:r>
      <w:r w:rsidR="193D2246" w:rsidRPr="00A9434B">
        <w:t xml:space="preserve"> reducing </w:t>
      </w:r>
      <w:r w:rsidR="536F899D" w:rsidRPr="00A9434B">
        <w:t>invasion risk</w:t>
      </w:r>
      <w:r w:rsidR="193D2246" w:rsidRPr="00A9434B">
        <w:t xml:space="preserve"> </w:t>
      </w:r>
      <w:r w:rsidR="0015366D" w:rsidRPr="00A9434B">
        <w:fldChar w:fldCharType="begin"/>
      </w:r>
      <w:r w:rsidR="0006613E">
        <w:instrText xml:space="preserve"> ADDIN ZOTERO_ITEM CSL_CITATION {"citationID":"adge50lnt5","properties":{"formattedCitation":"(Epanchin-Niell, 2017)","plainCitation":"(Epanchin-Niell, 2017)","noteIndex":0},"citationItems":[{"id":53897,"uris":["http://zotero.org/groups/2352922/items/RHQHDGF2","http://zotero.org/groups/2352922/items/CWGRRPBP"],"itemData":{"id":53897,"type":"article-journal","abstract":"This article examines the use of economic analysis to inform bioinvasion management, with particular focus on forest resources. Economics is key for understanding invasion processes, impacts, and decision-making. Biological invasions are driven by and affect economic activities at multiple scales and stages of an invasion. Bioeconomic modeling seeks to inform how resources can be optimally allocated across invasion management activities-including prevention, surveillance programs for early detection and management, and controlling invasion populations and spread-to minimize the long-term costs and damages. Economic analysis facilitates understanding of decisions by public and private decision-makers, gaps between these, and the design of policies to achieve socially desirable outcomes. Private decision-makers may undercontrol invasions relative to socially optimal levels, because they generally account for their own costs and benefits of control but less often for broader ecosystem impacts or future spread across the landscape. Economic analysis considers approaches for increasing private invasion management and evaluates feedbacks between ecological and economic systems that can affect policy outcomes. Future research should continue evaluation and design of control strategies across the biosecurity continuum and across species to enhance cost-effectiveness, better incorporate uncertainty into policy design, increase focus on incentives and behavioral tools to influence private behaviors that affect invasion spread, and incorporate invasive species consideration within broader systems-focused science. In addition, challenges in valuing biodiversity and ecosystem service impacts and the costs and effectiveness of control measures are key data gaps. Greater collaboration between decision-makers and researchers will facilitate development and communication of usable economic research.","container-title":"Biological Invasions","DOI":"10.1007/s10530-017-1406-4","ISSN":"1387-3547","issue":"11","note":"type: Journal Article","page":"3333-3354","title":"Economics of invasive species policy and management","URL":"&lt;Go to ISI&gt;://WOS:000413988900017","volume":"19","author":[{"family":"Epanchin-Niell","given":"Rebecca S."}],"issued":{"date-parts":[["2017"]]}}}],"schema":"https://github.com/citation-style-language/schema/raw/master/csl-citation.json"} </w:instrText>
      </w:r>
      <w:r w:rsidR="0015366D" w:rsidRPr="00A9434B">
        <w:fldChar w:fldCharType="separate"/>
      </w:r>
      <w:r w:rsidR="00C71E80" w:rsidRPr="00A9434B">
        <w:t>(Epanchin-Niell, 2017)</w:t>
      </w:r>
      <w:r w:rsidR="0015366D" w:rsidRPr="00A9434B">
        <w:fldChar w:fldCharType="end"/>
      </w:r>
      <w:r w:rsidR="0015366D" w:rsidRPr="00A9434B">
        <w:t xml:space="preserve">, </w:t>
      </w:r>
      <w:r w:rsidR="546A2C5B" w:rsidRPr="00A9434B">
        <w:t xml:space="preserve">as these taxes force producers to account for the costs accrued to all of society from the risks of possible invasions. However, it is essential to notice that for Pigouvian taxes to yield qualitatively socially desirable </w:t>
      </w:r>
      <w:r w:rsidR="4238E79E" w:rsidRPr="00A9434B">
        <w:t>behavio</w:t>
      </w:r>
      <w:r w:rsidR="004944DE" w:rsidRPr="00A9434B">
        <w:t>u</w:t>
      </w:r>
      <w:r w:rsidR="4238E79E" w:rsidRPr="00A9434B">
        <w:t>rs</w:t>
      </w:r>
      <w:r w:rsidR="546A2C5B" w:rsidRPr="00A9434B">
        <w:t>, revenues from these taxes need to be used to offset the impacts caused by the introduced species</w:t>
      </w:r>
      <w:r w:rsidR="5B96E0F5" w:rsidRPr="00A9434B">
        <w:t xml:space="preserve"> </w:t>
      </w:r>
      <w:r w:rsidR="0015366D" w:rsidRPr="00A9434B">
        <w:fldChar w:fldCharType="begin"/>
      </w:r>
      <w:r w:rsidR="0006613E">
        <w:instrText xml:space="preserve"> ADDIN ZOTERO_ITEM CSL_CITATION {"citationID":"a28gnh3kkim","properties":{"formattedCitation":"(Fenichel et al., 2014; Sandmo, 1975)","plainCitation":"(Fenichel et al., 2014; Sandmo, 1975)","noteIndex":0},"citationItems":[{"id":22035,"uris":["http://zotero.org/groups/2352922/items/UGFJSD4F"],"itemData":{"id":22035,"type":"article-journal","abstract":"Invasive pests cross property boundaries. Property managers may have private incentives to control invasive species despite not having sufﬁcient incentive to fully internalize the external costs of their role in spreading the invasion. Each property manager has a right to future use of his own property, but his property may abut others’ properties enabling spread of an invasive species. The incentives for a foresighted property manager to control invasive species have received little attention. We consider the efforts of a foresighted property manager who has rights to future use of a property and has the ability to engage in repeated, discrete control activities. We ﬁnd that higher rates of dispersal, associated with proximity to neighboring properties, reduce the private incentives for control. Controlling species at one location provides incentives to control at a neighboring location. Control at neighboring locations are strategic complements and coupled with spatial heterogeneity lead to a weakerlink public good problem, in which each property owner is unable to fully appropriate the beneﬁts of his own control activity. Future-use rights and private costs suggest that there is scope for a series of Coase-like exchanges to internalize much of the costs associated with species invasion. Pigouvian taxes on invasive species potentially have qualitatively perverse behavioral effects. A tax with a strong income effect (e.g., failure of effective revenue recycling) can reduce the value of property assets and diminish the incentive to manage insects on one’s own property.","container-title":"Environmental and Resource Economics","DOI":"10.1007/s10640-013-9726-z","ISSN":"0924-6460, 1573-1502","issue":"2","journalAbbreviation":"Environ Resource Econ","language":"en","page":"231-255","source":"DOI.org (Crossref)","title":"The Control of Invasive Species on Private Property with Neighbor-to-Neighbor Spillovers","URL":"http://link.springer.com/10.1007/s10640-013-9726-z","volume":"59","author":[{"family":"Fenichel","given":"Eli P."},{"family":"Richards","given":"Timothy J."},{"family":"Shanafelt","given":"David W."}],"accessed":{"date-parts":[["2020",5,13]]},"issued":{"date-parts":[["2014",10]]}},"label":"page"},{"id":53876,"uris":["http://zotero.org/groups/2352922/items/DYTCQDHK"],"itemData":{"id":53876,"type":"article-journal","container-title":"The Swedish Journal of Economics","DOI":"10.2307/3439329","ISSN":"0039-7318","issue":"1","note":"type: Journal Article","page":"86-98","title":"Optimal taxation in the presence of externalities","volume":"77","author":[{"family":"Sandmo","given":"Agnar"}],"issued":{"date-parts":[["1975"]]}},"label":"page"}],"schema":"https://github.com/citation-style-language/schema/raw/master/csl-citation.json"} </w:instrText>
      </w:r>
      <w:r w:rsidR="0015366D" w:rsidRPr="00A9434B">
        <w:fldChar w:fldCharType="separate"/>
      </w:r>
      <w:r w:rsidR="00C71E80" w:rsidRPr="00A9434B">
        <w:t>(Fenichel et al., 2014; Sandmo, 1975)</w:t>
      </w:r>
      <w:r w:rsidR="0015366D" w:rsidRPr="00A9434B">
        <w:fldChar w:fldCharType="end"/>
      </w:r>
      <w:r w:rsidR="2A040AD6" w:rsidRPr="00A9434B">
        <w:t>.</w:t>
      </w:r>
      <w:r w:rsidR="79931DB6" w:rsidRPr="00A9434B">
        <w:t xml:space="preserve"> Pigouvian taxes could be considered for </w:t>
      </w:r>
      <w:r w:rsidR="79931DB6" w:rsidRPr="00A9434B">
        <w:lastRenderedPageBreak/>
        <w:t>imported goods or for dealing with neighbo</w:t>
      </w:r>
      <w:r w:rsidR="00424BED" w:rsidRPr="00A9434B">
        <w:t>u</w:t>
      </w:r>
      <w:r w:rsidR="79931DB6" w:rsidRPr="00A9434B">
        <w:t xml:space="preserve">ring or spatial spillover effects </w:t>
      </w:r>
      <w:r w:rsidR="0015366D" w:rsidRPr="00A9434B">
        <w:fldChar w:fldCharType="begin"/>
      </w:r>
      <w:r w:rsidR="0006613E">
        <w:instrText xml:space="preserve"> ADDIN ZOTERO_ITEM CSL_CITATION {"citationID":"agdhqfbdmc","properties":{"formattedCitation":"(McDermott et al., 2013)","plainCitation":"(McDermott et al., 2013)","noteIndex":0},"citationItems":[{"id":22031,"uris":["http://zotero.org/groups/2352922/items/8H4EAA5N"],"itemData":{"id":22031,"type":"article-journal","abstract":"Economic growth is recognized as an important factor associated with species invasions. Consequently, there is increasing need to develop solutions that combine economics and ecology to inform invasive species management. We developed a model combining economic, ecological, and sociological factors to assess the degree to which economic policies can be used to control invasive plants. Because invasive plants often spread across numerous properties, we explored whether property owners should manage invaders cooperatively as a group by incorporating the negative effects of invader spread in management decisions (collective management) or independently, whereby the negative effects of invasive plant spread are ignored (independent management). Our modeling approach used a dynamic optimization framework, and we applied the model to invader spread using Linaria vulgaris. Model simulations allowed us to determine the optimal management strategy based on net benefits for a range of invader densities. We found that optimal management strategies varied as a function of initial plant densities. At low densities, net benefits were high for both collective and independent management to eradicate the invader, suggesting the importance of early detection and eradication. At moderate densities, collective management led to faster and more frequent invader eradication compared to independent management. When we used a financial penalty to ensure that independent properties were managed collectively, we found that the penalty would be most feasible when levied on a property's perimeter boundary to control spread among properties. At the highest densities, the optimal management strategy was \"do nothing\" because the economic costs of removal were too high relative to the benefits of removal. Spatial variation in L. vulgaris densities resulted in different optimal management strategies for neighboring properties, making a formal economic policy to encourage invasive species removal critical. To accomplish the management and enforcement of these economic policies, we discuss modification of existing agencies and infrastructure. Finally, a sensitivity analysis revealed that lowering the economic cost of invader removal would strongly increase the probability of invader eradication. Taken together, our results provide quantitative insight into management decisions and economic policy instruments that can encourage invasive species removal across a social landscape. Key words: bioeconomic model; dispersal; dynamic optimization; independent vs. collective manage ment; invasive species management; Linaria vulgaris; yellow tadflax.","container-title":"Ecological Applications","DOI":"10.1890/12-0649.1","ISSN":"1051-0761","issue":"5","journalAbbreviation":"Ecological Applications","language":"en","page":"1086-1100","source":"DOI.org (Crossref)","title":"Using economic instruments to develop effective management of invasive species: insights from a bioeconomic model","title-short":"Using economic instruments to develop effective management of invasive species","URL":"http://doi.wiley.com/10.1890/12-0649.1","volume":"23","author":[{"family":"McDermott","given":"Shana M."},{"family":"Irwin","given":"Rebecca E."},{"family":"Taylor","given":"Brad W."}],"accessed":{"date-parts":[["2020",5,13]]},"issued":{"date-parts":[["2013",7]]}},"label":"page"}],"schema":"https://github.com/citation-style-language/schema/raw/master/csl-citation.json"} </w:instrText>
      </w:r>
      <w:r w:rsidR="0015366D" w:rsidRPr="00A9434B">
        <w:fldChar w:fldCharType="separate"/>
      </w:r>
      <w:r w:rsidR="00E452E2" w:rsidRPr="00E452E2">
        <w:t>(McDermott et al., 2013)</w:t>
      </w:r>
      <w:r w:rsidR="0015366D" w:rsidRPr="00A9434B">
        <w:fldChar w:fldCharType="end"/>
      </w:r>
      <w:r w:rsidR="0015366D" w:rsidRPr="00A9434B">
        <w:t xml:space="preserve">. </w:t>
      </w:r>
      <w:r w:rsidR="79931DB6" w:rsidRPr="00A9434B">
        <w:t xml:space="preserve">In some instances, Pigouvian taxes may even be more efficient than other market-based approaches like ad valorem taxes or tradable permits </w:t>
      </w:r>
      <w:r w:rsidR="0015366D" w:rsidRPr="00A9434B">
        <w:fldChar w:fldCharType="begin"/>
      </w:r>
      <w:r w:rsidR="0006613E">
        <w:instrText xml:space="preserve"> ADDIN ZOTERO_ITEM CSL_CITATION {"citationID":"a2jsslakk37","properties":{"formattedCitation":"(McDermott, 2015; Richards et al., 2010)","plainCitation":"(McDermott, 2015; Richards et al., 2010)","noteIndex":0},"citationItems":[{"id":54735,"uris":["http://zotero.org/groups/2352922/items/XGQF2LNS"],"itemData":{"id":54735,"type":"article-journal","container-title":"The BE Journal of Economic Analysis &amp; Policy","DOI":"10.1515/bejeap-2014-0087","issue":"4","note":"ISBN: 1935-1682\npublisher: De Gruyter","page":"1731-1752","title":"Optimal regulation of invasive species long-range spread: a general equilibrium approach","volume":"15","author":[{"family":"McDermott","given":"Shana M."}],"issued":{"date-parts":[["2015"]]}},"label":"page"},{"id":22605,"uris":["http://zotero.org/groups/2352922/items/IMTQU8WV"],"itemData":{"id":22605,"type":"article-journal","abstract":"Invasive insect species represent perhaps one of the most significant potential sources of economic risk to U.S. agricultural production. Private control of invasive insect species is likely to be insufficient due to negative externality and weaker-link public good problems. In this study, we compare a system of Pigouvian taxes with tradable permits for invasive species control. While the emissions control literature shows that taxes are preferred to permits under cost uncertainty, invasive-species control involves correlated cost and benefit uncertainty. Hence, we expect a quantity-based system to be preferred. Monte Carlo simulations of optimal steady-state outcomes confirm our expectations.","container-title":"Journal of Agricultural and Resource Economics","DOI":"10.22004/ag.econ.97852","issue":"3","language":"en","page":"349-367","source":"Zotero","title":"Market-Based Instruments for the Optimal Control of Invasive Insect Species: &lt;i&gt;B. Tabaci&lt;/i&gt; in Arizona","volume":"35","author":[{"family":"Richards","given":"Timothy J"},{"family":"Ellsworth","given":"Peter"},{"family":"Tronstad","given":"Russell"},{"family":"Naranjo","given":"Steve"}],"issued":{"date-parts":[["2010"]]}},"label":"page"}],"schema":"https://github.com/citation-style-language/schema/raw/master/csl-citation.json"} </w:instrText>
      </w:r>
      <w:r w:rsidR="0015366D" w:rsidRPr="00A9434B">
        <w:fldChar w:fldCharType="separate"/>
      </w:r>
      <w:r w:rsidR="00E452E2" w:rsidRPr="00E452E2">
        <w:t>(McDermott, 2015; Richards et al., 2010)</w:t>
      </w:r>
      <w:r w:rsidR="0015366D" w:rsidRPr="00A9434B">
        <w:fldChar w:fldCharType="end"/>
      </w:r>
      <w:r w:rsidR="008D245D" w:rsidRPr="00A9434B">
        <w:t>.</w:t>
      </w:r>
      <w:r w:rsidR="79931DB6" w:rsidRPr="00A9434B">
        <w:t xml:space="preserve"> However, like all </w:t>
      </w:r>
      <w:r w:rsidR="001E61B9" w:rsidRPr="00A9434B">
        <w:t>biological invasions</w:t>
      </w:r>
      <w:r w:rsidR="79931DB6" w:rsidRPr="00A9434B">
        <w:t xml:space="preserve"> policies, a one-size fits all approach is not recommended and </w:t>
      </w:r>
      <w:r w:rsidR="001E61B9" w:rsidRPr="00A9434B">
        <w:t xml:space="preserve">would </w:t>
      </w:r>
      <w:r w:rsidR="79931DB6" w:rsidRPr="00A9434B">
        <w:t xml:space="preserve">require significant evaluation and consideration before implementation </w:t>
      </w:r>
      <w:r w:rsidR="008D245D" w:rsidRPr="00A9434B">
        <w:fldChar w:fldCharType="begin"/>
      </w:r>
      <w:r w:rsidR="0006613E">
        <w:instrText xml:space="preserve"> ADDIN ZOTERO_ITEM CSL_CITATION {"citationID":"a29k7cq352","properties":{"formattedCitation":"(Fenichel et al., 2014; Knowler &amp; Barbier, 2005; McAusland &amp; Costello, 2004)","plainCitation":"(Fenichel et al., 2014; Knowler &amp; Barbier, 2005; McAusland &amp; Costello, 2004)","noteIndex":0},"citationItems":[{"id":22035,"uris":["http://zotero.org/groups/2352922/items/UGFJSD4F"],"itemData":{"id":22035,"type":"article-journal","abstract":"Invasive pests cross property boundaries. Property managers may have private incentives to control invasive species despite not having sufﬁcient incentive to fully internalize the external costs of their role in spreading the invasion. Each property manager has a right to future use of his own property, but his property may abut others’ properties enabling spread of an invasive species. The incentives for a foresighted property manager to control invasive species have received little attention. We consider the efforts of a foresighted property manager who has rights to future use of a property and has the ability to engage in repeated, discrete control activities. We ﬁnd that higher rates of dispersal, associated with proximity to neighboring properties, reduce the private incentives for control. Controlling species at one location provides incentives to control at a neighboring location. Control at neighboring locations are strategic complements and coupled with spatial heterogeneity lead to a weakerlink public good problem, in which each property owner is unable to fully appropriate the beneﬁts of his own control activity. Future-use rights and private costs suggest that there is scope for a series of Coase-like exchanges to internalize much of the costs associated with species invasion. Pigouvian taxes on invasive species potentially have qualitatively perverse behavioral effects. A tax with a strong income effect (e.g., failure of effective revenue recycling) can reduce the value of property assets and diminish the incentive to manage insects on one’s own property.","container-title":"Environmental and Resource Economics","DOI":"10.1007/s10640-013-9726-z","ISSN":"0924-6460, 1573-1502","issue":"2","journalAbbreviation":"Environ Resource Econ","language":"en","page":"231-255","source":"DOI.org (Crossref)","title":"The Control of Invasive Species on Private Property with Neighbor-to-Neighbor Spillovers","URL":"http://link.springer.com/10.1007/s10640-013-9726-z","volume":"59","author":[{"family":"Fenichel","given":"Eli P."},{"family":"Richards","given":"Timothy J."},{"family":"Shanafelt","given":"David W."}],"accessed":{"date-parts":[["2020",5,13]]},"issued":{"date-parts":[["2014",10]]}}},{"id":29803,"uris":["http://zotero.org/groups/2352922/items/ULEE37XR"],"itemData":{"id":29803,"type":"article-journal","abstract":"Exotic plant species are often intentionally imported into regions outside of their normal range as ornamental plants or as breeding stock, thereby generating benefits for consumers and producers. However, one of the unintended side effects of such introductions is that the exotic plant species may become invasive. Prohibiting sale of this type of exotic plant species, on the basis that it may become invasive, will have social costs in the form of foregone consumer benefits and nursery profits. We develop a model of a private commercial plant breeding industry that imports an exotic plant species into a region. The risk associated with invasion is modeled using a probabilistic dhazard functionT, the key determinants of which are the characteristics of the exotic plant and the number of commercial nurseries contributing to its dispersal. We consider the possibility of employing market-based instruments (e.g., Pigovian tax) consistent with the concept of dintroducers payT, to regulate the nursery industry. We then provide an empirical illustration using the historical introduction of saltcedar (Tamarisk spp.) into the United States. Our results indicate that the mere presence of a risk of invasion does not mean that it is socially optimal to prevent commercial sales of an exotic plant species. Indeed, there appear to be plausible forms of the functional relationships involved that require only a modest reduction in the private industry optimum. In contrast, no sales of the exotic plant should occur at all under several sets of assumptions about the level of invasion risk and the linkage between dispersal sites and invasion hazard. D 2004 Elsevier B.V. All rights reserved.","container-title":"Ecological Economics","DOI":"10.1016/j.ecolecon.2004.06.019","ISSN":"09218009","issue":"3","journalAbbreviation":"Ecological Economics","language":"en","page":"341-354","source":"DOI.org (Crossref)","title":"Importing exotic plants and the risk of invasion: are market-based instruments adequate?","title-short":"Importing exotic plants and the risk of invasion","URL":"https://linkinghub.elsevier.com/retrieve/pii/S0921800904003076","volume":"52","author":[{"family":"Knowler","given":"Duncan"},{"family":"Barbier","given":"Edward"}],"accessed":{"date-parts":[["2020",4,22]]},"issued":{"date-parts":[["2005",2]]}},"label":"page"},{"id":15517,"uris":["http://zotero.org/groups/2352922/items/HLCQBNPP"],"itemData":{"id":15517,"type":"article-journal","abstract":"International commodity trade serves as the primary conduit for unintentional introductions of damaging exotic species. We use a simple model of contaminated goods trade to analyze the optimal mix of tariffs and inspections as means of controlling damage from this negative externality. Among other policyrelevant results, we ﬁnd that (1) while it is always optimal to employ tariffs, there are non-trivial cases in which inspections should optimally be set to zero, (2) a higher infection rate requires a higher tariff, but beyond a point optimal inspections decrease in the infection rate, and ﬁnally (3) taking a dynamic view and considering future effects of current introductions leads unambiguously to more stringent inspections, but may give rise to higher or lower tariffs.","container-title":"Journal of Environmental Economics and Management","DOI":"10.1016/j.jeem.2003.11.002","ISSN":"00950696","issue":"2","journalAbbreviation":"Journal of Environmental Economics and Management","language":"en","page":"954-977","source":"DOI.org (Crossref)","title":"Avoiding invasives: trade-related policies for controlling unintentional exotic species introductions","title-short":"Avoiding invasives","URL":"https://linkinghub.elsevier.com/retrieve/pii/S0095069603001360","volume":"48","author":[{"family":"McAusland","given":"Carol"},{"family":"Costello","given":"Christopher"}],"accessed":{"date-parts":[["2019",10,31]]},"issued":{"date-parts":[["2004",9]]}},"label":"page"}],"schema":"https://github.com/citation-style-language/schema/raw/master/csl-citation.json"} </w:instrText>
      </w:r>
      <w:r w:rsidR="008D245D" w:rsidRPr="00A9434B">
        <w:fldChar w:fldCharType="separate"/>
      </w:r>
      <w:r w:rsidR="00C71E80" w:rsidRPr="00A9434B">
        <w:t>(Fenichel et al., 2014; Knowler &amp; Barbier, 2005; McAusland &amp; Costello, 2004)</w:t>
      </w:r>
      <w:r w:rsidR="008D245D" w:rsidRPr="00A9434B">
        <w:fldChar w:fldCharType="end"/>
      </w:r>
      <w:r w:rsidR="008D245D" w:rsidRPr="00A9434B">
        <w:t>.</w:t>
      </w:r>
    </w:p>
    <w:p w14:paraId="0E1D6338" w14:textId="77777777" w:rsidR="00017C04" w:rsidRDefault="00F50AF9" w:rsidP="00C12647">
      <w:pPr>
        <w:pStyle w:val="Heading3"/>
        <w:ind w:left="720"/>
      </w:pPr>
      <w:bookmarkStart w:id="467" w:name="_heading=h.3gnlt4p" w:colFirst="0" w:colLast="0"/>
      <w:bookmarkStart w:id="468" w:name="_Toc121214157"/>
      <w:bookmarkStart w:id="469" w:name="_Toc121214570"/>
      <w:bookmarkStart w:id="470" w:name="_Toc1788795685"/>
      <w:bookmarkStart w:id="471" w:name="_Toc133428339"/>
      <w:bookmarkEnd w:id="467"/>
      <w:bookmarkEnd w:id="468"/>
      <w:bookmarkEnd w:id="469"/>
      <w:r>
        <w:t>Leveraging compensation, subsidies and fiscal incentives and mechanisms</w:t>
      </w:r>
      <w:bookmarkEnd w:id="466"/>
      <w:bookmarkEnd w:id="470"/>
      <w:bookmarkEnd w:id="471"/>
    </w:p>
    <w:p w14:paraId="187416EA" w14:textId="052706FF" w:rsidR="00017C04" w:rsidRDefault="00F50AF9">
      <w:bookmarkStart w:id="472" w:name="_heading=h.1vsw3ci" w:colFirst="0" w:colLast="0"/>
      <w:bookmarkEnd w:id="472"/>
      <w:r>
        <w:t xml:space="preserve">The widely used mitigation hierarchy framework </w:t>
      </w:r>
      <w:r w:rsidR="007F54A0" w:rsidRPr="00A9434B">
        <w:fldChar w:fldCharType="begin"/>
      </w:r>
      <w:r w:rsidR="002D2756">
        <w:instrText xml:space="preserve"> ADDIN ZOTERO_ITEM CSL_CITATION {"citationID":"a39p556sf","properties":{"formattedCitation":"(BBOP, 2012; IFC, 2012)","plainCitation":"(BBOP, 2012; IFC, 2012)","noteIndex":0},"citationItems":[{"id":53370,"uris":["http://zotero.org/groups/2352922/items/WVUAZCMG"],"itemData":{"id":53370,"type":"report","collection-title":"Standard on Biodiversity Offsets","event-place":"Washington, DC","note":"mISBN (paperback) 978-1-932928-45-7; ISBN (pdf) 978-1-932928-44-0","publisher":"Business and Biodiversity Offsets Programme, Forest Trends","publisher-place":"Washington, DC","title":"Business and Biodiversity Offsets Programme: planning policies and projects to achieve a net gain of biodiversity","URL":"http://bbop.forest-trends.org/guidelines/Standard.pdf","author":[{"literal":"BBOP"}],"issued":{"date-parts":[["2012"]]}},"label":"page"},{"id":53369,"uris":["http://zotero.org/groups/2352922/items/5LCYQWD2","http://zotero.org/groups/2352922/items/32QYXHZ8"],"itemData":{"id":53369,"type":"document","publisher":"International Finance Corporation","title":"Performance Standard 6: Biodiversity Conservation and Sustainable Management of Living Natural Resources","URL":"https://www.ifc.org/en/insights-reports/2012/ifc-performance-standard-6","author":[{"literal":"IFC"}],"issued":{"date-parts":[["2012"]]}},"label":"page"}],"schema":"https://github.com/citation-style-language/schema/raw/master/csl-citation.json"} </w:instrText>
      </w:r>
      <w:r w:rsidR="007F54A0" w:rsidRPr="00A9434B">
        <w:fldChar w:fldCharType="separate"/>
      </w:r>
      <w:r w:rsidR="00FD65B1" w:rsidRPr="00FD65B1">
        <w:t>(BBOP, 2012; IFC, 2012)</w:t>
      </w:r>
      <w:r w:rsidR="007F54A0" w:rsidRPr="00A9434B">
        <w:fldChar w:fldCharType="end"/>
      </w:r>
      <w:r>
        <w:t xml:space="preserve"> establishes compensation mechanisms in cases of unavoidable and irreparable damage to biodiversity </w:t>
      </w:r>
      <w:r w:rsidR="002F2897" w:rsidRPr="00A9434B">
        <w:fldChar w:fldCharType="begin"/>
      </w:r>
      <w:r w:rsidR="0006613E">
        <w:instrText xml:space="preserve"> ADDIN ZOTERO_ITEM CSL_CITATION {"citationID":"aldgra1n3u","properties":{"formattedCitation":"(Arlidge et al., 2018)","plainCitation":"(Arlidge et al., 2018)","noteIndex":0},"citationItems":[{"id":10903,"uris":["http://zotero.org/groups/2352922/items/44T9X4GS"],"itemData":{"id":10903,"type":"article-journal","container-title":"BioScience","DOI":"10.1093/biosci/biy029","issue":"5","note":"ISBN: 0006-3568\npublisher: Oxford University Press","page":"336-347","title":"A global mitigation hierarchy for nature conservation","volume":"68","author":[{"family":"Arlidge","given":"William NS"},{"family":"Bull","given":"Joseph W."},{"family":"Addison","given":"Prue F E"},{"family":"Burgass","given":"Michael J."},{"family":"Gianuca","given":"Dimas"},{"family":"Gorham","given":"Taylor M."},{"family":"Jacob","given":"Céline"},{"family":"Shumway","given":"Nicole"},{"family":"Sinclair","given":"Samuel P."},{"family":"Watson","given":"James EM"},{"family":"Wilcox","given":"Chris"},{"family":"Milner-Gulland","given":"E J"}],"issued":{"date-parts":[["2018"]]}},"label":"page"}],"schema":"https://github.com/citation-style-language/schema/raw/master/csl-citation.json"} </w:instrText>
      </w:r>
      <w:r w:rsidR="002F2897" w:rsidRPr="00A9434B">
        <w:fldChar w:fldCharType="separate"/>
      </w:r>
      <w:r w:rsidR="00C71E80" w:rsidRPr="00A9434B">
        <w:t>(Arlidge et al., 2018)</w:t>
      </w:r>
      <w:r w:rsidR="002F2897" w:rsidRPr="00A9434B">
        <w:fldChar w:fldCharType="end"/>
      </w:r>
      <w:r w:rsidR="002F2897" w:rsidRPr="00A9434B">
        <w:t>.</w:t>
      </w:r>
      <w:r>
        <w:t xml:space="preserve"> In instances involving damage by invasive alien species, these measures could be associated with robust and transparent mechanisms for monitoring, regulation</w:t>
      </w:r>
      <w:r w:rsidR="00EB415D">
        <w:t xml:space="preserve"> and</w:t>
      </w:r>
      <w:r>
        <w:t xml:space="preserve"> planning, as well as the creation of legislation that provides information on processes and responsibilities. In the case of subsidies, especially in the agricultural sector, these measures could likewise be well legislated and regulated as they can push producers to focus on improving production through reducing the use of unsustainable practices such as monocultures and excessive use of pesticides that can reduce the resilience of ecosystems to possible invasions </w:t>
      </w:r>
      <w:r w:rsidR="002F2897" w:rsidRPr="00A9434B">
        <w:fldChar w:fldCharType="begin"/>
      </w:r>
      <w:r w:rsidR="0006613E">
        <w:instrText xml:space="preserve"> ADDIN ZOTERO_ITEM CSL_CITATION {"citationID":"ajhj7qmv18","properties":{"formattedCitation":"(OECD, 2017; Robin et al., 2003)","plainCitation":"(OECD, 2017; Robin et al., 2003)","noteIndex":0},"citationItems":[{"id":10902,"uris":["http://zotero.org/groups/2352922/items/2RH42W4K"],"itemData":{"id":10902,"type":"report","title":"Towards a G7 target to phase out environmentally harmful subsidies","URL":"https://www.minambiente.it/sites/default/files/archivio/allegati/sviluppo_sostenibile/background_paper_4_G7_env_OECD_Towards_G7_target_to_phase_out_EHSs.pdf","author":[{"literal":"OECD"}],"accessed":{"date-parts":[["2021",5,19]]},"issued":{"date-parts":[["2017"]]}},"label":"page"},{"id":10901,"uris":["http://zotero.org/groups/2352922/items/REPG38ZZ"],"itemData":{"id":10901,"type":"paper-conference","container-title":"5th IUCN World Park Congress","page":"8-17","title":"Perverse Subsidies and the Implications for Biodiversity: A review of recent findings and the status of policy reforms","author":[{"family":"Robin","given":"Sarah"},{"family":"Wolcott","given":"Rob"},{"family":"Quintela","given":"Carlos E."}],"issued":{"date-parts":[["2003"]]}},"label":"page"}],"schema":"https://github.com/citation-style-language/schema/raw/master/csl-citation.json"} </w:instrText>
      </w:r>
      <w:r w:rsidR="002F2897" w:rsidRPr="00A9434B">
        <w:fldChar w:fldCharType="separate"/>
      </w:r>
      <w:r w:rsidR="00C71E80" w:rsidRPr="00A9434B">
        <w:t>(OECD, 2017; Robin et al., 2003)</w:t>
      </w:r>
      <w:r w:rsidR="002F2897" w:rsidRPr="00A9434B">
        <w:fldChar w:fldCharType="end"/>
      </w:r>
      <w:r w:rsidR="002F2897" w:rsidRPr="00A9434B">
        <w:t>.</w:t>
      </w:r>
      <w:r>
        <w:t xml:space="preserve"> It is therefore important to promote interdisciplinary research to develop evaluation mechanisms and indicators that help to anticipate the unexpected effects that these mechanisms may have at different scales and in different agricultural production modalities. In relation to fiscal and economic incentives </w:t>
      </w:r>
      <w:r w:rsidR="002F2897" w:rsidRPr="00A9434B">
        <w:fldChar w:fldCharType="begin"/>
      </w:r>
      <w:r w:rsidR="0006613E">
        <w:instrText xml:space="preserve"> ADDIN ZOTERO_ITEM CSL_CITATION {"citationID":"afetgtvvjp","properties":{"formattedCitation":"(Fernandez, 2011)","plainCitation":"(Fernandez, 2011)","noteIndex":0},"citationItems":[{"id":10900,"uris":["http://zotero.org/groups/2352922/items/8W3EXWAH"],"itemData":{"id":10900,"type":"article-journal","container-title":"Canadian Journal of Agricultural Economics/Revue canadienne d'agroeconomie","DOI":"10.1111/j.1744-7976.2011.01218.x","issue":"2","note":"ISBN: 0008-3976\npublisher: Wiley Online Library","page":"281-293","title":"Economic incentives to prevent aquatic invasive species in wetlands","volume":"59","author":[{"family":"Fernandez","given":"Linda"}],"issued":{"date-parts":[["2011"]]}},"label":"page"}],"schema":"https://github.com/citation-style-language/schema/raw/master/csl-citation.json"} </w:instrText>
      </w:r>
      <w:r w:rsidR="002F2897" w:rsidRPr="00A9434B">
        <w:fldChar w:fldCharType="separate"/>
      </w:r>
      <w:r w:rsidR="00C71E80" w:rsidRPr="00A9434B">
        <w:t>(Fernandez, 2011)</w:t>
      </w:r>
      <w:r w:rsidR="002F2897" w:rsidRPr="00A9434B">
        <w:fldChar w:fldCharType="end"/>
      </w:r>
      <w:r w:rsidR="002F2897" w:rsidRPr="00A9434B">
        <w:t>,</w:t>
      </w:r>
      <w:r>
        <w:t xml:space="preserve"> these could not only be oriented to reduce risk, but also to increase the resilience of ecosystems and social groups at high risk of invasions, i.e., the creation of fiscal and economic incentives that promote activities that help prevent, control, manage</w:t>
      </w:r>
      <w:r w:rsidR="00EB415D">
        <w:t xml:space="preserve"> and</w:t>
      </w:r>
      <w:r>
        <w:t xml:space="preserve"> eradicate invasions; but also, fiscal</w:t>
      </w:r>
      <w:r w:rsidR="00EB415D">
        <w:t xml:space="preserve"> and</w:t>
      </w:r>
      <w:r>
        <w:t xml:space="preserve"> economic incentives that discourage activities that promote the transport, introduction</w:t>
      </w:r>
      <w:r w:rsidR="00EB415D">
        <w:t xml:space="preserve"> and</w:t>
      </w:r>
      <w:r>
        <w:t xml:space="preserve"> establishment of invasions; but also, fiscal</w:t>
      </w:r>
      <w:r w:rsidR="00EB415D">
        <w:t xml:space="preserve"> and</w:t>
      </w:r>
      <w:r>
        <w:t xml:space="preserve"> economic incentives that discourage activities that promote the transport, introduction</w:t>
      </w:r>
      <w:r w:rsidR="00EB415D">
        <w:t xml:space="preserve"> and</w:t>
      </w:r>
      <w:r>
        <w:t xml:space="preserve"> establishment of invasions such as exotic gardens </w:t>
      </w:r>
      <w:r w:rsidR="004C5374" w:rsidRPr="00A9434B">
        <w:fldChar w:fldCharType="begin"/>
      </w:r>
      <w:r w:rsidR="0006613E">
        <w:instrText xml:space="preserve"> ADDIN ZOTERO_ITEM CSL_CITATION {"citationID":"aeiujop8p7","properties":{"formattedCitation":"(Dutta et al., 2021)","plainCitation":"(Dutta et al., 2021)","noteIndex":0},"citationItems":[{"id":54737,"uris":["http://zotero.org/groups/2352922/items/QBPGXNCD"],"itemData":{"id":54737,"type":"article-journal","container-title":"Environmental and Sustainability Indicators","DOI":"10.1016/j.indic.2021.100148","note":"ISBN: 2665-9727\npublisher: Elsevier","page":"100148","title":"Gardening the menace!","volume":"12","author":[{"family":"Dutta","given":"Writuparna"},{"family":"Basuthakur","given":"Papia"},{"family":"Ray","given":"Puja"}],"issued":{"date-parts":[["2021"]]}},"label":"page"}],"schema":"https://github.com/citation-style-language/schema/raw/master/csl-citation.json"} </w:instrText>
      </w:r>
      <w:r w:rsidR="004C5374" w:rsidRPr="00A9434B">
        <w:fldChar w:fldCharType="separate"/>
      </w:r>
      <w:r w:rsidR="00C71E80" w:rsidRPr="00A9434B">
        <w:t>(Dutta et al., 2021)</w:t>
      </w:r>
      <w:r w:rsidR="004C5374" w:rsidRPr="00A9434B">
        <w:fldChar w:fldCharType="end"/>
      </w:r>
      <w:r>
        <w:t xml:space="preserve"> and exotic pet trade </w:t>
      </w:r>
      <w:bookmarkStart w:id="473" w:name="_Toc74146143"/>
      <w:bookmarkStart w:id="474" w:name="_Toc80698922"/>
      <w:r w:rsidR="004C5374" w:rsidRPr="00A9434B">
        <w:fldChar w:fldCharType="begin"/>
      </w:r>
      <w:r w:rsidR="0006613E">
        <w:instrText xml:space="preserve"> ADDIN ZOTERO_ITEM CSL_CITATION {"citationID":"a10qsl36dba","properties":{"formattedCitation":"(Gippet &amp; Bertelsmeier, 2021)","plainCitation":"(Gippet &amp; Bertelsmeier, 2021)","noteIndex":0},"citationItems":[{"id":28464,"uris":["http://zotero.org/groups/2352922/items/W8I9N7YV"],"itemData":{"id":28464,"type":"article-journal","abstract":"The global pet trade may accelerate the spread of invasive species around the world, which threatens native biodiversity and impacts human economy and health. Here, using an extensive metaanalysis, we show that invasive species are strongly overrepresented across mammals, birds, reptiles, amphibians, and fish traded as pets. Even in the emergent trade of ants as pets, which is too recent to be responsible for any invasions yet, we found an overrepresentation of invasive species. This indicates that the pet trade not only creates opportunities for invasions, but that it favors specifically invasive species. These findings call for the rapid implementation of strict international regulations of the trade in animals as pets.The pet trade has become a multibillion-dollar global business, with tens of millions of animals traded annually. Pets are sometimes released by their owners or escape, and can become introduced outside of their native range, threatening biodiversity, agriculture, and health. So far, a comprehensive analysis of invasive species traded as pets is lacking. Here, using a unique dataset of 7,522 traded vertebrate species, we show that invasive species are strongly overrepresented in trade across mammals, birds, reptiles, amphibians, and fish. However, it is unclear whether this occurs because, over time, pet species had more opportunities to become invasive, or because invasive species have a greater commercial success. To test this, we focused on the emergent pet trade in ants, which is too recent to be responsible for any invasions so far. Nevertheless, invasive ants were similarly overrepresented, demonstrating that the pet trade specifically favors invasive species. We show that ant species with the greatest commercial success tend to have larger spatial distributions and more generalist habitat requirements, both of which are also associated with invasiveness. Our findings call for an increased risk awareness regarding the international trade of wildlife species as pets.All data generated or analyzed during this study are included with the paper and SI Appendix, S1. Code used to perform statistical analyses is included in SI Appendix, S2. All other study data are included in the article and/or supporting information.","container-title":"Proceedings of the National Academy of Sciences","DOI":"10.1073/pnas.2016337118","issue":"14","journalAbbreviation":"Proc Natl Acad Sci USA","page":"e2016337118","title":"Invasiveness is linked to greater commercial success in the global pet trade","URL":"http://www.pnas.org/content/118/14/e2016337118.abstract","volume":"118","author":[{"family":"Gippet","given":"Jérôme M. W."},{"family":"Bertelsmeier","given":"Cleo"}],"issued":{"date-parts":[["2021",4,6]]}},"label":"page"}],"schema":"https://github.com/citation-style-language/schema/raw/master/csl-citation.json"} </w:instrText>
      </w:r>
      <w:r w:rsidR="004C5374" w:rsidRPr="00A9434B">
        <w:fldChar w:fldCharType="separate"/>
      </w:r>
      <w:r w:rsidR="00C71E80" w:rsidRPr="00A9434B">
        <w:t>(Gippet &amp; Bertelsmeier, 2021)</w:t>
      </w:r>
      <w:r w:rsidR="004C5374" w:rsidRPr="00A9434B">
        <w:fldChar w:fldCharType="end"/>
      </w:r>
      <w:r w:rsidR="004C5374" w:rsidRPr="00A9434B">
        <w:t>.</w:t>
      </w:r>
    </w:p>
    <w:p w14:paraId="389FD1FF" w14:textId="77777777" w:rsidR="00017C04" w:rsidRDefault="00F50AF9" w:rsidP="008521D1">
      <w:pPr>
        <w:pStyle w:val="Heading2"/>
      </w:pPr>
      <w:bookmarkStart w:id="475" w:name="_Toc74146144"/>
      <w:bookmarkStart w:id="476" w:name="_Toc944336745"/>
      <w:bookmarkStart w:id="477" w:name="_Toc133428340"/>
      <w:bookmarkStart w:id="478" w:name="_Toc133428798"/>
      <w:bookmarkStart w:id="479" w:name="_Toc147417593"/>
      <w:bookmarkEnd w:id="473"/>
      <w:bookmarkEnd w:id="474"/>
      <w:r>
        <w:t>Multilateral and bilateral financing organizations</w:t>
      </w:r>
      <w:bookmarkEnd w:id="475"/>
      <w:bookmarkEnd w:id="476"/>
      <w:bookmarkEnd w:id="477"/>
      <w:bookmarkEnd w:id="478"/>
      <w:bookmarkEnd w:id="479"/>
    </w:p>
    <w:p w14:paraId="6647E5F2" w14:textId="5FCA5F58" w:rsidR="00017C04" w:rsidRDefault="00F50AF9">
      <w:r>
        <w:t xml:space="preserve">Multilateral and bilateral funding organizations already support development and infrastructure programmes around the globe, but their resources and capacity to foster long-term change vary widely with both their organizational priorities and the regions in which they operate </w:t>
      </w:r>
      <w:r w:rsidR="002F2897" w:rsidRPr="00A9434B">
        <w:fldChar w:fldCharType="begin"/>
      </w:r>
      <w:r w:rsidR="0006613E">
        <w:instrText xml:space="preserve"> ADDIN ZOTERO_ITEM CSL_CITATION {"citationID":"jqtD8hXJ","properties":{"formattedCitation":"(Ray, 2021)","plainCitation":"(Ray, 2021)","dontUpdate":true,"noteIndex":0},"citationItems":[{"id":10893,"uris":["http://zotero.org/groups/2352922/items/22TFRE7L"],"itemData":{"id":10893,"type":"article-journal","container-title":"Global Governance: A Review of Multilateralism and International Organizations","DOI":"10.1163/19426720-02701006","issue":"1","note":"ISBN: 1942-6720\npublisher: Brill Nijhoff","page":"118-143","title":"Who Controls Multilateral Development Finance?","volume":"27","author":[{"family":"Ray","given":"Rebecca"}],"issued":{"date-parts":[["2021"]]}},"label":"page"}],"schema":"https://github.com/citation-style-language/schema/raw/master/csl-citation.json"} </w:instrText>
      </w:r>
      <w:r w:rsidR="002F2897" w:rsidRPr="00A9434B">
        <w:fldChar w:fldCharType="separate"/>
      </w:r>
      <w:r w:rsidR="00215172" w:rsidRPr="00215172">
        <w:t>(Ray, 2021</w:t>
      </w:r>
      <w:r w:rsidR="002F2897" w:rsidRPr="00A9434B">
        <w:fldChar w:fldCharType="end"/>
      </w:r>
      <w:r w:rsidR="007F54A0" w:rsidRPr="00A9434B">
        <w:t xml:space="preserve">; </w:t>
      </w:r>
      <w:r w:rsidR="006462E5" w:rsidRPr="00673554">
        <w:rPr>
          <w:b/>
          <w:iCs/>
        </w:rPr>
        <w:t>s</w:t>
      </w:r>
      <w:r w:rsidR="002F2897" w:rsidRPr="00673554">
        <w:rPr>
          <w:b/>
          <w:iCs/>
        </w:rPr>
        <w:t xml:space="preserve">ection </w:t>
      </w:r>
      <w:r w:rsidR="008A2287" w:rsidRPr="00673554">
        <w:rPr>
          <w:b/>
          <w:iCs/>
        </w:rPr>
        <w:t>6.2</w:t>
      </w:r>
      <w:r w:rsidR="002F2897" w:rsidRPr="00A9434B">
        <w:t>).</w:t>
      </w:r>
      <w:r>
        <w:t xml:space="preserve"> However, there are opportunities for these organizations to partially redirect their efforts to support the invasive alien species problem without significantly altering their organizational priorities. One potential mechanism would be to update </w:t>
      </w:r>
      <w:r w:rsidR="00115F9B">
        <w:t xml:space="preserve">aspects of environmental impact assessments in development and </w:t>
      </w:r>
      <w:r>
        <w:t xml:space="preserve">infrastructure projects to place greater emphasis on invasive alien species. Environmental Impact Assessments already gather information on biodiversity </w:t>
      </w:r>
      <w:r w:rsidR="002F2897" w:rsidRPr="00A9434B">
        <w:fldChar w:fldCharType="begin"/>
      </w:r>
      <w:r w:rsidR="0006613E">
        <w:instrText xml:space="preserve"> ADDIN ZOTERO_ITEM CSL_CITATION {"citationID":"a2onvr09gov","properties":{"formattedCitation":"(GBIF Secretariat &amp; IAIA, 2020)","plainCitation":"(GBIF Secretariat &amp; IAIA, 2020)","noteIndex":0},"citationItems":[{"id":10892,"uris":["http://zotero.org/groups/2352922/items/9UE7GB3P"],"itemData":{"id":10892,"type":"report","note":"publisher: GBIF Secretariat\nDOI: 10.35035/doc-5xdm-8762","publisher":"Global Biodiversity Information Facility,  International Association for Impact Assessment","title":"Best Practices for Publishing Biodiversity Data from Environmental Impact Assessments. Version 1.0.","URL":"https://doi.org/10.35035/doc-5xdm-8762","author":[{"literal":"GBIF Secretariat"},{"literal":"IAIA"}],"contributor":[{"family":"Rodrigues","given":"Andrew"},{"family":"Endresen","given":"Dag"},{"family":"Figueira","given":"Rui"},{"family":"Villaverde","given":"Cristina"},{"family":"Vega","given":"Miguel"},{"family":"King","given":"Nick"},{"family":"Rajvanshi","given":"Asha"},{"family":"Treweek","given":"Jo"}],"issued":{"date-parts":[["2020"]]}},"label":"page"}],"schema":"https://github.com/citation-style-language/schema/raw/master/csl-citation.json"} </w:instrText>
      </w:r>
      <w:r w:rsidR="002F2897" w:rsidRPr="00A9434B">
        <w:fldChar w:fldCharType="separate"/>
      </w:r>
      <w:r w:rsidR="00065870" w:rsidRPr="00065870">
        <w:t>(GBIF Secretariat &amp; IAIA, 2020)</w:t>
      </w:r>
      <w:r w:rsidR="002F2897" w:rsidRPr="00A9434B">
        <w:fldChar w:fldCharType="end"/>
      </w:r>
      <w:r w:rsidR="002F2897" w:rsidRPr="00A9434B">
        <w:t xml:space="preserve"> that, with some effort and coordination, could be oriented to become mandatory, funded mechanisms that provide data for invasive alien species monitoring and prevention systems.</w:t>
      </w:r>
      <w:r>
        <w:t xml:space="preserve"> Furthermore, environmental auditing has becoming an integral part of infrastructure and other developmental projects </w:t>
      </w:r>
      <w:r w:rsidR="005B423D" w:rsidRPr="00A9434B">
        <w:fldChar w:fldCharType="begin"/>
      </w:r>
      <w:r w:rsidR="0006613E">
        <w:instrText xml:space="preserve"> ADDIN ZOTERO_ITEM CSL_CITATION {"citationID":"ai1p95vjsl","properties":{"formattedCitation":"(W. Cook et al., 2016)","plainCitation":"(W. Cook et al., 2016)","noteIndex":0},"citationItems":[{"id":32965,"uris":["http://zotero.org/groups/2352922/items/KELHGRKI"],"itemData":{"id":32965,"type":"article-journal","abstract":"With the rise of non-traditional governance methods, the third party audit has become a critical part of governing through and with information. Third party audits are considered an integral part of the process of the generation and dissemination of credible information, and are subject to critique and praise. In this article, we take stock of the literature about auditing. In particular we will examine what modes of auditing are distinguished and how norms of transparency, objectivity, and effectiveness are attributed to auditing. Our review shows that the majority of the auditing literature evokes these norms in an uncritical fashion as characteristics of good audits or as things that audits fail to achieve. We conclude our article by advocating for a more grounded examination of transparency, objectivity and effectiveness, not as norms that can be used to separate good from bad audits, but as they are enacted during the audit process.","collection-title":"Sustainability governance and transformation 2016: Informational governance and environmental sustainability","container-title":"Current Opinion in Environmental Sustainability","DOI":"10.1016/j.cosust.2015.07.016","ISSN":"1877-3435","journalAbbreviation":"Current Opinion in Environmental Sustainability","language":"en","page":"33-39","source":"ScienceDirect","title":"Inside environmental auditing: effectiveness, objectivity, and transparency","title-short":"Inside environmental auditing","URL":"https://www.sciencedirect.com/science/article/pii/S1877343515000809","volume":"18","author":[{"family":"Cook","given":"William"},{"family":"Bommel","given":"Séverine","non-dropping-particle":"van"},{"family":"Turnhout","given":"Esther"}],"accessed":{"date-parts":[["2021",12,7]]},"issued":{"date-parts":[["2016",2,1]]}},"label":"page"}],"schema":"https://github.com/citation-style-language/schema/raw/master/csl-citation.json"} </w:instrText>
      </w:r>
      <w:r w:rsidR="005B423D" w:rsidRPr="00A9434B">
        <w:fldChar w:fldCharType="separate"/>
      </w:r>
      <w:r w:rsidR="00C71E80" w:rsidRPr="00A9434B">
        <w:t>(W. Cook et al., 2016)</w:t>
      </w:r>
      <w:r w:rsidR="005B423D" w:rsidRPr="00A9434B">
        <w:fldChar w:fldCharType="end"/>
      </w:r>
      <w:r w:rsidR="005B423D" w:rsidRPr="00A9434B">
        <w:t>.</w:t>
      </w:r>
      <w:r>
        <w:t xml:space="preserve"> Inclusion of invasive alien species as an indicator in the environmental auditing of such developmental projects may indirectly fund the invasive alien species prevention and control activities. These same mechanisms could also assist in the selection of native species for restoration programmes.</w:t>
      </w:r>
    </w:p>
    <w:p w14:paraId="6F4D6B99" w14:textId="1C19C61D" w:rsidR="00017C04" w:rsidRDefault="00F50AF9">
      <w:r>
        <w:t xml:space="preserve">While technical mechanisms are used by multilateral agency groups to incorporate environmental considerations into their investment portfolios, such as Performance Standard 6 </w:t>
      </w:r>
      <w:r w:rsidR="002F2897" w:rsidRPr="00A9434B">
        <w:fldChar w:fldCharType="begin"/>
      </w:r>
      <w:r w:rsidR="002D2756">
        <w:instrText xml:space="preserve"> ADDIN ZOTERO_ITEM CSL_CITATION {"citationID":"ail5pmhlmo","properties":{"formattedCitation":"(IFC, 2012)","plainCitation":"(IFC, 2012)","noteIndex":0},"citationItems":[{"id":53369,"uris":["http://zotero.org/groups/2352922/items/5LCYQWD2","http://zotero.org/groups/2352922/items/32QYXHZ8"],"itemData":{"id":53369,"type":"document","publisher":"International Finance Corporation","title":"Performance Standard 6: Biodiversity Conservation and Sustainable Management of Living Natural Resources","URL":"https://www.ifc.org/en/insights-reports/2012/ifc-performance-standard-6","author":[{"literal":"IFC"}],"issued":{"date-parts":[["2012"]]}},"label":"page"}],"schema":"https://github.com/citation-style-language/schema/raw/master/csl-citation.json"} </w:instrText>
      </w:r>
      <w:r w:rsidR="002F2897" w:rsidRPr="00A9434B">
        <w:fldChar w:fldCharType="separate"/>
      </w:r>
      <w:r w:rsidR="00FD65B1" w:rsidRPr="00FD65B1">
        <w:t>(IFC, 2012)</w:t>
      </w:r>
      <w:r w:rsidR="002F2897" w:rsidRPr="00A9434B">
        <w:fldChar w:fldCharType="end"/>
      </w:r>
      <w:r w:rsidR="002F2897" w:rsidRPr="00A9434B">
        <w:t>, these standards do not directly address biological invasions.</w:t>
      </w:r>
      <w:r>
        <w:t xml:space="preserve"> Though organizations such as the Equator </w:t>
      </w:r>
      <w:r>
        <w:lastRenderedPageBreak/>
        <w:t>Principles already work with development agencies to explicitly address biological invasions in their environmental considerations, it is also urgent to work with new multilateral and bilateral funding agencies that include large emerging economies countries such as Russia, China, India, Brazil</w:t>
      </w:r>
      <w:r w:rsidR="00EB415D">
        <w:t xml:space="preserve"> and</w:t>
      </w:r>
      <w:r>
        <w:t xml:space="preserve"> South Africa. Furthermore, while national governments could require multilateral funding organizations to carry out long-term monitoring of the impacts of development projects, this is often difficult in practice due to the limited capacity of some governments. Therefore, it is important that multilateral funding organizations include in their priorities and budgets adequate resources for sufficient invasive alien species monitoring and evaluation processes.</w:t>
      </w:r>
    </w:p>
    <w:p w14:paraId="0825C200" w14:textId="77777777" w:rsidR="00017C04" w:rsidRDefault="00F50AF9">
      <w:r>
        <w:t>In order to help to ensure the necessary precautions are taken in the investment portfolios of multilateral organizations, insurance companies and financial institutions could be required to invest in modelling and managing the risks associated with invasive alien species within their various investment activities. Due to the sheer scale of global capital invested in transportation, infrastructure, energy, extractives and other development activities, modelling and management of invasion risk presents an opportunity to prevent negative impacts before they occur. However, for this to be effective it is necessary to develop instruments that interiorize the externalities of societal and environmental impacts of invasions (</w:t>
      </w:r>
      <w:r>
        <w:rPr>
          <w:b/>
        </w:rPr>
        <w:t>section 6.5.2.2</w:t>
      </w:r>
      <w:r>
        <w:t>). It is important that these agencies also create funding mechanisms to support research, monitoring and the creation of indicators by sectors such as non-governmental organizations and academia.</w:t>
      </w:r>
    </w:p>
    <w:p w14:paraId="2B901F64" w14:textId="2B6E1EAE" w:rsidR="00017C04" w:rsidRDefault="00F50AF9" w:rsidP="56C59A3A">
      <w:r>
        <w:t>Finally, it is important to mention a recent movement to reduce funding for programmes that focus solely on increasing agricultural production and redirect that funding to develop the circular economy (</w:t>
      </w:r>
      <w:r w:rsidR="00772E4B">
        <w:rPr>
          <w:b/>
          <w:iCs/>
        </w:rPr>
        <w:t>G</w:t>
      </w:r>
      <w:r w:rsidR="00941BF8" w:rsidRPr="00673554">
        <w:rPr>
          <w:b/>
          <w:iCs/>
        </w:rPr>
        <w:t>lossary</w:t>
      </w:r>
      <w:r w:rsidR="00941BF8" w:rsidRPr="00A9434B">
        <w:t xml:space="preserve">) </w:t>
      </w:r>
      <w:r w:rsidR="002F2897" w:rsidRPr="00A9434B">
        <w:t xml:space="preserve">and incentivize </w:t>
      </w:r>
      <w:r w:rsidR="003B2250" w:rsidRPr="00A9434B">
        <w:t>bio</w:t>
      </w:r>
      <w:r w:rsidR="00941BF8" w:rsidRPr="00A9434B">
        <w:t>-</w:t>
      </w:r>
      <w:r w:rsidR="003B2250" w:rsidRPr="00A9434B">
        <w:t>economic</w:t>
      </w:r>
      <w:r w:rsidR="002F2897" w:rsidRPr="00A9434B">
        <w:t xml:space="preserve"> considerations and regenerative agriculture activities </w:t>
      </w:r>
      <w:r w:rsidR="002F2897" w:rsidRPr="00A9434B">
        <w:fldChar w:fldCharType="begin"/>
      </w:r>
      <w:r w:rsidR="0006613E">
        <w:instrText xml:space="preserve"> ADDIN ZOTERO_ITEM CSL_CITATION {"citationID":"a1t7d6qaeb0","properties":{"formattedCitation":"(Geng et al., 2019)","plainCitation":"(Geng et al., 2019)","noteIndex":0},"citationItems":[{"id":10890,"uris":["http://zotero.org/groups/2352922/items/IQ9WM28E"],"itemData":{"id":10890,"type":"article-journal","container-title":"Nature","DOI":"10.1038/d41586-019-00017-z","issue":"7738","page":"153-155","title":"How to globalize the circular economy","volume":"565","author":[{"family":"Geng","given":"Yong"},{"family":"Sarkis","given":"Joseph"},{"family":"Bleischwitz","given":"Raimund"}],"issued":{"date-parts":[["2019"]]}},"label":"page"}],"schema":"https://github.com/citation-style-language/schema/raw/master/csl-citation.json"} </w:instrText>
      </w:r>
      <w:r w:rsidR="002F2897" w:rsidRPr="00A9434B">
        <w:fldChar w:fldCharType="separate"/>
      </w:r>
      <w:r w:rsidR="00C71E80" w:rsidRPr="00A9434B">
        <w:t>(Geng et al., 2019)</w:t>
      </w:r>
      <w:r w:rsidR="002F2897" w:rsidRPr="00A9434B">
        <w:fldChar w:fldCharType="end"/>
      </w:r>
      <w:r w:rsidR="002F2897" w:rsidRPr="00A9434B">
        <w:t>.</w:t>
      </w:r>
      <w:r>
        <w:t xml:space="preserve"> This could become an opportunity to broaden the investment portfolio of multilateral organizations to support countries in their efforts to establish taxes and fees that benefit invasion prevention and mitigation activities indirectly through strengthening ecosystem resilience to </w:t>
      </w:r>
      <w:r w:rsidR="49125B72">
        <w:t>invasive alien species</w:t>
      </w:r>
      <w:r>
        <w:t>.</w:t>
      </w:r>
    </w:p>
    <w:p w14:paraId="53110B4E" w14:textId="77777777" w:rsidR="00017C04" w:rsidRDefault="00F50AF9" w:rsidP="008521D1">
      <w:pPr>
        <w:pStyle w:val="Heading2"/>
      </w:pPr>
      <w:bookmarkStart w:id="480" w:name="_Toc74146145"/>
      <w:bookmarkStart w:id="481" w:name="_Toc133428341"/>
      <w:bookmarkStart w:id="482" w:name="_Toc133428799"/>
      <w:bookmarkStart w:id="483" w:name="_Toc147417594"/>
      <w:r>
        <w:t>Private sector</w:t>
      </w:r>
      <w:bookmarkStart w:id="484" w:name="_Toc89598682"/>
      <w:bookmarkEnd w:id="480"/>
      <w:bookmarkEnd w:id="481"/>
      <w:bookmarkEnd w:id="482"/>
      <w:bookmarkEnd w:id="483"/>
      <w:r>
        <w:t xml:space="preserve"> </w:t>
      </w:r>
      <w:bookmarkEnd w:id="484"/>
    </w:p>
    <w:p w14:paraId="4FEB9038" w14:textId="71B8A169" w:rsidR="00017C04" w:rsidRDefault="00F50AF9">
      <w:r>
        <w:t xml:space="preserve">Investment risk and firm reputation are two important factors driving the private sector </w:t>
      </w:r>
      <w:r w:rsidR="002F2897" w:rsidRPr="00A9434B">
        <w:fldChar w:fldCharType="begin"/>
      </w:r>
      <w:r w:rsidR="0006613E">
        <w:instrText xml:space="preserve"> ADDIN ZOTERO_ITEM CSL_CITATION {"citationID":"a244ccvc0ql","properties":{"formattedCitation":"(Kocovsky et al., 2018)","plainCitation":"(Kocovsky et al., 2018)","noteIndex":0},"citationItems":[{"id":17441,"uris":["http://zotero.org/groups/2352922/items/LDJYNH6N"],"itemData":{"id":17441,"type":"article-journal","abstract":"Management of invasive species, whether prevention, population reduction, or eradication, requires assessment of the invasive species' population status and an assessment of the probability of success of management options. Perceptions of a species' permanence in an environment or lack thereof frequently drives how limited time, financial, and personnel resources are allocated to such efforts. Language we use to describe a non-native species' status largely defines these perceptions and sets boundaries, real or perceived, to potential management actions. Here we discuss the use of a particular term - \"established\" - when confronting management decisions for invasive species. Our objective is to contribute to bridging the gap between the realms of conceptual development and management with respect to use of the term \"established\". We find that although there are benefits of polysemy and synonymy to conceptual development they present an additional challenge to managers who must weigh the costs, benefits, and potential for success of particular management actions. We also examine how existing conceptual frameworks might be augmented to bridge the theoretical-practical gap, such as more precisely defining potential management actions and explicitly including assessment of risk.","archive_location":"noaa:20936","container-title":"Management of Biological Invasions","DOI":"10.3391/mbi.2018.9.3.01","issue":"3","journalAbbreviation":"Management of Biological Invasions","page":"177-185","title":"What it is to be established: policy and management implications for non-native and invasive species","URL":"https://repository.library.noaa.gov/view/noaa/20936","volume":"9","author":[{"family":"Kocovsky","given":"P. M."},{"family":"Sturtevant","given":"R."},{"family":"Schardt","given":"J."}],"issued":{"date-parts":[["2018"]]}},"label":"page"}],"schema":"https://github.com/citation-style-language/schema/raw/master/csl-citation.json"} </w:instrText>
      </w:r>
      <w:r w:rsidR="002F2897" w:rsidRPr="00A9434B">
        <w:fldChar w:fldCharType="separate"/>
      </w:r>
      <w:r w:rsidR="00C71E80" w:rsidRPr="00A9434B">
        <w:t>(Kocovsky et al., 2018)</w:t>
      </w:r>
      <w:r w:rsidR="002F2897" w:rsidRPr="00A9434B">
        <w:fldChar w:fldCharType="end"/>
      </w:r>
      <w:r w:rsidR="002F2897" w:rsidRPr="00A9434B">
        <w:t>.</w:t>
      </w:r>
      <w:r>
        <w:t xml:space="preserve"> The private sector could increase its capacity to assess how investment decisions that maximize short-term economic returns also have the potential to trigger biological invasions that can have a devastating effect on its own finances in the medium and long run. As with multi- and bilateral funding organizations, mechanisms could be promoted to help the private sector include the invasion risk component in its economic analysis of different investment options.</w:t>
      </w:r>
    </w:p>
    <w:p w14:paraId="1B0888DE" w14:textId="77C4EAED" w:rsidR="00017C04" w:rsidRDefault="00F50AF9">
      <w:r>
        <w:t xml:space="preserve">To this end, it is important that governments develop and implement policies and legislation at the national and regional level that encourage private firms to include and disclose invasion risk in their reporting frameworks. These analyses can be supported by scientists and contribute to wider research on the development of analytical frameworks and risk indicators. Furthermore, large private sector companies with significant influence and investments in supply chains can help their respective industries to take the necessary considerations to reduce risk through introducing mechanisms that certify products (i.e., green labels), track origin, and generate freely available information to assess, anticipate and monitor the risk of invasion </w:t>
      </w:r>
      <w:r w:rsidR="00CF16F8" w:rsidRPr="00A9434B">
        <w:fldChar w:fldCharType="begin"/>
      </w:r>
      <w:r w:rsidR="0006613E">
        <w:instrText xml:space="preserve"> ADDIN ZOTERO_ITEM CSL_CITATION {"citationID":"ae72rb8tml","properties":{"formattedCitation":"(Kotchen, 2013; Padilla &amp; Williams, 2004)","plainCitation":"(Kotchen, 2013; Padilla &amp; Williams, 2004)","noteIndex":0},"citationItems":[{"id":10889,"uris":["http://zotero.org/groups/2352922/items/VYXNHJN2"],"itemData":{"id":10889,"type":"article-journal","container-title":"Review of Environmental Economics and Policy","DOI":"10.1093/reep/ret012","issue":"2","note":"ISBN: 1750-6824\npublisher: Oxford University Press","page":"276-295","title":"Voluntary-and information-based approaches to environmental management: A public economics perspective","volume":"7","author":[{"family":"Kotchen","given":"Matthew J."}],"issued":{"date-parts":[["2013"]]}},"label":"page"},{"id":15299,"uris":["http://zotero.org/groups/2352922/items/P7YMTFFE"],"itemData":{"id":15299,"type":"article-journal","abstract":"Although ballast water has received much attention as a source of aquatic invasive species, aquariums and trade in aquarium and ornamental species are emerging as another important source for species likely to invade aquatic habitats. These species are spread throughout the world in a generally unregulated industry. The recent focus on the aquarium trade as a possible mechanism for environmentally sustainable development poses an especially dangerous threat, although this has so far escaped the attention of most environmentalists, conservationists, ecologists, and policy makers.","container-title":"Frontiers in Ecology and the Environment","DOI":"https://doi.org/10.1890/1540-9295(2004)002[0131:BBWAAO]2.0.CO;2","ISSN":"1540-9295","issue":"3","note":"WOS:000223960400016","page":"131-138","title":"Beyond ballast water: aquarium and ornamental trades as sources of invasive species in aquatic ecosystems","volume":"2","author":[{"family":"Padilla","given":"Dianna K."},{"family":"Williams","given":"S. L."}],"issued":{"date-parts":[["2004",4]]}},"label":"page"}],"schema":"https://github.com/citation-style-language/schema/raw/master/csl-citation.json"} </w:instrText>
      </w:r>
      <w:r w:rsidR="00CF16F8" w:rsidRPr="00A9434B">
        <w:fldChar w:fldCharType="separate"/>
      </w:r>
      <w:r w:rsidR="00C71E80" w:rsidRPr="00A9434B">
        <w:t>(Kotchen, 2013; Padilla &amp; Williams, 2004)</w:t>
      </w:r>
      <w:r w:rsidR="00CF16F8" w:rsidRPr="00A9434B">
        <w:fldChar w:fldCharType="end"/>
      </w:r>
      <w:r w:rsidR="00CF16F8" w:rsidRPr="00A9434B">
        <w:t>.</w:t>
      </w:r>
      <w:r>
        <w:t xml:space="preserve"> This latter approach could have the extra benefit of raising public awareness of the private sector’s role in purposefully or inadvertently creating invasions, thereby making it more attractive for private firms and governments alike to invest in invasive alien species management to protect their public image </w:t>
      </w:r>
      <w:r w:rsidR="00CF16F8" w:rsidRPr="00A9434B">
        <w:fldChar w:fldCharType="begin"/>
      </w:r>
      <w:r w:rsidR="0006613E">
        <w:instrText xml:space="preserve"> ADDIN ZOTERO_ITEM CSL_CITATION {"citationID":"aefroefco7","properties":{"formattedCitation":"(Hanley &amp; Roberts, 2019)","plainCitation":"(Hanley &amp; Roberts, 2019)","noteIndex":0},"citationItems":[{"id":24054,"uris":["http://zotero.org/groups/2352922/items/4BQBFBXC"],"itemData":{"id":24054,"type":"article-journal","abstract":"Invasive species are known to cause significant negative impacts to ecosystems and to people. In this paper, we outline the nature of these economic impacts, and then present a range of approaches for estimating the economic costs of invasive species (including impacts on biodiversity), and thus the benefits of management programmes. The importance of thinking clearly about the most appropriate context for valuation is stressed. We provide examples of the application of non-market valuation approaches to invasive species management, and show how such methods can be used to measure public preferences over how control is undertaken. We discuss some important problems in applying economic valuation methods in this context. A plain language summary is available for this article.","container-title":"People and Nature","DOI":"10.1002/pan3.31","ISSN":"25758314","issue":"2","journalAbbreviation":"People Nat","language":"en","page":"124-137","source":"DOI.org (Crossref)","title":"The economic benefits of invasive species management","URL":"http://doi.wiley.com/10.1002/pan3.31","volume":"1","author":[{"family":"Hanley","given":"Nick"},{"family":"Roberts","given":"Michaela"}],"editor":[{"family":"Chan","given":"Kai"}],"accessed":{"date-parts":[["2019",9,10]]},"issued":{"date-parts":[["2019",6]]}},"label":"page"}],"schema":"https://github.com/citation-style-language/schema/raw/master/csl-citation.json"} </w:instrText>
      </w:r>
      <w:r w:rsidR="00CF16F8" w:rsidRPr="00A9434B">
        <w:fldChar w:fldCharType="separate"/>
      </w:r>
      <w:r w:rsidR="00C71E80" w:rsidRPr="00A9434B">
        <w:t>(Hanley &amp; Roberts, 2019)</w:t>
      </w:r>
      <w:r w:rsidR="00CF16F8" w:rsidRPr="00A9434B">
        <w:fldChar w:fldCharType="end"/>
      </w:r>
      <w:r w:rsidR="00CF16F8" w:rsidRPr="00A9434B">
        <w:t>.</w:t>
      </w:r>
      <w:r>
        <w:t xml:space="preserve"> </w:t>
      </w:r>
    </w:p>
    <w:p w14:paraId="31775BEE" w14:textId="13835949" w:rsidR="00017C04" w:rsidRDefault="00F50AF9">
      <w:r>
        <w:t xml:space="preserve">Voluntary and self-regulating models, such as corporate social responsibility (CSR) strategies, can also be valuable tools for preventing biological invasions. These strategies imply companies are </w:t>
      </w:r>
      <w:r>
        <w:lastRenderedPageBreak/>
        <w:t>conscious of the realized and potential impact their activities have on all aspects of society, including economic, social</w:t>
      </w:r>
      <w:r w:rsidR="00EB415D">
        <w:t xml:space="preserve"> and</w:t>
      </w:r>
      <w:r>
        <w:t xml:space="preserve"> environmental </w:t>
      </w:r>
      <w:r w:rsidR="004C5374" w:rsidRPr="00A9434B">
        <w:fldChar w:fldCharType="begin"/>
      </w:r>
      <w:r w:rsidR="0006613E">
        <w:instrText xml:space="preserve"> ADDIN ZOTERO_ITEM CSL_CITATION {"citationID":"a2elo5qs71f","properties":{"formattedCitation":"(Lindgreen &amp; Swaen, 2010)","plainCitation":"(Lindgreen &amp; Swaen, 2010)","noteIndex":0},"citationItems":[{"id":60084,"uris":["http://zotero.org/groups/2352922/items/5BYVI5SY","http://zotero.org/groups/2352922/items/MFN96TXU"],"itemData":{"id":60084,"type":"article-journal","container-title":"International Journal of Management Reviews","DOI":"10.1111/j.1468-2370.2009.00277.x","ISSN":"1460-8545, 1468-2370","issue":"1","journalAbbreviation":"Int J Management Reviews","language":"en","page":"1-7","source":"DOI.org (Crossref)","title":"Corporate Social Responsibility","URL":"https://onlinelibrary.wiley.com/doi/10.1111/j.1468-2370.2009.00277.x","volume":"12","author":[{"family":"Lindgreen","given":"Adam"},{"family":"Swaen","given":"Valérie"}],"accessed":{"date-parts":[["2023",10,16]]},"issued":{"date-parts":[["2010",3]]}},"label":"page"}],"schema":"https://github.com/citation-style-language/schema/raw/master/csl-citation.json"} </w:instrText>
      </w:r>
      <w:r w:rsidR="004C5374" w:rsidRPr="00A9434B">
        <w:fldChar w:fldCharType="separate"/>
      </w:r>
      <w:r w:rsidR="00C71E80" w:rsidRPr="00A9434B">
        <w:t>(Lindgreen &amp; Swaen, 2010)</w:t>
      </w:r>
      <w:r w:rsidR="004C5374" w:rsidRPr="00A9434B">
        <w:fldChar w:fldCharType="end"/>
      </w:r>
      <w:r w:rsidR="004770D1" w:rsidRPr="00A9434B">
        <w:t>.</w:t>
      </w:r>
      <w:r>
        <w:t xml:space="preserve"> </w:t>
      </w:r>
      <w:r w:rsidRPr="56C59A3A">
        <w:rPr>
          <w:rFonts w:ascii="Times" w:eastAsia="Times" w:hAnsi="Times" w:cs="Times"/>
        </w:rPr>
        <w:t xml:space="preserve">CSR strategies can take multiple forms. </w:t>
      </w:r>
      <w:r w:rsidR="00594EB1" w:rsidRPr="00A9434B">
        <w:rPr>
          <w:rFonts w:ascii="Times" w:hAnsi="Times"/>
        </w:rPr>
        <w:t>These can be voluntary program</w:t>
      </w:r>
      <w:r w:rsidR="00F971CC" w:rsidRPr="00A9434B">
        <w:rPr>
          <w:rFonts w:ascii="Times" w:hAnsi="Times"/>
        </w:rPr>
        <w:t>me</w:t>
      </w:r>
      <w:r w:rsidR="00594EB1" w:rsidRPr="00A9434B">
        <w:rPr>
          <w:rFonts w:ascii="Times" w:hAnsi="Times"/>
        </w:rPr>
        <w:t xml:space="preserve">s and partnerships to mitigate the environmental impact of industrial plants and production methods </w:t>
      </w:r>
      <w:r w:rsidR="004770D1" w:rsidRPr="00A9434B">
        <w:rPr>
          <w:rFonts w:ascii="Times" w:hAnsi="Times"/>
        </w:rPr>
        <w:fldChar w:fldCharType="begin"/>
      </w:r>
      <w:r w:rsidR="0006613E">
        <w:rPr>
          <w:rFonts w:ascii="Times" w:hAnsi="Times"/>
        </w:rPr>
        <w:instrText xml:space="preserve"> ADDIN ZOTERO_ITEM CSL_CITATION {"citationID":"akhd8fetdp","properties":{"formattedCitation":"(Lindgreen &amp; Swaen, 2010; Rondinelli &amp; Berry, 2000)","plainCitation":"(Lindgreen &amp; Swaen, 2010; Rondinelli &amp; Berry, 2000)","noteIndex":0},"citationItems":[{"id":60084,"uris":["http://zotero.org/groups/2352922/items/5BYVI5SY","http://zotero.org/groups/2352922/items/MFN96TXU"],"itemData":{"id":60084,"type":"article-journal","container-title":"International Journal of Management Reviews","DOI":"10.1111/j.1468-2370.2009.00277.x","ISSN":"1460-8545, 1468-2370","issue":"1","journalAbbreviation":"Int J Management Reviews","language":"en","page":"1-7","source":"DOI.org (Crossref)","title":"Corporate Social Responsibility","URL":"https://onlinelibrary.wiley.com/doi/10.1111/j.1468-2370.2009.00277.x","volume":"12","author":[{"family":"Lindgreen","given":"Adam"},{"family":"Swaen","given":"Valérie"}],"accessed":{"date-parts":[["2023",10,16]]},"issued":{"date-parts":[["2010",3]]}},"label":"page"},{"id":53878,"uris":["http://zotero.org/groups/2352922/items/94F7J32S"],"itemData":{"id":53878,"type":"article-journal","container-title":"European Management Journal","DOI":"10.1016/S0263-2373(99)00070-5","ISSN":"0263-2373","issue":"1","note":"type: Journal Article","page":"70-84","title":"Environmental citizenship in multinational corporations: social responsibility and sustainable development","volume":"18","author":[{"family":"Rondinelli","given":"Dennis A"},{"family":"Berry","given":"Michael A"}],"issued":{"date-parts":[["2000"]]}},"label":"page"}],"schema":"https://github.com/citation-style-language/schema/raw/master/csl-citation.json"} </w:instrText>
      </w:r>
      <w:r w:rsidR="004770D1" w:rsidRPr="00A9434B">
        <w:rPr>
          <w:rFonts w:ascii="Times" w:hAnsi="Times"/>
        </w:rPr>
        <w:fldChar w:fldCharType="separate"/>
      </w:r>
      <w:r w:rsidR="00C71E80" w:rsidRPr="00A9434B">
        <w:rPr>
          <w:rFonts w:ascii="Times" w:hAnsi="Times"/>
        </w:rPr>
        <w:t>(Lindgreen &amp; Swaen, 2010; Rondinelli &amp; Berry, 2000)</w:t>
      </w:r>
      <w:r w:rsidR="004770D1" w:rsidRPr="00A9434B">
        <w:rPr>
          <w:rFonts w:ascii="Times" w:hAnsi="Times"/>
        </w:rPr>
        <w:fldChar w:fldCharType="end"/>
      </w:r>
      <w:r w:rsidR="004770D1" w:rsidRPr="00A9434B">
        <w:rPr>
          <w:rFonts w:ascii="Times" w:hAnsi="Times"/>
        </w:rPr>
        <w:t>.</w:t>
      </w:r>
      <w:r>
        <w:t xml:space="preserve"> </w:t>
      </w:r>
      <w:r w:rsidRPr="56C59A3A">
        <w:rPr>
          <w:rFonts w:ascii="Times" w:eastAsia="Times" w:hAnsi="Times" w:cs="Times"/>
        </w:rPr>
        <w:t xml:space="preserve">Alternatively, </w:t>
      </w:r>
      <w:r w:rsidR="00115F9B">
        <w:rPr>
          <w:rFonts w:ascii="Times" w:eastAsia="Times" w:hAnsi="Times" w:cs="Times"/>
        </w:rPr>
        <w:t>strategies</w:t>
      </w:r>
      <w:r w:rsidRPr="56C59A3A">
        <w:rPr>
          <w:rFonts w:ascii="Times" w:eastAsia="Times" w:hAnsi="Times" w:cs="Times"/>
        </w:rPr>
        <w:t xml:space="preserve"> can </w:t>
      </w:r>
      <w:r w:rsidR="00115F9B">
        <w:rPr>
          <w:rFonts w:ascii="Times" w:eastAsia="Times" w:hAnsi="Times" w:cs="Times"/>
        </w:rPr>
        <w:t>include</w:t>
      </w:r>
      <w:r w:rsidRPr="56C59A3A">
        <w:rPr>
          <w:rFonts w:ascii="Times" w:eastAsia="Times" w:hAnsi="Times" w:cs="Times"/>
        </w:rPr>
        <w:t xml:space="preserve"> the development of sourcing and marketing initiatives that protect social welfare and commit to environmental benefits </w:t>
      </w:r>
      <w:r w:rsidR="004770D1" w:rsidRPr="00A9434B">
        <w:rPr>
          <w:rFonts w:ascii="Times" w:hAnsi="Times"/>
        </w:rPr>
        <w:fldChar w:fldCharType="begin"/>
      </w:r>
      <w:r w:rsidR="0006613E">
        <w:rPr>
          <w:rFonts w:ascii="Times" w:hAnsi="Times"/>
        </w:rPr>
        <w:instrText xml:space="preserve"> ADDIN ZOTERO_ITEM CSL_CITATION {"citationID":"aem7tjcb2i","properties":{"formattedCitation":"(Lindgreen &amp; Swaen, 2010; Roberts, 2003)","plainCitation":"(Lindgreen &amp; Swaen, 2010; Roberts, 2003)","noteIndex":0},"citationItems":[{"id":60084,"uris":["http://zotero.org/groups/2352922/items/5BYVI5SY","http://zotero.org/groups/2352922/items/MFN96TXU"],"itemData":{"id":60084,"type":"article-journal","container-title":"International Journal of Management Reviews","DOI":"10.1111/j.1468-2370.2009.00277.x","ISSN":"1460-8545, 1468-2370","issue":"1","journalAbbreviation":"Int J Management Reviews","language":"en","page":"1-7","source":"DOI.org (Crossref)","title":"Corporate Social Responsibility","URL":"https://onlinelibrary.wiley.com/doi/10.1111/j.1468-2370.2009.00277.x","volume":"12","author":[{"family":"Lindgreen","given":"Adam"},{"family":"Swaen","given":"Valérie"}],"accessed":{"date-parts":[["2023",10,16]]},"issued":{"date-parts":[["2010",3]]}}},{"id":53879,"uris":["http://zotero.org/groups/2352922/items/UBQT5U99"],"itemData":{"id":53879,"type":"article-journal","container-title":"Journal of business ethics","DOI":"10.1023/A:1023395631811","ISSN":"1573-0697","issue":"2","note":"type: Journal Article","page":"159-170","title":"Supply chain specific? Understanding the patchy success of ethical sourcing initiatives","volume":"44","author":[{"family":"Roberts","given":"Sarah"}],"issued":{"date-parts":[["2003"]]}},"label":"page"}],"schema":"https://github.com/citation-style-language/schema/raw/master/csl-citation.json"} </w:instrText>
      </w:r>
      <w:r w:rsidR="004770D1" w:rsidRPr="00A9434B">
        <w:rPr>
          <w:rFonts w:ascii="Times" w:hAnsi="Times"/>
        </w:rPr>
        <w:fldChar w:fldCharType="separate"/>
      </w:r>
      <w:r w:rsidR="00C71E80" w:rsidRPr="00A9434B">
        <w:rPr>
          <w:rFonts w:ascii="Times" w:hAnsi="Times"/>
        </w:rPr>
        <w:t>(Lindgreen &amp; Swaen, 2010; Roberts, 2003)</w:t>
      </w:r>
      <w:r w:rsidR="004770D1" w:rsidRPr="00A9434B">
        <w:rPr>
          <w:rFonts w:ascii="Times" w:hAnsi="Times"/>
        </w:rPr>
        <w:fldChar w:fldCharType="end"/>
      </w:r>
      <w:r w:rsidR="00020128" w:rsidRPr="00A9434B">
        <w:rPr>
          <w:rFonts w:ascii="Times" w:hAnsi="Times"/>
        </w:rPr>
        <w:t>.</w:t>
      </w:r>
      <w:r w:rsidRPr="56C59A3A">
        <w:rPr>
          <w:rFonts w:ascii="Times" w:eastAsia="Times" w:hAnsi="Times" w:cs="Times"/>
        </w:rPr>
        <w:t xml:space="preserve"> </w:t>
      </w:r>
      <w:r>
        <w:t>Wildlife trafficking can be used as an example as to how the private sector is stepping up to help end the illegal commerce of species (e.g., the United States Wildlife Trafficking Alliance)</w:t>
      </w:r>
      <w:r w:rsidR="00EB415D">
        <w:t xml:space="preserve"> and</w:t>
      </w:r>
      <w:r>
        <w:t xml:space="preserve"> the tools that can be used to prevent biological invasions (</w:t>
      </w:r>
      <w:r w:rsidR="00E859E6" w:rsidRPr="00673554">
        <w:rPr>
          <w:b/>
          <w:iCs/>
        </w:rPr>
        <w:t>Box</w:t>
      </w:r>
      <w:r w:rsidRPr="56C59A3A">
        <w:rPr>
          <w:b/>
          <w:bCs/>
        </w:rPr>
        <w:t xml:space="preserve"> 6.17</w:t>
      </w:r>
      <w:r>
        <w:t xml:space="preserve">). In this context, codes of </w:t>
      </w:r>
      <w:r w:rsidR="00115F9B">
        <w:t>practice</w:t>
      </w:r>
      <w:r>
        <w:t xml:space="preserve"> (</w:t>
      </w:r>
      <w:r w:rsidRPr="56C59A3A">
        <w:rPr>
          <w:b/>
          <w:bCs/>
        </w:rPr>
        <w:t>section 6.3.1.3 (4)</w:t>
      </w:r>
      <w:r>
        <w:t xml:space="preserve">) </w:t>
      </w:r>
      <w:r w:rsidR="00115F9B">
        <w:t>are</w:t>
      </w:r>
      <w:r>
        <w:t xml:space="preserve"> a viable way by which the pledges made in corporate social responsibility (CSR) strategies can be translated into resources and actions to address the problem of biological invasions.</w:t>
      </w:r>
    </w:p>
    <w:p w14:paraId="4B0E848A" w14:textId="38E2AB8C" w:rsidR="00017C04" w:rsidRPr="0076414B" w:rsidRDefault="00F50AF9" w:rsidP="0076414B">
      <w:pPr>
        <w:pStyle w:val="Caption"/>
        <w:pBdr>
          <w:top w:val="single" w:sz="4" w:space="1" w:color="auto"/>
          <w:left w:val="single" w:sz="4" w:space="4" w:color="auto"/>
          <w:bottom w:val="single" w:sz="4" w:space="1" w:color="auto"/>
          <w:right w:val="single" w:sz="4" w:space="4" w:color="auto"/>
        </w:pBdr>
        <w:shd w:val="clear" w:color="auto" w:fill="E7E6E6" w:themeFill="background2"/>
      </w:pPr>
      <w:bookmarkStart w:id="485" w:name="_heading=h.1a346fx" w:colFirst="0" w:colLast="0"/>
      <w:bookmarkStart w:id="486" w:name="_Toc147418626"/>
      <w:bookmarkEnd w:id="485"/>
      <w:r w:rsidRPr="0076414B">
        <w:rPr>
          <w:bCs w:val="0"/>
        </w:rPr>
        <w:t>Box 6</w:t>
      </w:r>
      <w:r w:rsidR="00D62A10" w:rsidRPr="0076414B">
        <w:rPr>
          <w:bCs w:val="0"/>
        </w:rPr>
        <w:t>.</w:t>
      </w:r>
      <w:r w:rsidR="007C7AC3">
        <w:fldChar w:fldCharType="begin"/>
      </w:r>
      <w:r w:rsidR="007C7AC3">
        <w:instrText xml:space="preserve"> SEQ Box_6. \* ARABIC </w:instrText>
      </w:r>
      <w:r w:rsidR="007C7AC3">
        <w:fldChar w:fldCharType="separate"/>
      </w:r>
      <w:r w:rsidR="0011368C">
        <w:rPr>
          <w:noProof/>
        </w:rPr>
        <w:t>17</w:t>
      </w:r>
      <w:r w:rsidR="007C7AC3">
        <w:rPr>
          <w:noProof/>
        </w:rPr>
        <w:fldChar w:fldCharType="end"/>
      </w:r>
      <w:r w:rsidR="00FF59A9" w:rsidRPr="00A9434B">
        <w:t>.</w:t>
      </w:r>
      <w:r w:rsidRPr="0076414B">
        <w:t xml:space="preserve"> Synergies with control mechanisms for illicit wildlife trafficking</w:t>
      </w:r>
      <w:bookmarkEnd w:id="486"/>
    </w:p>
    <w:p w14:paraId="06FF7C20" w14:textId="6A244E5B" w:rsidR="00017C04" w:rsidRDefault="00F50AF9" w:rsidP="0076414B">
      <w:pPr>
        <w:pBdr>
          <w:top w:val="single" w:sz="4" w:space="1" w:color="auto"/>
          <w:left w:val="single" w:sz="4" w:space="4" w:color="auto"/>
          <w:bottom w:val="single" w:sz="4" w:space="1" w:color="auto"/>
          <w:right w:val="single" w:sz="4" w:space="4" w:color="auto"/>
        </w:pBdr>
        <w:shd w:val="clear" w:color="auto" w:fill="E7E6E6" w:themeFill="background2"/>
      </w:pPr>
      <w:r>
        <w:t xml:space="preserve">Illegal trafficking of biodiversity has been shown to be one of the main sources of invasive alien species in regions receiving illegally trafficked animals and plants </w:t>
      </w:r>
      <w:r w:rsidR="00D62A10" w:rsidRPr="00A9434B">
        <w:fldChar w:fldCharType="begin"/>
      </w:r>
      <w:r w:rsidR="002D2756">
        <w:instrText xml:space="preserve"> ADDIN ZOTERO_ITEM CSL_CITATION {"citationID":"a267g6jlif4","properties":{"formattedCitation":"(Garc\\uc0\\u237{}a-D\\uc0\\u237{}az et al., 2016)","plainCitation":"(García-Díaz et al., 2016)","noteIndex":0},"citationItems":[{"id":32564,"uris":["http://zotero.org/groups/2352922/items/3HGXAG4P","http://zotero.org/groups/2352922/items/7GULGBTK"],"itemData":{"id":32564,"type":"article-journal","container-title":"Conservation Letters","DOI":"10.1111/conl.12301","ISSN":"1755-263X","issue":"6","language":"English","note":"publisher: John Wiley &amp; Sons Inc.","page":"690-698","source":"abdn.pure.elsevier.com","title":"The Illegal Wildlife Trade Is a Likely Source of Alien Species","title-short":"The Illegal Wildlife Trade Is a Likely Source of Alien Species","URL":"https://abdn.pure.elsevier.com/en/publications/the-illegal-wildlife-trade-is-a-likely-source-of-alien-species-il","volume":"10","author":[{"family":"García-Díaz","given":"Pablo"},{"family":"Ross","given":"Joshua V."},{"family":"Woolnough","given":"Andrew P."},{"family":"Cassey","given":"Phillip"}],"accessed":{"date-parts":[["2021",12,8]]},"issued":{"date-parts":[["2016",11]]}},"label":"page"}],"schema":"https://github.com/citation-style-language/schema/raw/master/csl-citation.json"} </w:instrText>
      </w:r>
      <w:r w:rsidR="00D62A10" w:rsidRPr="00A9434B">
        <w:fldChar w:fldCharType="separate"/>
      </w:r>
      <w:r w:rsidR="002D2756" w:rsidRPr="002D2756">
        <w:t>(García-Díaz et al., 2016)</w:t>
      </w:r>
      <w:r w:rsidR="00D62A10" w:rsidRPr="00A9434B">
        <w:fldChar w:fldCharType="end"/>
      </w:r>
      <w:r w:rsidR="00D62A10" w:rsidRPr="00A9434B">
        <w:t>.</w:t>
      </w:r>
      <w:r>
        <w:t xml:space="preserve"> Efforts are underway to create new funding mechanisms and strengthen existing ones to combat illegal wildlife trafficking </w:t>
      </w:r>
      <w:r w:rsidR="00D62A10" w:rsidRPr="00A9434B">
        <w:fldChar w:fldCharType="begin"/>
      </w:r>
      <w:r w:rsidR="0006613E">
        <w:instrText xml:space="preserve"> ADDIN ZOTERO_ITEM CSL_CITATION {"citationID":"ael6poe4km","properties":{"formattedCitation":"(Wright et al., 2016)","plainCitation":"(Wright et al., 2016)","noteIndex":0},"citationItems":[{"id":10899,"uris":["http://zotero.org/groups/2352922/items/UDULR5SF"],"itemData":{"id":10899,"type":"report","publisher":"The World Bank","title":"Analysis of international funding to tackle illegal wildlife trade","URL":"https://documents1.worldbank.org/curated/en/695451479221164739/pdf/110267-WP-Illegal-Wildlife-Trade-OUO-9.pdf","author":[{"family":"Wright","given":"Elisson M."},{"family":"Bhammar","given":"Hasita Mukeshkumar"},{"family":"Gonzalez Velosa","given":"Ana Maria"},{"family":"Sobrevila","given":"Claudia"}],"issued":{"date-parts":[["2016"]]}},"label":"page"}],"schema":"https://github.com/citation-style-language/schema/raw/master/csl-citation.json"} </w:instrText>
      </w:r>
      <w:r w:rsidR="00D62A10" w:rsidRPr="00A9434B">
        <w:fldChar w:fldCharType="separate"/>
      </w:r>
      <w:r w:rsidR="00C71E80" w:rsidRPr="00A9434B">
        <w:t>(Wright et al., 2016)</w:t>
      </w:r>
      <w:r w:rsidR="00D62A10" w:rsidRPr="00A9434B">
        <w:fldChar w:fldCharType="end"/>
      </w:r>
      <w:r w:rsidR="00D62A10" w:rsidRPr="00A9434B">
        <w:t>.</w:t>
      </w:r>
      <w:r>
        <w:t xml:space="preserve"> One element that can help to deter this illegal activity is the speed of response in relation to species identification (e.g., </w:t>
      </w:r>
      <w:r w:rsidR="00D62A10" w:rsidRPr="00A9434B">
        <w:fldChar w:fldCharType="begin"/>
      </w:r>
      <w:r w:rsidR="0006613E">
        <w:instrText xml:space="preserve"> ADDIN ZOTERO_ITEM CSL_CITATION {"citationID":"OqffehEx","properties":{"formattedCitation":"(Kretser et al., 2015)","plainCitation":"(Kretser et al., 2015)","dontUpdate":true,"noteIndex":0},"citationItems":[{"id":10897,"uris":["http://zotero.org/groups/2352922/items/J5ABPWUK"],"itemData":{"id":10897,"type":"article-journal","container-title":"Biological Conservation","DOI":"10.1016/j.biocon.2014.08.018","note":"ISBN: 0006-3207\npublisher: Elsevier","page":"33-38","title":"Mobile decision-tree tool technology as a means to detect wildlife crimes and build enforcement networks","volume":"189","author":[{"family":"Kretser","given":"Heidi E."},{"family":"Wong","given":"Ramacandra"},{"family":"Roberton","given":"Scott"},{"family":"Pershyn","given":"Carrianne"},{"family":"Huang","given":"JianMing"},{"family":"Sun","given":"Fuping"},{"family":"Kang","given":"Aili"},{"family":"Zahler","given":"Peter"}],"issued":{"date-parts":[["2015"]]}},"label":"page"}],"schema":"https://github.com/citation-style-language/schema/raw/master/csl-citation.json"} </w:instrText>
      </w:r>
      <w:r w:rsidR="00D62A10" w:rsidRPr="00A9434B">
        <w:fldChar w:fldCharType="separate"/>
      </w:r>
      <w:r w:rsidR="00215172" w:rsidRPr="00215172">
        <w:t>Kretser et al., 2015)</w:t>
      </w:r>
      <w:r w:rsidR="00D62A10" w:rsidRPr="00A9434B">
        <w:fldChar w:fldCharType="end"/>
      </w:r>
      <w:r w:rsidR="00D62A10" w:rsidRPr="00A9434B">
        <w:t>.</w:t>
      </w:r>
      <w:r>
        <w:t xml:space="preserve"> This can be achieved by supporting integration mechanisms of control systems at regional and global levels and increasing the response capabilities of regulatory institutions such as customs and migration agencies at ports of entry and exit </w:t>
      </w:r>
      <w:r w:rsidR="00D62A10" w:rsidRPr="00A9434B">
        <w:fldChar w:fldCharType="begin"/>
      </w:r>
      <w:r w:rsidR="0006613E">
        <w:instrText xml:space="preserve"> ADDIN ZOTERO_ITEM CSL_CITATION {"citationID":"a2k84fhevk6","properties":{"formattedCitation":"(Fajardo del Castillo, 2016)","plainCitation":"(Fajardo del Castillo, 2016)","noteIndex":0},"citationItems":[{"id":10896,"uris":["http://zotero.org/groups/2352922/items/66M43LE6"],"itemData":{"id":10896,"type":"article-journal","container-title":"Journal of International Wildlife Law &amp; Policy","DOI":"10.1080/13880292.2016.1131516","issue":"1","note":"ISBN: 1388-0292\npublisher: Taylor &amp; Francis","page":"1-21","title":"The European Union's approach in the fight against wildlife trafficking: challenges ahead","volume":"19","author":[{"family":"Fajardo del Castillo","given":"Teresa"}],"issued":{"date-parts":[["2016"]]}},"label":"page"}],"schema":"https://github.com/citation-style-language/schema/raw/master/csl-citation.json"} </w:instrText>
      </w:r>
      <w:r w:rsidR="00D62A10" w:rsidRPr="00A9434B">
        <w:fldChar w:fldCharType="separate"/>
      </w:r>
      <w:r w:rsidR="00C71E80" w:rsidRPr="00A9434B">
        <w:t>(Fajardo del Castillo, 2016)</w:t>
      </w:r>
      <w:r w:rsidR="00D62A10" w:rsidRPr="00A9434B">
        <w:fldChar w:fldCharType="end"/>
      </w:r>
      <w:r w:rsidR="00D62A10" w:rsidRPr="00A9434B">
        <w:t>.</w:t>
      </w:r>
      <w:r>
        <w:t xml:space="preserve"> </w:t>
      </w:r>
    </w:p>
    <w:p w14:paraId="124990E0" w14:textId="7E7F252D" w:rsidR="00017C04" w:rsidRDefault="2F958343" w:rsidP="0076414B">
      <w:pPr>
        <w:pBdr>
          <w:top w:val="single" w:sz="4" w:space="1" w:color="auto"/>
          <w:left w:val="single" w:sz="4" w:space="4" w:color="auto"/>
          <w:bottom w:val="single" w:sz="4" w:space="1" w:color="auto"/>
          <w:right w:val="single" w:sz="4" w:space="4" w:color="auto"/>
        </w:pBdr>
        <w:shd w:val="clear" w:color="auto" w:fill="E7E6E6" w:themeFill="background2"/>
      </w:pPr>
      <w:r>
        <w:t xml:space="preserve">Previous studies of government response to invasive alien species have identified increased collaboration amongst countries as essential to any </w:t>
      </w:r>
      <w:r w:rsidR="0076414B">
        <w:t xml:space="preserve">future management efforts for biological invasions </w:t>
      </w:r>
      <w:r w:rsidR="00D62A10" w:rsidRPr="00A9434B">
        <w:fldChar w:fldCharType="begin"/>
      </w:r>
      <w:r w:rsidR="0006613E">
        <w:instrText xml:space="preserve"> ADDIN ZOTERO_ITEM CSL_CITATION {"citationID":"auns3ljj7k","properties":{"formattedCitation":"(Hardisty et al., 2019; Perrings et al., 2010)","plainCitation":"(Hardisty et al., 2019; Perrings et al., 2010)","noteIndex":0},"citationItems":[{"id":10450,"uris":["http://zotero.org/groups/2352922/items/83KKFJI6"],"itemData":{"id":10450,"type":"article-journal","container-title":"Environmental Research Letters","DOI":"10.1088/1748-9326/aaf5db","ISSN":"1748-9326","issue":"2","journalAbbreviation":"Environ. Res. Lett.","page":"025005","source":"DOI.org (Crossref)","title":"Research infrastructure challenges in preparing essential biodiversity variables data products for alien invasive species","URL":"https://iopscience.iop.org/article/10.1088/1748-9326/aaf5db","volume":"14","author":[{"family":"Hardisty","given":"Alex R"},{"family":"Belbin","given":"Lee"},{"family":"Hobern","given":"Donald"},{"family":"McGeoch","given":"Melodie A."},{"family":"Pirzl","given":"Rebecca"},{"family":"Williams","given":"Kristen J"},{"family":"Kissling","given":"W Daniel"}],"accessed":{"date-parts":[["2020",6,15]]},"issued":{"date-parts":[["2019",2,1]]}},"label":"page"},{"id":10790,"uris":["http://zotero.org/groups/2352922/items/N6KEWNYD"],"itemData":{"id":10790,"type":"article-journal","abstract":"In this paper, we consider the factors behind the growth of invasive species as a global problem, and the scope for international cooperation and coordination in addressing that problem. This is limited by the terms of the various international agreements governing trade, health, and biodiversity. The default strategy in most cases has two parts: border protection and the control of or adaptation to introduced species that have escaped detection at the border. Most invasive species policy involves unilateral national defensive action as opposed to coordinated international action. We argue that an important part of the solution to the problem lies in global coordination and cooperation in the management of both pathways and sanitary and phytosanitary risks at all scales. More particularly, because invasive species are an externality of trade, transport, and travel that involve public goods, they require collective regulation of international markets that goes beyond that admitted under the World Trade Organization's (WTO) Agreement on the Application of Sanitary and Phytosanitary Measures. We argue that it is important to bring that agreement into conformity with the International Health Regulations (IHR), and to develop an international mechanism to generate and disseminate information on invasive species risks and their impacts.","container-title":"Annals of the New York Academy of Sciences","DOI":"10.1111/j.1749-6632.2010.05453.x","ISSN":"1749-6632","issue":"1","language":"en","license":"</w:instrText>
      </w:r>
      <w:r w:rsidR="0006613E">
        <w:rPr>
          <w:rFonts w:hint="eastAsia"/>
        </w:rPr>
        <w:instrText>©</w:instrText>
      </w:r>
      <w:r w:rsidR="0006613E">
        <w:instrText xml:space="preserve"> 2010 New York Academy of Sciences","note":"_eprint: https://nyaspubs.onlinelibrary.wiley.com/doi/pdf/10.1111/j.1749-6632.2010.05453.x","page":"198-212","source":"Wiley Online Library","title":"International cooperation in the solution to trade-related invasive species risks","URL":"https://nyaspubs.onlinelibrary.wiley.com/doi/abs/10.1111/j.1749-6632.2010.05453.x","volume":"1195","author":[{"family":"Perrings","given":"Charles"},{"family":"Burgiel","given":"Stas"},{"family":"Lonsdale","given":"Mark"},{"family":"Mooney","given":"Harold"},{"family":"Williamson","given":"Mark"}],"accessed":{"date-parts":[["2020",3,29]]},"issued":{"date-parts":[["2010"]]}},"label":"page"}],"schema":"https://github.com/citation-style-language/schema/raw/master/csl-citation.json"} </w:instrText>
      </w:r>
      <w:r w:rsidR="00D62A10" w:rsidRPr="00A9434B">
        <w:fldChar w:fldCharType="separate"/>
      </w:r>
      <w:r w:rsidR="00C71E80" w:rsidRPr="00A9434B">
        <w:t>(Hardisty et al., 2019; Perrings et al., 2010)</w:t>
      </w:r>
      <w:r w:rsidR="00D62A10" w:rsidRPr="00A9434B">
        <w:fldChar w:fldCharType="end"/>
      </w:r>
      <w:r w:rsidR="00D62A10" w:rsidRPr="00A9434B">
        <w:t xml:space="preserve">. One option is to develop software intended to foster communication networks </w:t>
      </w:r>
      <w:r w:rsidR="00D62A10" w:rsidRPr="00A9434B">
        <w:fldChar w:fldCharType="begin"/>
      </w:r>
      <w:r w:rsidR="0006613E">
        <w:instrText xml:space="preserve"> ADDIN ZOTERO_ITEM CSL_CITATION {"citationID":"a2p1r63svk0","properties":{"formattedCitation":"(Wallace &amp; Bargeron, 2014; Wise, 2019)","plainCitation":"(Wallace &amp; Bargeron, 2014; Wise, 2019)","noteIndex":0},"citationItems":[{"id":10771,"uris":["http://zotero.org/groups/2352922/items/7P33C5NM"],"itemData":{"id":10771,"type":"chapter","abstract":"Historically, the documentation of native and non-native species distributions was limited to herbarium records, textbooks and field guides. Distribution maps were updated infrequently and the resulting information was often inaccessible. Recently, as public awareness of invasive species has increased, professional and citizen science-based monitoring and management programmes have grown, leading to the collection of large amounts of data across disparate databases. Th e central focus of the Early Detection and Distribution Mapping System (EDDMapS) is to foster the collection, amalgamation and sharing of these data to show a more complete map of the threat of invasive species and how this issue impacts the nation as a whole. Incorporating data from a variety of sources can raise issues with standardization, privacy and ownership, but these issues can be resolved with proper planning and policies regarding data sharing. With the advancement of technology and interest in its utilization for scientific research and public outreach, tracking invasive species is easier, and results can be accessed and distributed to both researchers and the general public. Smartphones have increased the accessibility of information, and as applications have become more central to smartphone use, invasive species programmes have secured funding for application development for the identifi- cation, reporting and management of target invasive species. Th is has increased the reporting of invasive species by citizen scientists and the general public, and has encouraged timely reporting, verification and management by Early Detection and Rapid Response programmes. Training citizen scientists and establishing data collection standards can encourage data collection, which can aid researchers in modelling invasive species range changes in response to a variety of factors, including climate change. As funding and public awareness increase the utilization of technology for invasive species documentation, more and better tools will be developed for invasive species management. © CAB International 2014.","container-title":"Invasive Species and Global Climate Change","ISBN":"978-1-78064-164-5","page":"219-231","title":"Identifying invasive species in real time: Early detection and distribution mapping system (EDDMapS) and other mapping tools","URL":"https://www.scopus.com/inward/record.uri?eid=2-s2.0-84927795231&amp;partnerID=40&amp;md5=b5a281e3a1844e2fdb58a863e3e3fcbe","volume":"4","author":[{"family":"Wallace","given":"R.D."},{"family":"Bargeron","given":"C.T."}],"issued":{"date-parts":[["2014"]]}},"label":"page"},{"id":10895,"uris":["http://zotero.org/groups/2352922/items/DPV6QVDZ"],"itemData":{"id":10895,"type":"paper-conference","container-title":"Portland/Vancouver Urban Ecology &amp; Conservation Symposium 2019: 17th Annual","event-title":"2019 Urban Ecology &amp; Conservation Symposium","title":"iMapInvasives 3.0: New features and improvements","URL":"https://archives.pdx.edu/ds/psu/33784","author":[{"family":"Wise","given":"Lindsey K."}],"issued":{"date-parts":[["2019"]]}},"label":"page"}],"schema":"https://github.com/citation-style-language/schema/raw/master/csl-citation.json"} </w:instrText>
      </w:r>
      <w:r w:rsidR="00D62A10" w:rsidRPr="00A9434B">
        <w:fldChar w:fldCharType="separate"/>
      </w:r>
      <w:r w:rsidR="00C71E80" w:rsidRPr="00A9434B">
        <w:t>(Wallace &amp; Bargeron, 2014; Wise, 2019)</w:t>
      </w:r>
      <w:r w:rsidR="00D62A10" w:rsidRPr="00A9434B">
        <w:fldChar w:fldCharType="end"/>
      </w:r>
      <w:r w:rsidR="00D62A10" w:rsidRPr="00A9434B">
        <w:t xml:space="preserve"> and disseminate technical training between and amongst regulatory organizations at the international level (</w:t>
      </w:r>
      <w:r w:rsidR="00D62A10" w:rsidRPr="00673554">
        <w:rPr>
          <w:b/>
          <w:iCs/>
        </w:rPr>
        <w:t>section</w:t>
      </w:r>
      <w:r w:rsidR="00030D40" w:rsidRPr="00673554">
        <w:rPr>
          <w:b/>
          <w:iCs/>
        </w:rPr>
        <w:t>s</w:t>
      </w:r>
      <w:r w:rsidR="00D62A10" w:rsidRPr="00673554">
        <w:rPr>
          <w:b/>
          <w:iCs/>
        </w:rPr>
        <w:t xml:space="preserve"> </w:t>
      </w:r>
      <w:r w:rsidR="004461C4" w:rsidRPr="00673554">
        <w:rPr>
          <w:b/>
          <w:iCs/>
        </w:rPr>
        <w:t>6.3.1</w:t>
      </w:r>
      <w:r w:rsidR="007347ED" w:rsidRPr="00A9434B">
        <w:rPr>
          <w:i/>
          <w:iCs/>
        </w:rPr>
        <w:t xml:space="preserve"> </w:t>
      </w:r>
      <w:r w:rsidR="007347ED" w:rsidRPr="00A9434B">
        <w:t>and</w:t>
      </w:r>
      <w:r w:rsidR="007347ED" w:rsidRPr="00A9434B">
        <w:rPr>
          <w:i/>
          <w:iCs/>
        </w:rPr>
        <w:t xml:space="preserve"> </w:t>
      </w:r>
      <w:r w:rsidR="00D62A10" w:rsidRPr="00673554">
        <w:rPr>
          <w:b/>
          <w:iCs/>
        </w:rPr>
        <w:t>6.6</w:t>
      </w:r>
      <w:r w:rsidR="00D62A10" w:rsidRPr="00A9434B">
        <w:t>). However, the process of technification and delivery of capacity</w:t>
      </w:r>
      <w:r w:rsidR="006F2BE1">
        <w:t>-</w:t>
      </w:r>
      <w:r w:rsidR="00D62A10" w:rsidRPr="00A9434B">
        <w:t xml:space="preserve">building to regulatory entities and personnel is costly (e.g., </w:t>
      </w:r>
      <w:r w:rsidR="00D62A10" w:rsidRPr="00A9434B">
        <w:fldChar w:fldCharType="begin"/>
      </w:r>
      <w:r w:rsidR="0006613E">
        <w:instrText xml:space="preserve"> ADDIN ZOTERO_ITEM CSL_CITATION {"citationID":"BuMQPW2x","properties":{"formattedCitation":"(Juffe-Bignoli et al., 2016)","plainCitation":"(Juffe-Bignoli et al., 2016)","dontUpdate":true,"noteIndex":0},"citationItems":[{"id":10894,"uris":["http://zotero.org/groups/2352922/items/JGYJDS5F"],"itemData":{"id":10894,"type":"article-journal","container-title":"PLoS ONE","DOI":"10.1371/journal.pone.0160640","issue":"8","note":"ISBN: 1932-6203\npublisher: Public Library of Science San Francisco, CA USA","page":"e0160640","title":"Assessing the cost of global biodiversity and conservation knowledge","volume":"11","author":[{"family":"Juffe-Bignoli","given":"Diego"},{"family":"Brooks","given":"Thomas M."},{"family":"Butchart","given":"Stuart HM"},{"family":"Jenkins","given":"Richard B."},{"family":"Boe","given":"Kaia"},{"family":"Hoffmann","given":"Michael"},{"family":"Angulo","given":"Ariadne"},{"family":"Bachman","given":"Steve"},{"family":"Böhm","given":"Monika"},{"family":"Brummitt","given":"Neil"},{"family":"Carpenter","given":"Kent E."},{"family":"Comer","given":"Pat J."},{"family":"Cox","given":"Neil"},{"family":"Cuttelod","given":"Annabelle"},{"family":"Darwall","given":"William R. T."},{"family":"Marco","given":"Moreno Di"},{"family":"Fishpool","given":"Lincoln D. C."},{"family":"Goettsch","given":"Bárbara"},{"family":"Heath","given":"Melanie"},{"family":"Hilton-Taylor","given":"Craig"},{"family":"Hutton","given":"Jon"},{"family":"Johnson","given":"Tim"},{"family":"Joolia","given":"Ackbar"},{"family":"Keith","given":"David A."},{"family":"Langhammer","given":"Penny F."},{"family":"Luedtke","given":"Jennifer"},{"family":"Lughadha","given":"Eimear Nic"},{"family":"Lutz","given":"Maiko"},{"family":"May","given":"Ian"},{"family":"Miller","given":"Rebecca M."},{"family":"Oliveira-Miranda","given":"María A."},{"family":"Parr","given":"Mike"},{"family":"Pollock","given":"Caroline M."},{"family":"Ralph","given":"Gina"},{"family":"Rodríguez","given":"Jon Paul"},{"family":"Rondinini","given":"Carlo"},{"family":"Smart","given":"Jane"},{"family":"Stuart","given":"Simon"},{"family":"Symes","given":"Andy"},{"family":"Tordoff","given":"Andrew W."},{"family":"Woodley","given":"Stephen"},{"family":"Young","given":"Bruce"},{"family":"Kingston","given":"Naomi"}],"issued":{"date-parts":[["2016"]]}},"label":"page"}],"schema":"https://github.com/citation-style-language/schema/raw/master/csl-citation.json"} </w:instrText>
      </w:r>
      <w:r w:rsidR="00D62A10" w:rsidRPr="00A9434B">
        <w:fldChar w:fldCharType="separate"/>
      </w:r>
      <w:r w:rsidR="00215172" w:rsidRPr="00215172">
        <w:t>Juffe-Bignoli et al., 2016)</w:t>
      </w:r>
      <w:r w:rsidR="00D62A10" w:rsidRPr="00A9434B">
        <w:fldChar w:fldCharType="end"/>
      </w:r>
      <w:r w:rsidR="00D62A10" w:rsidRPr="00A9434B">
        <w:t>.</w:t>
      </w:r>
      <w:r>
        <w:t xml:space="preserve"> One way to avoid placing the burden solely on state organizations would be to increase both the criminal and civil liabilities of international freight companies to incentivize those organizations to take the proper precautions to avoid those penalties. This would also help the economic sustainability of expert regulatory entities to maintain the employment of trained technical staff. </w:t>
      </w:r>
    </w:p>
    <w:p w14:paraId="2B478C29" w14:textId="12BDE5C8" w:rsidR="00017C04" w:rsidRDefault="00F50AF9" w:rsidP="0076414B">
      <w:pPr>
        <w:pBdr>
          <w:top w:val="single" w:sz="4" w:space="1" w:color="auto"/>
          <w:left w:val="single" w:sz="4" w:space="4" w:color="auto"/>
          <w:bottom w:val="single" w:sz="4" w:space="1" w:color="auto"/>
          <w:right w:val="single" w:sz="4" w:space="4" w:color="auto"/>
        </w:pBdr>
        <w:shd w:val="clear" w:color="auto" w:fill="E7E6E6" w:themeFill="background2"/>
      </w:pPr>
      <w:r>
        <w:t xml:space="preserve">Although the private sector has great potential to leverage mechanisms and business practices to help with the issue of invasive alien species, this will not happen without the support of consumers willing to pay the premium for safe products </w:t>
      </w:r>
      <w:r w:rsidR="004A5C63" w:rsidRPr="00A9434B">
        <w:fldChar w:fldCharType="begin"/>
      </w:r>
      <w:r w:rsidR="0006613E">
        <w:instrText xml:space="preserve"> ADDIN ZOTERO_ITEM CSL_CITATION {"citationID":"agiicm6sq8","properties":{"formattedCitation":"(Akerlof, 1970; Cason &amp; Gangadharan, 2002)","plainCitation":"(Akerlof, 1970; Cason &amp; Gangadharan, 2002)","noteIndex":0},"citationItems":[{"id":54738,"uris":["http://zotero.org/groups/2352922/items/UAM3AKXE"],"itemData":{"id":54738,"type":"article-journal","container-title":"The Quarterly Journal of Economics","DOI":"10.2307/1879431","issue":"3","page":"488-500","title":"The market for “lemons”: Quality uncertainty and the market mechanism","volume":"84","author":[{"family":"Akerlof","given":"George A."}],"issued":{"date-parts":[["1970"]]}},"label":"page"},{"id":54739,"uris":["http://zotero.org/groups/2352922/items/6NEB3222"],"itemData":{"id":54739,"type":"article-journal","container-title":"Journal of Environmental Economics and Management","DOI":"10.1006/jeem.2000.1170","issue":"1","note":"ISBN: 0095-0696\npublisher: Elsevier","page":"113-134","title":"Environmental labeling and incomplete consumer information in laboratory markets","volume":"43","author":[{"family":"Cason","given":"Timothy N."},{"family":"Gangadharan","given":"Lata"}],"issued":{"date-parts":[["2002"]]}},"label":"page"}],"schema":"https://github.com/citation-style-language/schema/raw/master/csl-citation.json"} </w:instrText>
      </w:r>
      <w:r w:rsidR="004A5C63" w:rsidRPr="00A9434B">
        <w:fldChar w:fldCharType="separate"/>
      </w:r>
      <w:r w:rsidR="00017441" w:rsidRPr="00017441">
        <w:t>(Akerlof, 1970; Cason &amp; Gangadharan, 2002)</w:t>
      </w:r>
      <w:r w:rsidR="004A5C63" w:rsidRPr="00A9434B">
        <w:fldChar w:fldCharType="end"/>
      </w:r>
      <w:r w:rsidR="004A5C63" w:rsidRPr="00A9434B">
        <w:t>.</w:t>
      </w:r>
      <w:r>
        <w:t xml:space="preserve"> Governments could also create mechanisms and conditions for the private sector to feel that it is profitable to invest in invasive alien species prevention, monitoring</w:t>
      </w:r>
      <w:r w:rsidR="00EB415D">
        <w:t xml:space="preserve"> and</w:t>
      </w:r>
      <w:r>
        <w:t xml:space="preserve"> the certification of processes and products that directly address the issue of invasive alien species. One way to do this is the promotion of codes of practice for the translocation and exploitation of invasive alien species (</w:t>
      </w:r>
      <w:r>
        <w:rPr>
          <w:b/>
        </w:rPr>
        <w:t>section 6.3.1.3(4)</w:t>
      </w:r>
      <w:r>
        <w:t>) and green labelling (</w:t>
      </w:r>
      <w:r>
        <w:rPr>
          <w:b/>
        </w:rPr>
        <w:t>section 6.5.5</w:t>
      </w:r>
      <w:r>
        <w:t xml:space="preserve">). Empowering consumers to exert pressure on large, multilateral corporations to make decisions that help with this problem such as marking products with certifications that consider biological invasion processes can be an acceptable mechanism for the private sector </w:t>
      </w:r>
      <w:r w:rsidR="002F2897" w:rsidRPr="00A9434B">
        <w:fldChar w:fldCharType="begin"/>
      </w:r>
      <w:r w:rsidR="0006613E">
        <w:instrText xml:space="preserve"> ADDIN ZOTERO_ITEM CSL_CITATION {"citationID":"a11f2650a30","properties":{"formattedCitation":"(Kotchen, 2013)","plainCitation":"(Kotchen, 2013)","noteIndex":0},"citationItems":[{"id":10889,"uris":["http://zotero.org/groups/2352922/items/VYXNHJN2"],"itemData":{"id":10889,"type":"article-journal","container-title":"Review of Environmental Economics and Policy","DOI":"10.1093/reep/ret012","issue":"2","note":"ISBN: 1750-6824\npublisher: Oxford University Press","page":"276-295","title":"Voluntary-and information-based approaches to environmental management: A public economics perspective","volume":"7","author":[{"family":"Kotchen","given":"Matthew J."}],"issued":{"date-parts":[["2013"]]}},"label":"page"}],"schema":"https://github.com/citation-style-language/schema/raw/master/csl-citation.json"} </w:instrText>
      </w:r>
      <w:r w:rsidR="002F2897" w:rsidRPr="00A9434B">
        <w:fldChar w:fldCharType="separate"/>
      </w:r>
      <w:r w:rsidR="00C71E80" w:rsidRPr="00A9434B">
        <w:t>(Kotchen, 2013)</w:t>
      </w:r>
      <w:r w:rsidR="002F2897" w:rsidRPr="00A9434B">
        <w:fldChar w:fldCharType="end"/>
      </w:r>
      <w:r>
        <w:t xml:space="preserve"> that in turn will provide companies with the </w:t>
      </w:r>
      <w:r w:rsidR="00115F9B">
        <w:t>favourable standing</w:t>
      </w:r>
      <w:r>
        <w:t xml:space="preserve"> needed to succeed in a competitive global market. </w:t>
      </w:r>
    </w:p>
    <w:p w14:paraId="72D8CFDE" w14:textId="727F6D87" w:rsidR="00017C04" w:rsidRDefault="00F50AF9" w:rsidP="008521D1">
      <w:pPr>
        <w:pStyle w:val="Heading2"/>
      </w:pPr>
      <w:bookmarkStart w:id="487" w:name="_Toc1904572802"/>
      <w:bookmarkStart w:id="488" w:name="_Toc133428342"/>
      <w:bookmarkStart w:id="489" w:name="_Toc133428800"/>
      <w:bookmarkStart w:id="490" w:name="_Toc147417595"/>
      <w:r>
        <w:lastRenderedPageBreak/>
        <w:t>Role of global supply chains</w:t>
      </w:r>
      <w:bookmarkEnd w:id="487"/>
      <w:bookmarkEnd w:id="488"/>
      <w:bookmarkEnd w:id="489"/>
      <w:bookmarkEnd w:id="490"/>
    </w:p>
    <w:p w14:paraId="253F1096" w14:textId="4E2A4DC4" w:rsidR="002F2897" w:rsidRPr="00A9434B" w:rsidRDefault="002F2897" w:rsidP="006B3143">
      <w:r w:rsidRPr="00A9434B">
        <w:t xml:space="preserve">The impact of global supply chains on the transport and introduction of invasive </w:t>
      </w:r>
      <w:r w:rsidR="0076414B">
        <w:t xml:space="preserve">alien </w:t>
      </w:r>
      <w:r w:rsidRPr="00A9434B">
        <w:t xml:space="preserve">species is undeniable </w:t>
      </w:r>
      <w:r w:rsidRPr="00A9434B">
        <w:fldChar w:fldCharType="begin"/>
      </w:r>
      <w:r w:rsidR="0006613E">
        <w:instrText xml:space="preserve"> ADDIN ZOTERO_ITEM CSL_CITATION {"citationID":"a24iitj82ur","properties":{"formattedCitation":"(Hulme et al., 2018; Seebens et al., 2017)","plainCitation":"(Hulme et al., 2018; Seebens et al., 2017)","noteIndex":0},"citationItems":[{"id":29159,"uris":["http://zotero.org/groups/2352922/items/FBUVL8DD"],"itemData":{"id":29159,"type":"article-journal","abstract":"Ornamental horticulture is the primary pathway for invasive alien plant introductions. We critically appraise published evidence on the effectiveness of four policy instruments that tackle invasions along the horticulture supply chain: pre-border import restrictions, post-border bans, industry codes of conduct and consumer education. Effective pre-border interventions rely on rigorous risk assessment and high industry compliance. Post-border sales bans become progressively less effective when alien species become widespread in a region. A lack of independent performance evaluation and of public disclosure, limits the uptake and effectiveness of voluntary codes of conduct and discourages shifts in consumer preference away from invasive alien species. Policy implications. Closing the plant invasion pathway associated with ornamental horticulture requires government-industry agreements to fund effective pre- and post-border weed risk assessments that can be subsequently supported by widely adopted, as well as verifiable, industry codes of conduct. This will ensure producers and consumers make informed choices in the face of better targeted public education addressing plant invasions. © 2017 The Authors. Journal of Applied Ecology © 2017 British Ecological Society","container-title":"Journal of Applied Ecology","DOI":"10.1111/1365-2664.12953","ISSN":"00218901","issue":"1","journalAbbreviation":"J Appl Ecol","language":"en","page":"92-98","source":"DOI.org (Crossref)","title":"Integrating invasive species policies across ornamental horticulture supply chains to prevent plant invasions","URL":"http://doi.wiley.com/10.1111/1365-2664.12953","volume":"55","author":[{"family":"Hulme","given":"Philip E."},{"family":"Brundu","given":"Giuseppe"},{"family":"Carboni","given":"Marta"},{"family":"Dehnen-Schmutz","given":"Katharina"},{"family":"Dullinger","given":"Stefan"},{"family":"Early","given":"Regan"},{"family":"Essl","given":"Franz"},{"family":"González-Moreno","given":"Pablo"},{"family":"Groom","given":"Quentin J."},{"family":"Kueffer","given":"Christoph"},{"family":"Kühn","given":"Ingolf"},{"family":"Maurel","given":"Noëlie"},{"family":"Novoa","given":"Ana"},{"family":"Pergl","given":"Jan"},{"family":"Pyšek","given":"Petr"},{"family":"Seebens","given":"Hanno"},{"family":"Tanner","given":"Rob"},{"family":"Touza","given":"Julia M."},{"family":"Kleunen","given":"Mark","non-dropping-particle":"van"},{"family":"Verbrugge","given":"Laura N.H."}],"editor":[{"family":"Flory","given":"Luke"}],"accessed":{"date-parts":[["2019",10,21]]},"issued":{"date-parts":[["2018"]]}},"label":"page"},{"id":33027,"uris":["http://zotero.org/groups/2352922/items/SW8TKG54"],"itemData":{"id":33027,"type":"article-journal","container-title":"Nature Communications","DOI":"10.1038/ncomms14435","ISSN":"2041-1723","issue":"1","journalAbbreviation":"Nat Commun","language":"en","page":"14435","source":"DOI.org (Crossref)","title":"No saturation in the accumulation of alien species worldwide","URL":"http://www.nature.com/articles/ncomms14435","volume":"8","author":[{"family":"Seebens","given":"Hanno"},{"family":"Blackburn","given":"Tim M."},{"family":"Dyer","given":"Ellie E."},{"family":"Genovesi","given":"Piero"},{"family":"Hulme","given":"Philip E."},{"family":"Jeschke","given":"Jonathan M."},{"family":"Pagad","given":"Shyama"},{"family":"Pyšek","given":"Petr"},{"family":"Winter","given":"Marten"},{"family":"Arianoutsou","given":"Margarita"},{"family":"Bacher","given":"Sven"},{"family":"Blasius","given":"Bernd"},{"family":"Brundu","given":"Giuseppe"},{"family":"Capinha","given":"César"},{"family":"Celesti-Grapow","given":"Laura"},{"family":"Dawson","given":"Wayne"},{"family":"Dullinger","given":"Stefan"},{"family":"Fuentes","given":"Nicol"},{"family":"Jäger","given":"Heinke"},{"family":"Kartesz","given":"John"},{"family":"Kenis","given":"Marc"},{"family":"Kreft","given":"Holger"},{"family":"Kühn","given":"Ingolf"},{"family":"Lenzner","given":"Bernd"},{"family":"Liebhold","given":"Andrew"},{"family":"Mosena","given":"Alexander"},{"family":"Moser","given":"Dietmar"},{"family":"Nishino","given":"Misako"},{"family":"Pearman","given":"David"},{"family":"Pergl","given":"Jan"},{"family":"Rabitsch","given":"Wolfgang"},{"family":"Rojas-Sandoval","given":"Julissa"},{"family":"Roques","given":"Alain"},{"family":"Rorke","given":"Stephanie"},{"family":"Rossinelli","given":"Silvia"},{"family":"Roy","given":"Helen E."},{"family":"Scalera","given":"Riccardo"},{"family":"Schindler","given":"Stefan"},{"family":"Štajerová","given":"Kateřina"},{"family":"Tokarska-Guzik","given":"Barbara"},{"family":"Kleunen","given":"Mark","non-dropping-particle":"van"},{"family":"Walker","given":"Kevin"},{"family":"Weigelt","given":"Patrick"},{"family":"Yamanaka","given":"Takehiko"},{"family":"Essl","given":"Franz"}],"accessed":{"date-parts":[["2019",12,5]]},"issued":{"date-parts":[["2017",4]]}},"label":"page"}],"schema":"https://github.com/citation-style-language/schema/raw/master/csl-citation.json"} </w:instrText>
      </w:r>
      <w:r w:rsidRPr="00A9434B">
        <w:fldChar w:fldCharType="separate"/>
      </w:r>
      <w:r w:rsidR="00D13761" w:rsidRPr="00D13761">
        <w:t>(Hulme et al., 2018; Seebens et al., 2017)</w:t>
      </w:r>
      <w:r w:rsidRPr="00A9434B">
        <w:fldChar w:fldCharType="end"/>
      </w:r>
      <w:r w:rsidRPr="00422F61">
        <w:rPr>
          <w:lang w:val="de-DE"/>
        </w:rPr>
        <w:t xml:space="preserve">. </w:t>
      </w:r>
      <w:r w:rsidRPr="00A9434B">
        <w:t>The introduction and establishment of invasive</w:t>
      </w:r>
      <w:r w:rsidR="0076414B" w:rsidRPr="0076414B">
        <w:t xml:space="preserve"> </w:t>
      </w:r>
      <w:r w:rsidR="0076414B">
        <w:t>alien</w:t>
      </w:r>
      <w:r w:rsidRPr="00A9434B">
        <w:t xml:space="preserve"> species are closely related to international trade flows and global trade routes, with international shipping being the main vector for the introduction of invasive alien species </w:t>
      </w:r>
      <w:r w:rsidRPr="00A9434B">
        <w:fldChar w:fldCharType="begin"/>
      </w:r>
      <w:r w:rsidR="0006613E">
        <w:instrText xml:space="preserve"> ADDIN ZOTERO_ITEM CSL_CITATION {"citationID":"a1hi2acd2b1","properties":{"formattedCitation":"(Seebens et al., 2015; Westphal et al., 2008)","plainCitation":"(Seebens et al., 2015; Westphal et al., 2008)","noteIndex":0},"citationItems":[{"id":56690,"uris":["http://zotero.org/groups/2352922/items/BUQI9FWK","http://zotero.org/groups/2352922/items/JXSQ5KP4"],"itemData":{"id":56690,"type":"article-journal","container-title":"Global Change Biology","DOI":"10.1111/gcb.13021","ISSN":"13541013","issue":"11","journalAbbreviation":"Glob Change Biol","language":"en","page":"4128-4140","source":"DOI.org (Crossref)","title":"Global trade will accelerate plant invasions in emerging economies under climate change","URL":"https://onlinelibrary.wiley.com/doi/10.1111/gcb.13021","volume":"21","author":[{"family":"Seebens","given":"Hanno"},{"family":"Essl","given":"Franz"},{"family":"Dawson","given":"Wayne"},{"family":"Fuentes","given":"Nicol"},{"family":"Moser","given":"Dietmar"},{"family":"Pergl","given":"Jan"},{"family":"Pyšek","given":"Petr"},{"family":"Van Kleunen","given":"Mark"},{"family":"Weber","given":"Ewald"},{"family":"Winter","given":"Marten"},{"family":"Blasius","given":"Bernd"}],"accessed":{"date-parts":[["2023",6,8]]},"issued":{"date-parts":[["2015",11]]}},"label":"page"},{"id":28951,"uris":["http://zotero.org/groups/2352922/items/DTXM7R2A"],"itemData":{"id":28951,"type":"article-journal","abstract":"Invasive alien species (IAS) exact large biodiversity and economic costs and are a significant component of human-induced, global environmental change. Previous studies looking at the variation in alien species across regions have been limited geographically or taxonomically or have not considered economics. We used a global invasive species database to regress IAS per-country on a suite of socioeconomic, ecological, and biogeographical variables. We varied the countries included in the regression tree analyses, in order to explore whether certain outliers were biasing the results, and in most of the cases, merchandise imports was the most important explanatory variable. The greater the degree of international trade, the higher the number of IAS. We also found a positive relationship between species richness and the number of invasives, in accord with other investigations at large spatial scales. Island status (overall), country area, latitude, continental position (New World versus Old World) or other measures of human disturbance (e.g., GDP per capita, population density) were not found to be important determinants of a country’s degree of biological invasion, contrary to previous studies. Our findings also provide support to the idea that more resources for combating IAS should be directed at the introduction stage and that novel trade instruments need to be explored to account for this environmental externality.","container-title":"Biological Invasions","DOI":"10.1007/s10530-007-9138-5","ISSN":"1573-1464","issue":"4","journalAbbreviation":"Biol Invasions","language":"en","page":"391-398","source":"Springer Link","title":"The link between international trade and the global distribution of invasive alien species","URL":"https://doi.org/10.1007/s10530-007-9138-5","volume":"10","author":[{"family":"Westphal","given":"Michael I."},{"family":"Browne","given":"Michael"},{"family":"MacKinnon","given":"Kathy"},{"family":"Noble","given":"Ian"}],"accessed":{"date-parts":[["2019",8,23]]},"issued":{"date-parts":[["2008",4,1]]}},"label":"page"}],"schema":"https://github.com/citation-style-language/schema/raw/master/csl-citation.json"} </w:instrText>
      </w:r>
      <w:r w:rsidRPr="00A9434B">
        <w:fldChar w:fldCharType="separate"/>
      </w:r>
      <w:r w:rsidR="00C71E80" w:rsidRPr="00A9434B">
        <w:t>(Seebens et al., 2015; Westphal et al., 2008)</w:t>
      </w:r>
      <w:r w:rsidRPr="00A9434B">
        <w:fldChar w:fldCharType="end"/>
      </w:r>
      <w:r w:rsidRPr="00A9434B">
        <w:t xml:space="preserve">. If the trend of global trade growth continues, it is estimated that the direct annual cost </w:t>
      </w:r>
      <w:r w:rsidR="0076414B">
        <w:t xml:space="preserve">of management of biological invasions </w:t>
      </w:r>
      <w:r w:rsidRPr="00A9434B">
        <w:t xml:space="preserve">in 2050 could reach $36 to $84 billion per year </w:t>
      </w:r>
      <w:r w:rsidRPr="00A9434B">
        <w:fldChar w:fldCharType="begin"/>
      </w:r>
      <w:r w:rsidR="0006613E">
        <w:instrText xml:space="preserve"> ADDIN ZOTERO_ITEM CSL_CITATION {"citationID":"atsaa9a2v4","properties":{"formattedCitation":"(Deutz et al., 2020)","plainCitation":"(Deutz et al., 2020)","noteIndex":0},"citationItems":[{"id":10888,"uris":["http://zotero.org/groups/2352922/items/TIMUBLT7"],"itemData":{"id":10888,"type":"report","genre":"Full Report","publisher":"The Paulson Institute, The Nature Conservancy, and the Cornell Atkinson Center for Sustainability","title":"Financing Nature: Closing the Global Biodiversity Financing Gap","URL":"https://www.paulsoninstitute.org/wp-content/uploads/2020/09/FINANCING-NATURE_Full-Report_Final-Version_091520.pdf","author":[{"family":"Deutz","given":"Andrew"},{"family":"Heal","given":"Geoffrey M."},{"family":"Niu","given":"Rose"},{"family":"Swanson","given":"Eric"},{"family":"Townshend","given":"Terry"},{"family":"Zhu","given":"Li"},{"family":"Delmar","given":"Alejandro"},{"family":"Meghji","given":"Alqayam"},{"family":"Sethi","given":"Suresh A."},{"family":"Tobin-de la Puente","given":"John"}],"issued":{"date-parts":[["2020"]]}},"label":"page"}],"schema":"https://github.com/citation-style-language/schema/raw/master/csl-citation.json"} </w:instrText>
      </w:r>
      <w:r w:rsidRPr="00A9434B">
        <w:fldChar w:fldCharType="separate"/>
      </w:r>
      <w:r w:rsidR="00C71E80" w:rsidRPr="00A9434B">
        <w:t>(Deutz et al., 2020)</w:t>
      </w:r>
      <w:r w:rsidRPr="00A9434B">
        <w:fldChar w:fldCharType="end"/>
      </w:r>
      <w:r w:rsidRPr="00A9434B">
        <w:t>.</w:t>
      </w:r>
    </w:p>
    <w:p w14:paraId="03F71C6A" w14:textId="1A24E9A6" w:rsidR="00017C04" w:rsidRDefault="00F50AF9">
      <w:r>
        <w:t xml:space="preserve">Incentivizing changes in supply chain management practices offers the opportunity to strengthen the prevention of alien species introductions and therefore decrease the costs associated with controlling and eradicating invasive alien species. One of the key components in driving change in supply chain management practices is elevating the importance of invasive alien species in the minds of end consumers </w:t>
      </w:r>
      <w:r w:rsidR="002F2897" w:rsidRPr="00A9434B">
        <w:fldChar w:fldCharType="begin"/>
      </w:r>
      <w:r w:rsidR="0006613E">
        <w:instrText xml:space="preserve"> ADDIN ZOTERO_ITEM CSL_CITATION {"citationID":"a24h9l7a51e","properties":{"formattedCitation":"(Hanley &amp; Roberts, 2019)","plainCitation":"(Hanley &amp; Roberts, 2019)","noteIndex":0},"citationItems":[{"id":24054,"uris":["http://zotero.org/groups/2352922/items/4BQBFBXC"],"itemData":{"id":24054,"type":"article-journal","abstract":"Invasive species are known to cause significant negative impacts to ecosystems and to people. In this paper, we outline the nature of these economic impacts, and then present a range of approaches for estimating the economic costs of invasive species (including impacts on biodiversity), and thus the benefits of management programmes. The importance of thinking clearly about the most appropriate context for valuation is stressed. We provide examples of the application of non-market valuation approaches to invasive species management, and show how such methods can be used to measure public preferences over how control is undertaken. We discuss some important problems in applying economic valuation methods in this context. A plain language summary is available for this article.","container-title":"People and Nature","DOI":"10.1002/pan3.31","ISSN":"25758314","issue":"2","journalAbbreviation":"People Nat","language":"en","page":"124-137","source":"DOI.org (Crossref)","title":"The economic benefits of invasive species management","URL":"http://doi.wiley.com/10.1002/pan3.31","volume":"1","author":[{"family":"Hanley","given":"Nick"},{"family":"Roberts","given":"Michaela"}],"editor":[{"family":"Chan","given":"Kai"}],"accessed":{"date-parts":[["2019",9,10]]},"issued":{"date-parts":[["2019",6]]}},"label":"page"}],"schema":"https://github.com/citation-style-language/schema/raw/master/csl-citation.json"} </w:instrText>
      </w:r>
      <w:r w:rsidR="002F2897" w:rsidRPr="00A9434B">
        <w:fldChar w:fldCharType="separate"/>
      </w:r>
      <w:r w:rsidR="00C71E80" w:rsidRPr="00A9434B">
        <w:t>(Hanley &amp; Roberts, 2019)</w:t>
      </w:r>
      <w:r w:rsidR="002F2897" w:rsidRPr="00A9434B">
        <w:fldChar w:fldCharType="end"/>
      </w:r>
      <w:r w:rsidR="002F2897" w:rsidRPr="00A9434B">
        <w:t>.</w:t>
      </w:r>
      <w:r>
        <w:t xml:space="preserve"> The changes made would encompass corporate commitments to assessing and improving corporate policies, internal standards</w:t>
      </w:r>
      <w:r w:rsidR="00EB415D">
        <w:t xml:space="preserve"> and</w:t>
      </w:r>
      <w:r>
        <w:t xml:space="preserve"> funding mechanisms to ensure that supply chains take appropriate precautionary measures, especially in producer countries. </w:t>
      </w:r>
    </w:p>
    <w:p w14:paraId="3A09D3BF" w14:textId="08727157" w:rsidR="00017C04" w:rsidRDefault="00F50AF9">
      <w:r>
        <w:t xml:space="preserve">Investments can be made to both improve current practices and elevate the importance of invasive alien species - safe practices in the minds of those responsible for setting corporate strategy </w:t>
      </w:r>
      <w:r w:rsidR="00CF16F8" w:rsidRPr="00A9434B">
        <w:fldChar w:fldCharType="begin"/>
      </w:r>
      <w:r w:rsidR="0006613E">
        <w:instrText xml:space="preserve"> ADDIN ZOTERO_ITEM CSL_CITATION {"citationID":"aclu8i8b06","properties":{"formattedCitation":"(Kocovsky et al., 2018)","plainCitation":"(Kocovsky et al., 2018)","noteIndex":0},"citationItems":[{"id":17441,"uris":["http://zotero.org/groups/2352922/items/LDJYNH6N"],"itemData":{"id":17441,"type":"article-journal","abstract":"Management of invasive species, whether prevention, population reduction, or eradication, requires assessment of the invasive species' population status and an assessment of the probability of success of management options. Perceptions of a species' permanence in an environment or lack thereof frequently drives how limited time, financial, and personnel resources are allocated to such efforts. Language we use to describe a non-native species' status largely defines these perceptions and sets boundaries, real or perceived, to potential management actions. Here we discuss the use of a particular term - \"established\" - when confronting management decisions for invasive species. Our objective is to contribute to bridging the gap between the realms of conceptual development and management with respect to use of the term \"established\". We find that although there are benefits of polysemy and synonymy to conceptual development they present an additional challenge to managers who must weigh the costs, benefits, and potential for success of particular management actions. We also examine how existing conceptual frameworks might be augmented to bridge the theoretical-practical gap, such as more precisely defining potential management actions and explicitly including assessment of risk.","archive_location":"noaa:20936","container-title":"Management of Biological Invasions","DOI":"10.3391/mbi.2018.9.3.01","issue":"3","journalAbbreviation":"Management of Biological Invasions","page":"177-185","title":"What it is to be established: policy and management implications for non-native and invasive species","URL":"https://repository.library.noaa.gov/view/noaa/20936","volume":"9","author":[{"family":"Kocovsky","given":"P. M."},{"family":"Sturtevant","given":"R."},{"family":"Schardt","given":"J."}],"issued":{"date-parts":[["2018"]]}},"label":"page"}],"schema":"https://github.com/citation-style-language/schema/raw/master/csl-citation.json"} </w:instrText>
      </w:r>
      <w:r w:rsidR="00CF16F8" w:rsidRPr="00A9434B">
        <w:fldChar w:fldCharType="separate"/>
      </w:r>
      <w:r w:rsidR="00C71E80" w:rsidRPr="00A9434B">
        <w:t>(Kocovsky et al., 2018)</w:t>
      </w:r>
      <w:r w:rsidR="00CF16F8" w:rsidRPr="00A9434B">
        <w:fldChar w:fldCharType="end"/>
      </w:r>
      <w:r w:rsidR="00CF16F8" w:rsidRPr="00A9434B">
        <w:t>.</w:t>
      </w:r>
      <w:r>
        <w:t xml:space="preserve"> Importing countries could collaborate with exporting countries to improve sustainable practices that reduce the probability of invasions through their integration into regulations and international trade agreements (</w:t>
      </w:r>
      <w:r>
        <w:rPr>
          <w:b/>
        </w:rPr>
        <w:t>sections 6.3.1.3</w:t>
      </w:r>
      <w:r>
        <w:t xml:space="preserve"> and</w:t>
      </w:r>
      <w:r>
        <w:rPr>
          <w:b/>
        </w:rPr>
        <w:t xml:space="preserve"> 6.3.2.2</w:t>
      </w:r>
      <w:r>
        <w:t xml:space="preserve">). In this sense, the integration of the component of biological invasions in green labels and certification systems (e.g., </w:t>
      </w:r>
      <w:r w:rsidR="006D6771" w:rsidRPr="00A9434B">
        <w:fldChar w:fldCharType="begin"/>
      </w:r>
      <w:r w:rsidR="0006613E">
        <w:instrText xml:space="preserve"> ADDIN ZOTERO_ITEM CSL_CITATION {"citationID":"Eqxu4Vz8","properties":{"formattedCitation":"(Blackman &amp; Rivera, 2010)","plainCitation":"(Blackman &amp; Rivera, 2010)","dontUpdate":true,"noteIndex":0},"citationItems":[{"id":53908,"uris":["http://zotero.org/groups/2352922/items/YXG5IMIZ","http://zotero.org/groups/2352922/items/ZALMT7N5"],"itemData":{"id":53908,"type":"report","event-place":"Washington D.C.","note":"type: Journal Article","publisher":"Scientific and Technical Advisory Panel (STAP)  of the Global Environment Facility (GEF)","publisher-place":"Washington D.C.","title":"Environmental Certification and the Global Environment Facility: A STAP advisory document","URL":"https://www.thegef.org/sites/default/files/council-meeting-documents/C.39.Inf_.15_STAP_-_Environmental_Certification.pdf","author":[{"family":"Blackman","given":"Allen"},{"family":"Rivera","given":"Jorge"}],"issued":{"date-parts":[["2010"]]}},"label":"page"}],"schema":"https://github.com/citation-style-language/schema/raw/master/csl-citation.json"} </w:instrText>
      </w:r>
      <w:r w:rsidR="006D6771" w:rsidRPr="00A9434B">
        <w:fldChar w:fldCharType="separate"/>
      </w:r>
      <w:r w:rsidR="00215172" w:rsidRPr="00215172">
        <w:t>Blackman &amp; Rivera, 2010)</w:t>
      </w:r>
      <w:r w:rsidR="006D6771" w:rsidRPr="00A9434B">
        <w:fldChar w:fldCharType="end"/>
      </w:r>
      <w:r>
        <w:t xml:space="preserve"> is especially important because these systems have been shown to be effective in raising public awareness of issues such as deforestation, though labelling by itself does not directly decrease deforestation </w:t>
      </w:r>
      <w:r w:rsidR="00CF16F8" w:rsidRPr="00A9434B">
        <w:fldChar w:fldCharType="begin"/>
      </w:r>
      <w:r w:rsidR="0006613E">
        <w:instrText xml:space="preserve"> ADDIN ZOTERO_ITEM CSL_CITATION {"citationID":"a1aqsbil61p","properties":{"formattedCitation":"(van der Ven et al., 2018)","plainCitation":"(van der Ven et al., 2018)","noteIndex":0},"citationItems":[{"id":10887,"uris":["http://zotero.org/groups/2352922/items/FZJB3596"],"itemData":{"id":10887,"type":"article-journal","container-title":"Global Environmental Change","DOI":"10.1016/j.gloenvcha.2018.07.002","ISSN":"09593780","journalAbbreviation":"Global Environmental Change","language":"en","page":"141-151","source":"DOI.org (Crossref)","title":"Do eco-labels prevent deforestation? Lessons from non-state market driven governance in the soy, palm oil, and cocoa sectors","title-short":"Do eco-labels prevent deforestation?","URL":"https://linkinghub.elsevier.com/retrieve/pii/S0959378017304545","volume":"52","author":[{"family":"Ven","given":"Hamish","non-dropping-particle":"van der"},{"family":"Rothacker","given":"Catherine"},{"family":"Cashore","given":"Benjamin"}],"accessed":{"date-parts":[["2021",5,19]]},"issued":{"date-parts":[["2018",9]]}},"label":"page"}],"schema":"https://github.com/citation-style-language/schema/raw/master/csl-citation.json"} </w:instrText>
      </w:r>
      <w:r w:rsidR="00CF16F8" w:rsidRPr="00A9434B">
        <w:fldChar w:fldCharType="separate"/>
      </w:r>
      <w:r w:rsidR="00C71E80" w:rsidRPr="00A9434B">
        <w:t>(van der Ven et al., 2018)</w:t>
      </w:r>
      <w:r w:rsidR="00CF16F8" w:rsidRPr="00A9434B">
        <w:fldChar w:fldCharType="end"/>
      </w:r>
      <w:r w:rsidR="00CF16F8" w:rsidRPr="00A9434B">
        <w:t>.</w:t>
      </w:r>
      <w:r>
        <w:t xml:space="preserve"> Increased public awareness of invasive alien species is a fundamental component in garnering support for new funding mechanisms and policies that have the potential to address invasive alien species more directly. These methods also transfer a large part of the decision to consumers, thereby increasing awareness of the invasive alien species among the public.</w:t>
      </w:r>
    </w:p>
    <w:p w14:paraId="260D0A90" w14:textId="681B1848" w:rsidR="00017C04" w:rsidRDefault="00F50AF9" w:rsidP="008521D1">
      <w:pPr>
        <w:pStyle w:val="Heading2"/>
      </w:pPr>
      <w:bookmarkStart w:id="491" w:name="_Toc74146147"/>
      <w:bookmarkStart w:id="492" w:name="_Toc748302552"/>
      <w:bookmarkStart w:id="493" w:name="_Toc133428343"/>
      <w:bookmarkStart w:id="494" w:name="_Toc133428801"/>
      <w:bookmarkStart w:id="495" w:name="_Toc147417596"/>
      <w:r>
        <w:t xml:space="preserve">Role of philanthropy, non-governmental organizations and </w:t>
      </w:r>
      <w:bookmarkEnd w:id="491"/>
      <w:r>
        <w:t>academia</w:t>
      </w:r>
      <w:bookmarkEnd w:id="492"/>
      <w:bookmarkEnd w:id="493"/>
      <w:bookmarkEnd w:id="494"/>
      <w:bookmarkEnd w:id="495"/>
    </w:p>
    <w:p w14:paraId="5D5B0C1B" w14:textId="412F54D1" w:rsidR="00017C04" w:rsidRDefault="00F50AF9">
      <w:r>
        <w:t xml:space="preserve">While philanthropy represents a significant source of funding for environmental issues such as invasive alien species in some regions, it is almost non-existent in others due to prevailing economic and social systems at the national and subnational level. In some cases, foundations and their philanthropy programmes may be limited by their internally defined priorities, which in many cases are aligned with topics of more widespread public concern </w:t>
      </w:r>
      <w:r w:rsidR="00CF16F8" w:rsidRPr="00A9434B">
        <w:fldChar w:fldCharType="begin"/>
      </w:r>
      <w:r w:rsidR="0006613E">
        <w:instrText xml:space="preserve"> ADDIN ZOTERO_ITEM CSL_CITATION {"citationID":"anv93563l0","properties":{"formattedCitation":"(E. R. Larson et al., 2016; Macdonald et al., 2017)","plainCitation":"(E. R. Larson et al., 2016; Macdonald et al., 2017)","noteIndex":0},"citationItems":[{"id":53367,"uris":["http://zotero.org/groups/2352922/items/JQ3SERAB"],"itemData":{"id":53367,"type":"article-journal","container-title":"Conservation Biology","DOI":"10.1111/cobi.12608","ISSN":"08888892","issue":"1","journalAbbreviation":"Conservation Biology","language":"en","page":"206-215","source":"DOI.org (Crossref)","title":"Constraints of philanthropy on determining the distribution of biodiversity conservation funding","title-short":"Constraints of philanthropy on determining the distribution of biodiversity conservation funding","URL":"https://onlinelibrary.wiley.com/doi/10.1111/cobi.12608","volume":"30","author":[{"family":"Larson","given":"Eric R."},{"family":"Howell","given":"Stephen"},{"family":"Kareiva","given":"Peter"},{"family":"Armsworth","given":"Paul R."}],"accessed":{"date-parts":[["2022",9,15]]},"issued":{"date-parts":[["2016",2]]}},"label":"page"},{"id":53366,"uris":["http://zotero.org/groups/2352922/items/J6EVTS33"],"itemData":{"id":53366,"type":"article-journal","container-title":"Global Ecology and Conservation","DOI":"10.1016/j.gecco.2017.11.006","note":"ISBN: 2351-9894\npublisher: Elsevier","page":"204-214","title":"Identifying ambassador species for conservation marketing","volume":"12","author":[{"family":"Macdonald","given":"E. A."},{"family":"Hinks","given":"A."},{"family":"Weiss","given":"D. J."},{"family":"Dickman","given":"A."},{"family":"Burnham","given":"D."},{"family":"Sandom","given":"C. J."},{"family":"Malhi","given":"Y."},{"family":"Macdonald","given":"D. W."}],"issued":{"date-parts":[["2017"]]}},"label":"page"}],"schema":"https://github.com/citation-style-language/schema/raw/master/csl-citation.json"} </w:instrText>
      </w:r>
      <w:r w:rsidR="00CF16F8" w:rsidRPr="00A9434B">
        <w:fldChar w:fldCharType="separate"/>
      </w:r>
      <w:r w:rsidR="00C71E80" w:rsidRPr="00A9434B">
        <w:t>(E. R. Larson et al., 2016; Macdonald et al., 2017)</w:t>
      </w:r>
      <w:r w:rsidR="00CF16F8" w:rsidRPr="00A9434B">
        <w:fldChar w:fldCharType="end"/>
      </w:r>
      <w:r w:rsidR="00CF16F8" w:rsidRPr="00A9434B">
        <w:t>.</w:t>
      </w:r>
      <w:r>
        <w:t xml:space="preserve"> This dynamic makes it difficult to develop far-reaching programmes in less visible, but nonetheless important aspects of the invasion process. On the other hand, philanthropic organizations also offer funds to explore innovative invasive alien species programmes </w:t>
      </w:r>
      <w:r w:rsidR="00CF16F8" w:rsidRPr="00A9434B">
        <w:fldChar w:fldCharType="begin"/>
      </w:r>
      <w:r w:rsidR="0006613E">
        <w:instrText xml:space="preserve"> ADDIN ZOTERO_ITEM CSL_CITATION {"citationID":"abblk56l0s","properties":{"formattedCitation":"(E. R. Larson et al., 2016)","plainCitation":"(E. R. Larson et al., 2016)","noteIndex":0},"citationItems":[{"id":53367,"uris":["http://zotero.org/groups/2352922/items/JQ3SERAB"],"itemData":{"id":53367,"type":"article-journal","container-title":"Conservation Biology","DOI":"10.1111/cobi.12608","ISSN":"08888892","issue":"1","journalAbbreviation":"Conservation Biology","language":"en","page":"206-215","source":"DOI.org (Crossref)","title":"Constraints of philanthropy on determining the distribution of biodiversity conservation funding","title-short":"Constraints of philanthropy on determining the distribution of biodiversity conservation funding","URL":"https://onlinelibrary.wiley.com/doi/10.1111/cobi.12608","volume":"30","author":[{"family":"Larson","given":"Eric R."},{"family":"Howell","given":"Stephen"},{"family":"Kareiva","given":"Peter"},{"family":"Armsworth","given":"Paul R."}],"accessed":{"date-parts":[["2022",9,15]]},"issued":{"date-parts":[["2016",2]]}}}],"schema":"https://github.com/citation-style-language/schema/raw/master/csl-citation.json"} </w:instrText>
      </w:r>
      <w:r w:rsidR="00CF16F8" w:rsidRPr="00A9434B">
        <w:fldChar w:fldCharType="separate"/>
      </w:r>
      <w:r w:rsidR="00C71E80" w:rsidRPr="00A9434B">
        <w:t>(E. R. Larson et al., 2016)</w:t>
      </w:r>
      <w:r w:rsidR="00CF16F8" w:rsidRPr="00A9434B">
        <w:fldChar w:fldCharType="end"/>
      </w:r>
      <w:r w:rsidR="003C2603" w:rsidRPr="00A9434B">
        <w:t>,</w:t>
      </w:r>
      <w:r>
        <w:t xml:space="preserve"> but these are quite limited in scope and tend to be used to support specific efforts that align with larger strategic goals of the organizations that receive them. Philanthropic funds are perhaps best used to finance the development of tools and pilot projects that can act as proofs of concept for later implementation by larger, better-funded entities such as governments or financial organizations such as the Global Environment Facility (GEF). In the case of funds that come from corporate social responsibility programmes and multilateral corporations, one option would be to develop metrics and methodological frameworks that the private sector can integrate into their business models to help them report on the impact and investment risk of invasive alien species.</w:t>
      </w:r>
    </w:p>
    <w:p w14:paraId="08EC40D4" w14:textId="15243D6E" w:rsidR="00017C04" w:rsidRDefault="00F50AF9">
      <w:r>
        <w:lastRenderedPageBreak/>
        <w:t xml:space="preserve">Non-governmental organizations benefit, in large part, from funding sources that have their origins in philanthropy. Although philanthropic organizations have internal mechanisms to define priorities, non-governmental organizations are more transparent in this sense and can channel different philanthropic funds and articulate them to coordinate with programmes pursuing the same objective. Non-governmental organizations, in their constant search for funding to sustain themselves, have the flexibility to change their strategic goals swiftly. This apparent flexibility of the non-governmental organizations can be seen as an asset, as it allows the adaptability of their programmes to be maintained over time; but it also has the potential to drive significant changes in their programmes, and even terminate them altogether. </w:t>
      </w:r>
    </w:p>
    <w:p w14:paraId="6A7FB066" w14:textId="2A555A50" w:rsidR="00017C04" w:rsidRDefault="00F50AF9">
      <w:r>
        <w:t xml:space="preserve">Finally, there is academia, which also moves with funding from philanthropy, but also receives significant government funding in many parts of the world. The way in which lines of research are often established early in a researcher’s career presents the opportunity to begin cultivating a new generation of invasive alien species specialists in diverse fields. Addressing biological invasions can be achieved through greater coordination between academia and those responsible for implementing invasive alien species best practices; therefore, investments in invasive alien species research can essentially be seen as investments in invasive alien species prevention. One example of this is the Global Register of Introduced and Invasive Species (GRIIS) – a collaborative output demonstrating best practice use of biodiversity informatics to make invasive alien species checklists open </w:t>
      </w:r>
      <w:r w:rsidR="00BF0814" w:rsidRPr="00A9434B">
        <w:fldChar w:fldCharType="begin"/>
      </w:r>
      <w:r w:rsidR="0006613E">
        <w:instrText xml:space="preserve"> ADDIN ZOTERO_ITEM CSL_CITATION {"citationID":"a25mifpsgap","properties":{"formattedCitation":"(Pagad et al., 2018, 2022)","plainCitation":"(Pagad et al., 2018, 2022)","noteIndex":0},"citationItems":[{"id":29146,"uris":["http://zotero.org/groups/2352922/items/BZA84ANL"],"itemData":{"id":29146,"type":"article-journal","abstract":"Harmonised, representative data on the state of biological invasions remain inadequate at country and global scales, particularly for taxa that affect biodiversity and ecosystems. Information is not readily available in a form suitable for policy and reporting. The Global Register of Introduced and Invasive Species (GRIIS) provides the first country-wise checklists of introduced (naturalised) and invasive species. GRIIS was conceived to provide a sustainable platform for information delivery to support national governments. We outline the rationale and methods underpinning GRIIS, to facilitate transparent, repeatable analysis and reporting. Twenty country checklists are presented as exemplars; GRIIS Checklists for close to all countries globally will be submitted through the same process shortly. Over 11000 species records are currently in the 20 country exemplars alone, with environmental impact evidence for just over 20% of these. GRIIS provides significant support for countries to identify and prioritise invasive alien species, and establishes national and global baselines. In future this will enable a global system for sustainable monitoring of trends in biological invasions that affect the environment.","container-title":"Scientific Data","DOI":"10.1038/sdata.2017.202","ISSN":"2052-4463","issue":"1","language":"en","license":"2018 The Author(s)","page":"170202","source":"www.nature.com","title":"Introducing the Global Register of Introduced and Invasive Species","URL":"https://www.nature.com/articles/sdata2017202","volume":"5","author":[{"family":"Pagad","given":"Shyama"},{"family":"Genovesi","given":"Piero"},{"family":"Carnevali","given":"Lucilla"},{"family":"Schigel","given":"Dmitry"},{"family":"McGeoch","given":"Melodie A."}],"accessed":{"date-parts":[["2020",6,12]]},"issued":{"date-parts":[["2018",1,23]]}},"label":"page"},{"id":52617,"uris":["http://zotero.org/groups/2352922/items/XKWUAWB5","http://zotero.org/groups/2352922/items/GAJN9YAZ"],"itemData":{"id":52617,"type":"article-journal","abstract":"The Country Compendium of the Global Register of Introduced and Invasive Species (GRIIS) is a collation of data across 196 individual country checklists of alien species, along with a designation of those species with evidence of impact at a country level. The Compendium provides a baseline for monitoring the distribution and invasion status of all major taxonomic groups, and can be used for the purpose of global analyses of introduced (alien, non-native, exotic) and invasive species (invasive alien species), including regional, single and multi-species taxon assessments and comparisons. It enables exploration of gaps and inferred absences of species across countries, and also provides one means for updating individual GRIIS Checklists. The Country Compendium is, for example, instrumental, along with data on first records of introduction, for assessing and reporting on invasive alien species targets, including for the Convention on Biological Diversity and Sustainable Development Goals. The GRIIS Country Compendium provides a baseline and mechanism for tracking the spread of introduced and invasive alien species across countries globally.Design Type(s)Data integration objectiv</w:instrText>
      </w:r>
      <w:r w:rsidR="0006613E">
        <w:rPr>
          <w:rFonts w:hint="eastAsia"/>
        </w:rPr>
        <w:instrText xml:space="preserve">e </w:instrText>
      </w:r>
      <w:r w:rsidR="0006613E">
        <w:rPr>
          <w:rFonts w:hint="eastAsia"/>
        </w:rPr>
        <w:instrText>●</w:instrText>
      </w:r>
      <w:r w:rsidR="0006613E">
        <w:rPr>
          <w:rFonts w:hint="eastAsia"/>
        </w:rPr>
        <w:instrText xml:space="preserve"> Observation designMeasurement Type(s)Alien species occurrence </w:instrText>
      </w:r>
      <w:r w:rsidR="0006613E">
        <w:rPr>
          <w:rFonts w:hint="eastAsia"/>
        </w:rPr>
        <w:instrText>●</w:instrText>
      </w:r>
      <w:r w:rsidR="0006613E">
        <w:rPr>
          <w:rFonts w:hint="eastAsia"/>
        </w:rPr>
        <w:instrText xml:space="preserve"> Evidence of impact invasive alien species assessment objectiveTechnology Type(s)Agent expert </w:instrText>
      </w:r>
      <w:r w:rsidR="0006613E">
        <w:rPr>
          <w:rFonts w:hint="eastAsia"/>
        </w:rPr>
        <w:instrText>●</w:instrText>
      </w:r>
      <w:r w:rsidR="0006613E">
        <w:rPr>
          <w:rFonts w:hint="eastAsia"/>
        </w:rPr>
        <w:instrText xml:space="preserve"> Data collationFactor Type(s)Geographic location </w:instrText>
      </w:r>
      <w:r w:rsidR="0006613E">
        <w:rPr>
          <w:rFonts w:hint="eastAsia"/>
        </w:rPr>
        <w:instrText>●</w:instrText>
      </w:r>
      <w:r w:rsidR="0006613E">
        <w:rPr>
          <w:rFonts w:hint="eastAsia"/>
        </w:rPr>
        <w:instrText xml:space="preserve"> Origin / provenance </w:instrText>
      </w:r>
      <w:r w:rsidR="0006613E">
        <w:rPr>
          <w:rFonts w:hint="eastAsia"/>
        </w:rPr>
        <w:instrText>●</w:instrText>
      </w:r>
      <w:r w:rsidR="0006613E">
        <w:rPr>
          <w:rFonts w:hint="eastAsia"/>
        </w:rPr>
        <w:instrText xml:space="preserve"> HabitatSample Characteristics - OrganismAnimalia </w:instrText>
      </w:r>
      <w:r w:rsidR="0006613E">
        <w:rPr>
          <w:rFonts w:hint="eastAsia"/>
        </w:rPr>
        <w:instrText>●</w:instrText>
      </w:r>
      <w:r w:rsidR="0006613E">
        <w:rPr>
          <w:rFonts w:hint="eastAsia"/>
        </w:rPr>
        <w:instrText xml:space="preserve"> Bacteria </w:instrText>
      </w:r>
      <w:r w:rsidR="0006613E">
        <w:rPr>
          <w:rFonts w:hint="eastAsia"/>
        </w:rPr>
        <w:instrText>●</w:instrText>
      </w:r>
      <w:r w:rsidR="0006613E">
        <w:rPr>
          <w:rFonts w:hint="eastAsia"/>
        </w:rPr>
        <w:instrText xml:space="preserve"> Chromista </w:instrText>
      </w:r>
      <w:r w:rsidR="0006613E">
        <w:rPr>
          <w:rFonts w:hint="eastAsia"/>
        </w:rPr>
        <w:instrText>●</w:instrText>
      </w:r>
      <w:r w:rsidR="0006613E">
        <w:rPr>
          <w:rFonts w:hint="eastAsia"/>
        </w:rPr>
        <w:instrText xml:space="preserve"> Fungi </w:instrText>
      </w:r>
      <w:r w:rsidR="0006613E">
        <w:rPr>
          <w:rFonts w:hint="eastAsia"/>
        </w:rPr>
        <w:instrText>●</w:instrText>
      </w:r>
      <w:r w:rsidR="0006613E">
        <w:rPr>
          <w:rFonts w:hint="eastAsia"/>
        </w:rPr>
        <w:instrText xml:space="preserve"> Plantae </w:instrText>
      </w:r>
      <w:r w:rsidR="0006613E">
        <w:rPr>
          <w:rFonts w:hint="eastAsia"/>
        </w:rPr>
        <w:instrText>●</w:instrText>
      </w:r>
      <w:r w:rsidR="0006613E">
        <w:rPr>
          <w:rFonts w:hint="eastAsia"/>
        </w:rPr>
        <w:instrText xml:space="preserve"> Protista (Protozoa) </w:instrText>
      </w:r>
      <w:r w:rsidR="0006613E">
        <w:rPr>
          <w:rFonts w:hint="eastAsia"/>
        </w:rPr>
        <w:instrText>●</w:instrText>
      </w:r>
      <w:r w:rsidR="0006613E">
        <w:rPr>
          <w:rFonts w:hint="eastAsia"/>
        </w:rPr>
        <w:instrText xml:space="preserve"> VirusesSample Characteristics - LocationGlobal countries","container-title":"Scientific Data","DOI":"10.1038/s41597-022-01514-z","ISSN":"2052-4463","issue":"1","</w:instrText>
      </w:r>
      <w:r w:rsidR="0006613E">
        <w:instrText xml:space="preserve">journalAbbreviation":"Sci Data","language":"en","license":"2022 The Author(s)","page":"391","source":"www.nature.com","title":"Country Compendium of the Global Register of Introduced and Invasive Species","URL":"https://www.nature.com/articles/s41597-022-01514-z","volume":"9","author":[{"family":"Pagad","given":"Shyama"},{"family":"Bisset","given":"Stewart"},{"family":"Genovesi","given":"Piero"},{"family":"Groom","given":"Quentin"},{"family":"Hirsch","given":"Tim"},{"family":"Jetz","given":"Walter"},{"family":"Ranipeta","given":"Ajay"},{"family":"Schigel","given":"Dmitry"},{"family":"Sica","given":"Yanina V."},{"family":"McGeoch","given":"Melodie A."}],"accessed":{"date-parts":[["2022",7,25]]},"issued":{"date-parts":[["2022",7,9]]}},"label":"page"}],"schema":"https://github.com/citation-style-language/schema/raw/master/csl-citation.json"} </w:instrText>
      </w:r>
      <w:r w:rsidR="00BF0814" w:rsidRPr="00A9434B">
        <w:fldChar w:fldCharType="separate"/>
      </w:r>
      <w:r w:rsidR="00D13761" w:rsidRPr="00D13761">
        <w:t>(Pagad et al., 2018, 2022)</w:t>
      </w:r>
      <w:r w:rsidR="00BF0814" w:rsidRPr="00A9434B">
        <w:fldChar w:fldCharType="end"/>
      </w:r>
      <w:r w:rsidR="00BF0814" w:rsidRPr="00A9434B">
        <w:t>.</w:t>
      </w:r>
      <w:r>
        <w:t xml:space="preserve"> While it is important that foundations provide the funding that supports non-governmental organizations and academia to generate the early ideas that catalyse larger efforts, these efforts could be connected to the private sector, multilateral banks, and the governments to move ideas from pilot projects and proofs of concept to established, long-term programmes. National strategies for invasive alien species are a central mechanism by which this connection can be enabled.</w:t>
      </w:r>
    </w:p>
    <w:p w14:paraId="3F9F196A" w14:textId="2C0C1F57" w:rsidR="00017C04" w:rsidRDefault="00F50AF9" w:rsidP="008521D1">
      <w:pPr>
        <w:pStyle w:val="Heading2"/>
      </w:pPr>
      <w:bookmarkStart w:id="496" w:name="_Toc74146148"/>
      <w:bookmarkStart w:id="497" w:name="_Toc133428344"/>
      <w:bookmarkStart w:id="498" w:name="_Toc133428802"/>
      <w:bookmarkStart w:id="499" w:name="_Toc147417597"/>
      <w:bookmarkStart w:id="500" w:name="_Toc357613829"/>
      <w:r>
        <w:t>International fundin</w:t>
      </w:r>
      <w:bookmarkEnd w:id="496"/>
      <w:r>
        <w:t>g</w:t>
      </w:r>
      <w:bookmarkEnd w:id="497"/>
      <w:bookmarkEnd w:id="498"/>
      <w:bookmarkEnd w:id="499"/>
      <w:r>
        <w:t xml:space="preserve"> </w:t>
      </w:r>
      <w:bookmarkEnd w:id="500"/>
    </w:p>
    <w:p w14:paraId="559EC19C" w14:textId="27766F21" w:rsidR="00017C04" w:rsidRDefault="00F50AF9">
      <w:r>
        <w:t>The mechanisms described here are not the complete solution to financing the global invasive species problem. However, these mechanisms can drive significant change if they are supported, enacted and implemented by governments, multilateral and bilateral organizations, multilateral development banks, philanthropic foundations, non-governmental organizations, academia</w:t>
      </w:r>
      <w:r w:rsidR="00EB415D">
        <w:t xml:space="preserve"> and</w:t>
      </w:r>
      <w:r>
        <w:t xml:space="preserve"> the private sector, in a coordinated manner with strong support from informed citizens. </w:t>
      </w:r>
    </w:p>
    <w:p w14:paraId="4676702A" w14:textId="3389138B" w:rsidR="00017C04" w:rsidRPr="00C46680" w:rsidRDefault="00F50AF9" w:rsidP="00C46680">
      <w:pPr>
        <w:pStyle w:val="pf0"/>
        <w:rPr>
          <w:rStyle w:val="cf01"/>
          <w:rFonts w:ascii="Times New Roman" w:hAnsi="Times New Roman"/>
          <w:sz w:val="24"/>
        </w:rPr>
      </w:pPr>
      <w:r w:rsidRPr="00C46680">
        <w:t>All the options reviewed in the IPBES invasive alien species assessment could benefit from considering different socioeconomic and cultural realities,</w:t>
      </w:r>
      <w:r w:rsidR="00115F9B">
        <w:t xml:space="preserve"> and</w:t>
      </w:r>
      <w:r w:rsidRPr="00C46680">
        <w:t xml:space="preserve"> presenting common and coordinated strategies that take into account the communities most affected by biological invasions. </w:t>
      </w:r>
      <w:r w:rsidR="001D19EF" w:rsidRPr="00A9434B">
        <w:t xml:space="preserve">There are </w:t>
      </w:r>
      <w:r w:rsidR="001D19EF" w:rsidRPr="00A9434B">
        <w:rPr>
          <w:rStyle w:val="cf01"/>
          <w:rFonts w:ascii="Times New Roman" w:eastAsiaTheme="majorEastAsia" w:hAnsi="Times New Roman" w:cs="Times New Roman"/>
          <w:sz w:val="24"/>
          <w:szCs w:val="24"/>
        </w:rPr>
        <w:t>l</w:t>
      </w:r>
      <w:r w:rsidR="2C7DF285" w:rsidRPr="00A9434B">
        <w:rPr>
          <w:rStyle w:val="cf01"/>
          <w:rFonts w:ascii="Times New Roman" w:eastAsiaTheme="majorEastAsia" w:hAnsi="Times New Roman" w:cs="Times New Roman"/>
          <w:sz w:val="24"/>
          <w:szCs w:val="24"/>
        </w:rPr>
        <w:t>arge difference</w:t>
      </w:r>
      <w:r w:rsidR="7C38E0D1" w:rsidRPr="00A9434B">
        <w:rPr>
          <w:rStyle w:val="cf01"/>
          <w:rFonts w:ascii="Times New Roman" w:eastAsiaTheme="majorEastAsia" w:hAnsi="Times New Roman" w:cs="Times New Roman"/>
          <w:sz w:val="24"/>
          <w:szCs w:val="24"/>
        </w:rPr>
        <w:t>s</w:t>
      </w:r>
      <w:r w:rsidR="2C7DF285" w:rsidRPr="00A9434B">
        <w:rPr>
          <w:rStyle w:val="cf01"/>
          <w:rFonts w:ascii="Times New Roman" w:eastAsiaTheme="majorEastAsia" w:hAnsi="Times New Roman" w:cs="Times New Roman"/>
          <w:sz w:val="24"/>
          <w:szCs w:val="24"/>
        </w:rPr>
        <w:t xml:space="preserve"> </w:t>
      </w:r>
      <w:r w:rsidR="001D19EF" w:rsidRPr="00A9434B">
        <w:rPr>
          <w:rStyle w:val="cf01"/>
          <w:rFonts w:ascii="Times New Roman" w:eastAsiaTheme="majorEastAsia" w:hAnsi="Times New Roman" w:cs="Times New Roman"/>
          <w:sz w:val="24"/>
          <w:szCs w:val="24"/>
        </w:rPr>
        <w:t xml:space="preserve">between </w:t>
      </w:r>
      <w:r w:rsidR="2C7DF285" w:rsidRPr="00A9434B">
        <w:rPr>
          <w:rStyle w:val="cf01"/>
          <w:rFonts w:ascii="Times New Roman" w:eastAsiaTheme="majorEastAsia" w:hAnsi="Times New Roman" w:cs="Times New Roman"/>
          <w:sz w:val="24"/>
          <w:szCs w:val="24"/>
        </w:rPr>
        <w:t xml:space="preserve">countries </w:t>
      </w:r>
      <w:r w:rsidR="001D19EF" w:rsidRPr="00A9434B">
        <w:rPr>
          <w:rStyle w:val="cf01"/>
          <w:rFonts w:ascii="Times New Roman" w:eastAsiaTheme="majorEastAsia" w:hAnsi="Times New Roman" w:cs="Times New Roman"/>
          <w:sz w:val="24"/>
          <w:szCs w:val="24"/>
        </w:rPr>
        <w:t xml:space="preserve">in their capacity </w:t>
      </w:r>
      <w:r w:rsidR="2C7DF285" w:rsidRPr="00A9434B">
        <w:rPr>
          <w:rStyle w:val="cf01"/>
          <w:rFonts w:ascii="Times New Roman" w:eastAsiaTheme="majorEastAsia" w:hAnsi="Times New Roman" w:cs="Times New Roman"/>
          <w:sz w:val="24"/>
          <w:szCs w:val="24"/>
        </w:rPr>
        <w:t xml:space="preserve">to tackle the problem of </w:t>
      </w:r>
      <w:r w:rsidR="00C46680">
        <w:t xml:space="preserve">invasive alien species </w:t>
      </w:r>
      <w:r w:rsidR="00D528CA" w:rsidRPr="00A9434B">
        <w:rPr>
          <w:rStyle w:val="cf01"/>
          <w:rFonts w:ascii="Times New Roman" w:eastAsiaTheme="majorEastAsia" w:hAnsi="Times New Roman" w:cs="Times New Roman"/>
          <w:sz w:val="24"/>
          <w:szCs w:val="24"/>
        </w:rPr>
        <w:fldChar w:fldCharType="begin"/>
      </w:r>
      <w:r w:rsidR="0006613E">
        <w:rPr>
          <w:rStyle w:val="cf01"/>
          <w:rFonts w:ascii="Times New Roman" w:eastAsiaTheme="majorEastAsia" w:hAnsi="Times New Roman" w:cs="Times New Roman"/>
          <w:sz w:val="24"/>
          <w:szCs w:val="24"/>
        </w:rPr>
        <w:instrText xml:space="preserve"> ADDIN ZOTERO_ITEM CSL_CITATION {"citationID":"ad529emtvs","properties":{"formattedCitation":"(Early et al., 2016)","plainCitation":"(Early et al., 2016)","noteIndex":0},"citationItems":[{"id":31649,"uris":["http://zotero.org/groups/2352922/items/XMNL6YLF"],"itemData":{"id":31649,"type":"article-journal","abstract":"Invasive alien species (IAS) threaten human livelihoods and biodiversity globally. Increasing globalization facilitates IAS arrival, and environmental changes, including climate change, facilitate IAS establishment. Here we provide the first global, spatial analysis of the terrestrial threat from IAS in light of twenty-first century globalization and environmental change, and evaluate national capacities to prevent and manage species invasions. We find that one-sixth of the global land surface is highly vulnerable to invasion, including substantial areas in developing economies and biodiversity hotspots. The dominant invasion vectors differ between high-income countries (imports, particularly of plants and pets) and low-income countries (air travel). Uniting data on the causes of introduction and establishment can improve early-warning and eradication schemes. Most countries have limited capacity to act against invasions. In particular, we reveal a clear need for proactive invasion strategies in areas with high poverty levels, high biodiversity and low historical levels of invasion.","container-title":"Nature Communications","DOI":"10.1038/ncomms12485","ISSN":"2041-1723","issue":"1","journalAbbreviation":"Nat Commun","language":"en","page":"12485","source":"DOI.org (Crossref)","title":"Global threats from invasive alien species in the twenty-first century and national response capacities","URL":"http://www.nature.com/articles/ncomms12485","volume":"7","author":[{"family":"Early","given":"Regan"},{"family":"Bradley","given":"Bethany A."},{"family":"Dukes","given":"Jeffrey S."},{"family":"Lawler","given":"Joshua J."},{"family":"Olden","given":"Julian D."},{"family":"Blumenthal","given":"Dana M."},{"family":"Gonzalez","given":"Patrick"},{"family":"Grosholz","given":"Edwin D."},{"family":"Ibañez","given":"Ines"},{"family":"Miller","given":"Luke P."},{"family":"Sorte","given":"Cascade J. B."},{"family":"Tatem","given":"Andrew J."}],"issued":{"date-parts":[["2016",8]]}},"label":"page"}],"schema":"https://github.com/citation-style-language/schema/raw/master/csl-citation.json"} </w:instrText>
      </w:r>
      <w:r w:rsidR="00D528CA" w:rsidRPr="00A9434B">
        <w:rPr>
          <w:rStyle w:val="cf01"/>
          <w:rFonts w:ascii="Times New Roman" w:eastAsiaTheme="majorEastAsia" w:hAnsi="Times New Roman" w:cs="Times New Roman"/>
          <w:sz w:val="24"/>
          <w:szCs w:val="24"/>
        </w:rPr>
        <w:fldChar w:fldCharType="separate"/>
      </w:r>
      <w:r w:rsidR="00C71E80" w:rsidRPr="00A9434B">
        <w:t>(Early et al., 2016)</w:t>
      </w:r>
      <w:r w:rsidR="00D528CA" w:rsidRPr="00A9434B">
        <w:rPr>
          <w:rStyle w:val="cf01"/>
          <w:rFonts w:ascii="Times New Roman" w:eastAsiaTheme="majorEastAsia" w:hAnsi="Times New Roman" w:cs="Times New Roman"/>
          <w:sz w:val="24"/>
          <w:szCs w:val="24"/>
        </w:rPr>
        <w:fldChar w:fldCharType="end"/>
      </w:r>
      <w:r w:rsidR="00D528CA" w:rsidRPr="00A9434B">
        <w:rPr>
          <w:rStyle w:val="cf01"/>
          <w:rFonts w:ascii="Times New Roman" w:eastAsiaTheme="majorEastAsia" w:hAnsi="Times New Roman" w:cs="Times New Roman"/>
          <w:sz w:val="24"/>
          <w:szCs w:val="24"/>
        </w:rPr>
        <w:t xml:space="preserve"> </w:t>
      </w:r>
      <w:r w:rsidR="2C7DF285" w:rsidRPr="00A9434B">
        <w:rPr>
          <w:rStyle w:val="cf01"/>
          <w:rFonts w:ascii="Times New Roman" w:eastAsiaTheme="majorEastAsia" w:hAnsi="Times New Roman" w:cs="Times New Roman"/>
          <w:sz w:val="24"/>
          <w:szCs w:val="24"/>
        </w:rPr>
        <w:t xml:space="preserve">and a significant geographic bias in data availability </w:t>
      </w:r>
      <w:r w:rsidR="002E3571">
        <w:rPr>
          <w:rStyle w:val="cf01"/>
          <w:rFonts w:ascii="Times New Roman" w:eastAsiaTheme="majorEastAsia" w:hAnsi="Times New Roman" w:cs="Times New Roman"/>
          <w:sz w:val="24"/>
          <w:szCs w:val="24"/>
        </w:rPr>
        <w:t xml:space="preserve">regarding </w:t>
      </w:r>
      <w:r w:rsidR="2C7DF285" w:rsidRPr="00A9434B">
        <w:rPr>
          <w:rStyle w:val="cf01"/>
          <w:rFonts w:ascii="Times New Roman" w:eastAsiaTheme="majorEastAsia" w:hAnsi="Times New Roman" w:cs="Times New Roman"/>
          <w:sz w:val="24"/>
          <w:szCs w:val="24"/>
        </w:rPr>
        <w:t>the invasive alien species (</w:t>
      </w:r>
      <w:r w:rsidR="00772E4B">
        <w:rPr>
          <w:rStyle w:val="cf01"/>
          <w:rFonts w:ascii="Times New Roman" w:eastAsiaTheme="majorEastAsia" w:hAnsi="Times New Roman" w:cs="Times New Roman"/>
          <w:b/>
          <w:iCs/>
          <w:sz w:val="24"/>
          <w:szCs w:val="24"/>
        </w:rPr>
        <w:t>C</w:t>
      </w:r>
      <w:r w:rsidR="2C7DF285" w:rsidRPr="00673554">
        <w:rPr>
          <w:rStyle w:val="cf01"/>
          <w:rFonts w:ascii="Times New Roman" w:eastAsiaTheme="majorEastAsia" w:hAnsi="Times New Roman" w:cs="Times New Roman"/>
          <w:b/>
          <w:iCs/>
          <w:sz w:val="24"/>
          <w:szCs w:val="24"/>
        </w:rPr>
        <w:t>hapter 2</w:t>
      </w:r>
      <w:r w:rsidR="001C494E" w:rsidRPr="00673554">
        <w:rPr>
          <w:rStyle w:val="cf01"/>
          <w:rFonts w:ascii="Times New Roman" w:eastAsiaTheme="majorEastAsia" w:hAnsi="Times New Roman" w:cs="Times New Roman"/>
          <w:iCs/>
          <w:sz w:val="24"/>
          <w:szCs w:val="24"/>
        </w:rPr>
        <w:t>,</w:t>
      </w:r>
      <w:r w:rsidR="001C494E" w:rsidRPr="00673554">
        <w:rPr>
          <w:rStyle w:val="cf01"/>
          <w:rFonts w:ascii="Times New Roman" w:eastAsiaTheme="majorEastAsia" w:hAnsi="Times New Roman" w:cs="Times New Roman"/>
          <w:b/>
          <w:iCs/>
          <w:sz w:val="24"/>
          <w:szCs w:val="24"/>
        </w:rPr>
        <w:t xml:space="preserve"> section 2.1.4</w:t>
      </w:r>
      <w:r w:rsidR="2C7DF285" w:rsidRPr="00772E4B">
        <w:rPr>
          <w:rStyle w:val="cf01"/>
          <w:rFonts w:ascii="Times New Roman" w:eastAsiaTheme="majorEastAsia" w:hAnsi="Times New Roman" w:cs="Times New Roman"/>
          <w:sz w:val="24"/>
          <w:szCs w:val="24"/>
        </w:rPr>
        <w:t>;</w:t>
      </w:r>
      <w:r w:rsidR="2C7DF285" w:rsidRPr="00673554">
        <w:rPr>
          <w:rStyle w:val="cf01"/>
          <w:rFonts w:ascii="Times New Roman" w:eastAsiaTheme="majorEastAsia" w:hAnsi="Times New Roman" w:cs="Times New Roman"/>
          <w:b/>
          <w:sz w:val="24"/>
          <w:szCs w:val="24"/>
        </w:rPr>
        <w:t xml:space="preserve"> </w:t>
      </w:r>
      <w:r w:rsidR="2C7DF285" w:rsidRPr="00673554">
        <w:rPr>
          <w:rStyle w:val="cf01"/>
          <w:rFonts w:ascii="Times New Roman" w:eastAsiaTheme="majorEastAsia" w:hAnsi="Times New Roman" w:cs="Times New Roman"/>
          <w:b/>
          <w:iCs/>
          <w:sz w:val="24"/>
          <w:szCs w:val="24"/>
        </w:rPr>
        <w:t>section 6.6.1</w:t>
      </w:r>
      <w:r w:rsidR="0075289D" w:rsidRPr="00673554">
        <w:rPr>
          <w:rStyle w:val="cf01"/>
          <w:rFonts w:ascii="Times New Roman" w:eastAsiaTheme="majorEastAsia" w:hAnsi="Times New Roman" w:cs="Times New Roman"/>
          <w:b/>
          <w:iCs/>
          <w:sz w:val="24"/>
          <w:szCs w:val="24"/>
        </w:rPr>
        <w:t>(3)</w:t>
      </w:r>
      <w:r w:rsidR="2C7DF285" w:rsidRPr="00A9434B">
        <w:rPr>
          <w:rStyle w:val="cf01"/>
          <w:rFonts w:ascii="Times New Roman" w:eastAsiaTheme="majorEastAsia" w:hAnsi="Times New Roman" w:cs="Times New Roman"/>
          <w:sz w:val="24"/>
          <w:szCs w:val="24"/>
        </w:rPr>
        <w:t>)</w:t>
      </w:r>
      <w:r w:rsidR="000A350C" w:rsidRPr="00A9434B">
        <w:rPr>
          <w:rStyle w:val="cf01"/>
          <w:rFonts w:ascii="Times New Roman" w:eastAsiaTheme="majorEastAsia" w:hAnsi="Times New Roman" w:cs="Times New Roman"/>
          <w:sz w:val="24"/>
          <w:szCs w:val="24"/>
        </w:rPr>
        <w:t>.</w:t>
      </w:r>
      <w:r w:rsidRPr="00C12647">
        <w:rPr>
          <w:color w:val="000000" w:themeColor="text1"/>
        </w:rPr>
        <w:t xml:space="preserve"> These limitations have hampered global efforts to reduce the introduction of alien species and prevent their impacts. Flow of financial and other resources from developed countries to developing countries, particularly in Asia and Africa, can </w:t>
      </w:r>
      <w:r w:rsidRPr="00C46680">
        <w:rPr>
          <w:rStyle w:val="cf01"/>
          <w:rFonts w:ascii="Times New Roman" w:hAnsi="Times New Roman"/>
          <w:sz w:val="24"/>
        </w:rPr>
        <w:t xml:space="preserve">improve the understanding of the complex phenomena associated with biological invasions and help developing countries in their efforts to prevention and control of invasive alien species. </w:t>
      </w:r>
    </w:p>
    <w:p w14:paraId="48B9C3B7" w14:textId="08079FEC" w:rsidR="00017C04" w:rsidRDefault="00F50AF9">
      <w:r>
        <w:t xml:space="preserve">Multilateral development banks are in a great position to lead change towards suitable development </w:t>
      </w:r>
      <w:r w:rsidR="00D528CA" w:rsidRPr="003101C3">
        <w:fldChar w:fldCharType="begin"/>
      </w:r>
      <w:r w:rsidR="0006613E">
        <w:instrText xml:space="preserve"> ADDIN ZOTERO_ITEM CSL_CITATION {"citationID":"a18gk39hkqk","properties":{"formattedCitation":"(Handl, 1998; Trillo, 2021)","plainCitation":"(Handl, 1998; Trillo, 2021)","noteIndex":0},"citationItems":[{"id":54741,"uris":["http://zotero.org/groups/2352922/items/LIPSFC83"],"itemData":{"id":54741,"type":"article-journal","container-title":"American Journal of International Law","DOI":"10.2307/2998127","issue":"4","note":"ISBN: 0002-9300\npublisher: Cambridge University Press","page":"642-665","title":"The legal mandate of multilateral development banks as agents for change toward sustainable development","volume":"92","author":[{"family":"Handl","given":"Günther"}],"issued":{"date-parts":[["1998"]]}},"label":"page"},{"id":54742,"uris":["http://zotero.org/groups/2352922/items/9MDTREM3"],"itemData":{"id":54742,"type":"article-journal","container-title":"Environmental Law Reporter","issue":"9","note":"publisher: HeinOnline","page":"10762-10772","title":"Using Multilateral Development Banks to Achieve Paris Climate Goals","URL":"https://heinonline.org/HOL/Page?handle=hein.journals/elrna51&amp;id=1&amp;collection=journals&amp;index=","volume":"51","author":[{"family":"Trillo","given":"Theresa"}],"issued":{"date-parts":[["2021"]]}}}],"schema":"https://github.com/citation-style-language/schema/raw/master/csl-citation.json"} </w:instrText>
      </w:r>
      <w:r w:rsidR="00D528CA" w:rsidRPr="003101C3">
        <w:fldChar w:fldCharType="separate"/>
      </w:r>
      <w:r w:rsidR="00C71E80" w:rsidRPr="003101C3">
        <w:t>(Handl, 1998; Trillo, 2021)</w:t>
      </w:r>
      <w:r w:rsidR="00D528CA" w:rsidRPr="003101C3">
        <w:fldChar w:fldCharType="end"/>
      </w:r>
      <w:r>
        <w:t xml:space="preserve"> and achieving the targets set by the Kunming-Montreal Global Biodiversity Framework. At UNFCCC COP 26 in Glasgow, U</w:t>
      </w:r>
      <w:r w:rsidR="00273868">
        <w:t xml:space="preserve">nited </w:t>
      </w:r>
      <w:r>
        <w:t>K</w:t>
      </w:r>
      <w:r w:rsidR="00273868">
        <w:t>ingdom</w:t>
      </w:r>
      <w:r>
        <w:t xml:space="preserve">, ten multilateral development banks signed a </w:t>
      </w:r>
      <w:r w:rsidR="002E3571">
        <w:t>j</w:t>
      </w:r>
      <w:r>
        <w:t xml:space="preserve">oint </w:t>
      </w:r>
      <w:r w:rsidR="002E3571">
        <w:t>s</w:t>
      </w:r>
      <w:r>
        <w:t xml:space="preserve">tatement on Nature, People and Planet </w:t>
      </w:r>
      <w:r w:rsidR="00D528CA" w:rsidRPr="003101C3">
        <w:fldChar w:fldCharType="begin"/>
      </w:r>
      <w:r w:rsidR="0006613E">
        <w:instrText xml:space="preserve"> ADDIN ZOTERO_ITEM CSL_CITATION {"citationID":"aramlfjdle","properties":{"formattedCitation":"(Messetchkova, 2021)","plainCitation":"(Messetchkova, 2021)","noteIndex":0},"citationItems":[{"id":54743,"uris":["http://zotero.org/groups/2352922/items/JKVHUJIF"],"itemData":{"id":54743,"type":"webpage","abstract":"Joint Statement by the Multilateral Development Banks: Nature, People and Planet. The following MDBs endorse this joint statement: Asian Development Bank, African Development Bank, Asian Infrastructure Investment Bank, Caribbean Development Bank, European Bank for Reconstruction and Development, European Investment Bank, Inter-American Development Bank, IDB Invest, Islamic Development Bank, and World Bank Group. Preamble  1.1 Naturei, (including ecosystems […]","container-title":"UN Climate Change Conference (COP26) at the SEC – Glasgow 2021","language":"en-GB","title":"MDB Joint Nature Statement","URL":"https://ukcop26.org/mdb-joint-statement/","author":[{"family":"Messetchkova","given":"Iana"}],"accessed":{"date-parts":[["2023",3,9]]},"issued":{"date-parts":[["2021",11,2]]}}}],"schema":"https://github.com/citation-style-language/schema/raw/master/csl-citation.json"} </w:instrText>
      </w:r>
      <w:r w:rsidR="00D528CA" w:rsidRPr="003101C3">
        <w:fldChar w:fldCharType="separate"/>
      </w:r>
      <w:r w:rsidR="00C71E80" w:rsidRPr="003101C3">
        <w:t>(Messetchkova, 2021)</w:t>
      </w:r>
      <w:r w:rsidR="00D528CA" w:rsidRPr="003101C3">
        <w:fldChar w:fldCharType="end"/>
      </w:r>
      <w:r w:rsidR="007B6385" w:rsidRPr="003101C3">
        <w:t>,</w:t>
      </w:r>
      <w:r>
        <w:t xml:space="preserve"> which recognizes that “tackling global poverty, climate change, and the drivers of nature and </w:t>
      </w:r>
      <w:r>
        <w:lastRenderedPageBreak/>
        <w:t>biodiversity loss are inextricably linked and affirms their commitment to further mainstream nature into their policies, analyses, investments, and operations</w:t>
      </w:r>
      <w:r>
        <w:rPr>
          <w:i/>
        </w:rPr>
        <w:t>.</w:t>
      </w:r>
      <w:r>
        <w:t>” under this banner, projects sponsored by these institutions could consider projects aimed at reversing the nature loss caused by invasive alien species.</w:t>
      </w:r>
    </w:p>
    <w:p w14:paraId="19960FC3" w14:textId="5EBD064C" w:rsidR="00017C04" w:rsidRDefault="00F50AF9">
      <w:r>
        <w:t xml:space="preserve">While it is true that the CBD or the Global Environment Facility could serve to mobilize financial resources, the burden of financing a global strategy need not fall solely on governments and their fiscal policies. It is beneficial to involve all sectors and actors in order to expand the financial resources available. This could also increase the scope of public policies and private sector practices towards sustainability. The need to increase the level of financial resources from all sources and increase the availability of these resources for developing countries is embedded in </w:t>
      </w:r>
      <w:r w:rsidR="00351A46">
        <w:t>T</w:t>
      </w:r>
      <w:r>
        <w:t>arget 19 of the Kunming-Montreal Global Biodiversity Framework. Key to this effort will be framing these efforts as medium- and long-term investment opportunities, rather than as necessary sacrifices.</w:t>
      </w:r>
    </w:p>
    <w:p w14:paraId="2CE75BDF" w14:textId="6A8C5854" w:rsidR="00017C04" w:rsidRDefault="00F50AF9">
      <w:r>
        <w:t xml:space="preserve">The report on the global biodiversity financing gap estimates that between 722 and 967 billion </w:t>
      </w:r>
      <w:r w:rsidR="002E3571">
        <w:t xml:space="preserve">dollars </w:t>
      </w:r>
      <w:r>
        <w:t xml:space="preserve">would be needed to sufficiently confront the crisis, with invasive alien species alone representing between 36 and 84 billion dollars </w:t>
      </w:r>
      <w:r w:rsidR="002F2897" w:rsidRPr="00A9434B">
        <w:fldChar w:fldCharType="begin"/>
      </w:r>
      <w:r w:rsidR="0006613E">
        <w:instrText xml:space="preserve"> ADDIN ZOTERO_ITEM CSL_CITATION {"citationID":"auptb8ho0p","properties":{"formattedCitation":"(Deutz et al., 2020)","plainCitation":"(Deutz et al., 2020)","noteIndex":0},"citationItems":[{"id":10888,"uris":["http://zotero.org/groups/2352922/items/TIMUBLT7"],"itemData":{"id":10888,"type":"report","genre":"Full Report","publisher":"The Paulson Institute, The Nature Conservancy, and the Cornell Atkinson Center for Sustainability","title":"Financing Nature: Closing the Global Biodiversity Financing Gap","URL":"https://www.paulsoninstitute.org/wp-content/uploads/2020/09/FINANCING-NATURE_Full-Report_Final-Version_091520.pdf","author":[{"family":"Deutz","given":"Andrew"},{"family":"Heal","given":"Geoffrey M."},{"family":"Niu","given":"Rose"},{"family":"Swanson","given":"Eric"},{"family":"Townshend","given":"Terry"},{"family":"Zhu","given":"Li"},{"family":"Delmar","given":"Alejandro"},{"family":"Meghji","given":"Alqayam"},{"family":"Sethi","given":"Suresh A."},{"family":"Tobin-de la Puente","given":"John"}],"issued":{"date-parts":[["2020"]]}},"label":"page"}],"schema":"https://github.com/citation-style-language/schema/raw/master/csl-citation.json"} </w:instrText>
      </w:r>
      <w:r w:rsidR="002F2897" w:rsidRPr="00A9434B">
        <w:fldChar w:fldCharType="separate"/>
      </w:r>
      <w:r w:rsidR="00C71E80" w:rsidRPr="00A9434B">
        <w:t>(Deutz et al., 2020)</w:t>
      </w:r>
      <w:r w:rsidR="002F2897" w:rsidRPr="00A9434B">
        <w:fldChar w:fldCharType="end"/>
      </w:r>
      <w:r w:rsidR="002F2897" w:rsidRPr="00A9434B">
        <w:t xml:space="preserve">. However, these estimates have wide ranges of error due to the limited availability of global biodiversity indicators </w:t>
      </w:r>
      <w:r w:rsidR="002F2897" w:rsidRPr="00A9434B">
        <w:fldChar w:fldCharType="begin"/>
      </w:r>
      <w:r w:rsidR="0006613E">
        <w:instrText xml:space="preserve"> ADDIN ZOTERO_ITEM CSL_CITATION {"citationID":"aj3sk49i99","properties":{"formattedCitation":"(Mcowen et al., 2016)","plainCitation":"(Mcowen et al., 2016)","noteIndex":0},"citationItems":[{"id":16045,"uris":["http://zotero.org/groups/2352922/items/YXVRNQ63"],"itemData":{"id":16045,"type":"article-journal","abstract":"Biodiversity indicators are widely used tools to help determine rates of biodiversity change and the success or failure of efforts to conserve it. However, their sufﬁciency and suitability in providing information for decision-makers is unclear. Here, we review the indicators brought together under the Biodiversity Indicator Partnership to monitor progress towards the Aichi Targets to determine where there are gaps. Of the 20 Aichi Biodiversity Targets, Targets 2, 3, and 15 are missing indicators entirely. Scoring the indicators in relation to their alignment, temporal relevance and spatial scale shows additional gaps under Targets 1, 13, and 16–20. Predominately, gaps were found to be socioeconomic in nature (i.e., beneﬁts, pressures, and responses) rather than statusrelated (i.e., states), principally due to a poor alignment between the indicator and the text of the Aichi Target. Hence, it is critical that existing indicators are properly resourced and maintained and new indicators developed to be able to effectively monitor biodiversity and its inﬂuencing factors to 2020 and beyond.","container-title":"Conservation Letters","DOI":"10.1111/conl.12329","ISSN":"1755263X","issue":"6","journalAbbreviation":"CONSERVATION LETTERS","language":"en","page":"489-494","source":"DOI.org (Crossref)","title":"Sufficiency and Suitability of Global Biodiversity Indicators for Monitoring Progress to 2020 Targets","title-short":"Sufficiency and Suitability of Global Biodiversity Indicators for Monitoring Progress to 2020 Targets","URL":"http://doi.wiley.com/10.1111/conl.12329","volume":"9","author":[{"family":"Mcowen","given":"Chris J."},{"family":"Ivory","given":"Sarah"},{"family":"Dixon","given":"Matthew J. R."},{"family":"Regan","given":"Eugenie C."},{"family":"Obrecht","given":"Andreas"},{"family":"Tittensor","given":"Derek P."},{"family":"Teller","given":"Anne"},{"family":"Chenery","given":"Anna M."}],"accessed":{"date-parts":[["2019",11,9]]},"issued":{"date-parts":[["2016",11]]}},"label":"page"}],"schema":"https://github.com/citation-style-language/schema/raw/master/csl-citation.json"} </w:instrText>
      </w:r>
      <w:r w:rsidR="002F2897" w:rsidRPr="00A9434B">
        <w:fldChar w:fldCharType="separate"/>
      </w:r>
      <w:r w:rsidR="00C71E80" w:rsidRPr="00A9434B">
        <w:t>(Mcowen et al., 2016)</w:t>
      </w:r>
      <w:r w:rsidR="002F2897" w:rsidRPr="00A9434B">
        <w:fldChar w:fldCharType="end"/>
      </w:r>
      <w:r w:rsidR="000F47FD" w:rsidRPr="00A9434B">
        <w:t>,</w:t>
      </w:r>
      <w:r w:rsidR="002F2897" w:rsidRPr="00A9434B">
        <w:t xml:space="preserve"> as well as many of the data gaps described </w:t>
      </w:r>
      <w:r w:rsidR="000F47FD" w:rsidRPr="00A9434B">
        <w:t xml:space="preserve">elsewhere in this </w:t>
      </w:r>
      <w:r w:rsidR="002E3571">
        <w:t>a</w:t>
      </w:r>
      <w:r w:rsidR="002F2897" w:rsidRPr="00A9434B">
        <w:t>ssessment.</w:t>
      </w:r>
      <w:r>
        <w:t xml:space="preserve"> Many uncertainties are related to future investments and the different funding mechanisms that could directly or indirectly support efforts against invasive alien species, but two things are clear: it is possible to reduce the need to invest in the control of and increase investment in the prevention of invasive alien species. </w:t>
      </w:r>
    </w:p>
    <w:p w14:paraId="42BC3E0C" w14:textId="77777777" w:rsidR="00017C04" w:rsidRDefault="00F50AF9">
      <w:r>
        <w:t>In the era of climate change wherein there is a growing understanding of the interconnectedness of all human activities, both sustainable and unsustainable, it is also paramount not to ignore the ways in which invasive alien species and efforts to combat them might influence and be influenced by other conservation efforts. For example, an important source of funding for biodiversity conservation in general is the carbon credit market, wherein governments voluntarily create offset mechanisms for sustainable forestry practices. Although this funding does not explicitly target biological invasions, establishing transnational safeguards in relation to reforestation and other restoration practices will help to quantify the contribution of carbon credit markets financial mechanisms to preventing invasions.</w:t>
      </w:r>
    </w:p>
    <w:p w14:paraId="4AA52980" w14:textId="77777777" w:rsidR="00017C04" w:rsidRDefault="00F50AF9">
      <w:pPr>
        <w:spacing w:before="0" w:after="0"/>
      </w:pPr>
      <w:r>
        <w:br w:type="page"/>
      </w:r>
    </w:p>
    <w:p w14:paraId="3D35F6DB" w14:textId="77777777" w:rsidR="00017C04" w:rsidRDefault="00F50AF9" w:rsidP="00C46680">
      <w:pPr>
        <w:pStyle w:val="Heading1"/>
        <w:numPr>
          <w:ilvl w:val="1"/>
          <w:numId w:val="10"/>
        </w:numPr>
      </w:pPr>
      <w:bookmarkStart w:id="501" w:name="_Toc84313145"/>
      <w:bookmarkStart w:id="502" w:name="_Toc133428345"/>
      <w:bookmarkStart w:id="503" w:name="_Toc133428803"/>
      <w:bookmarkStart w:id="504" w:name="_Toc147417598"/>
      <w:r>
        <w:lastRenderedPageBreak/>
        <w:t>Information options</w:t>
      </w:r>
      <w:bookmarkEnd w:id="501"/>
      <w:bookmarkEnd w:id="502"/>
      <w:bookmarkEnd w:id="503"/>
      <w:bookmarkEnd w:id="504"/>
    </w:p>
    <w:p w14:paraId="5A4C03DA" w14:textId="7D4BCFE3" w:rsidR="00017C04" w:rsidRDefault="00F50AF9">
      <w:r>
        <w:t xml:space="preserve">Knowledge of invasive alien species is deeply embedded in the knowledge of the natural world, such as how organisms live, reproduce, disperse and interact. This knowledge is in turn </w:t>
      </w:r>
      <w:r w:rsidR="002E3571">
        <w:t>disseminated</w:t>
      </w:r>
      <w:r>
        <w:t xml:space="preserve"> as information, in different languages, cultures, media</w:t>
      </w:r>
      <w:r w:rsidR="00EB415D">
        <w:t xml:space="preserve"> and</w:t>
      </w:r>
      <w:r>
        <w:t xml:space="preserve"> disciplines. Much of it is not permanently preserved, either because it is experience in the minds of practitioners or because it is documented on temporary media. Some information, particularly from scientific publications, is available only from specialized libraries and databases or only at great expense or in a limited number of languages </w:t>
      </w:r>
      <w:r w:rsidR="00C436F4" w:rsidRPr="00A9434B">
        <w:rPr>
          <w:rFonts w:eastAsia="Calibri Light"/>
        </w:rPr>
        <w:fldChar w:fldCharType="begin"/>
      </w:r>
      <w:r w:rsidR="0006613E">
        <w:rPr>
          <w:rFonts w:eastAsia="Calibri Light"/>
        </w:rPr>
        <w:instrText xml:space="preserve"> ADDIN ZOTERO_ITEM CSL_CITATION {"citationID":"a24qiftlgn1","properties":{"formattedCitation":"(Nu\\uc0\\u241{}ez &amp; Amano, 2021)","plainCitation":"(Nuñez &amp; Amano, 2021)","noteIndex":0},"citationItems":[{"id":30607,"uris":["http://zotero.org/groups/2352922/items/HEHCRLUZ"],"itemData":{"id":30607,"type":"article-journal","container-title":"Nature Ecology &amp; Evolution","DOI":"10.1038/s41559-020-01369-w","ISSN":"2397-334X","issue":"3","journalAbbreviation":"Nat Ecol Evol","language":"en","page":"264","source":"DOI.org (Crossref)","title":"Monolingual searches can limit and bias results in global literature reviews","URL":"http://www.nature.com/articles/s41559-020-01369-w","volume":"5","author":[{"family":"Nuñez","given":"Martin A."},{"family":"Amano","given":"Tatsuya"}],"accessed":{"date-parts":[["2021",9,29]]},"issued":{"date-parts":[["2021",3]]}},"label":"page"}],"schema":"https://github.com/citation-style-language/schema/raw/master/csl-citation.json"} </w:instrText>
      </w:r>
      <w:r w:rsidR="00C436F4" w:rsidRPr="00A9434B">
        <w:rPr>
          <w:rFonts w:eastAsia="Calibri Light"/>
        </w:rPr>
        <w:fldChar w:fldCharType="separate"/>
      </w:r>
      <w:r w:rsidR="00C71E80" w:rsidRPr="00A9434B">
        <w:t>(Nuñez &amp; Amano, 2021)</w:t>
      </w:r>
      <w:r w:rsidR="00C436F4" w:rsidRPr="00A9434B">
        <w:rPr>
          <w:rFonts w:eastAsia="Calibri Light"/>
        </w:rPr>
        <w:fldChar w:fldCharType="end"/>
      </w:r>
      <w:r w:rsidR="00CC4659" w:rsidRPr="00A9434B">
        <w:rPr>
          <w:rFonts w:eastAsia="Calibri Light"/>
        </w:rPr>
        <w:t>.</w:t>
      </w:r>
      <w:r>
        <w:t xml:space="preserve"> Other knowledge, for example, of pastoralists, is passed down orally between generations and is not necessarily documented. Some knowledge has been rigorously tested using the scientific method, whereas other knowledge is based on observations or on a belief system </w:t>
      </w:r>
      <w:r w:rsidR="00CC4659" w:rsidRPr="00A9434B">
        <w:rPr>
          <w:rFonts w:eastAsia="Times New Roman"/>
        </w:rPr>
        <w:fldChar w:fldCharType="begin"/>
      </w:r>
      <w:r w:rsidR="0006613E">
        <w:rPr>
          <w:rFonts w:eastAsia="Calibri Light"/>
        </w:rPr>
        <w:instrText xml:space="preserve"> ADDIN ZOTERO_ITEM CSL_CITATION {"citationID":"kkfONt1K","properties":{"formattedCitation":"(Shackleton, Richardson, et al., 2019)","plainCitation":"(Shackleton, Richardson, et al., 2019)","noteIndex":0},"citationItems":[{"id":56685,"uris":["http://zotero.org/groups/2352922/items/VMEJ4YLE","http://zotero.org/groups/2352922/items/4BWBLIBN"],"itemData":{"id":56685,"type":"article-journal","container-title":"Journal of Environmental Management","DOI":"10.1016/j.jenvman.2018.04.045","ISSN":"03014797","journalAbbreviation":"Journal of Environmental Management","language":"en","page":"10-26","source":"DOI.org (Crossref)","title":"Explaining people's perceptions of invasive alien species: A conceptual framework","title-short":"Explaining people's perceptions of invasive alien species","URL":"https://linkinghub.elsevier.com/retrieve/pii/S0301479718304274","volume":"229","author":[{"family":"Shackleton","given":"Ross T."},{"family":"Richardson","given":"David M."},{"family":"Shackleton","given":"Charlie M."},{"family":"Bennett","given":"Brett"},{"family":"Crowley","given":"Sarah L."},{"family":"Dehnen-Schmutz","given":"Katharina"},{"family":"Estévez","given":"Rodrigo A."},{"family":"Fischer","given":"Anke"},{"family":"Kueffer","given":"Christoph"},{"family":"Kull","given":"Christian A."},{"family":"Marchante","given":"Elizabete"},{"family":"Novoa","given":"Ana"},{"family":"Potgieter","given":"Luke J."},{"family":"Vaas","given":"Jetske"},{"family":"Vaz","given":"Ana S."},{"family":"Larson","given":"Brendon M.H."}],"accessed":{"date-parts":[["2023",6,8]]},"issued":{"date-parts":[["2019",1]]}}}],"schema":"https://github.com/citation-style-language/schema/raw/master/csl-citation.json"} </w:instrText>
      </w:r>
      <w:r w:rsidR="00CC4659" w:rsidRPr="00A9434B">
        <w:rPr>
          <w:rFonts w:eastAsia="Calibri Light"/>
        </w:rPr>
        <w:fldChar w:fldCharType="separate"/>
      </w:r>
      <w:r w:rsidR="00F0011F" w:rsidRPr="00F0011F">
        <w:t>(Shackleton, Richardson, et al., 2019)</w:t>
      </w:r>
      <w:r w:rsidR="00CC4659" w:rsidRPr="00A9434B">
        <w:rPr>
          <w:rFonts w:eastAsia="Calibri Light"/>
        </w:rPr>
        <w:fldChar w:fldCharType="end"/>
      </w:r>
      <w:r w:rsidR="00CC4659" w:rsidRPr="00A9434B">
        <w:rPr>
          <w:rFonts w:eastAsia="Calibri Light"/>
        </w:rPr>
        <w:t>.</w:t>
      </w:r>
    </w:p>
    <w:p w14:paraId="313CA94C" w14:textId="77777777" w:rsidR="00017C04" w:rsidRDefault="00F50AF9">
      <w:r>
        <w:t>Even if invasive alien species knowledge were all documented and adequately archived there are problems associated with delivering this knowledge to the people who need it. For example, alien species are, by definition, remote from their origins. In the initial stages of an invasion, knowledge of the invader is likely to be better in its native range, or in previously invaded areas, than in the newly invaded range. This disparity includes both access to written knowledge and communication with practitioners who have experience of the invader. Thus, much knowledge that exists on invasive alien species is not adequately findable.</w:t>
      </w:r>
    </w:p>
    <w:p w14:paraId="7F37A00C" w14:textId="77777777" w:rsidR="00017C04" w:rsidRDefault="00F50AF9">
      <w:r>
        <w:t>Invasive alien species span the full taxonomic range of species, from large mammals and trees to protozoa and algae (</w:t>
      </w:r>
      <w:r>
        <w:rPr>
          <w:b/>
        </w:rPr>
        <w:t>Chapter 1</w:t>
      </w:r>
      <w:r>
        <w:t>,</w:t>
      </w:r>
      <w:r>
        <w:rPr>
          <w:b/>
        </w:rPr>
        <w:t xml:space="preserve"> section 1.3.1</w:t>
      </w:r>
      <w:r>
        <w:t xml:space="preserve">). It is therefore hard to generalize about the information required to support policy on invasive alien species. Knowledge is required both in depth and breadth. That is to say, detailed information on some invasive alien species can provide strong evidence for policy decisions. Yet a broad overview of all alien species would be needed to foresee future threats and to understand the impact of invasive alien species on other species and on people. This makes prioritization of knowledge acquisition difficult, particularly in view of the level of uncertainty in the threats. </w:t>
      </w:r>
    </w:p>
    <w:p w14:paraId="3E7D1984" w14:textId="78047377" w:rsidR="00CC4659" w:rsidRPr="00A9434B" w:rsidRDefault="00CC4659" w:rsidP="006B3143">
      <w:r w:rsidRPr="00A9434B">
        <w:rPr>
          <w:rFonts w:eastAsia="Calibri Light"/>
        </w:rPr>
        <w:t xml:space="preserve">Much of the </w:t>
      </w:r>
      <w:r w:rsidR="0069512B" w:rsidRPr="00A9434B">
        <w:rPr>
          <w:rFonts w:eastAsia="Calibri Light"/>
        </w:rPr>
        <w:t xml:space="preserve">information on </w:t>
      </w:r>
      <w:r w:rsidR="00AC2216" w:rsidRPr="00A9434B">
        <w:rPr>
          <w:rFonts w:eastAsia="Calibri Light"/>
        </w:rPr>
        <w:t>i</w:t>
      </w:r>
      <w:r w:rsidRPr="00A9434B">
        <w:rPr>
          <w:rFonts w:eastAsia="Calibri Light"/>
        </w:rPr>
        <w:t xml:space="preserve">nvasive alien species is provided by general sources of biodiversity knowledge </w:t>
      </w:r>
      <w:r w:rsidRPr="00A9434B">
        <w:rPr>
          <w:rFonts w:eastAsia="Times New Roman"/>
        </w:rPr>
        <w:fldChar w:fldCharType="begin"/>
      </w:r>
      <w:r w:rsidR="0006613E">
        <w:rPr>
          <w:rFonts w:eastAsia="Calibri Light"/>
        </w:rPr>
        <w:instrText xml:space="preserve"> ADDIN ZOTERO_ITEM CSL_CITATION {"citationID":"ag0snp6ugd","properties":{"formattedCitation":"(Ram\\uc0\\u237{}rez-Albores et al., 2019)","plainCitation":"(Ramírez-Albores et al., 2019)","noteIndex":0},"citationItems":[{"id":24210,"uris":["http://zotero.org/groups/2352922/items/VS4VS63V"],"itemData":{"id":24210,"type":"article-journal","abstract":"Interest in invasive species has increased around the world over the last several decades. In Mexico, studies on invasive species date as early as 1939 and the number of publications has increased considerably in recent decades. However, to our knowledge, the analysis of information gaps and research priorities is lacking. Therefore, it is necessary to identify gaps in the knowledge of invasive species in order to define future research priorities and focus conservation efforts. We assessed the current state of knowledge of biological invasions in Mexico based on the existing literature. Our aim was to identify in which areas information is absent or insufficient and which areas should be prioritised. We identified a total of 869 references. The number of references increased over time and the topics were strongly biased towards two areas: 1) natural history and geographical distribution patterns and 2) effects on native biota and ecosystems. The remaining topics were only moderately or poorly studied. Most studies focused on vascular plants (n = 280) and fishes (n = 174). Notably, a large portion of the references (n = 215) focused on only eight invasive alien species, including their ecological and socioeconomic impacts. Only 95 references examined the effects of alien species on biodiversity; these studies were mainly carried out on islands (n = 41) or in terrestrial or freshwater ecosystems in protected natural areas (n = 165). The findings of the present review can guide future studies in filling in the existing research gaps on biological invasions. Additionally, future studies should aim to define national priorities of the impacts of biological invasions and to promote the prevention and control of alien species by considering the distinct vectors and pathways of introduction and movement.","container-title":"NeoBiota","DOI":"10.3897/neobiota.48.36201","ISSN":"1314-2488","language":"en","license":"2020Jorge E. Ramírez-Albores, Ernesto I. Badano, Joel Flores, José Luis Flores-Flores, Laura Yáñez-Espinosa","page":"113-127","source":"neobiota.pensoft.net","title":"Scientific literature on invasive alien species in a megadiverse country: advances and challenges in Mexico","title-short":"Scientific literature on invasive alien species in a megadiverse country","URL":"https://neobiota.pensoft.net/article/36201/","volume":"48","author":[{"family":"Ramírez-Albores","given":"Jorge E."},{"family":"Badano","given":"Ernesto I."},{"family":"Flores","given":"Joel"},{"family":"Flores-Flores","given":"José Luis"},{"family":"Yáñez-Espinosa","given":"Laura"}],"accessed":{"date-parts":[["2020",6,3]]},"issued":{"date-parts":[["2019",7,16]]}},"label":"page"}],"schema":"https://github.com/citation-style-language/schema/raw/master/csl-citation.json"} </w:instrText>
      </w:r>
      <w:r w:rsidRPr="00A9434B">
        <w:rPr>
          <w:rFonts w:eastAsia="Calibri Light"/>
        </w:rPr>
        <w:fldChar w:fldCharType="separate"/>
      </w:r>
      <w:r w:rsidR="00C71E80" w:rsidRPr="00A9434B">
        <w:t>(Ramírez-Albores et al., 2019)</w:t>
      </w:r>
      <w:r w:rsidRPr="00A9434B">
        <w:rPr>
          <w:rFonts w:eastAsia="Calibri Light"/>
        </w:rPr>
        <w:fldChar w:fldCharType="end"/>
      </w:r>
      <w:r w:rsidRPr="00A9434B">
        <w:rPr>
          <w:rFonts w:eastAsia="Calibri Light"/>
        </w:rPr>
        <w:t xml:space="preserve">. Knowledge sources specific to invasive alien species are also available </w:t>
      </w:r>
      <w:r w:rsidRPr="00A9434B">
        <w:rPr>
          <w:rFonts w:eastAsia="Times New Roman"/>
        </w:rPr>
        <w:fldChar w:fldCharType="begin"/>
      </w:r>
      <w:r w:rsidR="0006613E">
        <w:rPr>
          <w:rFonts w:eastAsia="Calibri Light"/>
        </w:rPr>
        <w:instrText xml:space="preserve"> ADDIN ZOTERO_ITEM CSL_CITATION {"citationID":"a11i96l8ejf","properties":{"formattedCitation":"(Ricciardi et al., 2000)","plainCitation":"(Ricciardi et al., 2000)","noteIndex":0},"citationItems":[{"id":23819,"uris":["http://zotero.org/groups/2352922/items/836VV7XI"],"itemData":{"id":23819,"type":"article-journal","container-title":"BioScience","DOI":"10.1641/0006-3568(2000)050[0239:TAGISF]2.3.CO;2","ISSN":"0006-3568","issue":"3","journalAbbreviation":"BioScience","language":"en","page":"239–244","source":"DOI.org (Crossref)","title":"Toward a Global Information System for Invasive Species","URL":"https://academic.oup.com/bioscience/article/50/3/239-244/241482","volume":"50","author":[{"family":"Ricciardi","given":"Anthony"},{"family":"Steiner","given":"William W. M."},{"family":"Mack","given":"Richard N."},{"family":"Simberloff","given":"Daniel"}],"accessed":{"date-parts":[["2020",5,7]]},"issued":{"date-parts":[["2000"]]}},"label":"page"}],"schema":"https://github.com/citation-style-language/schema/raw/master/csl-citation.json"} </w:instrText>
      </w:r>
      <w:r w:rsidRPr="00A9434B">
        <w:rPr>
          <w:rFonts w:eastAsia="Calibri Light"/>
        </w:rPr>
        <w:fldChar w:fldCharType="separate"/>
      </w:r>
      <w:r w:rsidR="00C71E80" w:rsidRPr="00A9434B">
        <w:t>(Ricciardi et al., 2000)</w:t>
      </w:r>
      <w:r w:rsidRPr="00A9434B">
        <w:rPr>
          <w:rFonts w:eastAsia="Calibri Light"/>
        </w:rPr>
        <w:fldChar w:fldCharType="end"/>
      </w:r>
      <w:r w:rsidRPr="00A9434B">
        <w:rPr>
          <w:rFonts w:eastAsia="Calibri Light"/>
        </w:rPr>
        <w:t>, but are restricted to those species known to be alien. In both cases, these sources are often nationally or regionally circumscribed and created for local readers in their own language.</w:t>
      </w:r>
    </w:p>
    <w:p w14:paraId="7571C3D0" w14:textId="6E23DBAA" w:rsidR="00017C04" w:rsidRPr="00C46680" w:rsidRDefault="00F50AF9">
      <w:pPr>
        <w:rPr>
          <w:bdr w:val="none" w:sz="0" w:space="0" w:color="auto" w:frame="1"/>
        </w:rPr>
      </w:pPr>
      <w:r>
        <w:t xml:space="preserve">This section first broadly summarizes the knowledge needs identified by previous chapters of this assessment (summarized in </w:t>
      </w:r>
      <w:r w:rsidR="006D6771" w:rsidRPr="00673554">
        <w:rPr>
          <w:rFonts w:eastAsia="Calibri Light"/>
          <w:b/>
          <w:bCs/>
          <w:iCs/>
        </w:rPr>
        <w:fldChar w:fldCharType="begin"/>
      </w:r>
      <w:r w:rsidR="006D6771" w:rsidRPr="00673554">
        <w:rPr>
          <w:rFonts w:eastAsia="Calibri Light"/>
          <w:b/>
          <w:bCs/>
          <w:iCs/>
        </w:rPr>
        <w:instrText xml:space="preserve"> REF _Ref104892706 \h  \* MERGEFORMAT </w:instrText>
      </w:r>
      <w:r w:rsidR="006D6771" w:rsidRPr="00673554">
        <w:rPr>
          <w:rFonts w:eastAsia="Calibri Light"/>
          <w:b/>
          <w:bCs/>
          <w:iCs/>
        </w:rPr>
      </w:r>
      <w:r w:rsidR="006D6771" w:rsidRPr="00673554">
        <w:rPr>
          <w:rFonts w:eastAsia="Calibri Light"/>
          <w:b/>
          <w:bCs/>
          <w:iCs/>
        </w:rPr>
        <w:fldChar w:fldCharType="separate"/>
      </w:r>
      <w:r w:rsidR="0011368C" w:rsidRPr="00673554">
        <w:rPr>
          <w:b/>
          <w:bCs/>
          <w:iCs/>
        </w:rPr>
        <w:t>Table 6.10</w:t>
      </w:r>
      <w:r w:rsidR="006D6771" w:rsidRPr="00673554">
        <w:rPr>
          <w:rFonts w:eastAsia="Calibri Light"/>
          <w:b/>
          <w:bCs/>
          <w:iCs/>
        </w:rPr>
        <w:fldChar w:fldCharType="end"/>
      </w:r>
      <w:r w:rsidR="003E29C6">
        <w:rPr>
          <w:rFonts w:eastAsia="Calibri Light"/>
          <w:bCs/>
        </w:rPr>
        <w:t>;</w:t>
      </w:r>
      <w:r>
        <w:t xml:space="preserve"> </w:t>
      </w:r>
      <w:r w:rsidR="006260F1">
        <w:rPr>
          <w:b/>
        </w:rPr>
        <w:t>S</w:t>
      </w:r>
      <w:r>
        <w:rPr>
          <w:b/>
        </w:rPr>
        <w:t>upplementary material 6.2</w:t>
      </w:r>
      <w:r>
        <w:t>), and then discusses key options (</w:t>
      </w:r>
      <w:r>
        <w:rPr>
          <w:b/>
        </w:rPr>
        <w:t>section 6.6.2</w:t>
      </w:r>
      <w:r>
        <w:t>) for strengthening the generation and flow of policy and management-relevant invasive alien species information. It also introduces the particular problems faced by Indigenous Peoples and local communities, or isolated communities.</w:t>
      </w:r>
    </w:p>
    <w:p w14:paraId="2871F91A" w14:textId="026FD01C" w:rsidR="00017C04" w:rsidRPr="00C46680" w:rsidRDefault="00F50AF9" w:rsidP="00C46680">
      <w:pPr>
        <w:pStyle w:val="Caption"/>
        <w:rPr>
          <w:color w:val="FF0000"/>
        </w:rPr>
      </w:pPr>
      <w:bookmarkStart w:id="505" w:name="_heading=h.1nia2ey" w:colFirst="0" w:colLast="0"/>
      <w:bookmarkStart w:id="506" w:name="_Ref104892706"/>
      <w:bookmarkStart w:id="507" w:name="_Toc147418543"/>
      <w:bookmarkEnd w:id="505"/>
      <w:r w:rsidRPr="00C46680">
        <w:rPr>
          <w:bCs w:val="0"/>
        </w:rPr>
        <w:t>Table 6</w:t>
      </w:r>
      <w:r w:rsidR="39F9EC1F" w:rsidRPr="00C46680">
        <w:rPr>
          <w:bCs w:val="0"/>
        </w:rPr>
        <w:t>.</w:t>
      </w:r>
      <w:r w:rsidR="39F9EC1F" w:rsidRPr="00C46680">
        <w:rPr>
          <w:bCs w:val="0"/>
        </w:rPr>
        <w:fldChar w:fldCharType="begin"/>
      </w:r>
      <w:r w:rsidR="39F9EC1F" w:rsidRPr="00C46680">
        <w:rPr>
          <w:bCs w:val="0"/>
        </w:rPr>
        <w:instrText xml:space="preserve"> SEQ Table_6. \* ARABIC </w:instrText>
      </w:r>
      <w:r w:rsidR="39F9EC1F" w:rsidRPr="00C46680">
        <w:rPr>
          <w:bCs w:val="0"/>
        </w:rPr>
        <w:fldChar w:fldCharType="separate"/>
      </w:r>
      <w:r w:rsidR="0011368C" w:rsidRPr="00C46680">
        <w:rPr>
          <w:bCs w:val="0"/>
          <w:noProof/>
        </w:rPr>
        <w:t>10</w:t>
      </w:r>
      <w:r w:rsidR="39F9EC1F" w:rsidRPr="00C46680">
        <w:rPr>
          <w:bCs w:val="0"/>
        </w:rPr>
        <w:fldChar w:fldCharType="end"/>
      </w:r>
      <w:bookmarkEnd w:id="506"/>
      <w:r w:rsidR="00FF59A9" w:rsidRPr="00C46680">
        <w:rPr>
          <w:bCs w:val="0"/>
        </w:rPr>
        <w:t>.</w:t>
      </w:r>
      <w:r w:rsidRPr="00C46680">
        <w:t xml:space="preserve"> </w:t>
      </w:r>
      <w:r w:rsidRPr="00C46680">
        <w:rPr>
          <w:b w:val="0"/>
        </w:rPr>
        <w:t>Cross-chapter synthesis of gaps in data, information, knowledge and understanding</w:t>
      </w:r>
      <w:bookmarkEnd w:id="507"/>
      <w:r w:rsidRPr="00C46680">
        <w:rPr>
          <w:color w:val="FF0000"/>
        </w:rPr>
        <w:t xml:space="preserve"> </w:t>
      </w:r>
    </w:p>
    <w:tbl>
      <w:tblPr>
        <w:tblStyle w:val="TableGrid"/>
        <w:tblW w:w="9751" w:type="dxa"/>
        <w:tblLayout w:type="fixed"/>
        <w:tblLook w:val="04A0" w:firstRow="1" w:lastRow="0" w:firstColumn="1" w:lastColumn="0" w:noHBand="0" w:noVBand="1"/>
      </w:tblPr>
      <w:tblGrid>
        <w:gridCol w:w="2518"/>
        <w:gridCol w:w="7233"/>
      </w:tblGrid>
      <w:tr w:rsidR="00017C04" w14:paraId="5D34D30D" w14:textId="77777777" w:rsidTr="00C46680">
        <w:trPr>
          <w:trHeight w:val="516"/>
        </w:trPr>
        <w:tc>
          <w:tcPr>
            <w:tcW w:w="2518" w:type="dxa"/>
            <w:vMerge w:val="restart"/>
            <w:tcBorders>
              <w:top w:val="single" w:sz="4" w:space="0" w:color="auto"/>
              <w:left w:val="single" w:sz="4" w:space="0" w:color="auto"/>
              <w:bottom w:val="single" w:sz="4" w:space="0" w:color="auto"/>
              <w:right w:val="single" w:sz="4" w:space="0" w:color="auto"/>
            </w:tcBorders>
          </w:tcPr>
          <w:p w14:paraId="376E1BB5" w14:textId="77777777" w:rsidR="00017C04" w:rsidRPr="00E560BA" w:rsidRDefault="00F50AF9">
            <w:pPr>
              <w:jc w:val="center"/>
              <w:rPr>
                <w:b/>
                <w:sz w:val="28"/>
                <w:szCs w:val="28"/>
              </w:rPr>
            </w:pPr>
            <w:r w:rsidRPr="00E560BA">
              <w:rPr>
                <w:b/>
                <w:sz w:val="28"/>
                <w:szCs w:val="28"/>
              </w:rPr>
              <w:t>Category</w:t>
            </w:r>
          </w:p>
        </w:tc>
        <w:tc>
          <w:tcPr>
            <w:tcW w:w="7233" w:type="dxa"/>
            <w:vMerge w:val="restart"/>
            <w:tcBorders>
              <w:top w:val="single" w:sz="4" w:space="0" w:color="auto"/>
              <w:left w:val="single" w:sz="4" w:space="0" w:color="auto"/>
              <w:bottom w:val="single" w:sz="4" w:space="0" w:color="auto"/>
              <w:right w:val="single" w:sz="4" w:space="0" w:color="auto"/>
            </w:tcBorders>
          </w:tcPr>
          <w:p w14:paraId="1629D09D" w14:textId="77777777" w:rsidR="00017C04" w:rsidRPr="00E560BA" w:rsidRDefault="00F50AF9">
            <w:pPr>
              <w:jc w:val="center"/>
              <w:rPr>
                <w:b/>
                <w:sz w:val="28"/>
                <w:szCs w:val="28"/>
              </w:rPr>
            </w:pPr>
            <w:r w:rsidRPr="00E560BA">
              <w:rPr>
                <w:b/>
                <w:sz w:val="28"/>
                <w:szCs w:val="28"/>
              </w:rPr>
              <w:t>Gap</w:t>
            </w:r>
          </w:p>
        </w:tc>
      </w:tr>
      <w:tr w:rsidR="00017C04" w14:paraId="6C603F46" w14:textId="77777777" w:rsidTr="00C46680">
        <w:trPr>
          <w:trHeight w:val="636"/>
        </w:trPr>
        <w:tc>
          <w:tcPr>
            <w:tcW w:w="2518" w:type="dxa"/>
            <w:vMerge/>
          </w:tcPr>
          <w:p w14:paraId="4E918685" w14:textId="77777777" w:rsidR="00017C04" w:rsidRPr="00E560BA" w:rsidRDefault="00017C04" w:rsidP="00C46680"/>
        </w:tc>
        <w:tc>
          <w:tcPr>
            <w:tcW w:w="7233" w:type="dxa"/>
            <w:vMerge/>
          </w:tcPr>
          <w:p w14:paraId="3FE26C44" w14:textId="77777777" w:rsidR="00017C04" w:rsidRPr="00E560BA" w:rsidRDefault="00017C04" w:rsidP="00C46680"/>
        </w:tc>
      </w:tr>
      <w:tr w:rsidR="00C46680" w14:paraId="38524DF8" w14:textId="77777777" w:rsidTr="00C46680">
        <w:tc>
          <w:tcPr>
            <w:tcW w:w="2518" w:type="dxa"/>
            <w:vMerge w:val="restart"/>
            <w:tcBorders>
              <w:top w:val="single" w:sz="4" w:space="0" w:color="auto"/>
              <w:left w:val="single" w:sz="4" w:space="0" w:color="auto"/>
              <w:right w:val="single" w:sz="4" w:space="0" w:color="auto"/>
            </w:tcBorders>
          </w:tcPr>
          <w:p w14:paraId="436840B6" w14:textId="77777777" w:rsidR="00017C04" w:rsidRPr="00E560BA" w:rsidRDefault="00F50AF9" w:rsidP="00C46680">
            <w:pPr>
              <w:pStyle w:val="Default"/>
              <w:rPr>
                <w:rFonts w:ascii="Times New Roman" w:hAnsi="Times New Roman" w:cs="Times New Roman"/>
                <w:b/>
                <w:color w:val="auto"/>
              </w:rPr>
            </w:pPr>
            <w:r w:rsidRPr="00E560BA">
              <w:rPr>
                <w:rFonts w:ascii="Times New Roman" w:hAnsi="Times New Roman" w:cs="Times New Roman"/>
                <w:b/>
                <w:color w:val="auto"/>
              </w:rPr>
              <w:t>Gaps on biomes, units of analysis and species groups</w:t>
            </w:r>
          </w:p>
          <w:p w14:paraId="11876FB2" w14:textId="77777777" w:rsidR="00017C04" w:rsidRPr="00E560BA" w:rsidRDefault="00017C04" w:rsidP="00C46680">
            <w:pPr>
              <w:pStyle w:val="Default"/>
              <w:rPr>
                <w:rFonts w:ascii="Times New Roman" w:hAnsi="Times New Roman" w:cs="Times New Roman"/>
                <w:b/>
                <w:color w:val="auto"/>
              </w:rPr>
            </w:pPr>
          </w:p>
          <w:p w14:paraId="13D4B085" w14:textId="77777777" w:rsidR="00017C04" w:rsidRPr="00E560BA" w:rsidRDefault="00F50AF9" w:rsidP="00C46680">
            <w:pPr>
              <w:pStyle w:val="Default"/>
              <w:rPr>
                <w:rFonts w:ascii="Times New Roman" w:hAnsi="Times New Roman" w:cs="Times New Roman"/>
                <w:b/>
                <w:color w:val="auto"/>
              </w:rPr>
            </w:pPr>
            <w:r w:rsidRPr="00E560BA">
              <w:rPr>
                <w:rFonts w:ascii="Times New Roman" w:hAnsi="Times New Roman" w:cs="Times New Roman"/>
                <w:b/>
                <w:color w:val="auto"/>
              </w:rPr>
              <w:t>(section 6.6.1.1)</w:t>
            </w:r>
          </w:p>
        </w:tc>
        <w:tc>
          <w:tcPr>
            <w:tcW w:w="7233" w:type="dxa"/>
            <w:tcBorders>
              <w:top w:val="single" w:sz="4" w:space="0" w:color="auto"/>
              <w:left w:val="single" w:sz="4" w:space="0" w:color="auto"/>
              <w:bottom w:val="single" w:sz="4" w:space="0" w:color="auto"/>
              <w:right w:val="single" w:sz="4" w:space="0" w:color="auto"/>
            </w:tcBorders>
          </w:tcPr>
          <w:p w14:paraId="6184A246" w14:textId="77777777" w:rsidR="00017C04" w:rsidRPr="00E560BA" w:rsidRDefault="00F50AF9">
            <w:pPr>
              <w:spacing w:before="0" w:after="0"/>
            </w:pPr>
            <w:r w:rsidRPr="00E560BA">
              <w:t>Incomplete or lack of inventories of invasive alien species in marine, tropical and Arctic ecosystems (Chapter 2, sections 2.5.2.1, 2.5.2.4, 2.5.2.5, 2.5.4)</w:t>
            </w:r>
          </w:p>
        </w:tc>
      </w:tr>
      <w:tr w:rsidR="00017C04" w14:paraId="6D51179B" w14:textId="77777777" w:rsidTr="00C46680">
        <w:tc>
          <w:tcPr>
            <w:tcW w:w="2518" w:type="dxa"/>
            <w:vMerge/>
          </w:tcPr>
          <w:p w14:paraId="4885E435" w14:textId="77777777" w:rsidR="00017C04" w:rsidRPr="00E560BA" w:rsidRDefault="00017C04" w:rsidP="00C46680">
            <w:pPr>
              <w:pStyle w:val="Default"/>
              <w:rPr>
                <w:rFonts w:ascii="Times New Roman" w:hAnsi="Times New Roman" w:cs="Times New Roman"/>
                <w:b/>
              </w:rPr>
            </w:pPr>
          </w:p>
        </w:tc>
        <w:tc>
          <w:tcPr>
            <w:tcW w:w="7233" w:type="dxa"/>
            <w:tcBorders>
              <w:top w:val="single" w:sz="4" w:space="0" w:color="auto"/>
              <w:left w:val="single" w:sz="4" w:space="0" w:color="auto"/>
              <w:bottom w:val="single" w:sz="4" w:space="0" w:color="auto"/>
              <w:right w:val="single" w:sz="4" w:space="0" w:color="auto"/>
            </w:tcBorders>
          </w:tcPr>
          <w:p w14:paraId="5390992C" w14:textId="77777777" w:rsidR="00017C04" w:rsidRPr="00E560BA" w:rsidRDefault="00F50AF9">
            <w:pPr>
              <w:spacing w:before="0" w:after="0"/>
            </w:pPr>
            <w:r w:rsidRPr="00E560BA">
              <w:t>Incomplete or lack of inventories of invasive alien microorganisms and invertebrates (Chapter 2, sections 2.3.1.11, 2.3.3.3)</w:t>
            </w:r>
          </w:p>
        </w:tc>
      </w:tr>
      <w:tr w:rsidR="00017C04" w14:paraId="2CCC22E2" w14:textId="77777777" w:rsidTr="00C46680">
        <w:tc>
          <w:tcPr>
            <w:tcW w:w="2518" w:type="dxa"/>
            <w:vMerge/>
          </w:tcPr>
          <w:p w14:paraId="5B03815B" w14:textId="77777777" w:rsidR="00017C04" w:rsidRPr="00E560BA" w:rsidRDefault="00017C04" w:rsidP="00C46680">
            <w:pPr>
              <w:pStyle w:val="Default"/>
              <w:rPr>
                <w:rFonts w:ascii="Times New Roman" w:hAnsi="Times New Roman" w:cs="Times New Roman"/>
                <w:b/>
              </w:rPr>
            </w:pPr>
          </w:p>
        </w:tc>
        <w:tc>
          <w:tcPr>
            <w:tcW w:w="7233" w:type="dxa"/>
            <w:tcBorders>
              <w:top w:val="single" w:sz="4" w:space="0" w:color="auto"/>
              <w:left w:val="single" w:sz="4" w:space="0" w:color="auto"/>
              <w:bottom w:val="single" w:sz="4" w:space="0" w:color="auto"/>
              <w:right w:val="single" w:sz="4" w:space="0" w:color="auto"/>
            </w:tcBorders>
          </w:tcPr>
          <w:p w14:paraId="30865734" w14:textId="26F07D16" w:rsidR="00017C04" w:rsidRPr="00E560BA" w:rsidRDefault="00F50AF9">
            <w:pPr>
              <w:spacing w:before="0" w:after="0"/>
            </w:pPr>
            <w:r w:rsidRPr="00E560BA">
              <w:t xml:space="preserve">Lack of understanding of the drivers </w:t>
            </w:r>
            <w:r w:rsidR="0007A5C7" w:rsidRPr="00E560BA">
              <w:t xml:space="preserve">facilitating </w:t>
            </w:r>
            <w:r w:rsidRPr="00E560BA">
              <w:t>biological invasion for some animal groups (notably invertebrates), fungi and microbes (Chapter 3, section 3.6.1)</w:t>
            </w:r>
          </w:p>
        </w:tc>
      </w:tr>
      <w:tr w:rsidR="00017C04" w14:paraId="1D50F431" w14:textId="77777777" w:rsidTr="00C46680">
        <w:tc>
          <w:tcPr>
            <w:tcW w:w="2518" w:type="dxa"/>
            <w:vMerge/>
          </w:tcPr>
          <w:p w14:paraId="2E630C66" w14:textId="77777777" w:rsidR="00017C04" w:rsidRPr="00E560BA" w:rsidRDefault="00017C04" w:rsidP="00C46680">
            <w:pPr>
              <w:pStyle w:val="Default"/>
              <w:rPr>
                <w:rFonts w:ascii="Times New Roman" w:hAnsi="Times New Roman" w:cs="Times New Roman"/>
                <w:b/>
              </w:rPr>
            </w:pPr>
          </w:p>
        </w:tc>
        <w:tc>
          <w:tcPr>
            <w:tcW w:w="7233" w:type="dxa"/>
            <w:tcBorders>
              <w:top w:val="single" w:sz="4" w:space="0" w:color="auto"/>
              <w:left w:val="single" w:sz="4" w:space="0" w:color="auto"/>
              <w:right w:val="single" w:sz="4" w:space="0" w:color="auto"/>
            </w:tcBorders>
          </w:tcPr>
          <w:p w14:paraId="28DF65CB" w14:textId="77777777" w:rsidR="00017C04" w:rsidRPr="00E560BA" w:rsidRDefault="00F50AF9">
            <w:pPr>
              <w:spacing w:before="0" w:after="0"/>
            </w:pPr>
            <w:r w:rsidRPr="00E560BA">
              <w:t>Lack of understanding and synthesis of the impact of invasive alien microbes (Chapter 4, section 4.7.2)</w:t>
            </w:r>
          </w:p>
        </w:tc>
      </w:tr>
      <w:tr w:rsidR="00017C04" w14:paraId="057F360C" w14:textId="77777777" w:rsidTr="00C46680">
        <w:tc>
          <w:tcPr>
            <w:tcW w:w="2518" w:type="dxa"/>
            <w:vMerge/>
          </w:tcPr>
          <w:p w14:paraId="45B4AE4D" w14:textId="77777777" w:rsidR="00017C04" w:rsidRPr="00E560BA" w:rsidRDefault="00017C04" w:rsidP="00C12647">
            <w:pPr>
              <w:widowControl w:val="0"/>
              <w:pBdr>
                <w:top w:val="nil"/>
                <w:left w:val="nil"/>
                <w:bottom w:val="nil"/>
                <w:right w:val="nil"/>
                <w:between w:val="nil"/>
              </w:pBdr>
              <w:spacing w:before="0" w:after="0" w:line="276" w:lineRule="auto"/>
              <w:rPr>
                <w:b/>
              </w:rPr>
            </w:pPr>
          </w:p>
        </w:tc>
        <w:tc>
          <w:tcPr>
            <w:tcW w:w="7233" w:type="dxa"/>
            <w:tcBorders>
              <w:left w:val="single" w:sz="4" w:space="0" w:color="auto"/>
              <w:bottom w:val="single" w:sz="4" w:space="0" w:color="auto"/>
              <w:right w:val="single" w:sz="4" w:space="0" w:color="auto"/>
            </w:tcBorders>
          </w:tcPr>
          <w:p w14:paraId="3F8FAA25" w14:textId="72FB8ED4" w:rsidR="00017C04" w:rsidRPr="00E560BA" w:rsidRDefault="00F50AF9">
            <w:pPr>
              <w:spacing w:before="0" w:after="0"/>
            </w:pPr>
            <w:r w:rsidRPr="00E560BA">
              <w:t xml:space="preserve">Poor understanding of drivers </w:t>
            </w:r>
            <w:r w:rsidR="50D7394D" w:rsidRPr="00E560BA">
              <w:t xml:space="preserve">facilitating </w:t>
            </w:r>
            <w:r w:rsidRPr="00E560BA">
              <w:t>biological invasions in aquatic and marine systems (Chapter 3, section 3.6.1)</w:t>
            </w:r>
          </w:p>
        </w:tc>
      </w:tr>
      <w:tr w:rsidR="00017C04" w14:paraId="631A8302" w14:textId="77777777" w:rsidTr="00C46680">
        <w:tc>
          <w:tcPr>
            <w:tcW w:w="2518" w:type="dxa"/>
            <w:vMerge w:val="restart"/>
            <w:tcBorders>
              <w:top w:val="single" w:sz="4" w:space="0" w:color="auto"/>
              <w:left w:val="single" w:sz="4" w:space="0" w:color="auto"/>
              <w:right w:val="single" w:sz="4" w:space="0" w:color="auto"/>
            </w:tcBorders>
          </w:tcPr>
          <w:p w14:paraId="7C490D59" w14:textId="77777777" w:rsidR="00017C04" w:rsidRPr="00E560BA" w:rsidRDefault="00F50AF9">
            <w:pPr>
              <w:spacing w:before="0" w:after="0"/>
              <w:rPr>
                <w:b/>
              </w:rPr>
            </w:pPr>
            <w:r w:rsidRPr="00E560BA">
              <w:rPr>
                <w:b/>
              </w:rPr>
              <w:t>Regional gaps in data and knowledge</w:t>
            </w:r>
          </w:p>
          <w:p w14:paraId="199208DE" w14:textId="77777777" w:rsidR="00017C04" w:rsidRPr="00E560BA" w:rsidRDefault="00017C04">
            <w:pPr>
              <w:spacing w:before="0" w:after="0"/>
              <w:rPr>
                <w:b/>
              </w:rPr>
            </w:pPr>
          </w:p>
          <w:p w14:paraId="126AF81B" w14:textId="77777777" w:rsidR="00017C04" w:rsidRPr="00E560BA" w:rsidRDefault="00F50AF9">
            <w:pPr>
              <w:spacing w:before="0" w:after="0"/>
            </w:pPr>
            <w:r w:rsidRPr="00E560BA">
              <w:rPr>
                <w:b/>
              </w:rPr>
              <w:t>(section 6.6.1.1)</w:t>
            </w:r>
          </w:p>
        </w:tc>
        <w:tc>
          <w:tcPr>
            <w:tcW w:w="7233" w:type="dxa"/>
            <w:tcBorders>
              <w:top w:val="single" w:sz="4" w:space="0" w:color="auto"/>
              <w:left w:val="single" w:sz="4" w:space="0" w:color="auto"/>
              <w:right w:val="single" w:sz="4" w:space="0" w:color="auto"/>
            </w:tcBorders>
          </w:tcPr>
          <w:p w14:paraId="2CBCD3EA" w14:textId="77777777" w:rsidR="00017C04" w:rsidRPr="00E560BA" w:rsidRDefault="00F50AF9">
            <w:pPr>
              <w:spacing w:before="0" w:after="0"/>
            </w:pPr>
            <w:r w:rsidRPr="00E560BA">
              <w:t>Comparatively incomplete inventories of invasive alien species in Africa and Central Asia (Chapter 2, sections 2.4.2.5, 2.4.5.5)</w:t>
            </w:r>
          </w:p>
        </w:tc>
      </w:tr>
      <w:tr w:rsidR="00017C04" w14:paraId="5C7894B0" w14:textId="77777777" w:rsidTr="00C46680">
        <w:tc>
          <w:tcPr>
            <w:tcW w:w="2518" w:type="dxa"/>
            <w:vMerge/>
          </w:tcPr>
          <w:p w14:paraId="0B20DD1D" w14:textId="77777777" w:rsidR="00017C04" w:rsidRPr="00E560BA" w:rsidRDefault="00017C04" w:rsidP="00C12647">
            <w:pPr>
              <w:widowControl w:val="0"/>
              <w:pBdr>
                <w:top w:val="nil"/>
                <w:left w:val="nil"/>
                <w:bottom w:val="nil"/>
                <w:right w:val="nil"/>
                <w:between w:val="nil"/>
              </w:pBdr>
              <w:spacing w:before="0" w:after="0" w:line="276" w:lineRule="auto"/>
            </w:pPr>
          </w:p>
        </w:tc>
        <w:tc>
          <w:tcPr>
            <w:tcW w:w="7233" w:type="dxa"/>
            <w:tcBorders>
              <w:left w:val="single" w:sz="4" w:space="0" w:color="auto"/>
              <w:right w:val="single" w:sz="4" w:space="0" w:color="auto"/>
            </w:tcBorders>
          </w:tcPr>
          <w:p w14:paraId="06CF5EE8" w14:textId="37A3530D" w:rsidR="00017C04" w:rsidRPr="00E560BA" w:rsidRDefault="00F50AF9" w:rsidP="25C90E76">
            <w:pPr>
              <w:spacing w:before="0" w:after="0"/>
            </w:pPr>
            <w:r w:rsidRPr="00E560BA">
              <w:t xml:space="preserve">Comparative lack of understanding of the drivers </w:t>
            </w:r>
            <w:r w:rsidR="4FB469DC" w:rsidRPr="00E560BA">
              <w:t xml:space="preserve">facilitating </w:t>
            </w:r>
            <w:r w:rsidRPr="00E560BA">
              <w:t>biological invasions in developing economies (Chapter 3, box 3.12)</w:t>
            </w:r>
          </w:p>
        </w:tc>
      </w:tr>
      <w:tr w:rsidR="00017C04" w14:paraId="6F9BF7DA" w14:textId="77777777" w:rsidTr="00C46680">
        <w:tc>
          <w:tcPr>
            <w:tcW w:w="2518" w:type="dxa"/>
            <w:vMerge/>
          </w:tcPr>
          <w:p w14:paraId="18ED1CCD" w14:textId="77777777" w:rsidR="00017C04" w:rsidRPr="00E560BA" w:rsidRDefault="00017C04" w:rsidP="00C12647">
            <w:pPr>
              <w:widowControl w:val="0"/>
              <w:pBdr>
                <w:top w:val="nil"/>
                <w:left w:val="nil"/>
                <w:bottom w:val="nil"/>
                <w:right w:val="nil"/>
                <w:between w:val="nil"/>
              </w:pBdr>
              <w:spacing w:before="0" w:after="0" w:line="276" w:lineRule="auto"/>
            </w:pPr>
          </w:p>
        </w:tc>
        <w:tc>
          <w:tcPr>
            <w:tcW w:w="7233" w:type="dxa"/>
            <w:tcBorders>
              <w:left w:val="single" w:sz="4" w:space="0" w:color="auto"/>
              <w:right w:val="single" w:sz="4" w:space="0" w:color="auto"/>
            </w:tcBorders>
          </w:tcPr>
          <w:p w14:paraId="5B76976C" w14:textId="0FB5F344" w:rsidR="00017C04" w:rsidRPr="00E560BA" w:rsidRDefault="00F50AF9" w:rsidP="25C90E76">
            <w:pPr>
              <w:spacing w:before="0" w:after="0"/>
            </w:pPr>
            <w:r w:rsidRPr="00E560BA">
              <w:t xml:space="preserve">Lack of data and knowledge of the drivers </w:t>
            </w:r>
            <w:r w:rsidR="43862DFA" w:rsidRPr="00E560BA">
              <w:t xml:space="preserve">facilitating </w:t>
            </w:r>
            <w:r w:rsidRPr="00E560BA">
              <w:t>biological invasions in sub-Saharan Africa, tropical Asia and South America (Chapter 3, section 3.6.3)</w:t>
            </w:r>
          </w:p>
        </w:tc>
      </w:tr>
      <w:tr w:rsidR="00017C04" w14:paraId="14C8FD3F" w14:textId="77777777" w:rsidTr="00C46680">
        <w:tc>
          <w:tcPr>
            <w:tcW w:w="2518" w:type="dxa"/>
            <w:vMerge/>
          </w:tcPr>
          <w:p w14:paraId="4D805C6F" w14:textId="77777777" w:rsidR="00017C04" w:rsidRPr="00E560BA" w:rsidRDefault="00017C04" w:rsidP="00C12647">
            <w:pPr>
              <w:widowControl w:val="0"/>
              <w:pBdr>
                <w:top w:val="nil"/>
                <w:left w:val="nil"/>
                <w:bottom w:val="nil"/>
                <w:right w:val="nil"/>
                <w:between w:val="nil"/>
              </w:pBdr>
              <w:spacing w:before="0" w:after="0" w:line="276" w:lineRule="auto"/>
            </w:pPr>
          </w:p>
        </w:tc>
        <w:tc>
          <w:tcPr>
            <w:tcW w:w="7233" w:type="dxa"/>
            <w:tcBorders>
              <w:left w:val="single" w:sz="4" w:space="0" w:color="auto"/>
              <w:bottom w:val="single" w:sz="4" w:space="0" w:color="auto"/>
              <w:right w:val="single" w:sz="4" w:space="0" w:color="auto"/>
            </w:tcBorders>
          </w:tcPr>
          <w:p w14:paraId="5066DA13" w14:textId="77777777" w:rsidR="00017C04" w:rsidRPr="00E560BA" w:rsidRDefault="00F50AF9">
            <w:pPr>
              <w:spacing w:before="0" w:after="0"/>
            </w:pPr>
            <w:r w:rsidRPr="00E560BA">
              <w:t>Incomplete data on the impact of invasive alien species across Africa and Central Asia (Chapter 4, section 4.7.2)</w:t>
            </w:r>
          </w:p>
        </w:tc>
      </w:tr>
      <w:tr w:rsidR="00C46680" w14:paraId="5516B74F" w14:textId="77777777" w:rsidTr="00C46680">
        <w:tc>
          <w:tcPr>
            <w:tcW w:w="2518" w:type="dxa"/>
            <w:vMerge w:val="restart"/>
            <w:tcBorders>
              <w:top w:val="single" w:sz="4" w:space="0" w:color="auto"/>
              <w:left w:val="single" w:sz="4" w:space="0" w:color="auto"/>
              <w:right w:val="single" w:sz="4" w:space="0" w:color="auto"/>
            </w:tcBorders>
          </w:tcPr>
          <w:p w14:paraId="7DA81467" w14:textId="77777777" w:rsidR="00017C04" w:rsidRPr="00E560BA" w:rsidRDefault="00F50AF9" w:rsidP="00C12647">
            <w:pPr>
              <w:pBdr>
                <w:top w:val="nil"/>
                <w:left w:val="nil"/>
                <w:bottom w:val="nil"/>
                <w:right w:val="nil"/>
                <w:between w:val="nil"/>
              </w:pBdr>
              <w:spacing w:before="0" w:after="0"/>
              <w:rPr>
                <w:b/>
              </w:rPr>
            </w:pPr>
            <w:r w:rsidRPr="00E560BA">
              <w:rPr>
                <w:b/>
              </w:rPr>
              <w:t xml:space="preserve">Interoperable data for monitoring and research on invasive alien species and on the effects of drivers of biodiversity change </w:t>
            </w:r>
          </w:p>
          <w:p w14:paraId="3423AE4D" w14:textId="77777777" w:rsidR="00017C04" w:rsidRPr="00E560BA" w:rsidRDefault="00017C04" w:rsidP="00C12647">
            <w:pPr>
              <w:pBdr>
                <w:top w:val="nil"/>
                <w:left w:val="nil"/>
                <w:bottom w:val="nil"/>
                <w:right w:val="nil"/>
                <w:between w:val="nil"/>
              </w:pBdr>
              <w:spacing w:before="0" w:after="0"/>
              <w:rPr>
                <w:b/>
              </w:rPr>
            </w:pPr>
          </w:p>
          <w:p w14:paraId="57E2959D" w14:textId="77777777" w:rsidR="00017C04" w:rsidRPr="00E560BA" w:rsidRDefault="00F50AF9" w:rsidP="00C12647">
            <w:pPr>
              <w:pBdr>
                <w:top w:val="nil"/>
                <w:left w:val="nil"/>
                <w:bottom w:val="nil"/>
                <w:right w:val="nil"/>
                <w:between w:val="nil"/>
              </w:pBdr>
              <w:spacing w:before="0" w:after="0"/>
              <w:rPr>
                <w:b/>
              </w:rPr>
            </w:pPr>
            <w:r w:rsidRPr="00E560BA">
              <w:rPr>
                <w:b/>
              </w:rPr>
              <w:t>(section 6.6.2)</w:t>
            </w:r>
          </w:p>
        </w:tc>
        <w:tc>
          <w:tcPr>
            <w:tcW w:w="7233" w:type="dxa"/>
            <w:tcBorders>
              <w:top w:val="single" w:sz="4" w:space="0" w:color="auto"/>
              <w:left w:val="single" w:sz="4" w:space="0" w:color="auto"/>
              <w:bottom w:val="single" w:sz="4" w:space="0" w:color="auto"/>
              <w:right w:val="single" w:sz="4" w:space="0" w:color="auto"/>
            </w:tcBorders>
          </w:tcPr>
          <w:p w14:paraId="2A92997A" w14:textId="77777777" w:rsidR="00017C04" w:rsidRPr="00E560BA" w:rsidRDefault="00F50AF9">
            <w:pPr>
              <w:spacing w:before="0" w:after="0"/>
            </w:pPr>
            <w:r w:rsidRPr="00E560BA">
              <w:t>Lack of standardization of terminology for invasive alien species monitoring (Chapter 2, section 2.4.4.5; Chapter 6, sections 6.6.2.3, 6.6.2.7)</w:t>
            </w:r>
          </w:p>
        </w:tc>
      </w:tr>
      <w:tr w:rsidR="00017C04" w14:paraId="281A77CF" w14:textId="77777777" w:rsidTr="00C46680">
        <w:tc>
          <w:tcPr>
            <w:tcW w:w="2518" w:type="dxa"/>
            <w:vMerge/>
          </w:tcPr>
          <w:p w14:paraId="6383314E" w14:textId="77777777" w:rsidR="00017C04" w:rsidRPr="00E560BA" w:rsidRDefault="00017C04" w:rsidP="00C12647">
            <w:pPr>
              <w:widowControl w:val="0"/>
              <w:pBdr>
                <w:top w:val="nil"/>
                <w:left w:val="nil"/>
                <w:bottom w:val="nil"/>
                <w:right w:val="nil"/>
                <w:between w:val="nil"/>
              </w:pBdr>
              <w:spacing w:before="0" w:after="0" w:line="276" w:lineRule="auto"/>
              <w:rPr>
                <w:b/>
                <w:highlight w:val="cyan"/>
              </w:rPr>
            </w:pPr>
          </w:p>
        </w:tc>
        <w:tc>
          <w:tcPr>
            <w:tcW w:w="7233" w:type="dxa"/>
            <w:tcBorders>
              <w:top w:val="single" w:sz="4" w:space="0" w:color="auto"/>
              <w:left w:val="single" w:sz="4" w:space="0" w:color="auto"/>
              <w:bottom w:val="single" w:sz="4" w:space="0" w:color="auto"/>
              <w:right w:val="single" w:sz="4" w:space="0" w:color="auto"/>
            </w:tcBorders>
          </w:tcPr>
          <w:p w14:paraId="3B0774D9" w14:textId="52422D80" w:rsidR="00017C04" w:rsidRPr="00E560BA" w:rsidRDefault="00F50AF9" w:rsidP="25C90E76">
            <w:pPr>
              <w:spacing w:before="0" w:after="0"/>
            </w:pPr>
            <w:r w:rsidRPr="00E560BA">
              <w:t xml:space="preserve">The drivers </w:t>
            </w:r>
            <w:r w:rsidR="31F4C7A8" w:rsidRPr="00E560BA">
              <w:t xml:space="preserve">facilitating </w:t>
            </w:r>
            <w:r w:rsidRPr="00E560BA">
              <w:t>biological invasions for some animal groups (notably invertebrates) and in fungi and microbes are poorly understood (Chapter 3, section 3.6.1)</w:t>
            </w:r>
          </w:p>
        </w:tc>
      </w:tr>
      <w:tr w:rsidR="00017C04" w14:paraId="3A52BB8F" w14:textId="77777777" w:rsidTr="00C46680">
        <w:tc>
          <w:tcPr>
            <w:tcW w:w="2518" w:type="dxa"/>
            <w:vMerge/>
          </w:tcPr>
          <w:p w14:paraId="1A7304E9" w14:textId="77777777" w:rsidR="00017C04" w:rsidRPr="00E560BA" w:rsidRDefault="00017C04" w:rsidP="00C46680">
            <w:pPr>
              <w:pStyle w:val="Default"/>
              <w:rPr>
                <w:rFonts w:ascii="Times New Roman" w:hAnsi="Times New Roman" w:cs="Times New Roman"/>
                <w:b/>
              </w:rPr>
            </w:pPr>
          </w:p>
        </w:tc>
        <w:tc>
          <w:tcPr>
            <w:tcW w:w="7233" w:type="dxa"/>
            <w:tcBorders>
              <w:top w:val="single" w:sz="4" w:space="0" w:color="auto"/>
              <w:left w:val="single" w:sz="4" w:space="0" w:color="auto"/>
              <w:right w:val="single" w:sz="4" w:space="0" w:color="auto"/>
            </w:tcBorders>
          </w:tcPr>
          <w:p w14:paraId="499027C6" w14:textId="24E99040" w:rsidR="00017C04" w:rsidRPr="00E560BA" w:rsidRDefault="00F50AF9">
            <w:pPr>
              <w:spacing w:before="0" w:after="0"/>
            </w:pPr>
            <w:r w:rsidRPr="00E560BA">
              <w:t xml:space="preserve">Lack of information on the role of indirect drivers, especially governance and sociocultural drivers, in affecting biological invasions (Chapter 3, section 3.6.1, </w:t>
            </w:r>
            <w:r w:rsidR="009D0E86" w:rsidRPr="00E560BA">
              <w:t>Box</w:t>
            </w:r>
            <w:r w:rsidRPr="00E560BA">
              <w:t xml:space="preserve"> 3.12)</w:t>
            </w:r>
          </w:p>
        </w:tc>
      </w:tr>
      <w:tr w:rsidR="00017C04" w14:paraId="5D30B4A5" w14:textId="77777777" w:rsidTr="00C46680">
        <w:tc>
          <w:tcPr>
            <w:tcW w:w="2518" w:type="dxa"/>
            <w:vMerge/>
          </w:tcPr>
          <w:p w14:paraId="12F2349E"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70D958CD" w14:textId="2F4FB0E8" w:rsidR="00017C04" w:rsidRPr="00E560BA" w:rsidRDefault="00F50AF9">
            <w:pPr>
              <w:spacing w:before="0" w:after="0"/>
            </w:pPr>
            <w:r w:rsidRPr="00E560BA">
              <w:t xml:space="preserve">Lack of understanding of the net effects of multiple interacting drivers in shaping and promoting biological invasions (Chapter 3, section 3.5, Box 3.10, section 3.6.1, </w:t>
            </w:r>
            <w:r w:rsidR="00935C0C" w:rsidRPr="00E560BA">
              <w:t>B</w:t>
            </w:r>
            <w:r w:rsidR="009D0E86" w:rsidRPr="00E560BA">
              <w:t>ox</w:t>
            </w:r>
            <w:r w:rsidRPr="00E560BA">
              <w:t xml:space="preserve"> 3.13)</w:t>
            </w:r>
          </w:p>
        </w:tc>
      </w:tr>
      <w:tr w:rsidR="00017C04" w14:paraId="1B8B71BA" w14:textId="77777777" w:rsidTr="00C46680">
        <w:tc>
          <w:tcPr>
            <w:tcW w:w="2518" w:type="dxa"/>
            <w:vMerge/>
          </w:tcPr>
          <w:p w14:paraId="308F07AB"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7A25E9E8" w14:textId="77777777" w:rsidR="00017C04" w:rsidRPr="00E560BA" w:rsidRDefault="00F50AF9">
            <w:pPr>
              <w:spacing w:before="0" w:after="0"/>
            </w:pPr>
            <w:r w:rsidRPr="00E560BA">
              <w:t>Lack of knowledge on interactions and feedbacks across drivers in promoting invasions (Chapter 3, section 3.6.3)</w:t>
            </w:r>
          </w:p>
        </w:tc>
      </w:tr>
      <w:tr w:rsidR="00017C04" w14:paraId="64940B37" w14:textId="77777777" w:rsidTr="00C46680">
        <w:tc>
          <w:tcPr>
            <w:tcW w:w="2518" w:type="dxa"/>
            <w:vMerge/>
          </w:tcPr>
          <w:p w14:paraId="4F96BD91"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64F34B13" w14:textId="77777777" w:rsidR="00017C04" w:rsidRPr="00E560BA" w:rsidRDefault="00F50AF9">
            <w:pPr>
              <w:spacing w:before="0" w:after="0"/>
            </w:pPr>
            <w:r w:rsidRPr="00E560BA">
              <w:t>Lack of integration of data and knowledge sources on impacts across languages (Chapter 4, section 4.7.2)</w:t>
            </w:r>
          </w:p>
        </w:tc>
      </w:tr>
      <w:tr w:rsidR="00017C04" w14:paraId="6AE1E940" w14:textId="77777777" w:rsidTr="00C46680">
        <w:tc>
          <w:tcPr>
            <w:tcW w:w="2518" w:type="dxa"/>
            <w:vMerge/>
          </w:tcPr>
          <w:p w14:paraId="1E7F2BBA"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0FBD43E2" w14:textId="1F427CF7" w:rsidR="00017C04" w:rsidRPr="00E560BA" w:rsidRDefault="00F50AF9">
            <w:pPr>
              <w:spacing w:before="0" w:after="0"/>
            </w:pPr>
            <w:r w:rsidRPr="00E560BA">
              <w:t xml:space="preserve">Incomplete data to undertake risk management, cost-effective species-led surveillance and detection of fungi, microbes and marine pests (Chapter 5, </w:t>
            </w:r>
            <w:r w:rsidR="009D0E86" w:rsidRPr="00E560BA">
              <w:t>Table</w:t>
            </w:r>
            <w:r w:rsidRPr="00E560BA">
              <w:t xml:space="preserve"> 5.11)</w:t>
            </w:r>
          </w:p>
        </w:tc>
      </w:tr>
      <w:tr w:rsidR="00017C04" w14:paraId="29F81843" w14:textId="77777777" w:rsidTr="00C46680">
        <w:tc>
          <w:tcPr>
            <w:tcW w:w="2518" w:type="dxa"/>
            <w:vMerge/>
          </w:tcPr>
          <w:p w14:paraId="77BE2645"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54CF262B" w14:textId="77777777" w:rsidR="00017C04" w:rsidRPr="00E560BA" w:rsidRDefault="00F50AF9">
            <w:pPr>
              <w:spacing w:before="0" w:after="0"/>
            </w:pPr>
            <w:r w:rsidRPr="00E560BA">
              <w:t>Incomplete data to prioritize biological invasion management under climate, sea- and land-use change (Chapter 5, section 5.6.1.3)</w:t>
            </w:r>
          </w:p>
        </w:tc>
      </w:tr>
      <w:tr w:rsidR="00017C04" w14:paraId="4B66E7A9" w14:textId="77777777" w:rsidTr="00C46680">
        <w:tc>
          <w:tcPr>
            <w:tcW w:w="2518" w:type="dxa"/>
            <w:vMerge/>
          </w:tcPr>
          <w:p w14:paraId="2DC7979C"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5D100A45" w14:textId="77D347E2" w:rsidR="00017C04" w:rsidRPr="00E560BA" w:rsidRDefault="00F50AF9">
            <w:pPr>
              <w:spacing w:before="0" w:after="0"/>
            </w:pPr>
            <w:r w:rsidRPr="00E560BA">
              <w:t>Lack of inventories at fine scales and for specific taxon and biome contexts to support decision</w:t>
            </w:r>
            <w:r w:rsidR="00941B41" w:rsidRPr="00E560BA">
              <w:t xml:space="preserve"> </w:t>
            </w:r>
            <w:r w:rsidRPr="00E560BA">
              <w:t>makers in determining when to implement species-led and site-based management (or both) (</w:t>
            </w:r>
            <w:r w:rsidR="00761930" w:rsidRPr="00E560BA">
              <w:rPr>
                <w:iCs/>
              </w:rPr>
              <w:t>G</w:t>
            </w:r>
            <w:r w:rsidR="00463716" w:rsidRPr="00E560BA">
              <w:rPr>
                <w:iCs/>
              </w:rPr>
              <w:t>lossary</w:t>
            </w:r>
            <w:r w:rsidRPr="00E560BA">
              <w:t>; Chapter 5, sections 5.6.2.1, 5.7)</w:t>
            </w:r>
          </w:p>
        </w:tc>
      </w:tr>
      <w:tr w:rsidR="00017C04" w14:paraId="6ABF624C" w14:textId="77777777" w:rsidTr="00C46680">
        <w:tc>
          <w:tcPr>
            <w:tcW w:w="2518" w:type="dxa"/>
            <w:vMerge/>
          </w:tcPr>
          <w:p w14:paraId="45D21C21"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288E00BF" w14:textId="0AFA883A" w:rsidR="00017C04" w:rsidRPr="00E560BA" w:rsidRDefault="00F50AF9">
            <w:pPr>
              <w:spacing w:before="0" w:after="0"/>
            </w:pPr>
            <w:r w:rsidRPr="00E560BA">
              <w:rPr>
                <w:color w:val="000000" w:themeColor="text1"/>
              </w:rPr>
              <w:t xml:space="preserve">Incomplete data to develop pathway risk assessments and management for different taxonomic groups and biomes </w:t>
            </w:r>
            <w:r w:rsidRPr="00E560BA">
              <w:t xml:space="preserve">(Chapter 5, </w:t>
            </w:r>
            <w:r w:rsidR="00761930" w:rsidRPr="00E560BA">
              <w:rPr>
                <w:color w:val="000000" w:themeColor="text1"/>
              </w:rPr>
              <w:t>T</w:t>
            </w:r>
            <w:r w:rsidR="009D0E86" w:rsidRPr="00E560BA">
              <w:rPr>
                <w:color w:val="000000" w:themeColor="text1"/>
              </w:rPr>
              <w:t>able</w:t>
            </w:r>
            <w:r w:rsidRPr="00E560BA">
              <w:rPr>
                <w:color w:val="000000" w:themeColor="text1"/>
              </w:rPr>
              <w:t xml:space="preserve"> 5.11, section 5.6.2.5)</w:t>
            </w:r>
          </w:p>
        </w:tc>
      </w:tr>
      <w:tr w:rsidR="00017C04" w14:paraId="34360BB0" w14:textId="77777777" w:rsidTr="00C46680">
        <w:tc>
          <w:tcPr>
            <w:tcW w:w="2518" w:type="dxa"/>
            <w:vMerge/>
          </w:tcPr>
          <w:p w14:paraId="4B2ADF51"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46C5FADF" w14:textId="77777777" w:rsidR="00017C04" w:rsidRPr="00E560BA" w:rsidRDefault="00F50AF9">
            <w:pPr>
              <w:spacing w:before="0" w:after="0"/>
            </w:pPr>
            <w:r w:rsidRPr="00E560BA">
              <w:t>Incomplete data and understanding of site-based and ecosystem-based management concepts (Chapter 5, section 5.6.2.1)</w:t>
            </w:r>
          </w:p>
        </w:tc>
      </w:tr>
      <w:tr w:rsidR="00017C04" w14:paraId="3F594FA5" w14:textId="77777777" w:rsidTr="00C46680">
        <w:tc>
          <w:tcPr>
            <w:tcW w:w="2518" w:type="dxa"/>
            <w:vMerge/>
          </w:tcPr>
          <w:p w14:paraId="186B2E24"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62D5CE54" w14:textId="77777777" w:rsidR="00017C04" w:rsidRPr="00E560BA" w:rsidRDefault="00F50AF9">
            <w:pPr>
              <w:spacing w:before="0" w:after="0"/>
            </w:pPr>
            <w:r w:rsidRPr="00E560BA">
              <w:t>Incomplete data and understanding of the conditions that facilitate successful integration of policy developments into management plans (section 6.6.1.4)</w:t>
            </w:r>
          </w:p>
        </w:tc>
      </w:tr>
      <w:tr w:rsidR="00017C04" w14:paraId="2BDA8C86" w14:textId="77777777" w:rsidTr="00C46680">
        <w:trPr>
          <w:trHeight w:val="1217"/>
        </w:trPr>
        <w:tc>
          <w:tcPr>
            <w:tcW w:w="2518" w:type="dxa"/>
            <w:vMerge/>
          </w:tcPr>
          <w:p w14:paraId="605152B1"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2ADE43C4" w14:textId="77777777" w:rsidR="00017C04" w:rsidRPr="00E560BA" w:rsidRDefault="00F50AF9">
            <w:pPr>
              <w:spacing w:before="0" w:after="0"/>
            </w:pPr>
            <w:r w:rsidRPr="00E560BA">
              <w:rPr>
                <w:color w:val="000000" w:themeColor="text1"/>
              </w:rPr>
              <w:t>Lack of indicators</w:t>
            </w:r>
            <w:r w:rsidRPr="00E560BA">
              <w:rPr>
                <w:rStyle w:val="FootnoteReference"/>
              </w:rPr>
              <w:footnoteReference w:id="15"/>
            </w:r>
            <w:r w:rsidRPr="00E560BA">
              <w:rPr>
                <w:color w:val="000000" w:themeColor="text1"/>
              </w:rPr>
              <w:t xml:space="preserve"> of the various dimensions of biological invasion that are policy-relevant, sensitive, reliable, relevant at national and global scales, sustained for medium-to-long-term tracking of progress and part of a responsive policy environment (section 6.6.3)</w:t>
            </w:r>
          </w:p>
        </w:tc>
      </w:tr>
      <w:tr w:rsidR="00C46680" w14:paraId="10B46278" w14:textId="77777777" w:rsidTr="00C46680">
        <w:trPr>
          <w:trHeight w:val="70"/>
        </w:trPr>
        <w:tc>
          <w:tcPr>
            <w:tcW w:w="2518" w:type="dxa"/>
            <w:tcBorders>
              <w:top w:val="single" w:sz="4" w:space="0" w:color="auto"/>
              <w:left w:val="single" w:sz="4" w:space="0" w:color="auto"/>
              <w:bottom w:val="single" w:sz="4" w:space="0" w:color="auto"/>
              <w:right w:val="single" w:sz="4" w:space="0" w:color="auto"/>
            </w:tcBorders>
          </w:tcPr>
          <w:p w14:paraId="7A4DADBE" w14:textId="77777777" w:rsidR="00017C04" w:rsidRPr="00E560BA" w:rsidRDefault="00F50AF9" w:rsidP="00C46680">
            <w:pPr>
              <w:pStyle w:val="Default"/>
              <w:rPr>
                <w:rFonts w:ascii="Times New Roman" w:hAnsi="Times New Roman" w:cs="Times New Roman"/>
                <w:b/>
                <w:color w:val="auto"/>
              </w:rPr>
            </w:pPr>
            <w:r w:rsidRPr="00E560BA">
              <w:rPr>
                <w:rFonts w:ascii="Times New Roman" w:hAnsi="Times New Roman" w:cs="Times New Roman"/>
                <w:b/>
                <w:color w:val="auto"/>
              </w:rPr>
              <w:t xml:space="preserve">Gaps on how invasive alien species affect Nature’s contributions to people </w:t>
            </w:r>
          </w:p>
          <w:p w14:paraId="110F53A7" w14:textId="77777777" w:rsidR="00017C04" w:rsidRPr="00E560BA" w:rsidRDefault="00017C04" w:rsidP="00C46680">
            <w:pPr>
              <w:pStyle w:val="Default"/>
              <w:rPr>
                <w:rFonts w:ascii="Times New Roman" w:hAnsi="Times New Roman" w:cs="Times New Roman"/>
                <w:b/>
                <w:color w:val="auto"/>
              </w:rPr>
            </w:pPr>
          </w:p>
          <w:p w14:paraId="1408EA70" w14:textId="77777777" w:rsidR="00017C04" w:rsidRPr="00E560BA" w:rsidRDefault="00F50AF9" w:rsidP="00C46680">
            <w:pPr>
              <w:pStyle w:val="Default"/>
              <w:rPr>
                <w:rFonts w:ascii="Times New Roman" w:hAnsi="Times New Roman" w:cs="Times New Roman"/>
                <w:b/>
                <w:color w:val="auto"/>
              </w:rPr>
            </w:pPr>
            <w:r w:rsidRPr="00E560BA">
              <w:rPr>
                <w:rFonts w:ascii="Times New Roman" w:hAnsi="Times New Roman" w:cs="Times New Roman"/>
                <w:b/>
                <w:color w:val="auto"/>
              </w:rPr>
              <w:t>(section 6.6.1.4)</w:t>
            </w:r>
          </w:p>
          <w:p w14:paraId="35168A14" w14:textId="77777777" w:rsidR="00017C04" w:rsidRPr="00E560BA" w:rsidRDefault="00017C04" w:rsidP="00C46680">
            <w:pPr>
              <w:pStyle w:val="Default"/>
              <w:rPr>
                <w:rFonts w:ascii="Times New Roman" w:hAnsi="Times New Roman" w:cs="Times New Roman"/>
                <w:b/>
                <w:color w:val="auto"/>
              </w:rPr>
            </w:pPr>
          </w:p>
        </w:tc>
        <w:tc>
          <w:tcPr>
            <w:tcW w:w="7233" w:type="dxa"/>
            <w:tcBorders>
              <w:top w:val="single" w:sz="4" w:space="0" w:color="auto"/>
              <w:left w:val="single" w:sz="4" w:space="0" w:color="auto"/>
              <w:right w:val="single" w:sz="4" w:space="0" w:color="auto"/>
            </w:tcBorders>
          </w:tcPr>
          <w:p w14:paraId="3CBBEE5E" w14:textId="77777777" w:rsidR="00017C04" w:rsidRPr="00E560BA" w:rsidRDefault="00F50AF9">
            <w:pPr>
              <w:spacing w:before="0" w:after="0"/>
            </w:pPr>
            <w:r w:rsidRPr="00E560BA">
              <w:rPr>
                <w:color w:val="000000" w:themeColor="text1"/>
              </w:rPr>
              <w:t xml:space="preserve">Incomplete data on impact on nature’s contributions to people and good quality of life </w:t>
            </w:r>
            <w:r w:rsidRPr="00E560BA">
              <w:t>(Chapter 4, section</w:t>
            </w:r>
            <w:r w:rsidRPr="00E560BA">
              <w:rPr>
                <w:color w:val="000000" w:themeColor="text1"/>
              </w:rPr>
              <w:t xml:space="preserve"> 4.7.2)</w:t>
            </w:r>
          </w:p>
        </w:tc>
      </w:tr>
      <w:tr w:rsidR="00017C04" w14:paraId="54CF50FD" w14:textId="77777777" w:rsidTr="00C46680">
        <w:trPr>
          <w:trHeight w:val="554"/>
        </w:trPr>
        <w:tc>
          <w:tcPr>
            <w:tcW w:w="2518" w:type="dxa"/>
            <w:vMerge w:val="restart"/>
          </w:tcPr>
          <w:p w14:paraId="733252A8" w14:textId="77777777" w:rsidR="00017C04" w:rsidRPr="00E560BA" w:rsidRDefault="00F50AF9" w:rsidP="00C46680">
            <w:pPr>
              <w:pStyle w:val="Default"/>
              <w:rPr>
                <w:rFonts w:ascii="Times New Roman" w:hAnsi="Times New Roman" w:cs="Times New Roman"/>
                <w:b/>
                <w:color w:val="auto"/>
              </w:rPr>
            </w:pPr>
            <w:r w:rsidRPr="00E560BA">
              <w:rPr>
                <w:rFonts w:ascii="Times New Roman" w:hAnsi="Times New Roman" w:cs="Times New Roman"/>
                <w:b/>
                <w:color w:val="auto"/>
              </w:rPr>
              <w:t xml:space="preserve">Management and policy approaches </w:t>
            </w:r>
          </w:p>
          <w:p w14:paraId="6C99F8A8" w14:textId="77777777" w:rsidR="00017C04" w:rsidRPr="00E560BA" w:rsidRDefault="00017C04" w:rsidP="00C46680">
            <w:pPr>
              <w:pStyle w:val="Default"/>
              <w:rPr>
                <w:rFonts w:ascii="Times New Roman" w:hAnsi="Times New Roman" w:cs="Times New Roman"/>
                <w:b/>
                <w:color w:val="auto"/>
              </w:rPr>
            </w:pPr>
          </w:p>
          <w:p w14:paraId="69E52829" w14:textId="77777777" w:rsidR="00017C04" w:rsidRPr="00E560BA" w:rsidRDefault="00F50AF9" w:rsidP="00C46680">
            <w:pPr>
              <w:pStyle w:val="Default"/>
              <w:rPr>
                <w:rFonts w:ascii="Times New Roman" w:hAnsi="Times New Roman" w:cs="Times New Roman"/>
                <w:b/>
                <w:color w:val="auto"/>
              </w:rPr>
            </w:pPr>
            <w:r w:rsidRPr="00E560BA">
              <w:rPr>
                <w:rFonts w:ascii="Times New Roman" w:hAnsi="Times New Roman" w:cs="Times New Roman"/>
                <w:b/>
                <w:color w:val="auto"/>
              </w:rPr>
              <w:t>(section 6.6.1.2)</w:t>
            </w:r>
          </w:p>
          <w:p w14:paraId="174292BA" w14:textId="77777777" w:rsidR="00017C04" w:rsidRPr="00E560BA" w:rsidRDefault="00017C04" w:rsidP="00C46680">
            <w:pPr>
              <w:pStyle w:val="Default"/>
              <w:rPr>
                <w:rFonts w:ascii="Times New Roman" w:hAnsi="Times New Roman" w:cs="Times New Roman"/>
                <w:b/>
                <w:color w:val="auto"/>
              </w:rPr>
            </w:pPr>
          </w:p>
        </w:tc>
        <w:tc>
          <w:tcPr>
            <w:tcW w:w="7233" w:type="dxa"/>
            <w:tcBorders>
              <w:top w:val="single" w:sz="4" w:space="0" w:color="auto"/>
              <w:left w:val="single" w:sz="4" w:space="0" w:color="auto"/>
              <w:bottom w:val="single" w:sz="4" w:space="0" w:color="auto"/>
              <w:right w:val="single" w:sz="4" w:space="0" w:color="auto"/>
            </w:tcBorders>
          </w:tcPr>
          <w:p w14:paraId="70039746" w14:textId="77777777" w:rsidR="00017C04" w:rsidRPr="00E560BA" w:rsidRDefault="00F50AF9">
            <w:pPr>
              <w:spacing w:before="0" w:after="0"/>
            </w:pPr>
            <w:r w:rsidRPr="00E560BA">
              <w:rPr>
                <w:color w:val="000000" w:themeColor="text1"/>
              </w:rPr>
              <w:t xml:space="preserve">Lack of control options for marine invasive alien species and invasive microbial fungal pathogens of plants and animals </w:t>
            </w:r>
            <w:r w:rsidRPr="00E560BA">
              <w:t>(Chapter 5, section</w:t>
            </w:r>
            <w:r w:rsidRPr="00E560BA">
              <w:rPr>
                <w:color w:val="000000" w:themeColor="text1"/>
              </w:rPr>
              <w:t xml:space="preserve"> 5.6.1.1)</w:t>
            </w:r>
          </w:p>
        </w:tc>
      </w:tr>
      <w:tr w:rsidR="00017C04" w14:paraId="3EDCFBF9" w14:textId="77777777" w:rsidTr="00C46680">
        <w:trPr>
          <w:trHeight w:val="419"/>
        </w:trPr>
        <w:tc>
          <w:tcPr>
            <w:tcW w:w="2518" w:type="dxa"/>
            <w:vMerge/>
          </w:tcPr>
          <w:p w14:paraId="3062DDCA" w14:textId="77777777" w:rsidR="00017C04" w:rsidRPr="00E560BA" w:rsidRDefault="00017C04" w:rsidP="00C46680">
            <w:pPr>
              <w:pStyle w:val="Default"/>
              <w:rPr>
                <w:rFonts w:ascii="Times New Roman" w:hAnsi="Times New Roman" w:cs="Times New Roman"/>
                <w:b/>
                <w:highlight w:val="blue"/>
              </w:rPr>
            </w:pPr>
          </w:p>
        </w:tc>
        <w:tc>
          <w:tcPr>
            <w:tcW w:w="7233" w:type="dxa"/>
            <w:tcBorders>
              <w:top w:val="single" w:sz="4" w:space="0" w:color="auto"/>
              <w:right w:val="single" w:sz="4" w:space="0" w:color="auto"/>
            </w:tcBorders>
          </w:tcPr>
          <w:p w14:paraId="5BE36D17" w14:textId="77777777" w:rsidR="00017C04" w:rsidRPr="00E560BA" w:rsidRDefault="00F50AF9">
            <w:pPr>
              <w:spacing w:before="0" w:after="0"/>
              <w:rPr>
                <w:highlight w:val="cyan"/>
              </w:rPr>
            </w:pPr>
            <w:r w:rsidRPr="00E560BA">
              <w:rPr>
                <w:color w:val="000000" w:themeColor="text1"/>
              </w:rPr>
              <w:t xml:space="preserve">Lack of agreed-upon methods of supporting management decision-making for invasive alien species with both positive and negative impacts </w:t>
            </w:r>
            <w:r w:rsidRPr="00E560BA">
              <w:t>(Chapter 5, section</w:t>
            </w:r>
            <w:r w:rsidRPr="00E560BA">
              <w:rPr>
                <w:color w:val="000000" w:themeColor="text1"/>
              </w:rPr>
              <w:t xml:space="preserve"> 5.6.1.2)</w:t>
            </w:r>
          </w:p>
        </w:tc>
      </w:tr>
      <w:tr w:rsidR="00017C04" w14:paraId="4E620338" w14:textId="77777777" w:rsidTr="00C46680">
        <w:tc>
          <w:tcPr>
            <w:tcW w:w="2518" w:type="dxa"/>
            <w:vMerge/>
          </w:tcPr>
          <w:p w14:paraId="3EBB5985"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346629E5" w14:textId="4D3F7E21" w:rsidR="00017C04" w:rsidRPr="00E560BA" w:rsidRDefault="00F50AF9">
            <w:pPr>
              <w:spacing w:before="0" w:after="0"/>
            </w:pPr>
            <w:r w:rsidRPr="00E560BA">
              <w:rPr>
                <w:color w:val="000000" w:themeColor="text1"/>
              </w:rPr>
              <w:t xml:space="preserve">Lack of methods of managing pathways for invasive alien species arriving as contaminating invasive alien species, or through shipping containers, e-commerce (legal/illegal), biofouling or ports, and across land borders and along trade supply chains </w:t>
            </w:r>
            <w:r w:rsidRPr="00E560BA">
              <w:t xml:space="preserve">(Chapter 5, </w:t>
            </w:r>
            <w:r w:rsidR="00761930" w:rsidRPr="00E560BA">
              <w:t>T</w:t>
            </w:r>
            <w:r w:rsidR="009D0E86" w:rsidRPr="00E560BA">
              <w:rPr>
                <w:color w:val="000000" w:themeColor="text1"/>
              </w:rPr>
              <w:t>able</w:t>
            </w:r>
            <w:r w:rsidRPr="00E560BA">
              <w:rPr>
                <w:color w:val="000000" w:themeColor="text1"/>
              </w:rPr>
              <w:t xml:space="preserve"> 5.11, section 5.6.2.4)</w:t>
            </w:r>
          </w:p>
        </w:tc>
      </w:tr>
      <w:tr w:rsidR="00017C04" w14:paraId="5D3C3915" w14:textId="77777777" w:rsidTr="00C46680">
        <w:tc>
          <w:tcPr>
            <w:tcW w:w="2518" w:type="dxa"/>
            <w:vMerge/>
          </w:tcPr>
          <w:p w14:paraId="21224AB2"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3B984FDA" w14:textId="77777777" w:rsidR="00017C04" w:rsidRPr="00E560BA" w:rsidRDefault="00F50AF9">
            <w:pPr>
              <w:spacing w:before="0" w:after="0"/>
            </w:pPr>
            <w:r w:rsidRPr="00E560BA">
              <w:rPr>
                <w:color w:val="000000" w:themeColor="text1"/>
              </w:rPr>
              <w:t>Lack of methods for adaptive management of invasive alien invertebrates and plants using alternative approaches given the declining number of chemical control options </w:t>
            </w:r>
            <w:r w:rsidRPr="00E560BA">
              <w:t>(Chapter 5, section</w:t>
            </w:r>
            <w:r w:rsidRPr="00E560BA">
              <w:rPr>
                <w:color w:val="000000" w:themeColor="text1"/>
              </w:rPr>
              <w:t xml:space="preserve"> 5.6.2.5)</w:t>
            </w:r>
          </w:p>
        </w:tc>
      </w:tr>
      <w:tr w:rsidR="00017C04" w14:paraId="7DB8BE9C" w14:textId="77777777" w:rsidTr="00C46680">
        <w:tc>
          <w:tcPr>
            <w:tcW w:w="2518" w:type="dxa"/>
            <w:vMerge/>
          </w:tcPr>
          <w:p w14:paraId="6A66C121"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030BFB6A" w14:textId="4BF031C1" w:rsidR="00017C04" w:rsidRPr="00E560BA" w:rsidRDefault="00F50AF9">
            <w:pPr>
              <w:spacing w:before="0" w:after="0"/>
            </w:pPr>
            <w:r w:rsidRPr="00E560BA">
              <w:rPr>
                <w:color w:val="000000" w:themeColor="text1"/>
              </w:rPr>
              <w:t xml:space="preserve">Lack of eradication guidelines and strategies for generalist invasive alien invertebrates, diseases and hard-to-detect freshwater and marine invasive alien species </w:t>
            </w:r>
            <w:r w:rsidRPr="00E560BA">
              <w:t>(Chapter 5, section</w:t>
            </w:r>
            <w:r w:rsidRPr="00E560BA">
              <w:rPr>
                <w:color w:val="000000" w:themeColor="text1"/>
              </w:rPr>
              <w:t xml:space="preserve"> 5.6.2.1, </w:t>
            </w:r>
            <w:r w:rsidR="00761930" w:rsidRPr="00E560BA">
              <w:rPr>
                <w:color w:val="000000" w:themeColor="text1"/>
              </w:rPr>
              <w:t>T</w:t>
            </w:r>
            <w:r w:rsidR="009D0E86" w:rsidRPr="00E560BA">
              <w:rPr>
                <w:color w:val="000000" w:themeColor="text1"/>
              </w:rPr>
              <w:t>able</w:t>
            </w:r>
            <w:r w:rsidRPr="00E560BA">
              <w:rPr>
                <w:color w:val="000000" w:themeColor="text1"/>
              </w:rPr>
              <w:t xml:space="preserve"> 5.11)</w:t>
            </w:r>
          </w:p>
        </w:tc>
      </w:tr>
      <w:tr w:rsidR="00017C04" w14:paraId="3B7DCB96" w14:textId="77777777" w:rsidTr="00C46680">
        <w:tc>
          <w:tcPr>
            <w:tcW w:w="2518" w:type="dxa"/>
            <w:vMerge/>
          </w:tcPr>
          <w:p w14:paraId="33757437"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bottom w:val="single" w:sz="4" w:space="0" w:color="auto"/>
              <w:right w:val="single" w:sz="4" w:space="0" w:color="auto"/>
            </w:tcBorders>
          </w:tcPr>
          <w:p w14:paraId="3BF83108" w14:textId="77777777" w:rsidR="00017C04" w:rsidRPr="00E560BA" w:rsidRDefault="00F50AF9">
            <w:pPr>
              <w:spacing w:before="0" w:after="0"/>
            </w:pPr>
            <w:r w:rsidRPr="00E560BA">
              <w:t>Missing information on the implementation of adaptive-collaborative governance for biological invasions and factors important for the success of this governance strategy (section 6.4.4.4)</w:t>
            </w:r>
          </w:p>
        </w:tc>
      </w:tr>
      <w:tr w:rsidR="00017C04" w14:paraId="4ED57E02" w14:textId="77777777" w:rsidTr="00C46680">
        <w:tc>
          <w:tcPr>
            <w:tcW w:w="2518" w:type="dxa"/>
            <w:vMerge/>
          </w:tcPr>
          <w:p w14:paraId="63F7FE80"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right w:val="single" w:sz="4" w:space="0" w:color="auto"/>
            </w:tcBorders>
          </w:tcPr>
          <w:p w14:paraId="3BEB5981" w14:textId="77777777" w:rsidR="00017C04" w:rsidRPr="00E560BA" w:rsidRDefault="00F50AF9">
            <w:pPr>
              <w:spacing w:before="0" w:after="0"/>
            </w:pPr>
            <w:r w:rsidRPr="00E560BA">
              <w:t>Incomplete data on the effectiveness of policies, management strategies and actions related to biological invasions (section 6.6.3)</w:t>
            </w:r>
          </w:p>
        </w:tc>
      </w:tr>
      <w:tr w:rsidR="00017C04" w14:paraId="31F19EC8" w14:textId="77777777" w:rsidTr="00C46680">
        <w:tc>
          <w:tcPr>
            <w:tcW w:w="2518" w:type="dxa"/>
            <w:vMerge/>
          </w:tcPr>
          <w:p w14:paraId="6F4FEBE3" w14:textId="77777777" w:rsidR="00017C04" w:rsidRPr="00E560BA" w:rsidRDefault="00017C04" w:rsidP="00C12647">
            <w:pPr>
              <w:widowControl w:val="0"/>
              <w:pBdr>
                <w:top w:val="nil"/>
                <w:left w:val="nil"/>
                <w:bottom w:val="nil"/>
                <w:right w:val="nil"/>
                <w:between w:val="nil"/>
              </w:pBdr>
              <w:spacing w:before="0" w:after="0" w:line="276" w:lineRule="auto"/>
              <w:rPr>
                <w:b/>
              </w:rPr>
            </w:pPr>
          </w:p>
        </w:tc>
        <w:tc>
          <w:tcPr>
            <w:tcW w:w="7233" w:type="dxa"/>
            <w:tcBorders>
              <w:left w:val="single" w:sz="4" w:space="0" w:color="auto"/>
              <w:right w:val="single" w:sz="4" w:space="0" w:color="auto"/>
            </w:tcBorders>
          </w:tcPr>
          <w:p w14:paraId="68196982" w14:textId="4FD8715F" w:rsidR="00017C04" w:rsidRPr="00E560BA" w:rsidRDefault="00F50AF9">
            <w:pPr>
              <w:spacing w:before="0" w:after="0"/>
            </w:pPr>
            <w:r w:rsidRPr="00E560BA">
              <w:rPr>
                <w:color w:val="000000" w:themeColor="text1"/>
              </w:rPr>
              <w:t>Lack of scenarios and models of invasive alien species that consider interactions with other drivers of change</w:t>
            </w:r>
            <w:r w:rsidR="33BC7C10" w:rsidRPr="00E560BA">
              <w:rPr>
                <w:color w:val="000000" w:themeColor="text1"/>
              </w:rPr>
              <w:t xml:space="preserve"> in nature</w:t>
            </w:r>
            <w:r w:rsidRPr="00E560BA">
              <w:rPr>
                <w:color w:val="000000" w:themeColor="text1"/>
              </w:rPr>
              <w:t xml:space="preserve"> </w:t>
            </w:r>
            <w:r w:rsidRPr="00E560BA">
              <w:t>(Chapter 2, section</w:t>
            </w:r>
            <w:r w:rsidRPr="00E560BA">
              <w:rPr>
                <w:color w:val="000000" w:themeColor="text1"/>
              </w:rPr>
              <w:t xml:space="preserve"> 2.6.5; Chapter 6, section 6.6.1.6)</w:t>
            </w:r>
          </w:p>
        </w:tc>
      </w:tr>
      <w:tr w:rsidR="00017C04" w14:paraId="2F56694A" w14:textId="77777777" w:rsidTr="00C46680">
        <w:tc>
          <w:tcPr>
            <w:tcW w:w="2518" w:type="dxa"/>
            <w:vMerge/>
          </w:tcPr>
          <w:p w14:paraId="1D65307B" w14:textId="77777777" w:rsidR="00017C04" w:rsidRPr="00E560BA" w:rsidRDefault="00017C04" w:rsidP="00C12647">
            <w:pPr>
              <w:widowControl w:val="0"/>
              <w:pBdr>
                <w:top w:val="nil"/>
                <w:left w:val="nil"/>
                <w:bottom w:val="nil"/>
                <w:right w:val="nil"/>
                <w:between w:val="nil"/>
              </w:pBdr>
              <w:spacing w:before="0" w:after="0" w:line="276" w:lineRule="auto"/>
            </w:pPr>
          </w:p>
        </w:tc>
        <w:tc>
          <w:tcPr>
            <w:tcW w:w="7233" w:type="dxa"/>
            <w:tcBorders>
              <w:top w:val="single" w:sz="4" w:space="0" w:color="auto"/>
              <w:left w:val="single" w:sz="4" w:space="0" w:color="auto"/>
              <w:right w:val="single" w:sz="4" w:space="0" w:color="auto"/>
            </w:tcBorders>
          </w:tcPr>
          <w:p w14:paraId="4E019FA5" w14:textId="77777777" w:rsidR="00017C04" w:rsidRPr="00E560BA" w:rsidRDefault="00F50AF9">
            <w:pPr>
              <w:spacing w:before="0" w:after="0"/>
            </w:pPr>
            <w:r w:rsidRPr="00E560BA">
              <w:t>Lack of biological invasion research that includes social dimensions to generate socially relevant additional data and knowledge, better inform management and policy and build trust between sectors of society (sections 6.4, 6.6.1.4)</w:t>
            </w:r>
          </w:p>
        </w:tc>
      </w:tr>
      <w:tr w:rsidR="00017C04" w14:paraId="4C228F97" w14:textId="77777777" w:rsidTr="00C46680">
        <w:tc>
          <w:tcPr>
            <w:tcW w:w="2518" w:type="dxa"/>
            <w:vMerge/>
          </w:tcPr>
          <w:p w14:paraId="21120863" w14:textId="77777777" w:rsidR="00017C04" w:rsidRPr="00E560BA" w:rsidRDefault="00017C04" w:rsidP="00C12647">
            <w:pPr>
              <w:widowControl w:val="0"/>
              <w:pBdr>
                <w:top w:val="nil"/>
                <w:left w:val="nil"/>
                <w:bottom w:val="nil"/>
                <w:right w:val="nil"/>
                <w:between w:val="nil"/>
              </w:pBdr>
              <w:spacing w:before="0" w:after="0" w:line="276" w:lineRule="auto"/>
            </w:pPr>
          </w:p>
        </w:tc>
        <w:tc>
          <w:tcPr>
            <w:tcW w:w="7233" w:type="dxa"/>
            <w:tcBorders>
              <w:top w:val="single" w:sz="4" w:space="0" w:color="auto"/>
              <w:left w:val="single" w:sz="4" w:space="0" w:color="auto"/>
              <w:right w:val="single" w:sz="4" w:space="0" w:color="auto"/>
            </w:tcBorders>
          </w:tcPr>
          <w:p w14:paraId="4BD882E6" w14:textId="77777777" w:rsidR="00017C04" w:rsidRPr="00E560BA" w:rsidRDefault="00F50AF9">
            <w:pPr>
              <w:spacing w:before="0" w:after="0"/>
            </w:pPr>
            <w:r w:rsidRPr="00E560BA">
              <w:t>Lack of multidisciplinary to interdisciplinary research on policy regimes and governance for biological invasions (sections 6.2.4, 6.5.1)</w:t>
            </w:r>
          </w:p>
        </w:tc>
      </w:tr>
      <w:tr w:rsidR="00017C04" w14:paraId="28B167EE" w14:textId="77777777" w:rsidTr="00C46680">
        <w:tc>
          <w:tcPr>
            <w:tcW w:w="2518" w:type="dxa"/>
            <w:vMerge/>
          </w:tcPr>
          <w:p w14:paraId="64EB6C1E" w14:textId="77777777" w:rsidR="00017C04" w:rsidRPr="00E560BA" w:rsidRDefault="00017C04" w:rsidP="00C12647">
            <w:pPr>
              <w:widowControl w:val="0"/>
              <w:pBdr>
                <w:top w:val="nil"/>
                <w:left w:val="nil"/>
                <w:bottom w:val="nil"/>
                <w:right w:val="nil"/>
                <w:between w:val="nil"/>
              </w:pBdr>
              <w:spacing w:before="0" w:after="0" w:line="276" w:lineRule="auto"/>
            </w:pPr>
          </w:p>
        </w:tc>
        <w:tc>
          <w:tcPr>
            <w:tcW w:w="7233" w:type="dxa"/>
            <w:tcBorders>
              <w:top w:val="single" w:sz="4" w:space="0" w:color="auto"/>
              <w:left w:val="single" w:sz="4" w:space="0" w:color="auto"/>
              <w:right w:val="single" w:sz="4" w:space="0" w:color="auto"/>
            </w:tcBorders>
          </w:tcPr>
          <w:p w14:paraId="369FBA0D" w14:textId="77777777" w:rsidR="00017C04" w:rsidRPr="00E560BA" w:rsidRDefault="00F50AF9">
            <w:pPr>
              <w:spacing w:before="0" w:after="0"/>
            </w:pPr>
            <w:r w:rsidRPr="00E560BA">
              <w:rPr>
                <w:color w:val="000000" w:themeColor="text1"/>
              </w:rPr>
              <w:t>Lack of tools and frameworks to predict biological invasions (sections 6.2.1, 6.6.1.6, 6.7.2.7)</w:t>
            </w:r>
          </w:p>
        </w:tc>
      </w:tr>
      <w:tr w:rsidR="00017C04" w14:paraId="2A328D02" w14:textId="77777777" w:rsidTr="00C46680">
        <w:trPr>
          <w:trHeight w:val="473"/>
        </w:trPr>
        <w:tc>
          <w:tcPr>
            <w:tcW w:w="2518" w:type="dxa"/>
            <w:vMerge w:val="restart"/>
            <w:tcBorders>
              <w:top w:val="single" w:sz="4" w:space="0" w:color="auto"/>
              <w:left w:val="single" w:sz="4" w:space="0" w:color="auto"/>
              <w:right w:val="single" w:sz="4" w:space="0" w:color="auto"/>
            </w:tcBorders>
          </w:tcPr>
          <w:p w14:paraId="38ECDBD2" w14:textId="77777777" w:rsidR="00017C04" w:rsidRPr="00E560BA" w:rsidRDefault="00F50AF9" w:rsidP="00C12647">
            <w:pPr>
              <w:pBdr>
                <w:top w:val="nil"/>
                <w:left w:val="nil"/>
                <w:bottom w:val="nil"/>
                <w:right w:val="nil"/>
                <w:between w:val="nil"/>
              </w:pBdr>
              <w:spacing w:before="0" w:after="0"/>
              <w:rPr>
                <w:b/>
              </w:rPr>
            </w:pPr>
            <w:r w:rsidRPr="00E560BA">
              <w:rPr>
                <w:b/>
              </w:rPr>
              <w:t>Gaps to fill to support the implementation of policy and management</w:t>
            </w:r>
          </w:p>
          <w:p w14:paraId="71B9D044" w14:textId="77777777" w:rsidR="00017C04" w:rsidRPr="00E560BA" w:rsidRDefault="00017C04" w:rsidP="00C12647">
            <w:pPr>
              <w:pBdr>
                <w:top w:val="nil"/>
                <w:left w:val="nil"/>
                <w:bottom w:val="nil"/>
                <w:right w:val="nil"/>
                <w:between w:val="nil"/>
              </w:pBdr>
              <w:spacing w:before="0" w:after="0"/>
              <w:rPr>
                <w:b/>
              </w:rPr>
            </w:pPr>
          </w:p>
          <w:p w14:paraId="0077BDC3" w14:textId="77777777" w:rsidR="00017C04" w:rsidRPr="00E560BA" w:rsidRDefault="00F50AF9" w:rsidP="00C12647">
            <w:pPr>
              <w:pBdr>
                <w:top w:val="nil"/>
                <w:left w:val="nil"/>
                <w:bottom w:val="nil"/>
                <w:right w:val="nil"/>
                <w:between w:val="nil"/>
              </w:pBdr>
              <w:spacing w:before="0" w:after="0"/>
              <w:rPr>
                <w:b/>
              </w:rPr>
            </w:pPr>
            <w:r w:rsidRPr="00E560BA">
              <w:rPr>
                <w:b/>
              </w:rPr>
              <w:t>(sections 6.6.1.2, 6.6.1.3, 6.6.1.6)</w:t>
            </w:r>
          </w:p>
          <w:p w14:paraId="0CB79B77" w14:textId="77777777" w:rsidR="00017C04" w:rsidRPr="00E560BA" w:rsidRDefault="00017C04">
            <w:pPr>
              <w:spacing w:before="0" w:after="0"/>
            </w:pPr>
          </w:p>
        </w:tc>
        <w:tc>
          <w:tcPr>
            <w:tcW w:w="7233" w:type="dxa"/>
            <w:tcBorders>
              <w:top w:val="single" w:sz="4" w:space="0" w:color="auto"/>
              <w:left w:val="single" w:sz="4" w:space="0" w:color="auto"/>
              <w:right w:val="single" w:sz="4" w:space="0" w:color="auto"/>
            </w:tcBorders>
          </w:tcPr>
          <w:p w14:paraId="7AD3CB7E" w14:textId="77777777" w:rsidR="00017C04" w:rsidRPr="00E560BA" w:rsidRDefault="00F50AF9">
            <w:pPr>
              <w:spacing w:before="0" w:after="0"/>
            </w:pPr>
            <w:r w:rsidRPr="00E560BA">
              <w:rPr>
                <w:color w:val="000000" w:themeColor="text1"/>
              </w:rPr>
              <w:t>Lack of tools to reduce the barriers to information-sharing within and across countries (section 6.6.2)</w:t>
            </w:r>
          </w:p>
        </w:tc>
      </w:tr>
      <w:tr w:rsidR="00017C04" w14:paraId="1373D16F" w14:textId="77777777" w:rsidTr="00C46680">
        <w:tc>
          <w:tcPr>
            <w:tcW w:w="2518" w:type="dxa"/>
            <w:vMerge/>
          </w:tcPr>
          <w:p w14:paraId="70585B11" w14:textId="77777777" w:rsidR="00017C04" w:rsidRPr="00E560BA" w:rsidRDefault="00017C04" w:rsidP="00C46680">
            <w:pPr>
              <w:pStyle w:val="Default"/>
              <w:rPr>
                <w:rFonts w:ascii="Times New Roman" w:hAnsi="Times New Roman" w:cs="Times New Roman"/>
                <w:b/>
              </w:rPr>
            </w:pPr>
          </w:p>
        </w:tc>
        <w:tc>
          <w:tcPr>
            <w:tcW w:w="7233" w:type="dxa"/>
            <w:tcBorders>
              <w:left w:val="single" w:sz="4" w:space="0" w:color="auto"/>
              <w:bottom w:val="single" w:sz="4" w:space="0" w:color="auto"/>
              <w:right w:val="single" w:sz="4" w:space="0" w:color="auto"/>
            </w:tcBorders>
          </w:tcPr>
          <w:p w14:paraId="08AA971C" w14:textId="396B9A4D" w:rsidR="00017C04" w:rsidRPr="00E560BA" w:rsidRDefault="00F50AF9">
            <w:pPr>
              <w:spacing w:before="0" w:after="0"/>
            </w:pPr>
            <w:r w:rsidRPr="00E560BA">
              <w:rPr>
                <w:color w:val="000000" w:themeColor="text1"/>
              </w:rPr>
              <w:t>Lack of research and data on how best to implement</w:t>
            </w:r>
            <w:r w:rsidR="003E5DAD" w:rsidRPr="00E560BA">
              <w:rPr>
                <w:color w:val="000000" w:themeColor="text1"/>
              </w:rPr>
              <w:t xml:space="preserve"> </w:t>
            </w:r>
            <w:r w:rsidR="003E5DAD" w:rsidRPr="00E560BA">
              <w:rPr>
                <w:color w:val="000000"/>
              </w:rPr>
              <w:t>context-specific</w:t>
            </w:r>
            <w:r w:rsidRPr="00E560BA">
              <w:rPr>
                <w:color w:val="000000"/>
              </w:rPr>
              <w:t xml:space="preserve"> integrated governance systems to manage biological invasions (sections 6.6.1.3, 6.6.1.4, 6.6.2)</w:t>
            </w:r>
          </w:p>
        </w:tc>
      </w:tr>
      <w:tr w:rsidR="00017C04" w14:paraId="1989DC44" w14:textId="77777777" w:rsidTr="00C46680">
        <w:tc>
          <w:tcPr>
            <w:tcW w:w="2518" w:type="dxa"/>
            <w:vMerge/>
          </w:tcPr>
          <w:p w14:paraId="5D365502" w14:textId="77777777" w:rsidR="00017C04" w:rsidRPr="00E560BA" w:rsidRDefault="00017C04" w:rsidP="00C12647">
            <w:pPr>
              <w:widowControl w:val="0"/>
              <w:pBdr>
                <w:top w:val="nil"/>
                <w:left w:val="nil"/>
                <w:bottom w:val="nil"/>
                <w:right w:val="nil"/>
                <w:between w:val="nil"/>
              </w:pBdr>
              <w:spacing w:before="0" w:after="0" w:line="276" w:lineRule="auto"/>
            </w:pPr>
          </w:p>
        </w:tc>
        <w:tc>
          <w:tcPr>
            <w:tcW w:w="7233" w:type="dxa"/>
            <w:tcBorders>
              <w:top w:val="single" w:sz="4" w:space="0" w:color="auto"/>
              <w:left w:val="single" w:sz="4" w:space="0" w:color="auto"/>
              <w:bottom w:val="single" w:sz="4" w:space="0" w:color="auto"/>
              <w:right w:val="single" w:sz="4" w:space="0" w:color="auto"/>
            </w:tcBorders>
          </w:tcPr>
          <w:p w14:paraId="086804B9" w14:textId="77239CD8" w:rsidR="00017C04" w:rsidRPr="00E560BA" w:rsidRDefault="00F50AF9">
            <w:pPr>
              <w:spacing w:before="0" w:after="0"/>
            </w:pPr>
            <w:r w:rsidRPr="00E560BA">
              <w:t>Lack of mechanisms that allow effective collaboration among different aspects of the socioecological systems (</w:t>
            </w:r>
            <w:r w:rsidR="00761930" w:rsidRPr="00E560BA">
              <w:t>F</w:t>
            </w:r>
            <w:r w:rsidR="00A93E17" w:rsidRPr="00E560BA">
              <w:t>igure</w:t>
            </w:r>
            <w:r w:rsidRPr="00E560BA">
              <w:t xml:space="preserve"> 6.7, section 6.7)</w:t>
            </w:r>
          </w:p>
        </w:tc>
      </w:tr>
      <w:tr w:rsidR="00017C04" w14:paraId="2F0DDB0E" w14:textId="77777777" w:rsidTr="00C46680">
        <w:tc>
          <w:tcPr>
            <w:tcW w:w="2518" w:type="dxa"/>
            <w:vMerge/>
          </w:tcPr>
          <w:p w14:paraId="58D3D2E0" w14:textId="77777777" w:rsidR="00017C04" w:rsidRPr="00E560BA" w:rsidRDefault="00017C04" w:rsidP="00C46680">
            <w:pPr>
              <w:pStyle w:val="Default"/>
              <w:rPr>
                <w:rFonts w:ascii="Times New Roman" w:hAnsi="Times New Roman" w:cs="Times New Roman"/>
                <w:b/>
              </w:rPr>
            </w:pPr>
          </w:p>
        </w:tc>
        <w:tc>
          <w:tcPr>
            <w:tcW w:w="7233" w:type="dxa"/>
            <w:tcBorders>
              <w:top w:val="single" w:sz="4" w:space="0" w:color="auto"/>
              <w:left w:val="single" w:sz="4" w:space="0" w:color="auto"/>
              <w:bottom w:val="single" w:sz="4" w:space="0" w:color="auto"/>
              <w:right w:val="single" w:sz="4" w:space="0" w:color="auto"/>
            </w:tcBorders>
          </w:tcPr>
          <w:p w14:paraId="514DC1BA" w14:textId="77777777" w:rsidR="00017C04" w:rsidRPr="00E560BA" w:rsidRDefault="00F50AF9">
            <w:pPr>
              <w:spacing w:before="0" w:after="0"/>
            </w:pPr>
            <w:r w:rsidRPr="00E560BA">
              <w:t>Policy for new and emerging technological innovations for invasive alien species management to support effective development and implementation and prevent or manage risks (section 6.3.3)</w:t>
            </w:r>
          </w:p>
        </w:tc>
      </w:tr>
      <w:tr w:rsidR="00017C04" w14:paraId="01FAE03A" w14:textId="77777777" w:rsidTr="00C46680">
        <w:tc>
          <w:tcPr>
            <w:tcW w:w="2518" w:type="dxa"/>
            <w:vMerge/>
          </w:tcPr>
          <w:p w14:paraId="419983CC" w14:textId="77777777" w:rsidR="00017C04" w:rsidRPr="00E560BA" w:rsidRDefault="00017C04" w:rsidP="00C46680">
            <w:pPr>
              <w:pStyle w:val="Default"/>
              <w:rPr>
                <w:rFonts w:ascii="Times New Roman" w:hAnsi="Times New Roman" w:cs="Times New Roman"/>
                <w:b/>
              </w:rPr>
            </w:pPr>
          </w:p>
        </w:tc>
        <w:tc>
          <w:tcPr>
            <w:tcW w:w="7233" w:type="dxa"/>
            <w:tcBorders>
              <w:top w:val="single" w:sz="4" w:space="0" w:color="auto"/>
              <w:left w:val="single" w:sz="4" w:space="0" w:color="auto"/>
              <w:bottom w:val="single" w:sz="4" w:space="0" w:color="auto"/>
              <w:right w:val="single" w:sz="4" w:space="0" w:color="auto"/>
            </w:tcBorders>
          </w:tcPr>
          <w:p w14:paraId="39620F89" w14:textId="77777777" w:rsidR="00017C04" w:rsidRPr="00E560BA" w:rsidRDefault="00F50AF9">
            <w:pPr>
              <w:spacing w:before="0" w:after="0"/>
            </w:pPr>
            <w:r w:rsidRPr="00E560BA">
              <w:t>Additional, particularly fine scale, data on how invasive alien species are introduced and spread to support prioritization of introduction pathways and pathway management (Chapter 2, section 2.1.2; Chapter 5, section 5.6.2; Chapter 6, section 6.6.1.2)</w:t>
            </w:r>
          </w:p>
        </w:tc>
      </w:tr>
      <w:tr w:rsidR="00017C04" w14:paraId="61F5E914" w14:textId="77777777" w:rsidTr="00C46680">
        <w:trPr>
          <w:trHeight w:val="630"/>
        </w:trPr>
        <w:tc>
          <w:tcPr>
            <w:tcW w:w="2518" w:type="dxa"/>
            <w:vMerge/>
          </w:tcPr>
          <w:p w14:paraId="1078C24D" w14:textId="77777777" w:rsidR="00017C04" w:rsidRPr="00E560BA" w:rsidRDefault="00017C04" w:rsidP="00C46680">
            <w:pPr>
              <w:pStyle w:val="Default"/>
              <w:rPr>
                <w:rFonts w:ascii="Times New Roman" w:hAnsi="Times New Roman" w:cs="Times New Roman"/>
                <w:b/>
              </w:rPr>
            </w:pPr>
          </w:p>
        </w:tc>
        <w:tc>
          <w:tcPr>
            <w:tcW w:w="7233" w:type="dxa"/>
            <w:tcBorders>
              <w:top w:val="single" w:sz="4" w:space="0" w:color="auto"/>
              <w:left w:val="single" w:sz="4" w:space="0" w:color="auto"/>
              <w:bottom w:val="single" w:sz="4" w:space="0" w:color="auto"/>
              <w:right w:val="single" w:sz="4" w:space="0" w:color="auto"/>
            </w:tcBorders>
          </w:tcPr>
          <w:p w14:paraId="03C2C46B" w14:textId="77777777" w:rsidR="00017C04" w:rsidRPr="00E560BA" w:rsidRDefault="00F50AF9">
            <w:pPr>
              <w:spacing w:before="0" w:after="0"/>
            </w:pPr>
            <w:r w:rsidRPr="00E560BA">
              <w:t>Research and design of economic options, including the tailoring of ambient taxes and analyses and indicators to assist private companies (section 6.5.1.1)</w:t>
            </w:r>
          </w:p>
        </w:tc>
      </w:tr>
      <w:tr w:rsidR="00017C04" w14:paraId="314B797A" w14:textId="77777777" w:rsidTr="00C46680">
        <w:trPr>
          <w:trHeight w:val="551"/>
        </w:trPr>
        <w:tc>
          <w:tcPr>
            <w:tcW w:w="2518" w:type="dxa"/>
            <w:vMerge w:val="restart"/>
            <w:tcBorders>
              <w:top w:val="single" w:sz="4" w:space="0" w:color="auto"/>
              <w:left w:val="single" w:sz="4" w:space="0" w:color="auto"/>
              <w:bottom w:val="single" w:sz="4" w:space="0" w:color="auto"/>
              <w:right w:val="single" w:sz="4" w:space="0" w:color="auto"/>
            </w:tcBorders>
          </w:tcPr>
          <w:p w14:paraId="31FB848D" w14:textId="77777777" w:rsidR="00017C04" w:rsidRPr="00E560BA" w:rsidRDefault="00F50AF9" w:rsidP="00C46680">
            <w:pPr>
              <w:pStyle w:val="Default"/>
              <w:rPr>
                <w:rFonts w:ascii="Times New Roman" w:hAnsi="Times New Roman" w:cs="Times New Roman"/>
                <w:b/>
                <w:color w:val="auto"/>
              </w:rPr>
            </w:pPr>
            <w:r w:rsidRPr="00E560BA">
              <w:rPr>
                <w:rFonts w:ascii="Times New Roman" w:hAnsi="Times New Roman" w:cs="Times New Roman"/>
                <w:b/>
                <w:color w:val="auto"/>
              </w:rPr>
              <w:t xml:space="preserve">Knowledge gaps on invasive alien species of particular relevance to Indigenous Peoples and local communities </w:t>
            </w:r>
          </w:p>
          <w:p w14:paraId="1918D85C" w14:textId="77777777" w:rsidR="00017C04" w:rsidRPr="00E560BA" w:rsidRDefault="00017C04" w:rsidP="00C46680">
            <w:pPr>
              <w:pStyle w:val="Default"/>
              <w:rPr>
                <w:rFonts w:ascii="Times New Roman" w:hAnsi="Times New Roman" w:cs="Times New Roman"/>
                <w:b/>
                <w:color w:val="auto"/>
              </w:rPr>
            </w:pPr>
          </w:p>
          <w:p w14:paraId="693111AB" w14:textId="77777777" w:rsidR="00017C04" w:rsidRPr="00E560BA" w:rsidRDefault="00F50AF9" w:rsidP="00C46680">
            <w:pPr>
              <w:pStyle w:val="Default"/>
              <w:rPr>
                <w:rFonts w:ascii="Times New Roman" w:hAnsi="Times New Roman" w:cs="Times New Roman"/>
                <w:b/>
                <w:color w:val="auto"/>
              </w:rPr>
            </w:pPr>
            <w:r w:rsidRPr="00E560BA">
              <w:rPr>
                <w:rFonts w:ascii="Times New Roman" w:hAnsi="Times New Roman" w:cs="Times New Roman"/>
                <w:b/>
                <w:color w:val="auto"/>
              </w:rPr>
              <w:t>(section 6.6.1.5)</w:t>
            </w:r>
          </w:p>
        </w:tc>
        <w:tc>
          <w:tcPr>
            <w:tcW w:w="7233" w:type="dxa"/>
            <w:tcBorders>
              <w:top w:val="single" w:sz="4" w:space="0" w:color="auto"/>
              <w:left w:val="single" w:sz="4" w:space="0" w:color="auto"/>
              <w:bottom w:val="single" w:sz="4" w:space="0" w:color="auto"/>
              <w:right w:val="single" w:sz="4" w:space="0" w:color="auto"/>
            </w:tcBorders>
          </w:tcPr>
          <w:p w14:paraId="1A7FBB91" w14:textId="4E54A7D8" w:rsidR="00017C04" w:rsidRPr="00E560BA" w:rsidRDefault="00F50AF9">
            <w:pPr>
              <w:spacing w:before="0" w:after="0"/>
            </w:pPr>
            <w:r w:rsidRPr="00E560BA">
              <w:t xml:space="preserve">Lack of information on invasive alien species status and trends on land and water managed by Indigenous Peoples and local communities (Chapter 2, </w:t>
            </w:r>
            <w:r w:rsidR="00EB1D37" w:rsidRPr="00E560BA">
              <w:t>B</w:t>
            </w:r>
            <w:r w:rsidR="00A93E17" w:rsidRPr="00E560BA">
              <w:t>ox</w:t>
            </w:r>
            <w:r w:rsidRPr="00E560BA">
              <w:t xml:space="preserve"> 2.6)</w:t>
            </w:r>
          </w:p>
        </w:tc>
      </w:tr>
      <w:tr w:rsidR="00017C04" w14:paraId="273FF202" w14:textId="77777777" w:rsidTr="00C46680">
        <w:trPr>
          <w:trHeight w:val="417"/>
        </w:trPr>
        <w:tc>
          <w:tcPr>
            <w:tcW w:w="2518" w:type="dxa"/>
            <w:vMerge/>
          </w:tcPr>
          <w:p w14:paraId="378001F5" w14:textId="77777777" w:rsidR="00017C04" w:rsidRPr="00E560BA" w:rsidRDefault="00017C04" w:rsidP="00C46680">
            <w:pPr>
              <w:pStyle w:val="Default"/>
              <w:rPr>
                <w:rFonts w:ascii="Times New Roman" w:hAnsi="Times New Roman" w:cs="Times New Roman"/>
                <w:b/>
              </w:rPr>
            </w:pPr>
          </w:p>
        </w:tc>
        <w:tc>
          <w:tcPr>
            <w:tcW w:w="7233" w:type="dxa"/>
            <w:tcBorders>
              <w:top w:val="single" w:sz="4" w:space="0" w:color="auto"/>
              <w:left w:val="single" w:sz="4" w:space="0" w:color="auto"/>
              <w:bottom w:val="single" w:sz="4" w:space="0" w:color="auto"/>
              <w:right w:val="single" w:sz="4" w:space="0" w:color="auto"/>
            </w:tcBorders>
          </w:tcPr>
          <w:p w14:paraId="44D7D62A" w14:textId="3DBFE51B" w:rsidR="00017C04" w:rsidRPr="00E560BA" w:rsidRDefault="00F50AF9">
            <w:pPr>
              <w:spacing w:before="0" w:after="0"/>
            </w:pPr>
            <w:r w:rsidRPr="00E560BA">
              <w:t>Lack of clarity on how knowledge, resources and data on invasive</w:t>
            </w:r>
            <w:r w:rsidR="58612E1D" w:rsidRPr="00E560BA">
              <w:t xml:space="preserve"> alien</w:t>
            </w:r>
            <w:r w:rsidRPr="00E560BA">
              <w:t xml:space="preserve"> species should be treated under the Nagoya Protocol (section 6.6.1.5)</w:t>
            </w:r>
          </w:p>
        </w:tc>
      </w:tr>
      <w:tr w:rsidR="00017C04" w14:paraId="6DC58B70" w14:textId="77777777" w:rsidTr="00C46680">
        <w:trPr>
          <w:trHeight w:val="623"/>
        </w:trPr>
        <w:tc>
          <w:tcPr>
            <w:tcW w:w="2518" w:type="dxa"/>
            <w:vMerge/>
          </w:tcPr>
          <w:p w14:paraId="5B340E04" w14:textId="77777777" w:rsidR="00017C04" w:rsidRPr="00E560BA" w:rsidRDefault="00017C04" w:rsidP="00C12647">
            <w:pPr>
              <w:widowControl w:val="0"/>
              <w:pBdr>
                <w:top w:val="nil"/>
                <w:left w:val="nil"/>
                <w:bottom w:val="nil"/>
                <w:right w:val="nil"/>
                <w:between w:val="nil"/>
              </w:pBdr>
              <w:spacing w:before="0" w:after="0" w:line="276" w:lineRule="auto"/>
            </w:pPr>
          </w:p>
        </w:tc>
        <w:tc>
          <w:tcPr>
            <w:tcW w:w="7233" w:type="dxa"/>
            <w:tcBorders>
              <w:top w:val="single" w:sz="4" w:space="0" w:color="auto"/>
              <w:left w:val="single" w:sz="4" w:space="0" w:color="auto"/>
              <w:bottom w:val="single" w:sz="4" w:space="0" w:color="auto"/>
              <w:right w:val="single" w:sz="4" w:space="0" w:color="auto"/>
            </w:tcBorders>
          </w:tcPr>
          <w:p w14:paraId="770AA0BE" w14:textId="77777777" w:rsidR="00017C04" w:rsidRPr="00E560BA" w:rsidRDefault="00F50AF9">
            <w:pPr>
              <w:spacing w:before="0" w:after="0"/>
            </w:pPr>
            <w:r w:rsidRPr="00E560BA">
              <w:t>Mechanisms for sharing knowledge on invasive alien species with Indigenous Peoples and local communities (section 6.6.1.5)</w:t>
            </w:r>
          </w:p>
        </w:tc>
      </w:tr>
      <w:tr w:rsidR="00017C04" w14:paraId="6CFC2E2F" w14:textId="77777777" w:rsidTr="00C46680">
        <w:trPr>
          <w:trHeight w:val="868"/>
        </w:trPr>
        <w:tc>
          <w:tcPr>
            <w:tcW w:w="2518" w:type="dxa"/>
            <w:vMerge/>
          </w:tcPr>
          <w:p w14:paraId="4E832F9D" w14:textId="77777777" w:rsidR="00017C04" w:rsidRPr="00E560BA" w:rsidRDefault="00017C04" w:rsidP="00C12647">
            <w:pPr>
              <w:widowControl w:val="0"/>
              <w:pBdr>
                <w:top w:val="nil"/>
                <w:left w:val="nil"/>
                <w:bottom w:val="nil"/>
                <w:right w:val="nil"/>
                <w:between w:val="nil"/>
              </w:pBdr>
              <w:spacing w:before="0" w:after="0" w:line="276" w:lineRule="auto"/>
            </w:pPr>
          </w:p>
        </w:tc>
        <w:tc>
          <w:tcPr>
            <w:tcW w:w="7233" w:type="dxa"/>
            <w:tcBorders>
              <w:top w:val="single" w:sz="4" w:space="0" w:color="auto"/>
              <w:left w:val="single" w:sz="4" w:space="0" w:color="auto"/>
              <w:bottom w:val="single" w:sz="4" w:space="0" w:color="auto"/>
              <w:right w:val="single" w:sz="4" w:space="0" w:color="auto"/>
            </w:tcBorders>
          </w:tcPr>
          <w:p w14:paraId="19C6717B" w14:textId="77777777" w:rsidR="00017C04" w:rsidRPr="00E560BA" w:rsidRDefault="00F50AF9">
            <w:pPr>
              <w:spacing w:before="0" w:after="0"/>
            </w:pPr>
            <w:r w:rsidRPr="00E560BA">
              <w:t>Understanding the on-the-ground experiences of stakeholders and Indigenous Peoples and local communities and their engagement in invasive species management and governance (section 6.4.1) and related network analysis (section 6.4.4.4)</w:t>
            </w:r>
          </w:p>
        </w:tc>
      </w:tr>
    </w:tbl>
    <w:p w14:paraId="2184AB40" w14:textId="3BB1B8D2" w:rsidR="00017C04" w:rsidRDefault="00F50AF9" w:rsidP="008521D1">
      <w:pPr>
        <w:pStyle w:val="Heading2"/>
      </w:pPr>
      <w:bookmarkStart w:id="508" w:name="__RefHeading___Toc17518_248973425"/>
      <w:bookmarkStart w:id="509" w:name="_Toc88742718"/>
      <w:bookmarkStart w:id="510" w:name="_Toc88743148"/>
      <w:bookmarkStart w:id="511" w:name="_Toc88743387"/>
      <w:bookmarkStart w:id="512" w:name="_Toc89445614"/>
      <w:bookmarkStart w:id="513" w:name="_Toc89445710"/>
      <w:bookmarkStart w:id="514" w:name="_Toc89771061"/>
      <w:bookmarkStart w:id="515" w:name="_Toc89879513"/>
      <w:bookmarkStart w:id="516" w:name="_Toc48931085"/>
      <w:bookmarkStart w:id="517" w:name="_Toc69383437"/>
      <w:bookmarkStart w:id="518" w:name="_Toc1395201262"/>
      <w:bookmarkStart w:id="519" w:name="_Toc133428346"/>
      <w:bookmarkStart w:id="520" w:name="_Toc133428804"/>
      <w:bookmarkStart w:id="521" w:name="_Toc147417599"/>
      <w:bookmarkEnd w:id="508"/>
      <w:bookmarkEnd w:id="509"/>
      <w:bookmarkEnd w:id="510"/>
      <w:bookmarkEnd w:id="511"/>
      <w:bookmarkEnd w:id="512"/>
      <w:bookmarkEnd w:id="513"/>
      <w:bookmarkEnd w:id="514"/>
      <w:bookmarkEnd w:id="515"/>
      <w:r>
        <w:t>Invasive alien species information needs</w:t>
      </w:r>
      <w:bookmarkEnd w:id="516"/>
      <w:bookmarkEnd w:id="517"/>
      <w:bookmarkEnd w:id="518"/>
      <w:bookmarkEnd w:id="519"/>
      <w:bookmarkEnd w:id="520"/>
      <w:bookmarkEnd w:id="521"/>
    </w:p>
    <w:p w14:paraId="79AA788F" w14:textId="77777777" w:rsidR="00017C04" w:rsidRDefault="00F50AF9">
      <w:r>
        <w:t>Knowledge gaps result from extreme heterogeneity in the collection and distribution of information and data. Given limited resources so-called gaps could therefore be defined by the questions and the problems that need solutions.</w:t>
      </w:r>
    </w:p>
    <w:p w14:paraId="1BDFFCA3" w14:textId="3D823C9A" w:rsidR="00017C04" w:rsidRDefault="2F958343">
      <w:r>
        <w:t xml:space="preserve">There are many unknowns about the biology of invasive alien species. These are, in part, known limits to what one knows about these species </w:t>
      </w:r>
      <w:r w:rsidR="00F806B6" w:rsidRPr="00A9434B">
        <w:rPr>
          <w:rFonts w:eastAsia="Calibri Light"/>
        </w:rPr>
        <w:t>(</w:t>
      </w:r>
      <w:r w:rsidR="00B9562C" w:rsidRPr="00673554">
        <w:rPr>
          <w:rFonts w:eastAsia="Calibri Light"/>
          <w:b/>
          <w:iCs/>
        </w:rPr>
        <w:fldChar w:fldCharType="begin"/>
      </w:r>
      <w:r w:rsidR="00B9562C" w:rsidRPr="00673554">
        <w:rPr>
          <w:rFonts w:eastAsia="Calibri Light"/>
          <w:b/>
          <w:iCs/>
        </w:rPr>
        <w:instrText xml:space="preserve"> REF _Ref104898829 \h  \* MERGEFORMAT </w:instrText>
      </w:r>
      <w:r w:rsidR="00B9562C" w:rsidRPr="00673554">
        <w:rPr>
          <w:rFonts w:eastAsia="Calibri Light"/>
          <w:b/>
          <w:iCs/>
        </w:rPr>
      </w:r>
      <w:r w:rsidR="00B9562C" w:rsidRPr="00673554">
        <w:rPr>
          <w:rFonts w:eastAsia="Calibri Light"/>
          <w:b/>
          <w:iCs/>
        </w:rPr>
        <w:fldChar w:fldCharType="separate"/>
      </w:r>
      <w:r w:rsidR="0011368C" w:rsidRPr="00673554">
        <w:rPr>
          <w:b/>
          <w:iCs/>
        </w:rPr>
        <w:t>Box 6.18</w:t>
      </w:r>
      <w:r w:rsidR="00B9562C" w:rsidRPr="00673554">
        <w:rPr>
          <w:rFonts w:eastAsia="Calibri Light"/>
          <w:b/>
          <w:iCs/>
        </w:rPr>
        <w:fldChar w:fldCharType="end"/>
      </w:r>
      <w:r w:rsidR="703BBF78" w:rsidRPr="00A9434B">
        <w:rPr>
          <w:rFonts w:eastAsia="Calibri Light"/>
        </w:rPr>
        <w:t xml:space="preserve">). Such limits can be described in terms of expressions of uncertainty or as knowledge gaps. The most problematic cases are those </w:t>
      </w:r>
      <w:r w:rsidR="00643684" w:rsidRPr="00A9434B">
        <w:rPr>
          <w:rFonts w:eastAsia="Calibri Light"/>
        </w:rPr>
        <w:t xml:space="preserve">species </w:t>
      </w:r>
      <w:r w:rsidR="703BBF78" w:rsidRPr="00A9434B">
        <w:rPr>
          <w:rFonts w:eastAsia="Calibri Light"/>
        </w:rPr>
        <w:t xml:space="preserve">that are entirely unexpected when they </w:t>
      </w:r>
      <w:r w:rsidR="00643684" w:rsidRPr="00A9434B">
        <w:rPr>
          <w:rFonts w:eastAsia="Calibri Light"/>
        </w:rPr>
        <w:t>start to invade</w:t>
      </w:r>
      <w:r w:rsidR="703BBF78" w:rsidRPr="00A9434B">
        <w:rPr>
          <w:rFonts w:eastAsia="Calibri Light"/>
        </w:rPr>
        <w:t xml:space="preserve"> (so-called “unknown-unknowns”, or </w:t>
      </w:r>
      <w:r w:rsidR="00B0712F" w:rsidRPr="00A9434B">
        <w:rPr>
          <w:rFonts w:eastAsia="Calibri Light"/>
        </w:rPr>
        <w:t>“</w:t>
      </w:r>
      <w:r w:rsidR="703BBF78" w:rsidRPr="00A9434B">
        <w:rPr>
          <w:rFonts w:eastAsia="Calibri Light"/>
        </w:rPr>
        <w:t>ignorance</w:t>
      </w:r>
      <w:r w:rsidR="00B0712F" w:rsidRPr="00A9434B">
        <w:rPr>
          <w:rFonts w:eastAsia="Calibri Light"/>
        </w:rPr>
        <w:t>”</w:t>
      </w:r>
      <w:r w:rsidR="703BBF78" w:rsidRPr="00A9434B">
        <w:rPr>
          <w:rFonts w:eastAsia="Calibri Light"/>
        </w:rPr>
        <w:t xml:space="preserve"> in </w:t>
      </w:r>
      <w:r w:rsidR="703BBF78" w:rsidRPr="00673554">
        <w:rPr>
          <w:rFonts w:eastAsia="Calibri Light"/>
          <w:b/>
          <w:iCs/>
        </w:rPr>
        <w:t>Fig</w:t>
      </w:r>
      <w:r w:rsidR="000B4353" w:rsidRPr="00673554">
        <w:rPr>
          <w:rFonts w:eastAsia="Calibri Light"/>
          <w:b/>
          <w:iCs/>
        </w:rPr>
        <w:t>ure</w:t>
      </w:r>
      <w:r w:rsidR="703BBF78" w:rsidRPr="00673554">
        <w:rPr>
          <w:rFonts w:eastAsia="Calibri Light"/>
          <w:b/>
          <w:iCs/>
        </w:rPr>
        <w:t xml:space="preserve"> 6.</w:t>
      </w:r>
      <w:r w:rsidR="0036307D" w:rsidRPr="00673554">
        <w:rPr>
          <w:rFonts w:eastAsia="Calibri Light"/>
          <w:b/>
          <w:iCs/>
        </w:rPr>
        <w:t>18</w:t>
      </w:r>
      <w:r w:rsidR="00BE2A81" w:rsidRPr="00A9434B">
        <w:rPr>
          <w:rFonts w:eastAsia="Calibri Light"/>
        </w:rPr>
        <w:t xml:space="preserve">; </w:t>
      </w:r>
      <w:r w:rsidR="00CC4659" w:rsidRPr="00A9434B">
        <w:rPr>
          <w:rFonts w:eastAsia="Times New Roman"/>
        </w:rPr>
        <w:fldChar w:fldCharType="begin"/>
      </w:r>
      <w:r w:rsidR="00CC4659" w:rsidRPr="00A9434B">
        <w:rPr>
          <w:rFonts w:eastAsia="Calibri Light"/>
        </w:rPr>
        <w:instrText>ADDIN EN.CITE &lt;EndNote&gt;&lt;Cite&gt;&lt;Author&gt;Taleb&lt;/Author&gt;&lt;Year&gt;2007&lt;/Year&gt;&lt;RecNum&gt;210&lt;/RecNum&gt;&lt;DisplayText&gt;(Taleb 2007)&lt;/DisplayText&gt;&lt;record&gt;&lt;rec-number&gt;210&lt;/rec-number&gt;&lt;foreign-keys&gt;&lt;key app="EN" db-id="0d55paxdcvwpebe55d1vrz5ne2pattprarta" timestamp="1597992734"&gt;210&lt;/key&gt;&lt;/foreign-keys&gt;&lt;ref-type name="Journal Article"&gt;17&lt;/ref-type&gt;&lt;contributors&gt;&lt;authors&gt;&lt;author&gt;Taleb, N. N.&lt;/author&gt;&lt;/authors&gt;&lt;/contributors&gt;&lt;titles&gt;&lt;title&gt;The &amp;apos;black swan&amp;apos; (The &amp;apos;Black Swan - The Impact of the Highly Improbable&amp;apos;, Gregg Easterbrook&amp;apos;s review)&lt;/title&gt;&lt;secondary-title&gt;New York Times Book Review&lt;/secondary-title&gt;&lt;alt-title&gt;Ny Times Bk Rev&lt;/alt-title&gt;&lt;/titles&gt;&lt;periodical&gt;&lt;full-title&gt;New York Times Book Review&lt;/full-title&gt;&lt;abbr-1&gt;Ny Times Bk Rev&lt;/abbr-1&gt;&lt;/periodical&gt;&lt;alt-periodical&gt;&lt;full-title&gt;New York Times Book Review&lt;/full-title&gt;&lt;abbr-1&gt;Ny Times Bk Rev&lt;/abbr-1&gt;&lt;/alt-periodical&gt;&lt;pages&gt;4-4&lt;/pages&gt;&lt;dates&gt;&lt;year&gt;2007&lt;/year&gt;&lt;pub-dates&gt;&lt;date&gt;May 13&lt;/date&gt;&lt;/pub-dates&gt;&lt;/dates&gt;&lt;isbn&gt;0028-7806&lt;/isbn&gt;&lt;accession-num&gt;WOS:000246488600003&lt;/accession-num&gt;&lt;urls&gt;&lt;related-urls&gt;&lt;url&gt;&amp;lt;Go to ISI&amp;gt;://WOS:000246488600003&lt;/url&gt;&lt;/related-urls&gt;&lt;/urls&gt;&lt;language&gt;English&lt;/language&gt;&lt;/record&gt;&lt;/Cite&gt;&lt;/EndNote&gt;</w:instrText>
      </w:r>
      <w:r w:rsidR="00CC4659" w:rsidRPr="00A9434B">
        <w:rPr>
          <w:rFonts w:eastAsia="Calibri Light"/>
        </w:rPr>
        <w:fldChar w:fldCharType="separate"/>
      </w:r>
      <w:r w:rsidR="006D6771" w:rsidRPr="00A9434B">
        <w:rPr>
          <w:rFonts w:eastAsia="Calibri Light"/>
        </w:rPr>
        <w:fldChar w:fldCharType="begin"/>
      </w:r>
      <w:r w:rsidR="0006613E">
        <w:rPr>
          <w:rFonts w:eastAsia="Calibri Light"/>
        </w:rPr>
        <w:instrText xml:space="preserve"> ADDIN ZOTERO_ITEM CSL_CITATION {"citationID":"a21gt7n1bua","properties":{"formattedCitation":"(Taleb, 2007)","plainCitation":"(Taleb, 2007)","dontUpdate":true,"noteIndex":0},"citationItems":[{"id":21552,"uris":["http://zotero.org/groups/2352922/items/2IRJB3X7"],"itemData":{"id":21552,"type":"book","abstract":"\"A black swan is a highly improbable event with three principal characteristics: It is unpredictable; it carries a massive impact; and, after the fact, we concoct an explanation that makes it appear less random, and more predictable, than it was. The astonishing success of Google was a black swan; so was 9/11. For Nassim Nicholas Taleb, black swans underlie almost everything about our world, from the rise of religions to events in our own personal lives. Why do we not acknowledge the phenomenon of black swans until after they occur? Part of the answer, according to Taleb, is that humans are hardwired to learn specifics when they should be focused on generalities. We concentrate on things we already know and time and time again fail to take into consideration what we don't know. We are, therefore, unable to truly estimate opportunities, too vulnerable to the impulse to simplify, narrate, and categorize, and not open enough to rewarding those who can imagine the 'impossible.' For years, Taleb has studied how we fool ourselves into thinking we know more than we actually do. We restrict our thinking to the irrelevant and inconsequential, while large events continue to surprise us and shape our world. Now, in this revelatory book, Taleb explains everything we know about what we don't know. He offers surprisingly simple tricks for dealing with black swans and benefiting from them.\"--Jacket.","event-place":"New York","ISBN":"978-1-58836-583-5","language":"English","note":"OCLC: 989852291","publisher":"Random House","publisher-place":"New York","source":"Open WorldCat","title":"The black swan: the impact of the highly improbable","title-short":"The black swan","URL":"http://catalog.hathitrust.org/api/volumes/oclc/71833470.html","author":[{"family":"Taleb","given":"Nassim Nicholas"}],"accessed":{"date-parts":[["2020",4,3]]},"issued":{"date-parts":[["2007"]]}}}],"schema":"https://github.com/citation-style-language/schema/raw/master/csl-citation.json"} </w:instrText>
      </w:r>
      <w:r w:rsidR="006D6771" w:rsidRPr="00A9434B">
        <w:rPr>
          <w:rFonts w:eastAsia="Calibri Light"/>
        </w:rPr>
        <w:fldChar w:fldCharType="separate"/>
      </w:r>
      <w:r w:rsidR="000C521B" w:rsidRPr="00A9434B">
        <w:t>Taleb, 2007)</w:t>
      </w:r>
      <w:r w:rsidR="006D6771" w:rsidRPr="00A9434B">
        <w:rPr>
          <w:rFonts w:eastAsia="Calibri Light"/>
        </w:rPr>
        <w:fldChar w:fldCharType="end"/>
      </w:r>
      <w:r w:rsidR="00CC4659" w:rsidRPr="00A9434B">
        <w:rPr>
          <w:rFonts w:eastAsia="Calibri Light"/>
        </w:rPr>
        <w:fldChar w:fldCharType="end"/>
      </w:r>
      <w:r w:rsidR="703BBF78" w:rsidRPr="00A9434B">
        <w:rPr>
          <w:rFonts w:eastAsia="Calibri Light"/>
        </w:rPr>
        <w:t>.</w:t>
      </w:r>
      <w:r w:rsidR="00643684" w:rsidRPr="00A9434B">
        <w:rPr>
          <w:rFonts w:eastAsia="Calibri Light"/>
        </w:rPr>
        <w:t xml:space="preserve"> </w:t>
      </w:r>
      <w:r w:rsidR="00CC4659" w:rsidRPr="00A9434B">
        <w:rPr>
          <w:rFonts w:eastAsia="Calibri Light"/>
        </w:rPr>
        <w:t xml:space="preserve">Nevertheless, such cases may be novel only to certain sectors and locations. Therefore, inter- and intra- sectoral communication is essential to ensure that the number of </w:t>
      </w:r>
      <w:r w:rsidR="00643684" w:rsidRPr="00A9434B">
        <w:rPr>
          <w:rFonts w:eastAsia="Calibri Light"/>
        </w:rPr>
        <w:t>surprises (unexpected cases) are</w:t>
      </w:r>
      <w:r w:rsidR="00CC4659" w:rsidRPr="00A9434B">
        <w:rPr>
          <w:rFonts w:eastAsia="Calibri Light"/>
        </w:rPr>
        <w:t xml:space="preserve"> minimi</w:t>
      </w:r>
      <w:r w:rsidR="00B87CCA" w:rsidRPr="00A9434B">
        <w:rPr>
          <w:rFonts w:eastAsia="Calibri Light"/>
        </w:rPr>
        <w:t>z</w:t>
      </w:r>
      <w:r w:rsidR="00CC4659" w:rsidRPr="00A9434B">
        <w:rPr>
          <w:rFonts w:eastAsia="Calibri Light"/>
        </w:rPr>
        <w:t xml:space="preserve">ed. Without such communication it is unrealistic to expect actors in policy and management of </w:t>
      </w:r>
      <w:r w:rsidR="00C46680">
        <w:t xml:space="preserve">biological invasions </w:t>
      </w:r>
      <w:r>
        <w:t>to be adequately prepared.</w:t>
      </w:r>
    </w:p>
    <w:p w14:paraId="7AEBC843" w14:textId="01F325B2" w:rsidR="00017C04" w:rsidRDefault="00643684">
      <w:r w:rsidRPr="00673554">
        <w:rPr>
          <w:b/>
          <w:bCs/>
          <w:iCs/>
        </w:rPr>
        <w:fldChar w:fldCharType="begin"/>
      </w:r>
      <w:r w:rsidRPr="00673554">
        <w:rPr>
          <w:b/>
          <w:bCs/>
          <w:iCs/>
        </w:rPr>
        <w:instrText xml:space="preserve"> REF _Ref104892706 \h  \* MERGEFORMAT </w:instrText>
      </w:r>
      <w:r w:rsidRPr="00673554">
        <w:rPr>
          <w:b/>
          <w:bCs/>
          <w:iCs/>
        </w:rPr>
      </w:r>
      <w:r w:rsidRPr="00673554">
        <w:rPr>
          <w:b/>
          <w:bCs/>
          <w:iCs/>
        </w:rPr>
        <w:fldChar w:fldCharType="separate"/>
      </w:r>
      <w:r w:rsidR="0011368C" w:rsidRPr="00673554">
        <w:rPr>
          <w:b/>
          <w:bCs/>
          <w:iCs/>
        </w:rPr>
        <w:t>Table 6.10</w:t>
      </w:r>
      <w:r w:rsidRPr="00673554">
        <w:rPr>
          <w:b/>
          <w:bCs/>
          <w:iCs/>
        </w:rPr>
        <w:fldChar w:fldCharType="end"/>
      </w:r>
      <w:r w:rsidR="00F50AF9" w:rsidRPr="25C90E76">
        <w:rPr>
          <w:i/>
          <w:iCs/>
        </w:rPr>
        <w:t xml:space="preserve"> </w:t>
      </w:r>
      <w:r w:rsidR="00F50AF9">
        <w:t>presents a synthesis of knowledge gaps identified in the IPBES invasive alien species assessment. Some of the knowledge gaps are relevant globally, for example the need to increase understanding of the outcomes of multiple interacting indirect and direct drivers of change</w:t>
      </w:r>
      <w:r w:rsidR="7D55E732">
        <w:t xml:space="preserve"> in </w:t>
      </w:r>
      <w:r w:rsidR="7D55E732">
        <w:lastRenderedPageBreak/>
        <w:t>nature</w:t>
      </w:r>
      <w:r w:rsidR="00F50AF9">
        <w:t xml:space="preserve">. Others apply to specific nations or regions and highlight the potential to improve the information and data flow from some regions. There are also gaps in the understanding of the interplay between social, economic and environmental factors that link policy and governance structures. These gaps are best perceived as opportunities to embrace emerging tools and technologies to underpin decision-making and management of biological invasions; indicators and targets on invasive alien species will benefit from improved scenarios and models which are currently limited by the knowledge gaps outlined in this chapter. </w:t>
      </w:r>
    </w:p>
    <w:p w14:paraId="426EA462" w14:textId="5E24BF44" w:rsidR="00017C04" w:rsidRPr="00C46680" w:rsidRDefault="00F50AF9" w:rsidP="00C46680">
      <w:pPr>
        <w:pStyle w:val="Caption"/>
        <w:pBdr>
          <w:top w:val="single" w:sz="4" w:space="1" w:color="auto"/>
          <w:left w:val="single" w:sz="4" w:space="4" w:color="auto"/>
          <w:bottom w:val="single" w:sz="4" w:space="1" w:color="auto"/>
          <w:right w:val="single" w:sz="4" w:space="4" w:color="auto"/>
        </w:pBdr>
        <w:shd w:val="clear" w:color="auto" w:fill="E7E6E6" w:themeFill="background2"/>
      </w:pPr>
      <w:bookmarkStart w:id="522" w:name="_heading=h.2mn7vak" w:colFirst="0" w:colLast="0"/>
      <w:bookmarkStart w:id="523" w:name="_Ref104898829"/>
      <w:bookmarkStart w:id="524" w:name="_Toc69379688"/>
      <w:bookmarkStart w:id="525" w:name="_Toc147418627"/>
      <w:bookmarkEnd w:id="522"/>
      <w:r w:rsidRPr="00C46680">
        <w:t>Box 6</w:t>
      </w:r>
      <w:r w:rsidR="008A2287" w:rsidRPr="00A9434B">
        <w:t>.</w:t>
      </w:r>
      <w:r w:rsidR="007C7AC3">
        <w:fldChar w:fldCharType="begin"/>
      </w:r>
      <w:r w:rsidR="007C7AC3">
        <w:instrText xml:space="preserve"> SEQ Box_6. \* ARABIC </w:instrText>
      </w:r>
      <w:r w:rsidR="007C7AC3">
        <w:fldChar w:fldCharType="separate"/>
      </w:r>
      <w:r w:rsidR="0011368C">
        <w:rPr>
          <w:noProof/>
        </w:rPr>
        <w:t>18</w:t>
      </w:r>
      <w:r w:rsidR="007C7AC3">
        <w:rPr>
          <w:noProof/>
        </w:rPr>
        <w:fldChar w:fldCharType="end"/>
      </w:r>
      <w:bookmarkEnd w:id="523"/>
      <w:r w:rsidR="00FF59A9" w:rsidRPr="00A9434B">
        <w:t>.</w:t>
      </w:r>
      <w:r w:rsidRPr="00C46680">
        <w:t xml:space="preserve"> A case that illustrates the problems of unknowns in knowledge dissemination is the spread of ash dieback disease in Europe</w:t>
      </w:r>
      <w:bookmarkEnd w:id="524"/>
      <w:bookmarkEnd w:id="525"/>
    </w:p>
    <w:p w14:paraId="29A508C3" w14:textId="75C7E486" w:rsidR="00017C04" w:rsidRDefault="00F50AF9" w:rsidP="00C46680">
      <w:pPr>
        <w:pBdr>
          <w:top w:val="single" w:sz="4" w:space="1" w:color="auto"/>
          <w:left w:val="single" w:sz="4" w:space="4" w:color="auto"/>
          <w:bottom w:val="single" w:sz="4" w:space="1" w:color="auto"/>
          <w:right w:val="single" w:sz="4" w:space="4" w:color="auto"/>
        </w:pBdr>
        <w:shd w:val="clear" w:color="auto" w:fill="E7E6E6" w:themeFill="background2"/>
      </w:pPr>
      <w:r>
        <w:t xml:space="preserve">This fatal disease of </w:t>
      </w:r>
      <w:r>
        <w:rPr>
          <w:i/>
        </w:rPr>
        <w:t>Fraxinus excelsior</w:t>
      </w:r>
      <w:r>
        <w:t xml:space="preserve"> (ash) was detected in Europe the mid-1990s. </w:t>
      </w:r>
      <w:r w:rsidR="00B708C8" w:rsidRPr="00A9434B">
        <w:t xml:space="preserve">It was then described as a new species </w:t>
      </w:r>
      <w:r w:rsidR="00B708C8" w:rsidRPr="00A9434B">
        <w:rPr>
          <w:i/>
          <w:iCs/>
        </w:rPr>
        <w:t>Chalara fraxinea</w:t>
      </w:r>
      <w:r w:rsidR="00B708C8" w:rsidRPr="00A9434B">
        <w:t xml:space="preserve"> </w:t>
      </w:r>
      <w:r w:rsidR="00B708C8" w:rsidRPr="00A9434B">
        <w:fldChar w:fldCharType="begin"/>
      </w:r>
      <w:r w:rsidR="00B708C8" w:rsidRPr="00A9434B">
        <w:instrText>ADDIN EN.CITE &lt;EndNote&gt;&lt;Cite&gt;&lt;Author&gt;Kowalski&lt;/Author&gt;&lt;Year&gt;2006&lt;/Year&gt;&lt;RecNum&gt;211&lt;/RecNum&gt;&lt;DisplayText&gt;(Kowalski 2006)&lt;/DisplayText&gt;&lt;record&gt;&lt;rec-number&gt;211&lt;/rec-number&gt;&lt;foreign-keys&gt;&lt;key app="EN" db-id="0d55paxdcvwpebe55d1vrz5ne2pattprarta" timestamp="1597992734"&gt;211&lt;/key&gt;&lt;/foreign-keys&gt;&lt;ref-type name="Journal Article"&gt;17&lt;/ref-type&gt;&lt;contributors&gt;&lt;authors&gt;&lt;author&gt;Kowalski, T.&lt;/author&gt;&lt;/authors&gt;&lt;/contributors&gt;&lt;auth-address&gt;Univ Agr, Fac Forestry, PL-31425 Krakow, Poland&lt;/auth-address&gt;&lt;titles&gt;&lt;title&gt;Chalara fraxinea sp nov associated with dieback of ash (Fraxinus excelsior) in Poland&lt;/title&gt;&lt;secondary-title&gt;Forest Pathology&lt;/secondary-title&gt;&lt;alt-title&gt;Forest Pathol&lt;/alt-title&gt;&lt;/titles&gt;&lt;periodical&gt;&lt;full-title&gt;Forest Pathology&lt;/full-title&gt;&lt;abbr-1&gt;Forest Pathol&lt;/abbr-1&gt;&lt;/periodical&gt;&lt;alt-periodical&gt;&lt;full-title&gt;Forest Pathology&lt;/full-title&gt;&lt;abbr-1&gt;Forest Pathol&lt;/abbr-1&gt;&lt;/alt-periodical&gt;&lt;pages&gt;264-270&lt;/pages&gt;&lt;volume&gt;36&lt;/volume&gt;&lt;number&gt;4&lt;/number&gt;&lt;keywords&gt;&lt;keyword&gt;ceratocystis&lt;/keyword&gt;&lt;keyword&gt;phialophora&lt;/keyword&gt;&lt;keyword&gt;genus&lt;/keyword&gt;&lt;keyword&gt;fungi&lt;/keyword&gt;&lt;/keywords&gt;&lt;dates&gt;&lt;year&gt;2006&lt;/year&gt;&lt;pub-dates&gt;&lt;date&gt;Aug&lt;/date&gt;&lt;/pub-dates&gt;&lt;/dates&gt;&lt;isbn&gt;1437-4781&lt;/isbn&gt;&lt;accession-num&gt;WOS:000239004000004&lt;/accession-num&gt;&lt;urls&gt;&lt;related-urls&gt;&lt;url&gt;&amp;lt;Go to ISI&amp;gt;://WOS:000239004000004&lt;/url&gt;&lt;/related-urls&gt;&lt;/urls&gt;&lt;electronic-resource-num&gt;DOI 10.1111/j.1439-0329.2006.00453.x&lt;/electronic-resource-num&gt;&lt;language&gt;English&lt;/language&gt;&lt;/record&gt;&lt;/Cite&gt;&lt;/EndNote&gt;</w:instrText>
      </w:r>
      <w:r w:rsidR="00B708C8" w:rsidRPr="00A9434B">
        <w:fldChar w:fldCharType="separate"/>
      </w:r>
      <w:r w:rsidR="006D6771" w:rsidRPr="00A9434B">
        <w:fldChar w:fldCharType="begin"/>
      </w:r>
      <w:r w:rsidR="0006613E">
        <w:instrText xml:space="preserve"> ADDIN ZOTERO_ITEM CSL_CITATION {"citationID":"a23g74pim4t","properties":{"formattedCitation":"(Kowalski, 2006)","plainCitation":"(Kowalski, 2006)","noteIndex":0},"citationItems":[{"id":24575,"uris":["http://zotero.org/groups/2352922/items/ESHQUP4N"],"itemData":{"id":24575,"type":"article-journal","container-title":"Forest Pathology","DOI":"10.1111/j.1439-0329.2006.00453.x","ISSN":"14374781","issue":"4","language":"en","page":"264-270","source":"DOI.org (Crossref)","title":"&lt;i&gt;Chalara fraxinea&lt;/i&gt; sp. nov. associated with dieback of ash (&lt;i&gt;Fraxinus excelsior&lt;/i&gt;) in Poland","title-short":"&lt;i&gt;Chalara fraxinea&lt;/i&gt; sp. nov. associated with dieback of ash ( &lt;i&gt;Fraxinus excelsior&lt;/i&gt; ) in Poland","URL":"http://doi.wiley.com/10.1111/j.1439-0329.2006.00453.x","volume":"36","author":[{"family":"Kowalski","given":"T."}],"accessed":{"date-parts":[["2019",10,19]]},"issued":{"date-parts":[["2006",8]]}},"label":"page"}],"schema":"https://github.com/citation-style-language/schema/raw/master/csl-citation.json"} </w:instrText>
      </w:r>
      <w:r w:rsidR="006D6771" w:rsidRPr="00A9434B">
        <w:fldChar w:fldCharType="separate"/>
      </w:r>
      <w:r w:rsidR="00C71E80" w:rsidRPr="00A9434B">
        <w:t>(Kowalski, 2006)</w:t>
      </w:r>
      <w:r w:rsidR="006D6771" w:rsidRPr="00A9434B">
        <w:fldChar w:fldCharType="end"/>
      </w:r>
      <w:r w:rsidR="00B708C8" w:rsidRPr="00A9434B">
        <w:fldChar w:fldCharType="end"/>
      </w:r>
      <w:r w:rsidR="006D6771" w:rsidRPr="00A9434B">
        <w:t>.</w:t>
      </w:r>
      <w:r w:rsidR="00B708C8" w:rsidRPr="00A9434B">
        <w:t xml:space="preserve"> It subsequently spread across the whole of the European range of </w:t>
      </w:r>
      <w:r w:rsidR="00B708C8" w:rsidRPr="00A9434B">
        <w:rPr>
          <w:i/>
          <w:iCs/>
        </w:rPr>
        <w:t>Fraxinus excelsior</w:t>
      </w:r>
      <w:r w:rsidR="003C5B2C" w:rsidRPr="00A9434B">
        <w:rPr>
          <w:i/>
          <w:iCs/>
        </w:rPr>
        <w:t xml:space="preserve"> </w:t>
      </w:r>
      <w:r w:rsidR="003C5B2C" w:rsidRPr="00A9434B">
        <w:rPr>
          <w:iCs/>
        </w:rPr>
        <w:t>(ash)</w:t>
      </w:r>
      <w:r w:rsidR="00B708C8" w:rsidRPr="00A9434B">
        <w:rPr>
          <w:iCs/>
        </w:rPr>
        <w:t>.</w:t>
      </w:r>
      <w:r w:rsidR="00B708C8" w:rsidRPr="00A9434B">
        <w:t xml:space="preserve"> In 2009 ash dieback was identified as being the anamorph of </w:t>
      </w:r>
      <w:r w:rsidR="00B708C8" w:rsidRPr="00A9434B">
        <w:rPr>
          <w:i/>
          <w:iCs/>
        </w:rPr>
        <w:t>Hymenoscyphus albidus</w:t>
      </w:r>
      <w:r w:rsidR="00B75388" w:rsidRPr="00A9434B">
        <w:rPr>
          <w:i/>
          <w:iCs/>
        </w:rPr>
        <w:t xml:space="preserve"> </w:t>
      </w:r>
      <w:r w:rsidR="00B708C8" w:rsidRPr="00A9434B">
        <w:t xml:space="preserve">that had been described from Europe in 1850 and was apparently native </w:t>
      </w:r>
      <w:r w:rsidR="00844C43" w:rsidRPr="00A9434B">
        <w:fldChar w:fldCharType="begin"/>
      </w:r>
      <w:r w:rsidR="00844C43" w:rsidRPr="00A9434B">
        <w:instrText>ADDIN EN.CITE &lt;EndNote&gt;&lt;Cite&gt;&lt;Author&gt;Kowalski&lt;/Author&gt;&lt;Year&gt;2006&lt;/Year&gt;&lt;RecNum&gt;211&lt;/RecNum&gt;&lt;DisplayText&gt;(Kowalski 2006)&lt;/DisplayText&gt;&lt;record&gt;&lt;rec-number&gt;211&lt;/rec-number&gt;&lt;foreign-keys&gt;&lt;key app="EN" db-id="0d55paxdcvwpebe55d1vrz5ne2pattprarta" timestamp="1597992734"&gt;211&lt;/key&gt;&lt;/foreign-keys&gt;&lt;ref-type name="Journal Article"&gt;17&lt;/ref-type&gt;&lt;contributors&gt;&lt;authors&gt;&lt;author&gt;Kowalski, T.&lt;/author&gt;&lt;/authors&gt;&lt;/contributors&gt;&lt;auth-address&gt;Univ Agr, Fac Forestry, PL-31425 Krakow, Poland&lt;/auth-address&gt;&lt;titles&gt;&lt;title&gt;Chalara fraxinea sp nov associated with dieback of ash (Fraxinus excelsior) in Poland&lt;/title&gt;&lt;secondary-title&gt;Forest Pathology&lt;/secondary-title&gt;&lt;alt-title&gt;Forest Pathol&lt;/alt-title&gt;&lt;/titles&gt;&lt;periodical&gt;&lt;full-title&gt;Forest Pathology&lt;/full-title&gt;&lt;abbr-1&gt;Forest Pathol&lt;/abbr-1&gt;&lt;/periodical&gt;&lt;alt-periodical&gt;&lt;full-title&gt;Forest Pathology&lt;/full-title&gt;&lt;abbr-1&gt;Forest Pathol&lt;/abbr-1&gt;&lt;/alt-periodical&gt;&lt;pages&gt;264-270&lt;/pages&gt;&lt;volume&gt;36&lt;/volume&gt;&lt;number&gt;4&lt;/number&gt;&lt;keywords&gt;&lt;keyword&gt;ceratocystis&lt;/keyword&gt;&lt;keyword&gt;phialophora&lt;/keyword&gt;&lt;keyword&gt;genus&lt;/keyword&gt;&lt;keyword&gt;fungi&lt;/keyword&gt;&lt;/keywords&gt;&lt;dates&gt;&lt;year&gt;2006&lt;/year&gt;&lt;pub-dates&gt;&lt;date&gt;Aug&lt;/date&gt;&lt;/pub-dates&gt;&lt;/dates&gt;&lt;isbn&gt;1437-4781&lt;/isbn&gt;&lt;accession-num&gt;WOS:000239004000004&lt;/accession-num&gt;&lt;urls&gt;&lt;related-urls&gt;&lt;url&gt;&amp;lt;Go to ISI&amp;gt;://WOS:000239004000004&lt;/url&gt;&lt;/related-urls&gt;&lt;/urls&gt;&lt;electronic-resource-num&gt;DOI 10.1111/j.1439-0329.2006.00453.x&lt;/electronic-resource-num&gt;&lt;language&gt;English&lt;/language&gt;&lt;/record&gt;&lt;/Cite&gt;&lt;/EndNote&gt;</w:instrText>
      </w:r>
      <w:r w:rsidR="00844C43" w:rsidRPr="00A9434B">
        <w:fldChar w:fldCharType="separate"/>
      </w:r>
      <w:r w:rsidR="00844C43" w:rsidRPr="00A9434B">
        <w:fldChar w:fldCharType="begin"/>
      </w:r>
      <w:r w:rsidR="0006613E">
        <w:instrText xml:space="preserve"> ADDIN ZOTERO_ITEM CSL_CITATION {"citationID":"ypkSafJE","properties":{"formattedCitation":"(Kowalski, 2006)","plainCitation":"(Kowalski, 2006)","noteIndex":0},"citationItems":[{"id":24575,"uris":["http://zotero.org/groups/2352922/items/ESHQUP4N"],"itemData":{"id":24575,"type":"article-journal","container-title":"Forest Pathology","DOI":"10.1111/j.1439-0329.2006.00453.x","ISSN":"14374781","issue":"4","language":"en","page":"264-270","source":"DOI.org (Crossref)","title":"&lt;i&gt;Chalara fraxinea&lt;/i&gt; sp. nov. associated with dieback of ash (&lt;i&gt;Fraxinus excelsior&lt;/i&gt;) in Poland","title-short":"&lt;i&gt;Chalara fraxinea&lt;/i&gt; sp. nov. associated with dieback of ash ( &lt;i&gt;Fraxinus excelsior&lt;/i&gt; ) in Poland","URL":"http://doi.wiley.com/10.1111/j.1439-0329.2006.00453.x","volume":"36","author":[{"family":"Kowalski","given":"T."}],"accessed":{"date-parts":[["2019",10,19]]},"issued":{"date-parts":[["2006",8]]}},"label":"page"}],"schema":"https://github.com/citation-style-language/schema/raw/master/csl-citation.json"} </w:instrText>
      </w:r>
      <w:r w:rsidR="00844C43" w:rsidRPr="00A9434B">
        <w:fldChar w:fldCharType="separate"/>
      </w:r>
      <w:r w:rsidR="00C71E80" w:rsidRPr="00A9434B">
        <w:t>(Kowalski, 2006)</w:t>
      </w:r>
      <w:r w:rsidR="00844C43" w:rsidRPr="00A9434B">
        <w:fldChar w:fldCharType="end"/>
      </w:r>
      <w:r w:rsidR="00844C43" w:rsidRPr="00A9434B">
        <w:fldChar w:fldCharType="end"/>
      </w:r>
      <w:r w:rsidR="00B708C8" w:rsidRPr="00A9434B">
        <w:t xml:space="preserve">. However, it was subsequently realized that </w:t>
      </w:r>
      <w:r w:rsidR="00B708C8" w:rsidRPr="00A9434B">
        <w:rPr>
          <w:i/>
          <w:iCs/>
        </w:rPr>
        <w:t>Chalara fraxinea</w:t>
      </w:r>
      <w:r w:rsidR="00B708C8" w:rsidRPr="00A9434B">
        <w:t xml:space="preserve"> and </w:t>
      </w:r>
      <w:r w:rsidR="00B708C8" w:rsidRPr="00A9434B">
        <w:rPr>
          <w:i/>
          <w:iCs/>
        </w:rPr>
        <w:t>Hymenoscyphus albidus</w:t>
      </w:r>
      <w:r w:rsidR="00B708C8" w:rsidRPr="00A9434B">
        <w:t xml:space="preserve"> </w:t>
      </w:r>
      <w:r w:rsidR="00FC080A" w:rsidRPr="00A9434B">
        <w:t xml:space="preserve">are </w:t>
      </w:r>
      <w:r w:rsidR="00B708C8" w:rsidRPr="00A9434B">
        <w:t xml:space="preserve">two cryptic species largely indistinguishable morphologically </w:t>
      </w:r>
      <w:r w:rsidR="009E086C" w:rsidRPr="00A9434B">
        <w:fldChar w:fldCharType="begin"/>
      </w:r>
      <w:r w:rsidR="0006613E">
        <w:instrText xml:space="preserve"> ADDIN ZOTERO_ITEM CSL_CITATION {"citationID":"a29j63q23og","properties":{"formattedCitation":"(Queloz et al., 2011)","plainCitation":"(Queloz et al., 2011)","noteIndex":0},"citationItems":[{"id":10788,"uris":["http://zotero.org/groups/2352922/items/BJWEE5J4"],"itemData":{"id":10788,"type":"article-journal","container-title":"Forest Pathology","DOI":"10.1111/j.1439-0329.2010.00645.x","ISSN":"14374781","issue":"2","language":"en","page":"133-142","source":"DOI.org (Crossref)","title":"Cryptic speciation in &lt;i&gt;Hymenoscyphus albidus&lt;/i&gt;","title-short":"Cryptic speciation in Hymenoscyphus albidus","URL":"http://doi.wiley.com/10.1111/j.1439-0329.2010.00645.x","volume":"41","author":[{"family":"Queloz","given":"V."},{"family":"Grünig","given":"C. R."},{"family":"Berndt","given":"R."},{"family":"Kowalski","given":"T."},{"family":"Sieber","given":"T. N."},{"family":"Holdenrieder","given":"O."}],"accessed":{"date-parts":[["2019",10,19]]},"issued":{"date-parts":[["2011",4]]}},"label":"page"}],"schema":"https://github.com/citation-style-language/schema/raw/master/csl-citation.json"} </w:instrText>
      </w:r>
      <w:r w:rsidR="009E086C" w:rsidRPr="00A9434B">
        <w:fldChar w:fldCharType="separate"/>
      </w:r>
      <w:r w:rsidR="00C71E80" w:rsidRPr="00A9434B">
        <w:t>(Queloz et al., 2011)</w:t>
      </w:r>
      <w:r w:rsidR="009E086C" w:rsidRPr="00A9434B">
        <w:fldChar w:fldCharType="end"/>
      </w:r>
      <w:r w:rsidR="00B708C8" w:rsidRPr="00A9434B">
        <w:t xml:space="preserve">. One causes the pathogenic disease of ash and the other is a harmless saprophyte. This determination led to the establishment of yet another name, </w:t>
      </w:r>
      <w:r w:rsidR="00B708C8" w:rsidRPr="00A9434B">
        <w:rPr>
          <w:i/>
          <w:iCs/>
        </w:rPr>
        <w:t>Hymenoscyphus pseudoalbidus</w:t>
      </w:r>
      <w:r w:rsidR="00B708C8" w:rsidRPr="00A9434B">
        <w:t xml:space="preserve">. However, it was later found that </w:t>
      </w:r>
      <w:r w:rsidR="00B708C8" w:rsidRPr="00A9434B">
        <w:rPr>
          <w:i/>
          <w:iCs/>
        </w:rPr>
        <w:t>Hymenoscyphus pseudoalbidus</w:t>
      </w:r>
      <w:r w:rsidR="00B708C8" w:rsidRPr="00A9434B">
        <w:t xml:space="preserve"> was conspecific with Japanese specimens named </w:t>
      </w:r>
      <w:r w:rsidR="00B708C8" w:rsidRPr="00A9434B">
        <w:rPr>
          <w:i/>
          <w:iCs/>
        </w:rPr>
        <w:t>Lambertella albida</w:t>
      </w:r>
      <w:r w:rsidR="00B708C8" w:rsidRPr="00A9434B">
        <w:t xml:space="preserve"> </w:t>
      </w:r>
      <w:r w:rsidR="00B708C8" w:rsidRPr="00A9434B">
        <w:fldChar w:fldCharType="begin"/>
      </w:r>
      <w:r w:rsidR="00B708C8" w:rsidRPr="00A9434B">
        <w:instrText>ADDIN EN.CITE &lt;EndNote&gt;&lt;Cite&gt;&lt;Author&gt;Zhao&lt;/Author&gt;&lt;Year&gt;2012&lt;/Year&gt;&lt;RecNum&gt;215&lt;/RecNum&gt;&lt;DisplayText&gt;(Zhao, Hosoya et al. 2012)&lt;/DisplayText&gt;&lt;record&gt;&lt;rec-number&gt;213&lt;/rec-number&gt;&lt;foreign-keys&gt;&lt;key app="EN" db-id="0d55paxdcvwpebe55d1vrz5ne2pattprarta" timestamp="1597992734"&gt;213&lt;/key&gt;&lt;/foreign-keys&gt;&lt;ref-type name="Journal Article"&gt;17&lt;/ref-type&gt;&lt;contributors&gt;&lt;authors&gt;&lt;author&gt;Zhao, Y. J.&lt;/author&gt;&lt;author&gt;Hosoya, T.&lt;/author&gt;&lt;author&gt;Baral, H. O.&lt;/author&gt;&lt;author&gt;Hosaka, K.&lt;/author&gt;&lt;author&gt;Kakishima, M.&lt;/author&gt;&lt;/authors&gt;&lt;/contributors&gt;&lt;auth-address&gt;Univ Tsukuba, Fac Life &amp;amp; Environm Sci, Tsukuba, Ibaraki 3050821, Japan&amp;#xD;Natl Museum Nat &amp;amp; Sci, Dept Bot, Tsukuba, Ibaraki 3050005, Japan&lt;/auth-address&gt;&lt;titles&gt;&lt;title&gt;Hymenoscyphus pseudoalbidus, the correct name for Lambertella albida reported from Japan&lt;/title&gt;&lt;secondary-title&gt;Mycotaxon&lt;/secondary-title&gt;&lt;alt-title&gt;Mycotaxon&lt;/alt-title&gt;&lt;/titles&gt;&lt;periodical&gt;&lt;full-title&gt;Mycotaxon&lt;/full-title&gt;&lt;abbr-1&gt;Mycotaxon&lt;/abbr-1&gt;&lt;/periodical&gt;&lt;alt-periodical&gt;&lt;full-title&gt;Mycotaxon&lt;/full-title&gt;&lt;abbr-1&gt;Mycotaxon&lt;/abbr-1&gt;&lt;/alt-periodical&gt;&lt;pages&gt;25-41&lt;/pages&gt;&lt;volume&gt;122&lt;/volume&gt;&lt;keywords&gt;&lt;keyword&gt;chalara fraxinea&lt;/keyword&gt;&lt;keyword&gt;helotiaceae&lt;/keyword&gt;&lt;keyword&gt;rutstroemiaceae&lt;/keyword&gt;&lt;keyword&gt;ash fraxinus-excelsior&lt;/keyword&gt;&lt;keyword&gt;chalara-fraxinea&lt;/keyword&gt;&lt;keyword&gt;special emphasis&lt;/keyword&gt;&lt;keyword&gt;dieback&lt;/keyword&gt;&lt;keyword&gt;sclerotiniaceae&lt;/keyword&gt;&lt;keyword&gt;phylogenetics&lt;/keyword&gt;&lt;keyword&gt;speciation&lt;/keyword&gt;&lt;keyword&gt;evolution&lt;/keyword&gt;&lt;keyword&gt;position&lt;/keyword&gt;&lt;/keywords&gt;&lt;dates&gt;&lt;year&gt;2012&lt;/year&gt;&lt;pub-dates&gt;&lt;date&gt;Oct-Dec&lt;/date&gt;&lt;/pub-dates&gt;&lt;/dates&gt;&lt;isbn&gt;0093-4666&lt;/isbn&gt;&lt;accession-num&gt;WOS:000316998000004&lt;/accession-num&gt;&lt;urls&gt;&lt;related-urls&gt;&lt;url&gt;&amp;lt;Go to ISI&amp;gt;://WOS:000316998000004&lt;/url&gt;&lt;/related-urls&gt;&lt;/urls&gt;&lt;electronic-resource-num&gt;10.5248/122.25&lt;/electronic-resource-num&gt;&lt;language&gt;English&lt;/language&gt;&lt;/record&gt;&lt;/Cite&gt;&lt;/EndNote&gt;</w:instrText>
      </w:r>
      <w:r w:rsidR="00B708C8" w:rsidRPr="00A9434B">
        <w:fldChar w:fldCharType="separate"/>
      </w:r>
      <w:r w:rsidR="009E086C" w:rsidRPr="00A9434B">
        <w:fldChar w:fldCharType="begin"/>
      </w:r>
      <w:r w:rsidR="0006613E">
        <w:instrText xml:space="preserve"> ADDIN ZOTERO_ITEM CSL_CITATION {"citationID":"a4id7cra5j","properties":{"formattedCitation":"(Zhao et al., 2013)","plainCitation":"(Zhao et al., 2013)","noteIndex":0},"citationItems":[{"id":12628,"uris":["http://zotero.org/groups/2352922/items/8UVZ6KQI"],"itemData":{"id":12628,"type":"article-journal","container-title":"Mycotaxon","DOI":"10.5248/122.25","ISSN":"00934666, 21548889","issue":"1","journalAbbreviation":"Mycotaxon","language":"en","page":"25-41","source":"DOI.org (Crossref)","title":"&lt;i&gt;Hymenoscyphus pseudoalbidus&lt;/i&gt;, the correct name for &lt;i&gt;Lambertella albida&lt;/i&gt; reported from Japan","URL":"http://openurl.ingenta.com/content/xref?genre=article&amp;issn=0093-4666&amp;volume=122&amp;issue=1&amp;spage=25","volume":"122","author":[{"family":"Zhao","given":"Yan-Jie"},{"family":"Hosoya","given":"Tsuyoshi"},{"family":"Baral","given":"Hans-Otto"},{"family":"Hosaka","given":"Kentaro"},{"family":"Kakishima","given":"Makoto"}],"accessed":{"date-parts":[["2019",10,19]]},"issued":{"date-parts":[["2013",3,4]]}},"label":"page"}],"schema":"https://github.com/citation-style-language/schema/raw/master/csl-citation.json"} </w:instrText>
      </w:r>
      <w:r w:rsidR="009E086C" w:rsidRPr="00A9434B">
        <w:fldChar w:fldCharType="separate"/>
      </w:r>
      <w:r w:rsidR="00C71E80" w:rsidRPr="00A9434B">
        <w:t>(Zhao et al., 2013)</w:t>
      </w:r>
      <w:r w:rsidR="009E086C" w:rsidRPr="00A9434B">
        <w:fldChar w:fldCharType="end"/>
      </w:r>
      <w:r w:rsidR="00B708C8" w:rsidRPr="00A9434B">
        <w:fldChar w:fldCharType="end"/>
      </w:r>
      <w:r w:rsidR="00B708C8" w:rsidRPr="00A9434B">
        <w:t xml:space="preserve">. Finally, due to the nomenclatural rules of priority and recent changes in the Code of </w:t>
      </w:r>
      <w:r w:rsidR="00F27FC5">
        <w:t>N</w:t>
      </w:r>
      <w:r w:rsidR="00B708C8" w:rsidRPr="00A9434B">
        <w:t xml:space="preserve">omenclature for </w:t>
      </w:r>
      <w:r w:rsidR="00F27FC5">
        <w:t xml:space="preserve">algae, </w:t>
      </w:r>
      <w:r w:rsidR="00B708C8" w:rsidRPr="00A9434B">
        <w:t>fungi</w:t>
      </w:r>
      <w:r w:rsidR="00EB415D">
        <w:t xml:space="preserve"> and</w:t>
      </w:r>
      <w:r w:rsidR="00F27FC5">
        <w:t xml:space="preserve"> plants,</w:t>
      </w:r>
      <w:r w:rsidR="00B708C8" w:rsidRPr="00A9434B">
        <w:t xml:space="preserve"> the name was changed to </w:t>
      </w:r>
      <w:r w:rsidR="00B708C8" w:rsidRPr="00A9434B">
        <w:rPr>
          <w:i/>
          <w:iCs/>
        </w:rPr>
        <w:t>Hymenoscyphus fraxineus</w:t>
      </w:r>
      <w:r w:rsidR="00B708C8" w:rsidRPr="00A9434B">
        <w:t xml:space="preserve"> </w:t>
      </w:r>
      <w:r w:rsidR="00CC5FCA" w:rsidRPr="00A9434B">
        <w:t>(ash dieback</w:t>
      </w:r>
      <w:r w:rsidR="008B4B11" w:rsidRPr="00A9434B">
        <w:t>;</w:t>
      </w:r>
      <w:r w:rsidR="00CC5FCA" w:rsidRPr="00A9434B">
        <w:t xml:space="preserve"> </w:t>
      </w:r>
      <w:r w:rsidR="009E086C" w:rsidRPr="00A9434B">
        <w:fldChar w:fldCharType="begin"/>
      </w:r>
      <w:r w:rsidR="0006613E">
        <w:instrText xml:space="preserve"> ADDIN ZOTERO_ITEM CSL_CITATION {"citationID":"a2kiqes4ke7","properties":{"formattedCitation":"(Baral et al., 2014)","plainCitation":"(Baral et al., 2014)","dontUpdate":true,"noteIndex":0},"citationItems":[{"id":17149,"uris":["http://zotero.org/groups/2352922/items/CZTYHKVI"],"itemData":{"id":17149,"type":"article-journal","abstract":"Under the rules for the naming of fungi with pleomorphic life-cycles adopted in July 2011, the nomenclaturally correct name for the fungus causing the current ash dieback in Europe is determined to be Hymenoscyphus fraxineus, with the basionym Chalara fraxinea, and Hymenoscyphus pseudoalbidus as a taxonomic synonym of H. fraxineus.","container-title":"IMA Fungus","DOI":"10.5598/imafungus.2014.05.01.09","ISSN":"2210-6359","issue":"1","page":"79–80","title":"&lt;i&gt;Hymenoscyphus fraxineus&lt;/i&gt;, the correct scientific name for the fungus causing ash dieback in Europe","URL":"https://doi.org/10.5598/imafungus.2014.05.01.09","volume":"5","author":[{"family":"Baral","given":"Hans-Otto"},{"family":"Queloz","given":"Valentin"},{"family":"Hosoya","given":"Tsuyoshi"}],"issued":{"date-parts":[["2014",6]]}},"label":"page"}],"schema":"https://github.com/citation-style-language/schema/raw/master/csl-citation.json"} </w:instrText>
      </w:r>
      <w:r w:rsidR="009E086C" w:rsidRPr="00A9434B">
        <w:fldChar w:fldCharType="separate"/>
      </w:r>
      <w:r w:rsidR="00C71E80" w:rsidRPr="00A9434B">
        <w:t>Baral et al., 2014)</w:t>
      </w:r>
      <w:r w:rsidR="009E086C" w:rsidRPr="00A9434B">
        <w:fldChar w:fldCharType="end"/>
      </w:r>
      <w:r w:rsidR="00B708C8" w:rsidRPr="00A9434B">
        <w:fldChar w:fldCharType="begin"/>
      </w:r>
      <w:r w:rsidR="00B708C8" w:rsidRPr="00A9434B">
        <w:instrText>ADDIN EN.CITE &lt;EndNote&gt;&lt;Cite&gt;&lt;Author&gt;Baral&lt;/Author&gt;&lt;Year&gt;2014&lt;/Year&gt;&lt;RecNum&gt;216&lt;/RecNum&gt;&lt;DisplayText&gt;(Baral, Queloz et al. 2014)&lt;/DisplayText&gt;&lt;record&gt;&lt;rec-number&gt;214&lt;/rec-number&gt;&lt;foreign-keys&gt;&lt;key app="EN" db-id="0d55paxdcvwpebe55d1vrz5ne2pattprarta" timestamp="1597992734"&gt;214&lt;/key&gt;&lt;/foreign-keys&gt;&lt;ref-type name="Journal Article"&gt;17&lt;/ref-type&gt;&lt;contributors&gt;&lt;authors&gt;&lt;author&gt;Baral, H. O.&lt;/author&gt;&lt;author&gt;Queloz, V.&lt;/author&gt;&lt;author&gt;Hosoya, T.&lt;/author&gt;&lt;/authors&gt;&lt;/contributors&gt;&lt;auth-address&gt;ETH, Inst Integrat Biol IBZ, Forest Pathol &amp;amp; Dendrol, CH-8092 Zurich, Switzerland&amp;#xD;Natl Museum Nat &amp;amp; Sci, Dept Bot, Tsukuba, Ibaraki 3050005, Japan&lt;/auth-address&gt;&lt;titles&gt;&lt;title&gt;Hymenoscyphus fraxineus, the correct scientific name for the fungus causing ash dieback in Europe&lt;/title&gt;&lt;secondary-title&gt;Ima Fungus&lt;/secondary-title&gt;&lt;alt-title&gt;Ima Fungus&lt;/alt-title&gt;&lt;/titles&gt;&lt;periodical&gt;&lt;full-title&gt;Ima Fungus&lt;/full-title&gt;&lt;abbr-1&gt;Ima Fungus&lt;/abbr-1&gt;&lt;/periodical&gt;&lt;alt-periodical&gt;&lt;full-title&gt;Ima Fungus&lt;/full-title&gt;&lt;abbr-1&gt;Ima Fungus&lt;/abbr-1&gt;&lt;/alt-periodical&gt;&lt;pages&gt;79-80&lt;/pages&gt;&lt;volume&gt;5&lt;/volume&gt;&lt;number&gt;1&lt;/number&gt;&lt;keywords&gt;&lt;keyword&gt;chalara fraxinea&lt;/keyword&gt;&lt;keyword&gt;hymenoscyphus pseudoalbidus&lt;/keyword&gt;&lt;keyword&gt;pleomorphic fungi&lt;/keyword&gt;&lt;/keywords&gt;&lt;dates&gt;&lt;year&gt;2014&lt;/year&gt;&lt;pub-dates&gt;&lt;date&gt;Jun&lt;/date&gt;&lt;/pub-dates&gt;&lt;/dates&gt;&lt;isbn&gt;2210-6340&lt;/isbn&gt;&lt;accession-num&gt;WOS:000209908800023&lt;/accession-num&gt;&lt;urls&gt;&lt;related-urls&gt;&lt;url&gt;&amp;lt;Go to ISI&amp;gt;://WOS:000209908800023&lt;/url&gt;&lt;/related-urls&gt;&lt;/urls&gt;&lt;electronic-resource-num&gt;10.5598/imafungus.2014.05.01.09&lt;/electronic-resource-num&gt;&lt;language&gt;English&lt;/language&gt;&lt;/record&gt;&lt;/Cite&gt;&lt;/EndNote&gt;</w:instrText>
      </w:r>
      <w:r w:rsidR="00B708C8" w:rsidRPr="00A9434B">
        <w:fldChar w:fldCharType="end"/>
      </w:r>
      <w:r w:rsidR="00B708C8" w:rsidRPr="00A9434B">
        <w:t>.</w:t>
      </w:r>
    </w:p>
    <w:p w14:paraId="3B4DED6B" w14:textId="01B21ACC" w:rsidR="00017C04" w:rsidRDefault="00F50AF9" w:rsidP="00C46680">
      <w:pPr>
        <w:pBdr>
          <w:top w:val="single" w:sz="4" w:space="1" w:color="auto"/>
          <w:left w:val="single" w:sz="4" w:space="4" w:color="auto"/>
          <w:bottom w:val="single" w:sz="4" w:space="1" w:color="auto"/>
          <w:right w:val="single" w:sz="4" w:space="4" w:color="auto"/>
        </w:pBdr>
        <w:shd w:val="clear" w:color="auto" w:fill="E7E6E6" w:themeFill="background2"/>
      </w:pPr>
      <w:r>
        <w:t>It took twenty years since ash dieback was first discovered in Europe for a stable name for it to be arrived upon, making it possible to connect the species to what is thought to be the native range in Eastern Asia. It is difficult to know how much this confusion over the origin and name of this species contributed to a slow response to the spread of the disease and how much this has obstructed research. This example illustrates the different types of uncertainty associated with biological invasions, in this case both taxonomic uncertainty as well as the need for more research on the distribution and identity of this species group. Furthermore, in the case of ash dieback, once its origins were revealed it allowed information to be brought together from distant sources in time and space.</w:t>
      </w:r>
    </w:p>
    <w:p w14:paraId="3799EDC6" w14:textId="77777777" w:rsidR="00017C04" w:rsidRDefault="00F50AF9" w:rsidP="00C46680">
      <w:pPr>
        <w:pStyle w:val="Heading3"/>
      </w:pPr>
      <w:bookmarkStart w:id="526" w:name="_heading=h.11si5id" w:colFirst="0" w:colLast="0"/>
      <w:bookmarkStart w:id="527" w:name="_Toc69383438"/>
      <w:bookmarkStart w:id="528" w:name="_Toc373790878"/>
      <w:bookmarkEnd w:id="526"/>
      <w:r>
        <w:t xml:space="preserve"> </w:t>
      </w:r>
      <w:bookmarkStart w:id="529" w:name="_Toc133428347"/>
      <w:r>
        <w:t xml:space="preserve">Biodiversity </w:t>
      </w:r>
      <w:bookmarkEnd w:id="527"/>
      <w:r>
        <w:t>information needs</w:t>
      </w:r>
      <w:bookmarkEnd w:id="528"/>
      <w:bookmarkEnd w:id="529"/>
    </w:p>
    <w:p w14:paraId="27439ED8" w14:textId="09C7088A" w:rsidR="00017C04" w:rsidRDefault="2F958343">
      <w:r>
        <w:t xml:space="preserve">All seven of the general types of biodiversity knowledge shortfalls </w:t>
      </w:r>
      <w:r w:rsidR="009E086C" w:rsidRPr="00A9434B">
        <w:rPr>
          <w:rFonts w:eastAsiaTheme="majorEastAsia"/>
        </w:rPr>
        <w:fldChar w:fldCharType="begin"/>
      </w:r>
      <w:r w:rsidR="0006613E">
        <w:rPr>
          <w:rFonts w:eastAsiaTheme="majorEastAsia"/>
        </w:rPr>
        <w:instrText xml:space="preserve"> ADDIN ZOTERO_ITEM CSL_CITATION {"citationID":"a1hh8vucf3d","properties":{"formattedCitation":"(Hortal et al., 2015)","plainCitation":"(Hortal et al., 2015)","noteIndex":0},"citationItems":[{"id":11301,"uris":["http://zotero.org/groups/2352922/items/HFUPTVLG"],"itemData":{"id":11301,"type":"article-journal","abstract":"Ecologists and evolutionary biologists are increasingly using big-data approaches to tackle questions at large spatial, taxonomic, and temporal scales. However, despite recent efforts to gather two centuries of biodiversity inventories into comprehensive databases, many crucial research questions remain unanswered. Here, we update the concept of knowledge shortfalls and review the tradeoffs between generality and uncertainty. We present seven key shortfalls of current biodiversity data. Four previously proposed shortfalls pinpoint knowledge gaps for species taxonomy (Linnean), distribution (Wallacean), abundance (Prestonian), and evolutionary patterns (Darwinian). We also redefine the Hutchinsonian shortfall to apply to the abiotic tolerances of species and propose new shortfalls relating to limited knowledge of species traits (Raunkiæran) and biotic interactions (Eltonian). We conclude with a general framework for the combined impacts and consequences of shortfalls of large-scale biodiversity knowledge for evolutionary and ecological research and consider ways of overcoming the seven shortfalls and dealing with the uncertainty they generate. Copyright © 2015 by Annual Reviews. All rights reserved.","collection-title":"Annual Review of Ecology, Evolution, and Systematics","container-title":"Annual Review of Ecology, Evolution, and Systematics","DOI":"10.1146/annurev-ecolsys-112414-054400","issue":"1","page":"523-549","title":"Seven Shortfalls that Beset Large-Scale Knowledge of Biodiversity","URL":"https://www.scopus.com/inward/record.uri?eid=2-s2.0-84948960925&amp;doi=10.1146%2fannurev-ecolsys-112414-054400&amp;partnerID=40&amp;md5=0da639e10877fcf9dc68bff18a5c76e3","volume":"46","author":[{"family":"Hortal","given":"J."},{"family":"De Bello","given":"F."},{"family":"Diniz-Filho","given":"J.A.F."},{"family":"Lewinsohn","given":"T.M."},{"family":"Lobo","given":"J.M."},{"family":"Ladle","given":"R.J."}],"issued":{"date-parts":[["2015"]]}},"label":"page"}],"schema":"https://github.com/citation-style-language/schema/raw/master/csl-citation.json"} </w:instrText>
      </w:r>
      <w:r w:rsidR="009E086C" w:rsidRPr="00A9434B">
        <w:rPr>
          <w:rFonts w:eastAsiaTheme="majorEastAsia"/>
        </w:rPr>
        <w:fldChar w:fldCharType="separate"/>
      </w:r>
      <w:r w:rsidR="00C71E80" w:rsidRPr="00A9434B">
        <w:t>(Hortal et al., 2015)</w:t>
      </w:r>
      <w:r w:rsidR="009E086C" w:rsidRPr="00A9434B">
        <w:rPr>
          <w:rFonts w:eastAsiaTheme="majorEastAsia"/>
        </w:rPr>
        <w:fldChar w:fldCharType="end"/>
      </w:r>
      <w:r>
        <w:t xml:space="preserve"> are equally relevant to knowledge on invasive alien species and the information needed to resolve this problem, i.e., taxonomy, distribution, populations, evolution, traits and functions, tolerances and ecological interactions. The section below details these types of information needs for policy support on </w:t>
      </w:r>
      <w:r w:rsidR="31194299">
        <w:t xml:space="preserve">biological invasions </w:t>
      </w:r>
      <w:r>
        <w:t>and discusses current sources of information and how these are created and disseminated.</w:t>
      </w:r>
    </w:p>
    <w:p w14:paraId="16ED1CDD" w14:textId="26801256" w:rsidR="00CC4659" w:rsidRPr="00A9434B" w:rsidRDefault="00967D3F" w:rsidP="00585D0E">
      <w:pPr>
        <w:pStyle w:val="Heading5"/>
        <w:rPr>
          <w:b w:val="0"/>
          <w:bCs/>
        </w:rPr>
      </w:pPr>
      <w:r w:rsidRPr="00A9434B">
        <w:t xml:space="preserve">(1) </w:t>
      </w:r>
      <w:r w:rsidR="00CC4659" w:rsidRPr="00A9434B">
        <w:t>Addressing taxonomic biases in research</w:t>
      </w:r>
      <w:r w:rsidRPr="00A9434B">
        <w:br/>
      </w:r>
      <w:r w:rsidR="07F8E895" w:rsidRPr="00A9434B">
        <w:rPr>
          <w:b w:val="0"/>
          <w:bCs/>
        </w:rPr>
        <w:t xml:space="preserve">Taxonomic bias is pervasive in </w:t>
      </w:r>
      <w:r w:rsidR="6226E8E9" w:rsidRPr="00A9434B">
        <w:rPr>
          <w:b w:val="0"/>
          <w:bCs/>
        </w:rPr>
        <w:t xml:space="preserve">knowledge of </w:t>
      </w:r>
      <w:r w:rsidR="07F8E895" w:rsidRPr="00A9434B">
        <w:rPr>
          <w:b w:val="0"/>
          <w:bCs/>
        </w:rPr>
        <w:t xml:space="preserve">biodiversity </w:t>
      </w:r>
      <w:r w:rsidR="009E086C" w:rsidRPr="00A9434B">
        <w:rPr>
          <w:b w:val="0"/>
          <w:bCs/>
          <w:i/>
          <w:iCs/>
        </w:rPr>
        <w:fldChar w:fldCharType="begin"/>
      </w:r>
      <w:r w:rsidR="0006613E">
        <w:rPr>
          <w:rFonts w:hint="eastAsia"/>
          <w:b w:val="0"/>
          <w:bCs/>
        </w:rPr>
        <w:instrText xml:space="preserve"> ADDIN ZOTERO_ITEM CSL_CITATION {"citationID":"a1oitmmra74","properties":{"formattedCitation":"(Haque et al., 2020; Zamora\\uc0\\u8208{}Gutierrez et al., 2019)","plainCitation":"(Haque et al., 2020; Zamora</w:instrText>
      </w:r>
      <w:r w:rsidR="0006613E">
        <w:rPr>
          <w:rFonts w:hint="eastAsia"/>
          <w:b w:val="0"/>
          <w:bCs/>
        </w:rPr>
        <w:instrText>‐</w:instrText>
      </w:r>
      <w:r w:rsidR="0006613E">
        <w:rPr>
          <w:rFonts w:hint="eastAsia"/>
          <w:b w:val="0"/>
          <w:bCs/>
        </w:rPr>
        <w:instrText>Gutierrez et al., 2019)","noteIndex":0},"citation</w:instrText>
      </w:r>
      <w:r w:rsidR="0006613E">
        <w:rPr>
          <w:b w:val="0"/>
          <w:bCs/>
        </w:rPr>
        <w:instrText>Items":[{"id":24543,"uris":["http://zotero.org/groups/2352922/items/GWRAHS89"],"itemData":{"id":24543,"type":"article-journal","abstract":"Rapid growth in the digitisation of the world’s natural history collections substantially simplifies scientific access to taxonomic and biogeographic information. Despite recent efforts to collate more than two centuries of biodiversity inventories into comprehensive databases, these collections suffer limitations across spatial, temporal and taxonomic dimensions. We assessed taxonomic shortfalls in preserved specimens from 296 plant families native to Australia, for which records have been collated into the Australasian Virtual Herbarium (AVH), specifically addressing the following questions: (1) Based on the number of specimen records per species, which Australian native plant families are under- or over-represented in the collection of preserved specimens digitised in the AVH? (2) To what extent does the distribution of collectors among plant families, or the area occupied by plant families, explain patterns of taxonomic representativeness? We found that the number of preserved specimens per family is not proportional to the family’s known species richness. For 29% of Australia’s plant families (i.e. 86), the number of digitised records constitutes &lt; 50% of the number expected given species richness within those families. Further, only 34% of families (100) have at least 20 specimens digitised for each species recorded in the AVH. Families occupying small areas (&lt; 200 grid cells) are more likely to be under-represented taxonomically, while there is a strong positive correlation between the number of unique collectors and the extent of taxonomic over-representation. A sound understanding of biodiversity is critical for megadiverse countries such as Australia, and identifying biases in digital inventories may help with establishing future sampling and digitisation strategies to enhance taxonomic representation.","container-title":"Biodiversity and Conservation","DOI":"10.1007/s10531-019-01885-7","ISSN":"1572-9710","issue":"1","journalAbbreviation":"Biodivers Conserv","language":"en","page":"333-343","source":"Springer Link","title":"Taxonomic shortfalls in digitised collections of Australia’s flora","URL":"https://doi.org/10.1007/s10531-019-01885-7","volume":"29","author":[{"family":"Haque","given":"Md. Mohasinul"},{"family":"Beaumont","given":"Linda J."},{"family":"Nipperess","given":"David A."}],"accessed":{"date-parts":[["2020",4,5]]},"issued":{"date-parts":[["2020",1,1]]}},"label":"page"},{"id":53365,"uris":["http://zotero.org/groups/2352922/items/54E7LZ4X"],"itemData":{"id":53365,"type":"article-journal","container-title":"Ecology and Evolution","DOI":"10.1002/ece3.5848","issue":"24","note":"ISBN: 2045-7758\npubl</w:instrText>
      </w:r>
      <w:r w:rsidR="0006613E">
        <w:rPr>
          <w:rFonts w:hint="eastAsia"/>
          <w:b w:val="0"/>
          <w:bCs/>
        </w:rPr>
        <w:instrText>isher: Wiley Online Library","page":"14130-14141","title":"Spatial and taxonomic biases in bat records: Drivers and conservation implications in a megadiverse country","volume":"9","author":[{"family":"Zamora</w:instrText>
      </w:r>
      <w:r w:rsidR="0006613E">
        <w:rPr>
          <w:rFonts w:hint="eastAsia"/>
          <w:b w:val="0"/>
          <w:bCs/>
        </w:rPr>
        <w:instrText>‐</w:instrText>
      </w:r>
      <w:r w:rsidR="0006613E">
        <w:rPr>
          <w:rFonts w:hint="eastAsia"/>
          <w:b w:val="0"/>
          <w:bCs/>
        </w:rPr>
        <w:instrText>Gutierrez","given":"Veronica"},{"family":"Aman</w:instrText>
      </w:r>
      <w:r w:rsidR="0006613E">
        <w:rPr>
          <w:b w:val="0"/>
          <w:bCs/>
        </w:rPr>
        <w:instrText xml:space="preserve">o","given":"Tatsuya"},{"family":"Jones","given":"Kate E."}],"issued":{"date-parts":[["2019"]]}},"label":"page"}],"schema":"https://github.com/citation-style-language/schema/raw/master/csl-citation.json"} </w:instrText>
      </w:r>
      <w:r w:rsidR="009E086C" w:rsidRPr="00A9434B">
        <w:rPr>
          <w:b w:val="0"/>
          <w:bCs/>
          <w:i/>
          <w:iCs/>
        </w:rPr>
        <w:fldChar w:fldCharType="separate"/>
      </w:r>
      <w:r w:rsidR="00C71E80" w:rsidRPr="00A9434B">
        <w:rPr>
          <w:b w:val="0"/>
          <w:bCs/>
        </w:rPr>
        <w:t>(Haque et al., 2020; Zamora‐Gutierrez et al., 2019)</w:t>
      </w:r>
      <w:r w:rsidR="009E086C" w:rsidRPr="00A9434B">
        <w:rPr>
          <w:b w:val="0"/>
          <w:bCs/>
          <w:i/>
          <w:iCs/>
        </w:rPr>
        <w:fldChar w:fldCharType="end"/>
      </w:r>
      <w:r w:rsidR="07F8E895" w:rsidRPr="00A9434B">
        <w:rPr>
          <w:b w:val="0"/>
          <w:bCs/>
        </w:rPr>
        <w:t xml:space="preserve">, conservation sciences and practices </w:t>
      </w:r>
      <w:r w:rsidR="00CC4659" w:rsidRPr="00A9434B">
        <w:rPr>
          <w:b w:val="0"/>
          <w:bCs/>
          <w:i/>
          <w:iCs/>
        </w:rPr>
        <w:fldChar w:fldCharType="begin"/>
      </w:r>
      <w:r w:rsidR="00CC4659" w:rsidRPr="00A9434B">
        <w:rPr>
          <w:b w:val="0"/>
          <w:bCs/>
        </w:rPr>
        <w:instrText>ADDIN EN.CITE &lt;EndNote&gt;&lt;Cite&gt;&lt;Author&gt;Creighton&lt;/Author&gt;&lt;Year&gt;2019&lt;/Year&gt;&lt;RecNum&gt;379&lt;/RecNum&gt;&lt;DisplayText&gt;(Creighton and Bennett 2019)&lt;/DisplayText&gt;&lt;record&gt;&lt;rec-number&gt;218&lt;/rec-number&gt;&lt;foreign-keys&gt;&lt;key app="EN" db-id="0d55paxdcvwpebe55d1vrz5ne2pattprarta" timestamp="1597992734"&gt;218&lt;/key&gt;&lt;/foreign-keys&gt;&lt;ref-type name="Journal Article"&gt;17&lt;/ref-type&gt;&lt;contributors&gt;&lt;authors&gt;&lt;author&gt;Creighton, Maria J. A.&lt;/author&gt;&lt;author&gt;Bennett, Joseph R.&lt;/author&gt;&lt;/authors&gt;&lt;/contributors&gt;&lt;titles&gt;&lt;title&gt;Taxonomic biases persist from listing to management for Canadian species at risk&lt;/title&gt;&lt;secondary-title&gt;Écoscience&lt;/secondary-title&gt;&lt;/titles&gt;&lt;periodical&gt;&lt;full-title&gt;Ecoscience&lt;/full-title&gt;&lt;/periodical&gt;&lt;pages&gt;315-321&lt;/pages&gt;&lt;volume&gt;26&lt;/volume&gt;&lt;number&gt;4&lt;/number&gt;&lt;keywords&gt;&lt;keyword&gt;Canada&lt;/keyword&gt;&lt;keyword&gt;Loi sur les espèces en péril&lt;/keyword&gt;&lt;keyword&gt;Species at Risk Act&lt;/keyword&gt;&lt;keyword&gt;Threatened species&lt;/keyword&gt;&lt;keyword&gt;biais taxonomique&lt;/keyword&gt;&lt;keyword&gt;endangered species&lt;/keyword&gt;&lt;keyword&gt;espèces en voie de disparition&lt;/keyword&gt;&lt;keyword&gt;espèces menacées&lt;/keyword&gt;&lt;keyword&gt;management planning&lt;/keyword&gt;&lt;keyword&gt;planification de gestion&lt;/keyword&gt;&lt;keyword&gt;taxonomic bias&lt;/keyword&gt;&lt;/keywords&gt;&lt;dates&gt;&lt;year&gt;2019&lt;/year&gt;&lt;pub-dates&gt;&lt;date&gt;2019/10/02/&lt;/date&gt;&lt;/pub-dates&gt;&lt;/dates&gt;&lt;isbn&gt;1195-6860&lt;/isbn&gt;&lt;urls&gt;&lt;related-urls&gt;&lt;url&gt;https://doi.org/10.1080/11956860.2019.1613752&lt;/url&gt;&lt;/related-urls&gt;&lt;/urls&gt;&lt;electronic-resource-num&gt;10.1080/11956860.2019.1613752&lt;/electronic-resource-num&gt;&lt;remote-database-provider&gt;Taylor and Francis+NEJM&lt;/remote-database-provider&gt;&lt;access-date&gt;2020/04/05/15:15:26&lt;/access-date&gt;&lt;/record&gt;&lt;/Cite&gt;&lt;/EndNote&gt;</w:instrText>
      </w:r>
      <w:r w:rsidR="00CC4659" w:rsidRPr="00A9434B">
        <w:rPr>
          <w:b w:val="0"/>
          <w:bCs/>
          <w:i/>
          <w:iCs/>
        </w:rPr>
        <w:fldChar w:fldCharType="separate"/>
      </w:r>
      <w:r w:rsidR="009E086C" w:rsidRPr="00A9434B">
        <w:rPr>
          <w:b w:val="0"/>
          <w:bCs/>
          <w:i/>
          <w:iCs/>
        </w:rPr>
        <w:fldChar w:fldCharType="begin"/>
      </w:r>
      <w:r w:rsidR="0006613E">
        <w:rPr>
          <w:b w:val="0"/>
          <w:bCs/>
        </w:rPr>
        <w:instrText xml:space="preserve"> ADDIN ZOTERO_ITEM CSL_CITATION {"citationID":"avpdreh72f","properties":{"formattedCitation":"(Creighton &amp; Bennett, 2019)","plainCitation":"(Creighton &amp; Bennett, 2019)","noteIndex":0},"citationItems":[{"id":11328,"uris":["http://zotero.org/groups/2352922/items/TGZBTB27"],"itemData":{"id":11328,"type":"article-journal","abstract":"Management planning for Canadian species at risk of extinction begins with recommendation for legal protection under the Species at Risk Act (SARA), and ends with Action Plans that guide management implementation. Roughly five years after the enactment of SARA in 2002, multiple studies identified taxonomic biases associated with the SARA listing process. Here, we provide a comprehensive test of whether taxonomic biases remain over a decade later. We also test whether biases in listing are propagated through to management implementation. We find that birds, reptiles and plants are more likely to be legally protected than other species. Arthropods and fishes are less likely to be protected, with unlisted fish species being twice as likely to be threatened by resource use than other unlisted species. We also find that arthropods and amphibians are less likely to have Action Plans than other species. In addition, we find no evidence that biases in listing or management have improved over time. Canadian species at risk recovery programs appear to be biased both in legal protection and management, disfavouring arthropods, amphibians and harvested fishes. If SARA is to fulfil its stated purpose, such biases must be directly addressed, through a transparent and formalised prioritisation system.","container-title":"Écoscience","DOI":"10.1080/11956860.2019.1613752","ISSN":"1195-6860","issue":"4","note":"publisher: Taylor &amp; Francis\n_eprint: https://doi.org/10.1080/11956860.2019.1613752","page":"315-321","source":"Taylor and Francis+NEJM","title":"Taxonomic biases persist from listing to management for Canadian species at risk","URL":"https://doi.org/10.1080/11956860.2019.1613752","volume":"26","author":[{"family":"Creighton","given":"Maria J. A."},{"family":"Bennett","given":"Joseph R."}],"accessed":{"date-parts":[["2020",4,6]]},"issued":{"date-parts":[["2019",10,2]]}},"label":"page"}],"schema":"https://github.com/citation-style-language/schema/raw/master/csl-citation.json"} </w:instrText>
      </w:r>
      <w:r w:rsidR="009E086C" w:rsidRPr="00A9434B">
        <w:rPr>
          <w:b w:val="0"/>
          <w:bCs/>
          <w:i/>
          <w:iCs/>
        </w:rPr>
        <w:fldChar w:fldCharType="separate"/>
      </w:r>
      <w:r w:rsidR="00C71E80" w:rsidRPr="00A9434B">
        <w:rPr>
          <w:b w:val="0"/>
          <w:bCs/>
        </w:rPr>
        <w:t>(Creighton &amp; Bennett, 2019)</w:t>
      </w:r>
      <w:r w:rsidR="009E086C" w:rsidRPr="00A9434B">
        <w:rPr>
          <w:b w:val="0"/>
          <w:bCs/>
          <w:i/>
          <w:iCs/>
        </w:rPr>
        <w:fldChar w:fldCharType="end"/>
      </w:r>
      <w:r w:rsidR="00CC4659" w:rsidRPr="00A9434B">
        <w:rPr>
          <w:b w:val="0"/>
          <w:bCs/>
          <w:i/>
          <w:iCs/>
        </w:rPr>
        <w:fldChar w:fldCharType="end"/>
      </w:r>
      <w:r w:rsidR="07F8E895" w:rsidRPr="00A9434B">
        <w:rPr>
          <w:b w:val="0"/>
          <w:bCs/>
        </w:rPr>
        <w:t xml:space="preserve"> and ecological research </w:t>
      </w:r>
      <w:r w:rsidR="00CC4659" w:rsidRPr="00A9434B">
        <w:rPr>
          <w:b w:val="0"/>
          <w:bCs/>
          <w:i/>
          <w:iCs/>
        </w:rPr>
        <w:fldChar w:fldCharType="begin"/>
      </w:r>
      <w:r w:rsidR="00CC4659" w:rsidRPr="00A9434B">
        <w:rPr>
          <w:b w:val="0"/>
          <w:bCs/>
        </w:rPr>
        <w:instrText>ADDIN EN.CITE &lt;EndNote&gt;&lt;Cite&gt;&lt;Author&gt;Rosenthal&lt;/Author&gt;&lt;Year&gt;2017&lt;/Year&gt;&lt;RecNum&gt;378&lt;/RecNum&gt;&lt;DisplayText&gt;(Rosenthal, Gertler et al. 2017)&lt;/DisplayText&gt;&lt;record&gt;&lt;rec-number&gt;219&lt;/rec-number&gt;&lt;foreign-keys&gt;&lt;key app="EN" db-id="0d55paxdcvwpebe55d1vrz5ne2pattprarta" timestamp="1597992734"&gt;219&lt;/key&gt;&lt;/foreign-keys&gt;&lt;ref-type name="Journal Article"&gt;17&lt;/ref-type&gt;&lt;contributors&gt;&lt;authors&gt;&lt;author&gt;Rosenthal, Malcolm F.&lt;/author&gt;&lt;author&gt;Gertler, Matthew&lt;/author&gt;&lt;author&gt;Hamilton, Angela D.&lt;/author&gt;&lt;author&gt;Prasad, Sonal&lt;/author&gt;&lt;author&gt;Andrade, Maydianne C. B.&lt;/author&gt;&lt;/authors&gt;&lt;/contributors&gt;&lt;titles&gt;&lt;title&gt;Taxonomic bias in animal behaviour publications&lt;/title&gt;&lt;secondary-title&gt;Animal Behaviour&lt;/secondary-title&gt;&lt;alt-title&gt;Animal Behaviour&lt;/alt-title&gt;&lt;/titles&gt;&lt;periodical&gt;&lt;full-title&gt;Animal Behaviour&lt;/full-title&gt;&lt;abbr-1&gt;Animal Behaviour&lt;/abbr-1&gt;&lt;/periodical&gt;&lt;alt-periodical&gt;&lt;full-title&gt;Animal Behaviour&lt;/full-title&gt;&lt;abbr-1&gt;Animal Behaviour&lt;/abbr-1&gt;&lt;/alt-periodical&gt;&lt;pages&gt;83-89&lt;/pages&gt;&lt;volume&gt;127&lt;/volume&gt;&lt;keywords&gt;&lt;keyword&gt;behavioural ecology&lt;/keyword&gt;&lt;keyword&gt;citation bias&lt;/keyword&gt;&lt;keyword&gt;publication skew&lt;/keyword&gt;&lt;keyword&gt;taxonomic prejudice&lt;/keyword&gt;&lt;keyword&gt;‘model’ taxa&lt;/keyword&gt;&lt;/keywords&gt;&lt;dates&gt;&lt;year&gt;2017&lt;/year&gt;&lt;pub-dates&gt;&lt;date&gt;2017/05/01/&lt;/date&gt;&lt;/pub-dates&gt;&lt;/dates&gt;&lt;isbn&gt;0003-3472&lt;/isbn&gt;&lt;urls&gt;&lt;related-urls&gt;&lt;url&gt;http://www.sciencedirect.com/science/article/pii/S0003347217300647&lt;/url&gt;&lt;/related-urls&gt;&lt;/urls&gt;&lt;electronic-resource-num&gt;10.1016/j.anbehav.2017.02.017&lt;/electronic-resource-num&gt;&lt;remote-database-provider&gt;ScienceDirect&lt;/remote-database-provider&gt;&lt;language&gt;en&lt;/language&gt;&lt;access-date&gt;2020/04/05/15:23:39&lt;/access-date&gt;&lt;/record&gt;&lt;/Cite&gt;&lt;/EndNote&gt;</w:instrText>
      </w:r>
      <w:r w:rsidR="00CC4659" w:rsidRPr="00A9434B">
        <w:rPr>
          <w:b w:val="0"/>
          <w:bCs/>
          <w:i/>
          <w:iCs/>
        </w:rPr>
        <w:fldChar w:fldCharType="separate"/>
      </w:r>
      <w:r w:rsidR="002C3D09" w:rsidRPr="00A9434B">
        <w:rPr>
          <w:b w:val="0"/>
          <w:bCs/>
          <w:i/>
          <w:iCs/>
        </w:rPr>
        <w:fldChar w:fldCharType="begin"/>
      </w:r>
      <w:r w:rsidR="0006613E">
        <w:rPr>
          <w:b w:val="0"/>
          <w:bCs/>
        </w:rPr>
        <w:instrText xml:space="preserve"> ADDIN ZOTERO_ITEM CSL_CITATION {"citationID":"a20j29fem23","properties":{"formattedCitation":"(Rosenthal et al., 2017)","plainCitation":"(Rosenthal et al., 2017)","noteIndex":0},"citationItems":[{"id":24045,"uris":["http://zotero.org/groups/2352922/items/JH6IDYI6"],"itemData":{"id":24045,"type":"article-journal","abstract":"Evidence suggests that certain taxonomic groups are more thoroughly studied than others across a wide range of biological disciplines. Such taxonomic biases have the potential to define our understanding of theory, and limit the generality of our insights. To assess the distribution of taxonomic representation in current and historical animal behaviour research, we constructed a data set containing article metrics and taxonomic information for all research articles published in the journal Animal Behaviour between 1953 and 2015. We found significant taxonomic bias, with chordate papers making up 70% of all publications in the past 15 years, despite accounting for less than 7% of all animal species. Within chordates, Animal Behaviour content is biased towards endotherms, with birds and mammals comprising more than 50% of all publications. In sum, six animal orders account for more than half of all publications, with the most commonly published order, Passeriformes, representing one in five articles. Our findings confirm that a relatively narrow group of ‘model’ taxa represent the vast majority of articles, and may have a disproportionate influence on our understanding of behavioural patterns and processes. Furthermore, we find evidence of a citation bias, with chordate studies receiving on average four citations more per paper than arthropod studies. While historical trends suggest that the publication gap between arthropods and chordates has been shrinking for the past 45 years, our findings show that a considerable bias still remains. These biases may originate from human preferences for certain animal types, but we argue that they are likely maintained by a mixture of taxonomic prejudices, cultural aspects of behavioural ecology as a field, and of academia in general. We suggest that the patterns are clear and their implications serious, and that it is time that both researchers and journals give serious consideration to addressing them.","container-title":"Animal Behaviour","DOI":"10.1016/j.anbehav.2017.02.017","ISSN":"0003-3472","journalAbbreviation":"Animal Behaviour","language":"en","page":"83-89","source":"ScienceDirect","title":"Taxonomic bias in animal behaviour publications","URL":"http://www.sciencedirect.com/science/article/pii/S0003347217300647","volume":"127","author":[{"family":"Rosenthal","given":"Malcolm F."},{"family":"Gertler","given":"Matthew"},{"family":"Hamilton","given":"Angela D."},{"family":"Prasad","given":"Sonal"},{"family":"Andrade","given":"Maydianne C. B."}],"accessed":{"date-parts":[["2020",4,5]]},"issued":{"date-parts":[["2017",5,1]]}},"label":"page"}],"schema":"https://github.com/citation-style-language/schema/raw/master/csl-citation.json"} </w:instrText>
      </w:r>
      <w:r w:rsidR="002C3D09" w:rsidRPr="00A9434B">
        <w:rPr>
          <w:b w:val="0"/>
          <w:bCs/>
          <w:i/>
          <w:iCs/>
        </w:rPr>
        <w:fldChar w:fldCharType="separate"/>
      </w:r>
      <w:r w:rsidR="00C71E80" w:rsidRPr="00A9434B">
        <w:rPr>
          <w:b w:val="0"/>
          <w:bCs/>
        </w:rPr>
        <w:t>(Rosenthal et al., 2017)</w:t>
      </w:r>
      <w:r w:rsidR="002C3D09" w:rsidRPr="00A9434B">
        <w:rPr>
          <w:b w:val="0"/>
          <w:bCs/>
          <w:i/>
          <w:iCs/>
        </w:rPr>
        <w:fldChar w:fldCharType="end"/>
      </w:r>
      <w:r w:rsidR="00CC4659" w:rsidRPr="00A9434B">
        <w:rPr>
          <w:b w:val="0"/>
          <w:bCs/>
          <w:i/>
          <w:iCs/>
        </w:rPr>
        <w:fldChar w:fldCharType="end"/>
      </w:r>
      <w:r w:rsidR="07F8E895" w:rsidRPr="00A9434B">
        <w:rPr>
          <w:b w:val="0"/>
          <w:bCs/>
        </w:rPr>
        <w:t>, and such biases have not changed over time</w:t>
      </w:r>
      <w:r w:rsidR="07F8E895" w:rsidRPr="001738E7">
        <w:rPr>
          <w:b w:val="0"/>
          <w:bCs/>
        </w:rPr>
        <w:t xml:space="preserve"> </w:t>
      </w:r>
      <w:r w:rsidR="002C3D09" w:rsidRPr="001738E7">
        <w:rPr>
          <w:b w:val="0"/>
          <w:bCs/>
          <w:i/>
          <w:iCs/>
        </w:rPr>
        <w:fldChar w:fldCharType="begin"/>
      </w:r>
      <w:r w:rsidR="0006613E">
        <w:rPr>
          <w:b w:val="0"/>
          <w:bCs/>
        </w:rPr>
        <w:instrText xml:space="preserve"> ADDIN ZOTERO_ITEM CSL_CITATION {"citationID":"nQzdow7g","properties":{"formattedCitation":"(Creighton &amp; Bennett, 2019; Rosenthal et al., 2017; Troudet et al., 2017)","plainCitation":"(Creighton &amp; Bennett, 2019; Rosenthal et al., 2017; Troudet et al., 2017)","dontUpdate":true,"noteIndex":0},"citationItems":[{"id":11328,"uris":["http://zotero.org/groups/2352922/items/TGZBTB27"],"itemData":{"id":11328,"type":"article-journal","abstract":"Management planning for Canadian species at risk of extinction begins with recommendation for legal protection under the Species at Risk Act (SARA), and ends with Action Plans that guide management implementation. Roughly five years after the enactment of SARA in 2002, multiple studies identified taxonomic biases associated with the SARA listing process. Here, we provide a comprehensive test of whether taxonomic biases remain over a decade later. We also test whether biases in listing are propagated through to management implementation. We find that birds, reptiles and plants are more likely to be legally protected than other species. Arthropods and fishes are less likely to be protected, with unlisted fish species being twice as likely to be threatened by resource use than other unlisted species. We also find that arthropods and amphibians are less likely to have Action Plans than other species. In addition, we find no evidence that biases in listing or management have improved over time. Canadian species at risk recovery programs appear to be biased both in legal protection and management, disfavouring arthropods, amphibians and harvested fishes. If SARA is to fulfil its stated purpose, such biases must be directly addressed, through a transparent and formalised prioritisation system.","container-title":"Écoscience","DOI":"10.1080/11956860.2019.1613752","ISSN":"1195-6860","issue":"4","note":"publisher: Taylor &amp; Francis\n_eprint: https://doi.org/10.1080/11956860.2019.1613752","page":"315-321","source":"Taylor and Francis+NEJM","title":"Taxonomic biases persist from listing to management for Canadian species at risk","URL":"https://doi.org/10.1080/11956860.2019.1613752","volume":"26","author":[{"family":"Creighton","given":"Maria J. A."},{"family":"Bennett","given":"Joseph R."}],"accessed":{"date-parts":[["2020",4,6]]},"issued":{"date-parts":[["2019",10,2]]}},"label":"page"},{"id":24045,"uris":["http://zotero.org/groups/2352922/items/JH6IDYI6"],"itemData":{"id":24045,"type":"article-journal","abstract":"Evidence suggests that certain taxonomic groups are more thoroughly studied than others across a wide range of biological disciplines. Such taxonomic biases have the potential to define our understanding of theory, and limit the generality of our insights. To assess the distribution of taxonomic representation in current and historical animal behaviour research, we constructed a data set containing article metrics and taxonomic information for all research articles published in the journal Animal Behaviour between 1953 and 2015. We found significant taxonomic bias, with chordate papers making up 70% of all publications in the past 15 years, despite accounting for less than 7% of all animal species. Within chordates, Animal Behaviour content is biased towards endotherms, with birds and mammals comprising more than 50% of all publications. In sum, six animal orders account for more than half of all publications, with the most commonly published order, Passeriformes, representing one in five articles. Our findings confirm that a relatively narrow group of ‘model’ taxa represent the vast majority of articles, and may have a disproportionate influence on our understanding of behavioural patterns and processes. Furthermore, we find evidence of a citation bias, with chordate studies receiving on average four citations more per paper than arthropod studies. While historical trends suggest that the publication gap between arthropods and chordates has been shrinking for the past 45 years, our findings show that a considerable bias still remains. These biases may originate from human preferences for certain animal types, but we argue that they are likely maintained by a mixture of taxonomic prejudices, cultural aspects of behavioural ecology as a field, and of academia in general. We suggest that the patterns are clear and their implications serious, and that it is time that both researchers and journals give serious consideration to addressing them.","container-title":"Animal Behaviour","DOI":"10.1016/j.anbehav.2017.02.017","ISSN":"0003-3472","journalAbbreviation":"Animal Behaviour","language":"en","page":"83-89","source":"ScienceDirect","title":"Taxonomic bias in animal behaviour publications","URL":"http://www.sciencedirect.com/science/article/pii/S0003347217300647","volume":"127","author":[{"family":"Rosenthal","given":"Malcolm F."},{"family":"Gertler","given":"Matthew"},{"family":"Hamilton","given":"Angela D."},{"family":"Prasad","given":"Sonal"},{"family":"Andrade","given":"Maydianne C. B."}],"accessed":{"date-parts":[["2020",4,5]]},"issued":{"date-parts":[["2017",5,1]]}},"label":"page"},{"id":29381,"uris":["http://zotero.org/groups/2352922/items/EE5XL2F3"],"itemData":{"id":29381,"type":"article-journal","abstract":"Studying and protecting each and every living species on Earth is a major challenge of the 21st century. Yet, most species remain unknown or unstudied, while others attract most of the public, scientific and government attention. Although known to be detrimental, this taxonomic bias continues to be pervasive in the scientific literature, but is still poorly studied and understood. Here, we used 626 million occurrences from the Global Biodiversity Information Facility (GBIF), the biggest biodiversity data portal, to characterize the taxonomic bias in biodiversity data. We also investigated how societal preferences and taxonomic research relate to biodiversity data gathering. For each species belonging to 24 taxonomic classes, we used the number of publications from Web of Science and the number of web pages from Bing searches to approximate research activity and societal preferences. Our results show that societal preferences, rather than research activity, strongly correlate with taxonomic bias, which lead us to assert that scientists should advertise less charismatic species and develop societal initiatives (e.g. citizen science) that specifically target neglected organisms. Ensuring that biodiversity is representatively sampled while this is still possible is an urgent prerequisite for achieving efficient conservation plans and a global understanding of our surrounding environment.","container-title":"Scientific Reports","DOI":"10.1038/s41598-017-09084-6","ISSN":"2045-2322","issue":"1","journalAbbreviation":"Sci Rep","language":"en","page":"9132","source":"DOI.org (Crossref)","title":"Taxonomic bias in biodiversity data and societal preferences","URL":"http://www.nature.com/articles/s41598-017-09084-6","volume":"7","author":[{"family":"Troudet","given":"Julien"},{"family":"Grandcolas","given":"Philippe"},{"family":"Blin","given":"Amandine"},{"family":"Vignes-Lebbe","given":"Régine"},{"family":"Legendre","given":"Frédéric"}],"accessed":{"date-parts":[["2019",11,23]]},"issued":{"date-parts":[["2017",12]]}},"label":"page"}],"schema":"https://github.com/citation-style-language/schema/raw/master/csl-citation.json"} </w:instrText>
      </w:r>
      <w:r w:rsidR="002C3D09" w:rsidRPr="001738E7">
        <w:rPr>
          <w:b w:val="0"/>
          <w:bCs/>
          <w:i/>
          <w:iCs/>
        </w:rPr>
        <w:fldChar w:fldCharType="separate"/>
      </w:r>
      <w:r w:rsidR="00215172" w:rsidRPr="001738E7">
        <w:rPr>
          <w:b w:val="0"/>
        </w:rPr>
        <w:t>(Creighton &amp; Bennett, 2019; Rosenthal et al., 2017; Troudet et al., 2017</w:t>
      </w:r>
      <w:r w:rsidR="002C3D09" w:rsidRPr="001738E7">
        <w:rPr>
          <w:b w:val="0"/>
          <w:bCs/>
          <w:i/>
          <w:iCs/>
        </w:rPr>
        <w:fldChar w:fldCharType="end"/>
      </w:r>
      <w:r w:rsidR="2F706EF9" w:rsidRPr="001738E7">
        <w:rPr>
          <w:b w:val="0"/>
          <w:bCs/>
        </w:rPr>
        <w:t>;</w:t>
      </w:r>
      <w:r w:rsidR="2F706EF9" w:rsidRPr="00A9434B">
        <w:rPr>
          <w:b w:val="0"/>
          <w:bCs/>
        </w:rPr>
        <w:t xml:space="preserve"> </w:t>
      </w:r>
      <w:r w:rsidR="005A7EE6" w:rsidRPr="00673554">
        <w:t>C</w:t>
      </w:r>
      <w:r w:rsidR="6EC86F75" w:rsidRPr="00673554">
        <w:t>hapter 2</w:t>
      </w:r>
      <w:r w:rsidR="5C2DB010" w:rsidRPr="00673554">
        <w:rPr>
          <w:b w:val="0"/>
          <w:bCs/>
        </w:rPr>
        <w:t xml:space="preserve">, </w:t>
      </w:r>
      <w:r w:rsidR="5C2DB010" w:rsidRPr="00673554">
        <w:t>section 2.</w:t>
      </w:r>
      <w:r w:rsidR="00664433" w:rsidRPr="00673554">
        <w:t>3</w:t>
      </w:r>
      <w:r w:rsidR="5C2DB010" w:rsidRPr="00673554">
        <w:t>.1.11</w:t>
      </w:r>
      <w:r w:rsidR="5C2DB010" w:rsidRPr="005A7EE6">
        <w:rPr>
          <w:b w:val="0"/>
          <w:bCs/>
        </w:rPr>
        <w:t xml:space="preserve"> </w:t>
      </w:r>
      <w:r w:rsidR="5C2DB010" w:rsidRPr="00A9434B">
        <w:rPr>
          <w:b w:val="0"/>
          <w:bCs/>
        </w:rPr>
        <w:t>for an e</w:t>
      </w:r>
      <w:r w:rsidR="6EC86F75" w:rsidRPr="00A9434B">
        <w:rPr>
          <w:b w:val="0"/>
          <w:bCs/>
        </w:rPr>
        <w:t>xample</w:t>
      </w:r>
      <w:r w:rsidR="5C2DB010" w:rsidRPr="00A9434B">
        <w:rPr>
          <w:b w:val="0"/>
          <w:bCs/>
        </w:rPr>
        <w:t xml:space="preserve"> of</w:t>
      </w:r>
      <w:r w:rsidR="3D69FDC3" w:rsidRPr="00A9434B">
        <w:rPr>
          <w:b w:val="0"/>
          <w:bCs/>
        </w:rPr>
        <w:t xml:space="preserve"> </w:t>
      </w:r>
      <w:r w:rsidR="18B034CC" w:rsidRPr="00A9434B">
        <w:rPr>
          <w:b w:val="0"/>
          <w:bCs/>
        </w:rPr>
        <w:t>information</w:t>
      </w:r>
      <w:r w:rsidR="3D69FDC3" w:rsidRPr="00A9434B">
        <w:rPr>
          <w:b w:val="0"/>
          <w:bCs/>
        </w:rPr>
        <w:t xml:space="preserve"> gap</w:t>
      </w:r>
      <w:r w:rsidR="5C2DB010" w:rsidRPr="00A9434B">
        <w:rPr>
          <w:b w:val="0"/>
          <w:bCs/>
        </w:rPr>
        <w:t xml:space="preserve"> on</w:t>
      </w:r>
      <w:r w:rsidR="3D69FDC3" w:rsidRPr="00A9434B">
        <w:rPr>
          <w:b w:val="0"/>
          <w:bCs/>
        </w:rPr>
        <w:t xml:space="preserve"> animal</w:t>
      </w:r>
      <w:r w:rsidR="5C2DB010" w:rsidRPr="00A9434B">
        <w:rPr>
          <w:b w:val="0"/>
          <w:bCs/>
        </w:rPr>
        <w:t>s)</w:t>
      </w:r>
      <w:r w:rsidR="3D69FDC3" w:rsidRPr="00A9434B">
        <w:rPr>
          <w:b w:val="0"/>
          <w:bCs/>
        </w:rPr>
        <w:t>.</w:t>
      </w:r>
      <w:r w:rsidR="6F6DE0E9" w:rsidRPr="00A9434B">
        <w:rPr>
          <w:b w:val="0"/>
          <w:bCs/>
        </w:rPr>
        <w:t xml:space="preserve"> </w:t>
      </w:r>
      <w:r w:rsidR="07F8E895" w:rsidRPr="00A9434B">
        <w:rPr>
          <w:b w:val="0"/>
          <w:bCs/>
        </w:rPr>
        <w:t xml:space="preserve">There are probably a number of causes for this. When compared, invasive </w:t>
      </w:r>
      <w:r w:rsidR="00C46680">
        <w:rPr>
          <w:b w:val="0"/>
        </w:rPr>
        <w:t xml:space="preserve">alien </w:t>
      </w:r>
      <w:r w:rsidR="07F8E895" w:rsidRPr="00A9434B">
        <w:rPr>
          <w:b w:val="0"/>
          <w:bCs/>
        </w:rPr>
        <w:t xml:space="preserve">species were more likely to be studied than non-invasive naturalized species </w:t>
      </w:r>
      <w:r w:rsidR="00CC4659" w:rsidRPr="00A9434B">
        <w:rPr>
          <w:b w:val="0"/>
          <w:bCs/>
          <w:i/>
          <w:iCs/>
        </w:rPr>
        <w:fldChar w:fldCharType="begin"/>
      </w:r>
      <w:r w:rsidR="0006613E">
        <w:rPr>
          <w:b w:val="0"/>
          <w:bCs/>
        </w:rPr>
        <w:instrText xml:space="preserve"> ADDIN ZOTERO_ITEM CSL_CITATION {"citationID":"arj7qmjpcp","properties":{"formattedCitation":"(Py\\uc0\\u353{}ek et al., 2008)","plainCitation":"(Pyšek et al., 2008)","noteIndex":0},"citationItems":[{"id":28845,"uris":["http://zotero.org/groups/2352922/items/7XWAYSMT"],"itemData":{"id":28845,"type":"article-journal","abstract":"Invasive alien species come from most taxonomic groups, and invasion biology is searching for robust cross-taxon generalizations and principles. An analysis of 2670 papers dealing with 892 invasive species showed that all major groups of invaders are well studied, but that most information on the mechanisms of invasion has emerged from work on a limited number of the most harmful invaders. A strong geographical bias, with Africa and Asia understudied, inhibits a balanced understanding of invasion, because we might be lacking knowledge of specific invasion mechanisms from poorly studied, regionally specific habitats. International cooperation is required to achieve a more geographically balanced picture of biological invasions. Invasive species with the greatest impact are best studied, but more studies of species that are naturalized but not (yet) invasive are needed to improve understanding of the mechanisms acting during the naturalization phase of invasions and leading to successful invasion.","container-title":"Trends in Ecology &amp; Evolution","DOI":"10.1016/j.tree.2008.02.002","ISSN":"0169-5347","issue":"5","journalAbbreviation":"Trends in Ecology &amp; Evolution","language":"en","page":"237-244","source":"ScienceDirect","title":"Geographical and taxonomic biases in invasion ecology","URL":"http://www.sciencedirect.com/science/article/pii/S0169534708000967","volume":"23","author":[{"family":"Pyšek","given":"Petr"},{"family":"Richardson","given":"David M."},{"family":"Pergl","given":"Jan"},{"family":"Jarošík","given":"Vojtěch"},{"family":"Sixtová","given":"Zuzana"},{"family":"Weber","given":"Ewald"}],"accessed":{"date-parts":[["2020",4,1]]},"issued":{"date-parts":[["2008",5,1]]}},"label":"page"}],"schema":"https://github.com/citation-style-language/schema/raw/master/csl-citation.json"} </w:instrText>
      </w:r>
      <w:r w:rsidR="00CC4659" w:rsidRPr="00A9434B">
        <w:rPr>
          <w:b w:val="0"/>
          <w:bCs/>
          <w:i/>
          <w:iCs/>
        </w:rPr>
        <w:fldChar w:fldCharType="separate"/>
      </w:r>
      <w:r w:rsidR="00C71E80" w:rsidRPr="00A9434B">
        <w:rPr>
          <w:b w:val="0"/>
          <w:bCs/>
        </w:rPr>
        <w:t xml:space="preserve">(Pyšek </w:t>
      </w:r>
      <w:r w:rsidR="00C71E80" w:rsidRPr="00A9434B">
        <w:rPr>
          <w:b w:val="0"/>
          <w:bCs/>
        </w:rPr>
        <w:lastRenderedPageBreak/>
        <w:t>et al., 2008)</w:t>
      </w:r>
      <w:r w:rsidR="00CC4659" w:rsidRPr="00A9434B">
        <w:rPr>
          <w:b w:val="0"/>
          <w:bCs/>
          <w:i/>
          <w:iCs/>
        </w:rPr>
        <w:fldChar w:fldCharType="end"/>
      </w:r>
      <w:r w:rsidR="35C7B6DD" w:rsidRPr="00A9434B">
        <w:rPr>
          <w:b w:val="0"/>
          <w:bCs/>
        </w:rPr>
        <w:t xml:space="preserve">, although for many taxonomic groups invasive alien species are also poorly investigated. </w:t>
      </w:r>
      <w:r w:rsidR="07F8E895" w:rsidRPr="00A9434B">
        <w:rPr>
          <w:b w:val="0"/>
          <w:bCs/>
        </w:rPr>
        <w:t xml:space="preserve">Other factors that drive taxonomic biases in research include societal preference, research funding, conservation policy </w:t>
      </w:r>
      <w:r w:rsidR="002C3D09" w:rsidRPr="00A9434B">
        <w:rPr>
          <w:b w:val="0"/>
          <w:bCs/>
          <w:i/>
          <w:iCs/>
        </w:rPr>
        <w:fldChar w:fldCharType="begin"/>
      </w:r>
      <w:r w:rsidR="0006613E">
        <w:rPr>
          <w:b w:val="0"/>
          <w:bCs/>
        </w:rPr>
        <w:instrText xml:space="preserve"> ADDIN ZOTERO_ITEM CSL_CITATION {"citationID":"aqr4kfpe4j","properties":{"formattedCitation":"(Jari\\uc0\\u263{} et al., 2019; Troudet et al., 2017)","plainCitation":"(Jarić et al., 2019; Troudet et al., 2017)","noteIndex":0},"citationItems":[{"id":21534,"uris":["http://zotero.org/groups/2352922/items/WEVZXEMF"],"itemData":{"id":21534,"type":"article-journal","abstract":"Attention directed at different species by society and science is particularly relevant within the field of conservation, as societal preferences will strongly impact support for conservation initiatives and their success. Here, we assess the association between societal and research interests in four charismatic and threatened species groups, derived from a range of different online sources and social media platforms as well as scientific publications. We found a high level of concordance between scientific and societal taxonomic attention, which was consistent among assessed species groups and media sources. Results indicate that research is apparently not as disconnected from the interests of society as it is often reproached, and that societal support for current research objectives should be adequate. While the high degree of similarity between scientific and societal interest is both striking and satisfying, the dissimilarities are also interesting, as new scientific findings may constitute a constant source of novel interest for the society. In that respect, additional efforts will be necessary to draw scientific and societal focus towards less charismatic species that are in urgent need of research and conservation attention.","container-title":"Science of The Total Environment","DOI":"10.1016/j.scitotenv.2018.08.198","ISSN":"0048-9697","journalAbbreviation":"Science of The Total Environment","language":"en","page":"772-778","source":"ScienceDirect","title":"On the overlap between scientific and societal taxonomic attentions — Insights for conservation","URL":"http://www.sciencedirect.com/science/article/pii/S0048969718331541","volume":"648","author":[{"family":"Jarić","given":"Ivan"},{"family":"Correia","given":"Ricardo A."},{"family":"Roberts","given":"David L."},{"family":"Gessner","given":"Jörn"},{"family":"Meinard","given":"Yves"},{"family":"Courchamp","given":"Franck"}],"accessed":{"date-parts":[["2020",4,6]]},"issued":{"date-parts":[["2019",1,15]]}},"label":"page"},{"id":29381,"uris":["http://zotero.org/groups/2352922/items/EE5XL2F3"],"itemData":{"id":29381,"type":"article-journal","abstract":"Studying and protecting each and every living species on Earth is a major challenge of the 21st century. Yet, most species remain unknown or unstudied, while others attract most of the public, scientific and government attention. Although known to be detrimental, this taxonomic bias continues to be pervasive in the scientific literature, but is still poorly studied and understood. Here, we used 626 million occurrences from the Global Biodiversity Information Facility (GBIF), the biggest biodiversity data portal, to characterize the taxonomic bias in biodiversity data. We also investigated how societal preferences and taxonomic research relate to biodiversity data gathering. For each species belonging to 24 taxonomic classes, we used the number of publications from Web of Science and the number of web pages from Bing searches to approximate research activity and societal preferences. Our results show that societal preferences, rather than research activity, strongly correlate with taxonomic bias, which lead us to assert that scientists should advertise less charismatic species and develop societal initiatives (e.g. citizen science) that specifically target neglected organisms. Ensuring that biodiversity is representatively sampled while this is still possible is an urgent prerequisite for achieving efficient conservation plans and a global understanding of our surrounding environment.","container-title":"Scientific Reports","DOI":"10.1038/s41598-017-09084-6","ISSN":"2045-2322","issue":"1","journalAbbreviation":"Sci Rep","language":"en","page":"9132","source":"DOI.org (Crossref)","title":"Taxonomic bias in biodiversity data and societal preferences","URL":"http://www.nature.com/articles/s41598-017-09084-6","volume":"7","author":[{"family":"Troudet","given":"Julien"},{"family":"Grandcolas","given":"Philippe"},{"family":"Blin","given":"Amandine"},{"family":"Vignes-Lebbe","given":"Régine"},{"family":"Legendre","given":"Frédéric"}],"accessed":{"date-parts":[["2019",11,23]]},"issued":{"date-parts":[["2017",12]]}},"label":"page"}],"schema":"https://github.com/citation-style-language/schema/raw/master/csl-citation.json"} </w:instrText>
      </w:r>
      <w:r w:rsidR="002C3D09" w:rsidRPr="00A9434B">
        <w:rPr>
          <w:b w:val="0"/>
          <w:bCs/>
          <w:i/>
          <w:iCs/>
        </w:rPr>
        <w:fldChar w:fldCharType="separate"/>
      </w:r>
      <w:r w:rsidR="00C71E80" w:rsidRPr="00A9434B">
        <w:rPr>
          <w:b w:val="0"/>
          <w:bCs/>
        </w:rPr>
        <w:t>(Jarić et al., 2019; Troudet et al., 2017)</w:t>
      </w:r>
      <w:r w:rsidR="002C3D09" w:rsidRPr="00A9434B">
        <w:rPr>
          <w:b w:val="0"/>
          <w:bCs/>
          <w:i/>
          <w:iCs/>
        </w:rPr>
        <w:fldChar w:fldCharType="end"/>
      </w:r>
      <w:r w:rsidR="00CC4659" w:rsidRPr="00A9434B">
        <w:rPr>
          <w:b w:val="0"/>
          <w:bCs/>
          <w:i/>
          <w:iCs/>
        </w:rPr>
        <w:fldChar w:fldCharType="begin"/>
      </w:r>
      <w:r w:rsidR="00CC4659" w:rsidRPr="00A9434B">
        <w:rPr>
          <w:b w:val="0"/>
          <w:bCs/>
        </w:rPr>
        <w:instrText>ADDIN EN.CITE</w:instrText>
      </w:r>
      <w:r w:rsidR="00CC4659" w:rsidRPr="00A9434B">
        <w:rPr>
          <w:b w:val="0"/>
          <w:bCs/>
          <w:i/>
          <w:iCs/>
        </w:rPr>
        <w:fldChar w:fldCharType="begin"/>
      </w:r>
      <w:r w:rsidR="00CC4659" w:rsidRPr="00A9434B">
        <w:rPr>
          <w:b w:val="0"/>
          <w:bCs/>
        </w:rPr>
        <w:instrText>ADDIN EN.CITE.DATA</w:instrText>
      </w:r>
      <w:r w:rsidR="00CC4659" w:rsidRPr="00A9434B">
        <w:rPr>
          <w:b w:val="0"/>
          <w:bCs/>
          <w:i/>
          <w:iCs/>
        </w:rPr>
        <w:fldChar w:fldCharType="end"/>
      </w:r>
      <w:r w:rsidR="00CC4659" w:rsidRPr="00A9434B">
        <w:rPr>
          <w:b w:val="0"/>
          <w:bCs/>
          <w:i/>
          <w:iCs/>
        </w:rPr>
        <w:fldChar w:fldCharType="end"/>
      </w:r>
      <w:r w:rsidR="07F8E895" w:rsidRPr="00A9434B">
        <w:rPr>
          <w:b w:val="0"/>
          <w:bCs/>
        </w:rPr>
        <w:t xml:space="preserve"> and probably also </w:t>
      </w:r>
      <w:r w:rsidR="6226E8E9" w:rsidRPr="00A9434B">
        <w:rPr>
          <w:b w:val="0"/>
          <w:bCs/>
        </w:rPr>
        <w:t xml:space="preserve">research </w:t>
      </w:r>
      <w:r w:rsidR="07F8E895" w:rsidRPr="00A9434B">
        <w:rPr>
          <w:b w:val="0"/>
          <w:bCs/>
        </w:rPr>
        <w:t>tractability of the species.</w:t>
      </w:r>
    </w:p>
    <w:p w14:paraId="52651071" w14:textId="00D06598" w:rsidR="00017C04" w:rsidRDefault="00F50AF9">
      <w:r>
        <w:t xml:space="preserve">Pauchard et al. </w:t>
      </w:r>
      <w:r w:rsidR="00CC4659" w:rsidRPr="00A9434B">
        <w:rPr>
          <w:rFonts w:eastAsia="Times New Roman"/>
        </w:rPr>
        <w:fldChar w:fldCharType="begin"/>
      </w:r>
      <w:r w:rsidR="0006613E">
        <w:rPr>
          <w:rFonts w:eastAsia="Calibri Light"/>
        </w:rPr>
        <w:instrText xml:space="preserve"> ADDIN ZOTERO_ITEM CSL_CITATION {"citationID":"a20ta00m3uu","properties":{"formattedCitation":"(2011)","plainCitation":"(2011)","noteIndex":0},"citationItems":[{"id":11738,"uris":["http://zotero.org/groups/2352922/items/QA63V697"],"itemData":{"id":11738,"type":"chapter","container-title":"Conservación Biológica: Perspectivas desde América Latina","event-place":"Santiago de Chile","ISBN":"978-956-11-2309-6","language":"es","page":"17","publisher":"Editorial Universitaria","publisher-place":"Santiago de Chile","source":"Zotero","title":"Invasiones biológicas en América Latina y el Caribe: tendencias en investigación para la conservación","author":[{"family":"Pauchard","given":"Aníbal"},{"family":"Quiroz","given":"Constanza"},{"family":"García","given":"Rafael"},{"family":"Anderson","given":"Christopher B"},{"family":"Arroyo","given":"Mary T Kalin"}],"issued":{"date-parts":[["2011"]]}},"label":"page","suppress-author":true}],"schema":"https://github.com/citation-style-language/schema/raw/master/csl-citation.json"} </w:instrText>
      </w:r>
      <w:r w:rsidR="00CC4659" w:rsidRPr="00A9434B">
        <w:rPr>
          <w:rFonts w:eastAsia="Calibri Light"/>
        </w:rPr>
        <w:fldChar w:fldCharType="separate"/>
      </w:r>
      <w:r w:rsidR="00C71E80" w:rsidRPr="00A9434B">
        <w:t>(2011)</w:t>
      </w:r>
      <w:r w:rsidR="00CC4659" w:rsidRPr="00A9434B">
        <w:rPr>
          <w:rFonts w:eastAsia="Calibri Light"/>
        </w:rPr>
        <w:fldChar w:fldCharType="end"/>
      </w:r>
      <w:r>
        <w:t xml:space="preserve"> found that the principal focus of invasive alien species publications in Latin American and Caribbean countries was introduced animals (65 per cent, 119 articles), and often the </w:t>
      </w:r>
      <w:r w:rsidRPr="00C46680">
        <w:rPr>
          <w:color w:val="000000" w:themeColor="text1"/>
        </w:rPr>
        <w:t>more tractable or emblematic species</w:t>
      </w:r>
      <w:r>
        <w:t xml:space="preserve">. The most studied aquatic alien taxa in South America were fish (26.8 per cent) and molluscs (25.2 per cent), followed by crustaceans, algae, cnidarians, polychaetes and ascidians </w:t>
      </w:r>
      <w:r w:rsidR="000D2587" w:rsidRPr="00A9434B">
        <w:rPr>
          <w:rFonts w:eastAsia="Times New Roman"/>
        </w:rPr>
        <w:fldChar w:fldCharType="begin"/>
      </w:r>
      <w:r w:rsidR="0006613E">
        <w:rPr>
          <w:rFonts w:eastAsia="Calibri Light"/>
        </w:rPr>
        <w:instrText xml:space="preserve"> ADDIN ZOTERO_ITEM CSL_CITATION {"citationID":"at2fg7dl15","properties":{"formattedCitation":"(Schwindt &amp; Bortolus, 2017)","plainCitation":"(Schwindt &amp; Bortolus, 2017)","noteIndex":0},"citationItems":[{"id":30565,"uris":["http://zotero.org/groups/2352922/items/QFDFFAZU"],"itemData":{"id":30565,"type":"article-journal","abstract":"In this work, we describe and discuss the current status, trends, and gaps for aquatic invasion research in South America, and we reveal the current state of multinational collaborations on these matters across the continent. First, to measure temporal change in the magnitude of invasion research for South America, we replicated a survey performed in 2001 for marine exotic species, using identical methods used back then to search publications in the Aquatic Science and Fisheries Abstracts database. Second, to compare the South America invasion research effort, in terms of the production of scientiﬁc literature on aquatic invasion biology, across time (years), countries, aquatic (freshwater, estuarine, and marine) environments, themes, and taxonomic groups, we performed a more comprehensive search of publications using multiple databases (Scielo, ASFA, Scopus and Google Scholar). This exhaustive survey included articles in international, regional and local peer reviewed journals on aquatic (freshwater, marine and estuarine) exotic species of SA that were published between 2004 and 2014 in the three dominant languages of South America. We found that the research effort for marine exotic species research in South America increased 9-fold between the two time periods (1997–2001 vs. 2002–2014), with most (90%) of recent research occurring in the Atlantic (vs. Paciﬁc) coast. This disparity in research effort between coasts is consistently evident for individual environments (including freshwater, estuarine, and marine waters) and countries. While the focus of publications is unevenly distributed among research themes and taxa, the paucity of comparative analyses among countries is especially striking. Despite the general increment in research effort within the discipline, we consider there is an urgent need for more solid and concerted multinational efforts to address (ﬁnancially, scientiﬁcally and socially) the conspicuous gaps in aquatic invasion research. Failing to make these efforts is probably the major threat hampering the development of successful long term programs and strategies directed to prevent, manage and/or control the introduction of exotic species and their many impacts in the continent.","container-title":"Aquatic Ecosystem Health &amp; Management","DOI":"10.1080/14634988.2017.1404413","ISSN":"1463-4988, 1539-4077","issue":"4","journalAbbreviation":"Aquatic Ecosystem Health &amp; Management","language":"en","page":"322-333","source":"DOI.org (Crossref)","title":"Aquatic invasion biology research in South America: Geographic patterns, advances and perspectives","title-short":"Aquatic invasion biology research in South America","URL":"https://www.tandfonline.com/doi/full/10.1080/14634988.2017.1404413","volume":"20","author":[{"family":"Schwindt","given":"Evangelina"},{"family":"Bortolus","given":"Alejandro"}],"accessed":{"date-parts":[["2019",11,5]]},"issued":{"date-parts":[["2017",11,13]]}},"label":"page"}],"schema":"https://github.com/citation-style-language/schema/raw/master/csl-citation.json"} </w:instrText>
      </w:r>
      <w:r w:rsidR="000D2587" w:rsidRPr="00A9434B">
        <w:rPr>
          <w:rFonts w:eastAsia="Calibri Light"/>
        </w:rPr>
        <w:fldChar w:fldCharType="separate"/>
      </w:r>
      <w:r w:rsidR="00C71E80" w:rsidRPr="00A9434B">
        <w:t>(Schwindt &amp; Bortolus, 2017)</w:t>
      </w:r>
      <w:r w:rsidR="000D2587" w:rsidRPr="00A9434B">
        <w:rPr>
          <w:rFonts w:eastAsia="Calibri Light"/>
        </w:rPr>
        <w:fldChar w:fldCharType="end"/>
      </w:r>
      <w:r w:rsidR="00CC4659" w:rsidRPr="00A9434B">
        <w:rPr>
          <w:rFonts w:eastAsia="Calibri Light"/>
        </w:rPr>
        <w:t>.</w:t>
      </w:r>
      <w:r>
        <w:t xml:space="preserve"> </w:t>
      </w:r>
    </w:p>
    <w:p w14:paraId="0A348DA7" w14:textId="47BC7721" w:rsidR="00017C04" w:rsidRDefault="00F50AF9">
      <w:r>
        <w:t xml:space="preserve">Taxonomic biases limit the ability to understand the complex processes and interactions that underlie biological invasions. The information obtained from the study of single taxonomic groups </w:t>
      </w:r>
      <w:r w:rsidR="002E3571">
        <w:t>is</w:t>
      </w:r>
      <w:r>
        <w:t xml:space="preserve"> not necessarily transferable to others, for example, due to differences in impacts and dispersal pathways </w:t>
      </w:r>
      <w:r w:rsidR="00CC4659" w:rsidRPr="00A9434B">
        <w:fldChar w:fldCharType="begin"/>
      </w:r>
      <w:r w:rsidR="0006613E">
        <w:instrText xml:space="preserve"> ADDIN ZOTERO_ITEM CSL_CITATION {"citationID":"ac208isjb5","properties":{"formattedCitation":"(Jeschke et al., 2012)","plainCitation":"(Jeschke et al., 2012)","noteIndex":0},"citationItems":[{"id":29382,"uris":["http://zotero.org/groups/2352922/items/HRCN2KVE"],"itemData":{"id":29382,"type":"article-journal","abstract":"Several major hypotheses have been proposed to explain and predict biological invasions, but the general applicability of these hypotheses is largely unknown, as most of them have not been evaluated using a standard approach across taxonomic groups and habitats. We offer such an evaluation for six selected leading hypotheses. Our global literature review reveals that those hypotheses that consider interactions of exotic invaders with their new environment (invasional meltdown, novel weapons, enemy release) are better supported by empirical evidence than other hypotheses (biotic resistance, island susceptibility, tens rule). We also show that empirical support for the six hypotheses has declined over time, and that support differs among taxonomic groups and habitats. Our results have implications for basic and applied research, policy making, and invasive species management, as their effectiveness depends on sound hypotheses.","container-title":"Frontiers in Ecology and the Environment","DOI":"10.1890/12.WB.016","ISSN":"1540-9295","issue":"7","journalAbbreviation":"Frontiers in Ecology and the Environment","language":"en","page":"349-350","source":"DOI.org (Crossref)","title":"Taxonomic bias and lack of cross-taxonomic studies in invasion biology","URL":"http://doi.wiley.com/10.1890/12.WB.016","volume":"10","author":[{"family":"Jeschke","given":"Jonathan M"},{"family":"Aparicio","given":"Lorena Gómez"},{"family":"Haider","given":"Sylvia"},{"family":"Heger","given":"Tina"},{"family":"Lortie","given":"Christopher J"},{"family":"Pyšek","given":"Petr"},{"family":"Strayer","given":"David L"}],"accessed":{"date-parts":[["2019",12,3]]},"issued":{"date-parts":[["2012"]]}},"label":"page"}],"schema":"https://github.com/citation-style-language/schema/raw/master/csl-citation.json"} </w:instrText>
      </w:r>
      <w:r w:rsidR="00CC4659" w:rsidRPr="00A9434B">
        <w:fldChar w:fldCharType="separate"/>
      </w:r>
      <w:r w:rsidR="00C71E80" w:rsidRPr="00A9434B">
        <w:t>(Jeschke et al., 2012)</w:t>
      </w:r>
      <w:r w:rsidR="00CC4659" w:rsidRPr="00A9434B">
        <w:fldChar w:fldCharType="end"/>
      </w:r>
      <w:r w:rsidR="00CC4659" w:rsidRPr="00A9434B">
        <w:fldChar w:fldCharType="begin"/>
      </w:r>
      <w:r w:rsidR="00CC4659" w:rsidRPr="00A9434B">
        <w:instrText>ADDIN EN.CITE &lt;EndNote&gt;&lt;Cite&gt;&lt;Author&gt;Jeschke&lt;/Author&gt;&lt;Year&gt;2012&lt;/Year&gt;&lt;RecNum&gt;384&lt;/RecNum&gt;&lt;DisplayText&gt;(Jeschke, Aparicio et al. 2012)&lt;/DisplayText&gt;&lt;record&gt;&lt;rec-number&gt;231&lt;/rec-number&gt;&lt;foreign-keys&gt;&lt;key app="EN" db-id="0d55paxdcvwpebe55d1vrz5ne2pattprarta" timestamp="1597992735"&gt;231&lt;/key&gt;&lt;/foreign-keys&gt;&lt;ref-type name="Journal Article"&gt;17&lt;/ref-type&gt;&lt;contributors&gt;&lt;authors&gt;&lt;author&gt;Jeschke, Jonathan M.&lt;/author&gt;&lt;author&gt;Aparicio, Lorena Gómez&lt;/author&gt;&lt;author&gt;Haider, Sylvia&lt;/author&gt;&lt;author&gt;Heger, Tina&lt;/author&gt;&lt;author&gt;Lortie, Christopher J.&lt;/author&gt;&lt;author&gt;Pyšek, Petr&lt;/author&gt;&lt;author&gt;Strayer, David L.&lt;/author&gt;&lt;/authors&gt;&lt;/contributors&gt;&lt;titles&gt;&lt;title&gt;Taxonomic bias and lack of cross-taxonomic studies in invasion biology&lt;/title&gt;&lt;secondary-title&gt;Frontiers in Ecology and the Environment&lt;/secondary-title&gt;&lt;/titles&gt;&lt;periodical&gt;&lt;full-title&gt;Frontiers in Ecology and the Environment&lt;/full-title&gt;&lt;abbr-1&gt;Front Ecol Environ&lt;/abbr-1&gt;&lt;/periodical&gt;&lt;pages&gt;349-350&lt;/pages&gt;&lt;volume&gt;10&lt;/volume&gt;&lt;number&gt;7&lt;/number&gt;&lt;dates&gt;&lt;year&gt;2012&lt;/year&gt;&lt;pub-dates&gt;&lt;date&gt;2012&lt;/date&gt;&lt;/pub-dates&gt;&lt;/dates&gt;&lt;isbn&gt;1540-9309&lt;/isbn&gt;&lt;urls&gt;&lt;related-urls&gt;&lt;url&gt;https://esajournals.onlinelibrary.wiley.com/doi/abs/10.1890/12.WB.016&lt;/url&gt;&lt;/related-urls&gt;&lt;/urls&gt;&lt;electronic-resource-num&gt;10.1890/12.WB.016&lt;/electronic-resource-num&gt;&lt;remote-database-provider&gt;Wiley Online Library&lt;/remote-database-provider&gt;&lt;language&gt;en&lt;/language&gt;&lt;access-date&gt;2020/04/05/06:02:14&lt;/access-date&gt;&lt;/record&gt;&lt;/Cite&gt;&lt;/EndNote&gt;</w:instrText>
      </w:r>
      <w:r w:rsidR="00CC4659" w:rsidRPr="00A9434B">
        <w:fldChar w:fldCharType="end"/>
      </w:r>
      <w:r w:rsidR="1E4B2BF8" w:rsidRPr="00A9434B">
        <w:t xml:space="preserve">. Therefore, studies targeting </w:t>
      </w:r>
      <w:r w:rsidR="601CDB10" w:rsidRPr="00A9434B">
        <w:t>few</w:t>
      </w:r>
      <w:r w:rsidR="1E4B2BF8" w:rsidRPr="00A9434B">
        <w:t xml:space="preserve"> species </w:t>
      </w:r>
      <w:r w:rsidR="601CDB10" w:rsidRPr="00A9434B">
        <w:t xml:space="preserve">render </w:t>
      </w:r>
      <w:r w:rsidR="1E4B2BF8" w:rsidRPr="00A9434B">
        <w:t xml:space="preserve">generalizations either inaccurate or incomplete </w:t>
      </w:r>
      <w:r w:rsidR="00844C43" w:rsidRPr="00A9434B">
        <w:fldChar w:fldCharType="begin"/>
      </w:r>
      <w:r w:rsidR="0006613E">
        <w:instrText xml:space="preserve"> ADDIN ZOTERO_ITEM CSL_CITATION {"citationID":"CmQ8ZTp3","properties":{"formattedCitation":"(Jeschke et al., 2012)","plainCitation":"(Jeschke et al., 2012)","noteIndex":0},"citationItems":[{"id":29382,"uris":["http://zotero.org/groups/2352922/items/HRCN2KVE"],"itemData":{"id":29382,"type":"article-journal","abstract":"Several major hypotheses have been proposed to explain and predict biological invasions, but the general applicability of these hypotheses is largely unknown, as most of them have not been evaluated using a standard approach across taxonomic groups and habitats. We offer such an evaluation for six selected leading hypotheses. Our global literature review reveals that those hypotheses that consider interactions of exotic invaders with their new environment (invasional meltdown, novel weapons, enemy release) are better supported by empirical evidence than other hypotheses (biotic resistance, island susceptibility, tens rule). We also show that empirical support for the six hypotheses has declined over time, and that support differs among taxonomic groups and habitats. Our results have implications for basic and applied research, policy making, and invasive species management, as their effectiveness depends on sound hypotheses.","container-title":"Frontiers in Ecology and the Environment","DOI":"10.1890/12.WB.016","ISSN":"1540-9295","issue":"7","journalAbbreviation":"Frontiers in Ecology and the Environment","language":"en","page":"349-350","source":"DOI.org (Crossref)","title":"Taxonomic bias and lack of cross-taxonomic studies in invasion biology","URL":"http://doi.wiley.com/10.1890/12.WB.016","volume":"10","author":[{"family":"Jeschke","given":"Jonathan M"},{"family":"Aparicio","given":"Lorena Gómez"},{"family":"Haider","given":"Sylvia"},{"family":"Heger","given":"Tina"},{"family":"Lortie","given":"Christopher J"},{"family":"Pyšek","given":"Petr"},{"family":"Strayer","given":"David L"}],"accessed":{"date-parts":[["2019",12,3]]},"issued":{"date-parts":[["2012"]]}},"label":"page"}],"schema":"https://github.com/citation-style-language/schema/raw/master/csl-citation.json"} </w:instrText>
      </w:r>
      <w:r w:rsidR="00844C43" w:rsidRPr="00A9434B">
        <w:fldChar w:fldCharType="separate"/>
      </w:r>
      <w:r w:rsidR="00C71E80" w:rsidRPr="00A9434B">
        <w:t>(Jeschke et al., 2012)</w:t>
      </w:r>
      <w:r w:rsidR="00844C43" w:rsidRPr="00A9434B">
        <w:fldChar w:fldCharType="end"/>
      </w:r>
      <w:r w:rsidR="00CC4659" w:rsidRPr="00A9434B">
        <w:fldChar w:fldCharType="begin"/>
      </w:r>
      <w:r w:rsidR="00CC4659" w:rsidRPr="00A9434B">
        <w:instrText>ADDIN EN.CITE &lt;EndNote&gt;&lt;Cite&gt;&lt;Author&gt;Jeschke&lt;/Author&gt;&lt;Year&gt;2012&lt;/Year&gt;&lt;RecNum&gt;384&lt;/RecNum&gt;&lt;DisplayText&gt;(Jeschke, Aparicio et al. 2012)&lt;/DisplayText&gt;&lt;record&gt;&lt;rec-number&gt;231&lt;/rec-number&gt;&lt;foreign-keys&gt;&lt;key app="EN" db-id="0d55paxdcvwpebe55d1vrz5ne2pattprarta" timestamp="1597992735"&gt;231&lt;/key&gt;&lt;/foreign-keys&gt;&lt;ref-type name="Journal Article"&gt;17&lt;/ref-type&gt;&lt;contributors&gt;&lt;authors&gt;&lt;author&gt;Jeschke, Jonathan M.&lt;/author&gt;&lt;author&gt;Aparicio, Lorena Gómez&lt;/author&gt;&lt;author&gt;Haider, Sylvia&lt;/author&gt;&lt;author&gt;Heger, Tina&lt;/author&gt;&lt;author&gt;Lortie, Christopher J.&lt;/author&gt;&lt;author&gt;Pyšek, Petr&lt;/author&gt;&lt;author&gt;Strayer, David L.&lt;/author&gt;&lt;/authors&gt;&lt;/contributors&gt;&lt;titles&gt;&lt;title&gt;Taxonomic bias and lack of cross-taxonomic studies in invasion biology&lt;/title&gt;&lt;secondary-title&gt;Frontiers in Ecology and the Environment&lt;/secondary-title&gt;&lt;/titles&gt;&lt;periodical&gt;&lt;full-title&gt;Frontiers in Ecology and the Environment&lt;/full-title&gt;&lt;abbr-1&gt;Front Ecol Environ&lt;/abbr-1&gt;&lt;/periodical&gt;&lt;pages&gt;349-350&lt;/pages&gt;&lt;volume&gt;10&lt;/volume&gt;&lt;number&gt;7&lt;/number&gt;&lt;dates&gt;&lt;year&gt;2012&lt;/year&gt;&lt;pub-dates&gt;&lt;date&gt;2012&lt;/date&gt;&lt;/pub-dates&gt;&lt;/dates&gt;&lt;isbn&gt;1540-9309&lt;/isbn&gt;&lt;urls&gt;&lt;related-urls&gt;&lt;url&gt;https://esajournals.onlinelibrary.wiley.com/doi/abs/10.1890/12.WB.016&lt;/url&gt;&lt;/related-urls&gt;&lt;/urls&gt;&lt;electronic-resource-num&gt;10.1890/12.WB.016&lt;/electronic-resource-num&gt;&lt;remote-database-provider&gt;Wiley Online Library&lt;/remote-database-provider&gt;&lt;language&gt;en&lt;/language&gt;&lt;access-date&gt;2020/04/05/06:02:14&lt;/access-date&gt;&lt;/record&gt;&lt;/Cite&gt;&lt;/EndNote&gt;</w:instrText>
      </w:r>
      <w:r w:rsidR="00CC4659" w:rsidRPr="00A9434B">
        <w:fldChar w:fldCharType="end"/>
      </w:r>
      <w:r w:rsidR="797FF2A7" w:rsidRPr="00A9434B">
        <w:t xml:space="preserve">. </w:t>
      </w:r>
      <w:r w:rsidR="1E4B2BF8" w:rsidRPr="00A9434B">
        <w:t xml:space="preserve">In invasion biology, few studies have examined failure of invasions </w:t>
      </w:r>
      <w:r w:rsidR="00CC4659" w:rsidRPr="00A9434B">
        <w:fldChar w:fldCharType="begin"/>
      </w:r>
      <w:r w:rsidR="0006613E">
        <w:instrText xml:space="preserve"> ADDIN ZOTERO_ITEM CSL_CITATION {"citationID":"a2fqnfnf6ki","properties":{"formattedCitation":"(Py\\uc0\\u353{}ek et al., 2008)","plainCitation":"(Pyšek et al., 2008)","noteIndex":0},"citationItems":[{"id":28845,"uris":["http://zotero.org/groups/2352922/items/7XWAYSMT"],"itemData":{"id":28845,"type":"article-journal","abstract":"Invasive alien species come from most taxonomic groups, and invasion biology is searching for robust cross-taxon generalizations and principles. An analysis of 2670 papers dealing with 892 invasive species showed that all major groups of invaders are well studied, but that most information on the mechanisms of invasion has emerged from work on a limited number of the most harmful invaders. A strong geographical bias, with Africa and Asia understudied, inhibits a balanced understanding of invasion, because we might be lacking knowledge of specific invasion mechanisms from poorly studied, regionally specific habitats. International cooperation is required to achieve a more geographically balanced picture of biological invasions. Invasive species with the greatest impact are best studied, but more studies of species that are naturalized but not (yet) invasive are needed to improve understanding of the mechanisms acting during the naturalization phase of invasions and leading to successful invasion.","container-title":"Trends in Ecology &amp; Evolution","DOI":"10.1016/j.tree.2008.02.002","ISSN":"0169-5347","issue":"5","journalAbbreviation":"Trends in Ecology &amp; Evolution","language":"en","page":"237-244","source":"ScienceDirect","title":"Geographical and taxonomic biases in invasion ecology","URL":"http://www.sciencedirect.com/science/article/pii/S0169534708000967","volume":"23","author":[{"family":"Pyšek","given":"Petr"},{"family":"Richardson","given":"David M."},{"family":"Pergl","given":"Jan"},{"family":"Jarošík","given":"Vojtěch"},{"family":"Sixtová","given":"Zuzana"},{"family":"Weber","given":"Ewald"}],"accessed":{"date-parts":[["2020",4,1]]},"issued":{"date-parts":[["2008",5,1]]}},"label":"page"}],"schema":"https://github.com/citation-style-language/schema/raw/master/csl-citation.json"} </w:instrText>
      </w:r>
      <w:r w:rsidR="00CC4659" w:rsidRPr="00A9434B">
        <w:fldChar w:fldCharType="separate"/>
      </w:r>
      <w:r w:rsidR="00C71E80" w:rsidRPr="00A9434B">
        <w:t>(Pyšek et al., 2008)</w:t>
      </w:r>
      <w:r w:rsidR="00CC4659" w:rsidRPr="00A9434B">
        <w:fldChar w:fldCharType="end"/>
      </w:r>
      <w:r w:rsidR="1E4B2BF8" w:rsidRPr="00A9434B">
        <w:t xml:space="preserve">. However, studying both </w:t>
      </w:r>
      <w:r w:rsidR="48F18856" w:rsidRPr="00A9434B">
        <w:t xml:space="preserve">biological </w:t>
      </w:r>
      <w:r w:rsidR="1E4B2BF8" w:rsidRPr="00A9434B">
        <w:t xml:space="preserve">invasion success and failure </w:t>
      </w:r>
      <w:r w:rsidR="00736176">
        <w:t>i</w:t>
      </w:r>
      <w:r w:rsidR="1E4B2BF8" w:rsidRPr="00A9434B">
        <w:t>s important to test invasion hypotheses and understand the overall process of biological invasions</w:t>
      </w:r>
      <w:r w:rsidR="797FF2A7" w:rsidRPr="00A9434B">
        <w:t xml:space="preserve"> </w:t>
      </w:r>
      <w:r w:rsidR="00CC4659" w:rsidRPr="00A9434B">
        <w:fldChar w:fldCharType="begin"/>
      </w:r>
      <w:r w:rsidR="0006613E">
        <w:instrText xml:space="preserve"> ADDIN ZOTERO_ITEM CSL_CITATION {"citationID":"a1mkb86t5hc","properties":{"unsorted":true,"formattedCitation":"(Zenni &amp; Nu\\uc0\\u241{}ez, 2013; Diez et al., 2009)","plainCitation":"(Zenni &amp; Nuñez, 2013; Diez et al., 2009)","noteIndex":0},"citationItems":[{"id":52317,"uris":["http://zotero.org/groups/2352922/items/XUHUSW7P"],"itemData":{"id":52317,"type":"article-journal","container-title":"Oikos","DOI":"10.1111/j.1600-0706.2012.00254.x","ISSN":"00301299","issue":"6","journalAbbreviation":"Oikos","language":"en","page":"801-815","source":"DOI.org (Crossref)","title":"The elephant in the room: the role of failed invasions in understanding invasion biology","title-short":"The elephant in the room","URL":"https://onlinelibrary.wiley.com/doi/10.1111/j.1600-0706.2012.00254.x","volume":"122","author":[{"family":"Zenni","given":"Rafael D."},{"family":"Nuñez","given":"Martin A."}],"accessed":{"date-parts":[["2022",5,16]]},"issued":{"date-parts":[["2013",6]]}},"label":"page"},{"id":21533,"uris":["http://zotero.org/groups/2352922/items/NLL32YTR"],"itemData":{"id":21533,"type":"article-journal","abstract":"Our understanding of broad taxonomic patterns of plant naturalizations is based entirely on observations of successful naturalizations. Omission of the failures, however, can introduce bias by conflating the probabilities of introduction and naturalization. Here, we use two comprehensive datasets of successful and failed plant naturalizations in New Zealand and Australia for a unique, flora-wide comparative test of several major invasion hypotheses. First, we show that some taxa are consistently more successful at naturalizing in these two countries, despite their environmental differences. Broad climatic origins helped to explain some of the differences in success rates in the two countries. We further show that species with native relatives were generally more successful in both countries, contrary to Darwin’s naturalization hypothesis, but this effect was inconsistent among families across the two countries. Finally, we show that contrary to studies based on successful naturalizations only, islands need not be inherently more invasible than continents.","container-title":"Ecology Letters","DOI":"10.1111/j.1461-0248.2009.01376.x","ISSN":"1461-0248","issue":"11","language":"en","license":"© 2009 Blackwell Publishing Ltd/CNRS","note":"_eprint: https://onlinelibrary.wiley.com/doi/pdf/10.1111/j.1461-0248.2009.01376.x","page":"1174-1183","source":"Wiley Online Library","title":"Learning from failures: testing broad taxonomic hypotheses about plant naturalization","title-short":"Learning from failures","URL":"https://onlinelibrary.wiley.com/doi/abs/10.1111/j.1461-0248.2009.01376.x","volume":"12","author":[{"family":"Diez","given":"Jeffrey M."},{"family":"Williams","given":"Peter A."},{"family":"Randall","given":"Rod P."},{"family":"Sullivan","given":"Jon J."},{"family":"Hulme","given":"Philip E."},{"family":"Duncan","given":"Richard P."}],"accessed":{"date-parts":[["2020",4,6]]},"issued":{"date-parts":[["2009"]]}},"label":"page"}],"schema":"https://github.com/citation-style-language/schema/raw/master/csl-citation.json"} </w:instrText>
      </w:r>
      <w:r w:rsidR="00CC4659" w:rsidRPr="00A9434B">
        <w:fldChar w:fldCharType="separate"/>
      </w:r>
      <w:r w:rsidR="00C71E80" w:rsidRPr="00A9434B">
        <w:t>(Zenni &amp; Nuñez, 2013; Diez et al., 2009)</w:t>
      </w:r>
      <w:r w:rsidR="00CC4659" w:rsidRPr="00A9434B">
        <w:fldChar w:fldCharType="end"/>
      </w:r>
      <w:r w:rsidR="797FF2A7" w:rsidRPr="00A9434B">
        <w:t>.</w:t>
      </w:r>
    </w:p>
    <w:p w14:paraId="732AC2BA" w14:textId="07B071F1" w:rsidR="00CC4659" w:rsidRPr="00A9434B" w:rsidRDefault="00CC4659" w:rsidP="006B3143">
      <w:r w:rsidRPr="00A9434B">
        <w:t>Given that taxonomic bias is recognized, any effort to minimiz</w:t>
      </w:r>
      <w:r w:rsidR="005B5FFE" w:rsidRPr="00A9434B">
        <w:t>e this</w:t>
      </w:r>
      <w:r w:rsidRPr="00A9434B">
        <w:t xml:space="preserve"> shortfall will improve</w:t>
      </w:r>
      <w:r w:rsidR="00BA0072">
        <w:t xml:space="preserve"> </w:t>
      </w:r>
      <w:r w:rsidR="00643684" w:rsidRPr="00A9434B">
        <w:t>information</w:t>
      </w:r>
      <w:r w:rsidRPr="00A9434B">
        <w:t xml:space="preserve"> of biological invasions and produce better informed management and policy decisions </w:t>
      </w:r>
      <w:r w:rsidR="00844C43" w:rsidRPr="00A9434B">
        <w:fldChar w:fldCharType="begin"/>
      </w:r>
      <w:r w:rsidR="0006613E">
        <w:instrText xml:space="preserve"> ADDIN ZOTERO_ITEM CSL_CITATION {"citationID":"1SPjuVFK","properties":{"formattedCitation":"(Py\\uc0\\u353{}ek et al., 2008)","plainCitation":"(Pyšek et al., 2008)","noteIndex":0},"citationItems":[{"id":28845,"uris":["http://zotero.org/groups/2352922/items/7XWAYSMT"],"itemData":{"id":28845,"type":"article-journal","abstract":"Invasive alien species come from most taxonomic groups, and invasion biology is searching for robust cross-taxon generalizations and principles. An analysis of 2670 papers dealing with 892 invasive species showed that all major groups of invaders are well studied, but that most information on the mechanisms of invasion has emerged from work on a limited number of the most harmful invaders. A strong geographical bias, with Africa and Asia understudied, inhibits a balanced understanding of invasion, because we might be lacking knowledge of specific invasion mechanisms from poorly studied, regionally specific habitats. International cooperation is required to achieve a more geographically balanced picture of biological invasions. Invasive species with the greatest impact are best studied, but more studies of species that are naturalized but not (yet) invasive are needed to improve understanding of the mechanisms acting during the naturalization phase of invasions and leading to successful invasion.","container-title":"Trends in Ecology &amp; Evolution","DOI":"10.1016/j.tree.2008.02.002","ISSN":"0169-5347","issue":"5","journalAbbreviation":"Trends in Ecology &amp; Evolution","language":"en","page":"237-244","source":"ScienceDirect","title":"Geographical and taxonomic biases in invasion ecology","URL":"http://www.sciencedirect.com/science/article/pii/S0169534708000967","volume":"23","author":[{"family":"Pyšek","given":"Petr"},{"family":"Richardson","given":"David M."},{"family":"Pergl","given":"Jan"},{"family":"Jarošík","given":"Vojtěch"},{"family":"Sixtová","given":"Zuzana"},{"family":"Weber","given":"Ewald"}],"accessed":{"date-parts":[["2020",4,1]]},"issued":{"date-parts":[["2008",5,1]]}},"label":"page"}],"schema":"https://github.com/citation-style-language/schema/raw/master/csl-citation.json"} </w:instrText>
      </w:r>
      <w:r w:rsidR="00844C43" w:rsidRPr="00A9434B">
        <w:fldChar w:fldCharType="separate"/>
      </w:r>
      <w:r w:rsidR="00C71E80" w:rsidRPr="00A9434B">
        <w:t>(Pyšek et al., 2008)</w:t>
      </w:r>
      <w:r w:rsidR="00844C43" w:rsidRPr="00A9434B">
        <w:fldChar w:fldCharType="end"/>
      </w:r>
      <w:r w:rsidRPr="00A9434B">
        <w:t xml:space="preserve">. </w:t>
      </w:r>
      <w:r w:rsidR="005B5FFE" w:rsidRPr="00A9434B">
        <w:t>S</w:t>
      </w:r>
      <w:r w:rsidRPr="00A9434B">
        <w:t xml:space="preserve">trategies to reduce taxonomic bias include advertising poorly documented and under-studied species among professional and citizen scientists </w:t>
      </w:r>
      <w:r w:rsidR="002C3D09" w:rsidRPr="00A9434B">
        <w:fldChar w:fldCharType="begin"/>
      </w:r>
      <w:r w:rsidR="0006613E">
        <w:instrText xml:space="preserve"> ADDIN ZOTERO_ITEM CSL_CITATION {"citationID":"aegnccsf23","properties":{"formattedCitation":"(Troudet et al., 2017)","plainCitation":"(Troudet et al., 2017)","noteIndex":0},"citationItems":[{"id":29381,"uris":["http://zotero.org/groups/2352922/items/EE5XL2F3"],"itemData":{"id":29381,"type":"article-journal","abstract":"Studying and protecting each and every living species on Earth is a major challenge of the 21st century. Yet, most species remain unknown or unstudied, while others attract most of the public, scientific and government attention. Although known to be detrimental, this taxonomic bias continues to be pervasive in the scientific literature, but is still poorly studied and understood. Here, we used 626 million occurrences from the Global Biodiversity Information Facility (GBIF), the biggest biodiversity data portal, to characterize the taxonomic bias in biodiversity data. We also investigated how societal preferences and taxonomic research relate to biodiversity data gathering. For each species belonging to 24 taxonomic classes, we used the number of publications from Web of Science and the number of web pages from Bing searches to approximate research activity and societal preferences. Our results show that societal preferences, rather than research activity, strongly correlate with taxonomic bias, which lead us to assert that scientists should advertise less charismatic species and develop societal initiatives (e.g. citizen science) that specifically target neglected organisms. Ensuring that biodiversity is representatively sampled while this is still possible is an urgent prerequisite for achieving efficient conservation plans and a global understanding of our surrounding environment.","container-title":"Scientific Reports","DOI":"10.1038/s41598-017-09084-6","ISSN":"2045-2322","issue":"1","journalAbbreviation":"Sci Rep","language":"en","page":"9132","source":"DOI.org (Crossref)","title":"Taxonomic bias in biodiversity data and societal preferences","URL":"http://www.nature.com/articles/s41598-017-09084-6","volume":"7","author":[{"family":"Troudet","given":"Julien"},{"family":"Grandcolas","given":"Philippe"},{"family":"Blin","given":"Amandine"},{"family":"Vignes-Lebbe","given":"Régine"},{"family":"Legendre","given":"Frédéric"}],"accessed":{"date-parts":[["2019",11,23]]},"issued":{"date-parts":[["2017",12]]}},"label":"page"}],"schema":"https://github.com/citation-style-language/schema/raw/master/csl-citation.json"} </w:instrText>
      </w:r>
      <w:r w:rsidR="002C3D09" w:rsidRPr="00A9434B">
        <w:fldChar w:fldCharType="separate"/>
      </w:r>
      <w:r w:rsidR="00C71E80" w:rsidRPr="00A9434B">
        <w:t>(Troudet et al., 2017)</w:t>
      </w:r>
      <w:r w:rsidR="002C3D09" w:rsidRPr="00A9434B">
        <w:fldChar w:fldCharType="end"/>
      </w:r>
      <w:r w:rsidR="005B5FFE" w:rsidRPr="00A9434B">
        <w:t>,</w:t>
      </w:r>
      <w:r w:rsidRPr="00A9434B">
        <w:t xml:space="preserve"> and promoting cross-taxonomic studies that involve a set of invasive alien species that belong to different taxonomic groups </w:t>
      </w:r>
      <w:r w:rsidR="002C3D09" w:rsidRPr="00A9434B">
        <w:fldChar w:fldCharType="begin"/>
      </w:r>
      <w:r w:rsidR="0006613E">
        <w:instrText xml:space="preserve"> ADDIN ZOTERO_ITEM CSL_CITATION {"citationID":"a1ionl51qmg","properties":{"formattedCitation":"(Jeschke et al., 2012)","plainCitation":"(Jeschke et al., 2012)","noteIndex":0},"citationItems":[{"id":29382,"uris":["http://zotero.org/groups/2352922/items/HRCN2KVE"],"itemData":{"id":29382,"type":"article-journal","abstract":"Several major hypotheses have been proposed to explain and predict biological invasions, but the general applicability of these hypotheses is largely unknown, as most of them have not been evaluated using a standard approach across taxonomic groups and habitats. We offer such an evaluation for six selected leading hypotheses. Our global literature review reveals that those hypotheses that consider interactions of exotic invaders with their new environment (invasional meltdown, novel weapons, enemy release) are better supported by empirical evidence than other hypotheses (biotic resistance, island susceptibility, tens rule). We also show that empirical support for the six hypotheses has declined over time, and that support differs among taxonomic groups and habitats. Our results have implications for basic and applied research, policy making, and invasive species management, as their effectiveness depends on sound hypotheses.","container-title":"Frontiers in Ecology and the Environment","DOI":"10.1890/12.WB.016","ISSN":"1540-9295","issue":"7","journalAbbreviation":"Frontiers in Ecology and the Environment","language":"en","page":"349-350","source":"DOI.org (Crossref)","title":"Taxonomic bias and lack of cross-taxonomic studies in invasion biology","URL":"http://doi.wiley.com/10.1890/12.WB.016","volume":"10","author":[{"family":"Jeschke","given":"Jonathan M"},{"family":"Aparicio","given":"Lorena Gómez"},{"family":"Haider","given":"Sylvia"},{"family":"Heger","given":"Tina"},{"family":"Lortie","given":"Christopher J"},{"family":"Pyšek","given":"Petr"},{"family":"Strayer","given":"David L"}],"accessed":{"date-parts":[["2019",12,3]]},"issued":{"date-parts":[["2012"]]}},"label":"page"}],"schema":"https://github.com/citation-style-language/schema/raw/master/csl-citation.json"} </w:instrText>
      </w:r>
      <w:r w:rsidR="002C3D09" w:rsidRPr="00A9434B">
        <w:fldChar w:fldCharType="separate"/>
      </w:r>
      <w:r w:rsidR="00C71E80" w:rsidRPr="00A9434B">
        <w:t>(Jeschke et al., 2012)</w:t>
      </w:r>
      <w:r w:rsidR="002C3D09" w:rsidRPr="00A9434B">
        <w:fldChar w:fldCharType="end"/>
      </w:r>
      <w:r w:rsidRPr="00A9434B">
        <w:t>.</w:t>
      </w:r>
    </w:p>
    <w:p w14:paraId="16DAE04B" w14:textId="53544452" w:rsidR="00017C04" w:rsidRDefault="00F50AF9">
      <w:r>
        <w:t xml:space="preserve">Tractability of collecting and processing species occurrence data is likely to be a component of these research biases. Next generation sequencing (environmental DNA; </w:t>
      </w:r>
      <w:r w:rsidR="000D2587" w:rsidRPr="00673554">
        <w:rPr>
          <w:rFonts w:eastAsia="Calibri Light"/>
          <w:b/>
          <w:iCs/>
        </w:rPr>
        <w:fldChar w:fldCharType="begin"/>
      </w:r>
      <w:r w:rsidR="000D2587" w:rsidRPr="00673554">
        <w:rPr>
          <w:rFonts w:eastAsia="Calibri Light"/>
          <w:b/>
          <w:iCs/>
        </w:rPr>
        <w:instrText xml:space="preserve"> REF _Ref104898844 \h  \* MERGEFORMAT </w:instrText>
      </w:r>
      <w:r w:rsidR="000D2587" w:rsidRPr="00673554">
        <w:rPr>
          <w:rFonts w:eastAsia="Calibri Light"/>
          <w:b/>
          <w:iCs/>
        </w:rPr>
      </w:r>
      <w:r w:rsidR="000D2587" w:rsidRPr="00673554">
        <w:rPr>
          <w:rFonts w:eastAsia="Calibri Light"/>
          <w:b/>
          <w:iCs/>
        </w:rPr>
        <w:fldChar w:fldCharType="separate"/>
      </w:r>
      <w:r w:rsidR="0011368C" w:rsidRPr="00673554">
        <w:rPr>
          <w:b/>
          <w:iCs/>
        </w:rPr>
        <w:t>Box 6.19</w:t>
      </w:r>
      <w:r w:rsidR="000D2587" w:rsidRPr="00673554">
        <w:rPr>
          <w:rFonts w:eastAsia="Calibri Light"/>
          <w:b/>
          <w:iCs/>
        </w:rPr>
        <w:fldChar w:fldCharType="end"/>
      </w:r>
      <w:r w:rsidR="000D2587" w:rsidRPr="00A9434B">
        <w:rPr>
          <w:rFonts w:eastAsia="Calibri Light"/>
        </w:rPr>
        <w:t>)</w:t>
      </w:r>
      <w:r w:rsidR="000D2587" w:rsidRPr="00A9434B">
        <w:t>,</w:t>
      </w:r>
      <w:r>
        <w:t xml:space="preserve"> machine observations (e.g., camera traps and space-based remote sensing) and machine learning will likely make new taxonomic research more feasible.</w:t>
      </w:r>
    </w:p>
    <w:p w14:paraId="65DB59A3" w14:textId="18552DF4" w:rsidR="00017C04" w:rsidRPr="00C46680" w:rsidRDefault="00F50AF9" w:rsidP="00C46680">
      <w:pPr>
        <w:pStyle w:val="Caption"/>
        <w:pBdr>
          <w:top w:val="single" w:sz="4" w:space="1" w:color="auto"/>
          <w:left w:val="single" w:sz="4" w:space="4" w:color="auto"/>
          <w:bottom w:val="single" w:sz="4" w:space="1" w:color="auto"/>
          <w:right w:val="single" w:sz="4" w:space="4" w:color="auto"/>
        </w:pBdr>
        <w:shd w:val="clear" w:color="auto" w:fill="E7E6E6" w:themeFill="background2"/>
      </w:pPr>
      <w:bookmarkStart w:id="530" w:name="_heading=h.3ls5o66" w:colFirst="0" w:colLast="0"/>
      <w:bookmarkStart w:id="531" w:name="_Ref104898844"/>
      <w:bookmarkStart w:id="532" w:name="_Toc69379689"/>
      <w:bookmarkStart w:id="533" w:name="_Toc147418628"/>
      <w:bookmarkEnd w:id="530"/>
      <w:r w:rsidRPr="00C46680">
        <w:rPr>
          <w:bCs w:val="0"/>
        </w:rPr>
        <w:t>Box 6</w:t>
      </w:r>
      <w:r w:rsidR="0030615F" w:rsidRPr="00C46680">
        <w:rPr>
          <w:bCs w:val="0"/>
        </w:rPr>
        <w:t>.</w:t>
      </w:r>
      <w:r w:rsidR="007C7AC3">
        <w:fldChar w:fldCharType="begin"/>
      </w:r>
      <w:r w:rsidR="007C7AC3">
        <w:instrText xml:space="preserve"> SEQ Box_6. \* ARABIC </w:instrText>
      </w:r>
      <w:r w:rsidR="007C7AC3">
        <w:fldChar w:fldCharType="separate"/>
      </w:r>
      <w:r w:rsidR="0011368C">
        <w:rPr>
          <w:noProof/>
        </w:rPr>
        <w:t>19</w:t>
      </w:r>
      <w:r w:rsidR="007C7AC3">
        <w:rPr>
          <w:noProof/>
        </w:rPr>
        <w:fldChar w:fldCharType="end"/>
      </w:r>
      <w:bookmarkEnd w:id="531"/>
      <w:r w:rsidR="0030615F" w:rsidRPr="00A9434B">
        <w:t>.</w:t>
      </w:r>
      <w:r w:rsidRPr="00C46680">
        <w:t xml:space="preserve"> Genetic tools for detection, characterization and traceability of marine and aquatic invasive alien species</w:t>
      </w:r>
      <w:bookmarkEnd w:id="532"/>
      <w:bookmarkEnd w:id="533"/>
    </w:p>
    <w:p w14:paraId="2B0AAB7E" w14:textId="2DE93575" w:rsidR="00017C04" w:rsidRDefault="00F50AF9" w:rsidP="00C46680">
      <w:pPr>
        <w:pBdr>
          <w:top w:val="single" w:sz="4" w:space="1" w:color="auto"/>
          <w:left w:val="single" w:sz="4" w:space="4" w:color="auto"/>
          <w:bottom w:val="single" w:sz="4" w:space="1" w:color="auto"/>
          <w:right w:val="single" w:sz="4" w:space="4" w:color="auto"/>
        </w:pBdr>
        <w:shd w:val="clear" w:color="auto" w:fill="E7E6E6" w:themeFill="background2"/>
      </w:pPr>
      <w:r>
        <w:t xml:space="preserve">The management of biological invasions can be improved through accurate identification of species to connect with information on their natural history and ecology. Traditionally, these species were identified using methods that require direct observation, or occasionally tracks and signs. In marine and aquatic ecosystems this is particularly problematic due the inaccessibility of working in much of the habitat. </w:t>
      </w:r>
      <w:r w:rsidR="0030615F" w:rsidRPr="00A9434B">
        <w:t xml:space="preserve">Genetic characterization provides an accurate molecular identification of the species and generates information to parameterize population models, genetic relationships, connectivity among populations and the effective population size </w:t>
      </w:r>
      <w:r w:rsidR="0030615F" w:rsidRPr="00A9434B">
        <w:rPr>
          <w:color w:val="000000" w:themeColor="text1"/>
        </w:rPr>
        <w:fldChar w:fldCharType="begin"/>
      </w:r>
      <w:r w:rsidR="0006613E">
        <w:rPr>
          <w:color w:val="000000" w:themeColor="text1"/>
        </w:rPr>
        <w:instrText xml:space="preserve"> ADDIN ZOTERO_ITEM CSL_CITATION {"citationID":"acvrk2lgca","properties":{"unsorted":true,"formattedCitation":"(D\\uc0\\u237{}az-Ferguson &amp; Moyer, 2014; D\\uc0\\u237{}az-Ferguson &amp; Hunter, 2019; Estoup &amp; Guillemaud, 2010)","plainCitation":"(Díaz-Ferguson &amp; Moyer, 2014; Díaz-Ferguson &amp; Hunter, 2019; Estoup &amp; Guillemaud, 2010)","noteIndex":0},"citationItems":[{"id":23633,"uris":["http://zotero.org/groups/2352922/items/YMQJX4SW"],"itemData":{"id":23633,"type":"article-journal","abstract":"Genetic material (short DNA fragments) left behind by species in nonliving components of the environment (e.g. soil, sediment, or water) is defined as environmental DNA (eDNA). This DNA has been previously described as particulate DNA and has been used to detect and describe microbial communities in marine sediments since the mid-1980’s and phytoplankton communities in the water column since the early-1990’s. More recently, eDNA has been used to monitor invasive or endangered vertebrate and invertebrate species. While there is a steady increase in the applicability of eDNA as a monitoring tool, a variety of eDNA applications are emerging in fields such as forensics, population and community ecology, and taxonomy. This review provides scientist an understanding of the methods underlying eDNA detection as well as applications, key methodological considerations, and emerging areas of interest for its use in ecology and conservation of freshwater and marine environments.","container-title":"Revista de Biología Tropical","DOI":"https://doi.org/10.15517/rbt.v62i4.13231","issue":"4","page":"1274-1284","title":"History, applications and methodological issues and perspectives for the use of environmental DNA (eDNA) in marine and freshwater environments","URL":"https://revistas.ucr.ac.cr/index.php/rbt/article/view/13231","volume":"62","author":[{"family":"Díaz-Ferguson","given":"Edgardo E."},{"family":"Moyer","given":"Gregory R."}],"issued":{"date-parts":[["2014",12,1]]}},"label":"page"},{"id":23632,"uris":["http://zotero.org/groups/2352922/items/LY8XD5IF"],"itemData":{"id":23632,"type":"article-journal","container-title":"Regional Studies in Marine Science","DOI":"10.1016/j.rsma.2019.100793","ISSN":"23524855","journalAbbreviation":"Regional Studies in Marine Science","language":"en","page":"100793","source":"DOI.org (Crossref)","title":"Life history, genetics, range expansion and new frontiers of the lionfish (&lt;i&gt;Pterois volitans&lt;/i&gt;, Perciformes: Pteroidae) in Latin America","title-short":"Life history, genetics, range expansion and new frontiers of the lionfish (Pterois volitans, Perciformes","URL":"https://linkinghub.elsevier.com/retrieve/pii/S2352485519302774","volume":"31","author":[{"family":"Díaz-Ferguson","given":"Edgardo E."},{"family":"Hunter","given":"Margaret E."}],"accessed":{"date-parts":[["2020",8,14]]},"issued":{"date-parts":[["2019",9]]}},"label":"page"},{"id":52338,"uris":["http://zotero.org/groups/2352922/items/LHEWVWSK"],"itemData":{"id":52338,"type":"article-journal","abstract":"Detailed knowledge about the geographical pathways followed by propagules from their source to the invading populations—referred to here as routes of invasion—provides information about the history of the invasion process and the origin and genetic composition of the invading populations. The reconstruction of invasion routes is required for defining and testing different hypotheses concerning the environmental and evolutionary factors responsible for biological invasions. In practical terms, it facilitates the design of strategies for controlling or preventing invasions. Most of our knowledge about the introduction routes of invasive species is derived from historical and observational data, which are often sparse, incomplete and, sometimes, misleading. In this context, population genetics has proved a useful approach for reconstructing routes of introduction, highlighting the complexity and the often counterintuitive nature of the true story. This approach has proved particularly useful since the recent development of new model-based methods, such as approximate Bayesian computation, making it possible to make quantitative inferences in the complex evolutionary scenarios typically encountered in invasive species. In this review, we summarize some of the fundamental aspects of routes of invasion, explain why the reconstruction of these routes is useful for addressing both practical and theoretical questions, and comment on the various reconstruction methods available. Finally, we consider the main insights obtained to date from studies of invasion routes.","container-title":"Molecular Ecology","DOI":"10.1111/j.1365-294X.2010.04773.x","ISSN":"09621083","issue":"19","language":"en","page":"4113-4130","source":"DOI.org (Crossref)","title":"Reconstructing routes of invasion using genetic data: why, how and so what?","title-short":"Reconstructing routes of invasion using genetic data","URL":"https://onlinelibrary.wiley.com/doi/10.1111/j.1365-294X.2010.04773.x","volume":"19","author":[{"family":"Estoup","given":"Arnaud"},{"family":"Guillemaud","given":"Thomas"}],"accessed":{"date-parts":[["2022",5,19]]},"issued":{"date-parts":[["2010",8,13]]}},"label":"page"}],"schema":"https://github.com/citation-style-language/schema/raw/master/csl-citation.json"} </w:instrText>
      </w:r>
      <w:r w:rsidR="0030615F" w:rsidRPr="00A9434B">
        <w:rPr>
          <w:color w:val="000000" w:themeColor="text1"/>
        </w:rPr>
        <w:fldChar w:fldCharType="separate"/>
      </w:r>
      <w:r w:rsidR="00E452E2" w:rsidRPr="00E452E2">
        <w:t>(Díaz-Ferguson &amp; Moyer, 2014; Díaz-Ferguson &amp; Hunter, 2019; Estoup &amp; Guillemaud, 2010)</w:t>
      </w:r>
      <w:r w:rsidR="0030615F" w:rsidRPr="00A9434B">
        <w:rPr>
          <w:color w:val="000000" w:themeColor="text1"/>
        </w:rPr>
        <w:fldChar w:fldCharType="end"/>
      </w:r>
      <w:r w:rsidR="0030615F" w:rsidRPr="00A9434B">
        <w:rPr>
          <w:color w:val="000000" w:themeColor="text1"/>
        </w:rPr>
        <w:t>.</w:t>
      </w:r>
      <w:r w:rsidR="0030615F" w:rsidRPr="00A9434B">
        <w:t xml:space="preserve"> Molecular genetics can be used to detect founder effects, bottlenecks and hybridization processes that can occur during invasion </w:t>
      </w:r>
      <w:r w:rsidR="0030615F" w:rsidRPr="00A9434B">
        <w:fldChar w:fldCharType="begin"/>
      </w:r>
      <w:r w:rsidR="0006613E">
        <w:instrText xml:space="preserve"> ADDIN ZOTERO_ITEM CSL_CITATION {"citationID":"a1dgd4f70s","properties":{"unsorted":true,"formattedCitation":"(Roman &amp; Darling, 2007; Frankham et al., 2010)","plainCitation":"(Roman &amp; Darling, 2007; Frankham et al., 2010)","noteIndex":0},"citationItems":[{"id":56595,"uris":["http://zotero.org/groups/2352922/items/QZFZF446","http://zotero.org/groups/2352922/items/BRNYJJWU"],"itemData":{"id":56595,"type":"article-journal","container-title":"Trends in Ecology &amp; Evolution","DOI":"10.1016/j.tree.2007.07.002","ISSN":"01695347","issue":"9","journalAbbreviation":"Trends in Ecology &amp; Evolution","language":"en","page":"454-464","source":"DOI.org (Crossref)","title":"Paradox lost: genetic diversity and the success of aquatic invasions","title-short":"Paradox lost","URL":"https://linkinghub.elsevier.com/retrieve/pii/S0169534707002042","volume":"22","author":[{"family":"Roman","given":"J"},{"family":"Darling","given":"J A"}],"accessed":{"date-parts":[["2023",6,8]]},"issued":{"date-parts":[["2007",9]]}},"label":"page"},{"id":32582,"uris":["http://zotero.org/groups/2352922/items/4WE24WKD"],"itemData":{"id":32582,"type":"book","abstract":"This impressive author team brings the wealth of advances in conservation genetics into the new edition of this introductory text, including new chapters on population genomics and genetic issues in introduced and invasive species. They continue the strong learning features for students - main points in the margin, chapter summaries, vital support with the mathematics, and further reading - and now guide the reader to software and databases. Many new references reflect the expansion of this field. With examples from mammals, birds ...","ISBN":"978-0-521-87847-0","language":"en","note":"DOI: 10.1017/CBO9780511808999","number-of-pages":"643","publisher":"Cambridge University Press","source":"Google Books","title":"Introduction to Conservation Genetics","author":[{"family":"Frankham","given":"Richard"},{"family":"Ballou","given":"Jonathan D."},{"family":"Briscoe","given":"David Anthony"}],"issued":{"date-parts":[["2010"]]}},"label":"page"}],"schema":"https://github.com/citation-style-language/schema/raw/master/csl-citation.json"} </w:instrText>
      </w:r>
      <w:r w:rsidR="0030615F" w:rsidRPr="00A9434B">
        <w:fldChar w:fldCharType="separate"/>
      </w:r>
      <w:r w:rsidR="00C71E80" w:rsidRPr="00A9434B">
        <w:t>(Roman &amp; Darling, 2007; Frankham et al., 2010)</w:t>
      </w:r>
      <w:r w:rsidR="0030615F" w:rsidRPr="00A9434B">
        <w:fldChar w:fldCharType="end"/>
      </w:r>
      <w:r w:rsidR="0030615F" w:rsidRPr="00A9434B">
        <w:t>. Genetic approaches can be used to answer questions such as: Are invasive alien species present in an area or region (application challenged in areas where information on native biota</w:t>
      </w:r>
      <w:r w:rsidR="002E3571">
        <w:t xml:space="preserve"> is</w:t>
      </w:r>
      <w:r w:rsidR="0030615F" w:rsidRPr="00A9434B">
        <w:t xml:space="preserve"> incomplete, e.g., deep sea)? How many organisms are present in an area? Are these organisms able to reproduce? Where are the source populations of these organisms? </w:t>
      </w:r>
      <w:r w:rsidR="0030615F" w:rsidRPr="00A9434B">
        <w:fldChar w:fldCharType="begin"/>
      </w:r>
      <w:r w:rsidR="0006613E">
        <w:instrText xml:space="preserve"> ADDIN ZOTERO_ITEM CSL_CITATION {"citationID":"a2koi4sfest","properties":{"formattedCitation":"(A. Barbour et al., 2010; Estoup &amp; Guillemaud, 2010)","plainCitation":"(A. Barbour et al., 2010; Estoup &amp; Guillemaud, 2010)","noteIndex":0},"citationItems":[{"id":22851,"uris":["http://zotero.org/groups/2352922/items/827ZIM82"],"itemData":{"id":22851,"type":"article-journal","container-title":"Marine Ecology Progress Series","DOI":"10.3354/meps08373","ISSN":"0171-8630, 1616-1599","journalAbbreviation":"Mar. Ecol. Prog. Ser.","language":"en","page":"291-294","source":"DOI.org (Crossref)","title":"Mangrove use by the invasive lionfish &lt;i&gt;Pterois volitans&lt;/i&gt;","URL":"http://www.int-res.com/abstracts/meps/v401/p291-294/","volume":"401","author":[{"family":"Barbour","given":"Ab"},{"family":"Montgomery","given":"Ml"},{"family":"Adamson","given":"Aa"},{"family":"Díaz-Ferguson","given":"E"},{"family":"Silliman","given":"Br"}],"accessed":{"date-parts":[["2020",8,13]]},"issued":{"date-parts":[["2010",2,22]]}},"label":"page"},{"id":52338,"uris":["http://zotero.org/groups/2352922/items/LHEWVWSK"],"itemData":{"id":52338,"type":"article-journal","abstract":"Detailed knowledge about the geographical pathways followed by propagules from their source to the invading populations—referred to here as routes of invasion—provides information about the history of the invasion process and the origin and genetic composition of the invading populations. The reconstruction of invasion routes is required for defining and testing different hypotheses concerning the environmental and evolutionary factors responsible for biological invasions. In practical terms, it facilitates the design of strategies for controlling or preventing invasions. Most of our knowledge about the introduction routes of invasive species is derived from historical and observational data, which are often sparse, incomplete and, sometimes, misleading. In this context, population genetics has proved a useful approach for reconstructing routes of introduction, highlighting the complexity and the often counterintuitive nature of the true story. This approach has proved particularly useful since the recent development of new model-based methods, such as approximate Bayesian computation, making it possible to make quantitative inferences in the complex evolutionary scenarios typically encountered in invasive species. In this review, we summarize some of the fundamental aspects of routes of invasion, explain why the reconstruction of these routes is useful for addressing both practical and theoretical questions, and comment on the various reconstruction methods available. Finally, we consider the main insights obtained to date from studies of invasion routes.","container-title":"Molecular Ecology","DOI":"10.1111/j.1365-294X.2010.04773.x","ISSN":"09621083","issue":"19","language":"en","page":"4113-4130","source":"DOI.org (Crossref)","title":"Reconstructing routes of invasion using genetic data: why, how and so what?","title-short":"Reconstructing routes of invasion using genetic data","URL":"https://onlinelibrary.wiley.com/doi/10.1111/j.1365-294X.2010.04773.x","volume":"19","author":[{"family":"Estoup","given":"Arnaud"},{"family":"Guillemaud","given":"Thomas"}],"accessed":{"date-parts":[["2022",5,19]]},"issued":{"date-parts":[["2010",8,13]]}},"label":"page"}],"schema":"https://github.com/citation-style-language/schema/raw/master/csl-citation.json"} </w:instrText>
      </w:r>
      <w:r w:rsidR="0030615F" w:rsidRPr="00A9434B">
        <w:fldChar w:fldCharType="separate"/>
      </w:r>
      <w:r w:rsidR="00C71E80" w:rsidRPr="00A9434B">
        <w:t>(A. Barbour et al., 2010; Estoup &amp; Guillemaud, 2010)</w:t>
      </w:r>
      <w:r w:rsidR="0030615F" w:rsidRPr="00A9434B">
        <w:fldChar w:fldCharType="end"/>
      </w:r>
      <w:r w:rsidR="0030615F" w:rsidRPr="00A9434B">
        <w:t>.</w:t>
      </w:r>
    </w:p>
    <w:p w14:paraId="443BAB72" w14:textId="26E3E224" w:rsidR="0030615F" w:rsidRPr="00A9434B" w:rsidRDefault="0030615F" w:rsidP="0030615F">
      <w:pPr>
        <w:pBdr>
          <w:top w:val="single" w:sz="4" w:space="1" w:color="auto"/>
          <w:left w:val="single" w:sz="4" w:space="4" w:color="auto"/>
          <w:bottom w:val="single" w:sz="4" w:space="1" w:color="auto"/>
          <w:right w:val="single" w:sz="4" w:space="4" w:color="auto"/>
        </w:pBdr>
        <w:shd w:val="clear" w:color="auto" w:fill="E7E6E6" w:themeFill="background2"/>
      </w:pPr>
      <w:r w:rsidRPr="00A9434B">
        <w:t xml:space="preserve">For example, identification, genetic characterization and tracking of invasive alien species is only possible due to the development of genetic markers </w:t>
      </w:r>
      <w:r w:rsidRPr="00A9434B">
        <w:fldChar w:fldCharType="begin"/>
      </w:r>
      <w:r w:rsidR="0006613E">
        <w:instrText xml:space="preserve"> ADDIN ZOTERO_ITEM CSL_CITATION {"citationID":"am6c9tssnh","properties":{"formattedCitation":"(Pochon et al., 2013)","plainCitation":"(Pochon et al., 2013)","noteIndex":0},"citationItems":[{"id":32787,"uris":["http://zotero.org/groups/2352922/items/GUEQZDIC"],"itemData":{"id":32787,"type":"article-journal","container-title":"PLoS ONE","DOI":"10.1371/journal.pone.0073935","ISSN":"1932-6203","issue":"9","journalAbbreviation":"PLoS ONE","language":"en","page":"e73935","source":"DOI.org (Crossref)","title":"Evaluating Detection Limits of Next-Generation Sequencing for the Surveillance and Monitoring of International Marine Pests","URL":"https://dx.plos.org/10.1371/journal.pone.0073935","volume":"8","author":[{"family":"Pochon","given":"Xavier"},{"family":"Bott","given":"Nathan J."},{"family":"Smith","given":"Kirsty F."},{"family":"Wood","given":"Susanna A."}],"editor":[{"family":"Abdo","given":"Zaid"}],"accessed":{"date-parts":[["2020",8,14]]},"issued":{"date-parts":[["2013",9,4]]}},"label":"page"}],"schema":"https://github.com/citation-style-language/schema/raw/master/csl-citation.json"} </w:instrText>
      </w:r>
      <w:r w:rsidRPr="00A9434B">
        <w:fldChar w:fldCharType="separate"/>
      </w:r>
      <w:r w:rsidR="00C71E80" w:rsidRPr="00A9434B">
        <w:t>(Pochon et al., 2013)</w:t>
      </w:r>
      <w:r w:rsidRPr="00A9434B">
        <w:fldChar w:fldCharType="end"/>
      </w:r>
      <w:r w:rsidRPr="00A9434B">
        <w:t xml:space="preserve">. A genetic marker is a deoxyribonucleic acid (DNA) target sequence used for molecular identification of a species or to </w:t>
      </w:r>
      <w:r w:rsidRPr="00A9434B">
        <w:lastRenderedPageBreak/>
        <w:t xml:space="preserve">determine its variability </w:t>
      </w:r>
      <w:r w:rsidRPr="00A9434B">
        <w:fldChar w:fldCharType="begin"/>
      </w:r>
      <w:r w:rsidR="0006613E">
        <w:instrText xml:space="preserve"> ADDIN ZOTERO_ITEM CSL_CITATION {"citationID":"a1419d00v4p","properties":{"formattedCitation":"(D\\uc0\\u237{}az-Ferguson, 2012)","plainCitation":"(Díaz-Ferguson, 2012)","noteIndex":0},"citationItems":[{"id":23634,"uris":["http://zotero.org/groups/2352922/items/578Q7UHB"],"itemData":{"id":23634,"type":"book","edition":"1","event-place":"Panamá","ISBN":"978-9962-686-74-3","number-of-pages":"212","publisher":"Universal Books","publisher-place":"Panamá","title":"Introducción a la ecología molecular marina: aplicaciones y perspectivas","author":[{"family":"Díaz-Ferguson","given":"Edgardo E."}],"issued":{"date-parts":[["2012"]]}},"label":"page"}],"schema":"https://github.com/citation-style-language/schema/raw/master/csl-citation.json"} </w:instrText>
      </w:r>
      <w:r w:rsidRPr="00A9434B">
        <w:fldChar w:fldCharType="separate"/>
      </w:r>
      <w:r w:rsidR="00E452E2" w:rsidRPr="00E452E2">
        <w:t>(Díaz-Ferguson, 2012)</w:t>
      </w:r>
      <w:r w:rsidRPr="00A9434B">
        <w:fldChar w:fldCharType="end"/>
      </w:r>
      <w:r w:rsidRPr="00A9434B">
        <w:t xml:space="preserve">. Since the advent of polymerase chain reaction </w:t>
      </w:r>
      <w:r w:rsidR="00533D21" w:rsidRPr="00A9434B">
        <w:t xml:space="preserve">(PCR; </w:t>
      </w:r>
      <w:r w:rsidR="00095F2C">
        <w:rPr>
          <w:b/>
          <w:iCs/>
        </w:rPr>
        <w:t>G</w:t>
      </w:r>
      <w:r w:rsidR="00533D21" w:rsidRPr="00673554">
        <w:rPr>
          <w:b/>
          <w:iCs/>
        </w:rPr>
        <w:t>lossary</w:t>
      </w:r>
      <w:r w:rsidR="00533D21" w:rsidRPr="00A9434B">
        <w:t xml:space="preserve">) </w:t>
      </w:r>
      <w:r w:rsidRPr="00A9434B">
        <w:t xml:space="preserve">and quantitative </w:t>
      </w:r>
      <w:r w:rsidR="008038FF" w:rsidRPr="00A9434B">
        <w:t>PCR</w:t>
      </w:r>
      <w:r w:rsidRPr="00A9434B">
        <w:t xml:space="preserve"> methods several markers have been developed to identify, track and characterize the spatial variation of marine and aquatic populations including invasive alien species </w:t>
      </w:r>
      <w:r w:rsidRPr="00A9434B">
        <w:fldChar w:fldCharType="begin"/>
      </w:r>
      <w:r w:rsidR="0006613E">
        <w:instrText xml:space="preserve"> ADDIN ZOTERO_ITEM CSL_CITATION {"citationID":"af7lvaulf6","properties":{"unsorted":true,"formattedCitation":"(Hulata, 2001; F\\uc0\\u233{}ral, 2002)","plainCitation":"(Hulata, 2001; Féral, 2002)","noteIndex":0},"citationItems":[{"id":23629,"uris":["http://zotero.org/groups/2352922/items/9ZMZCZ9D"],"itemData":{"id":23629,"type":"article-journal","container-title":"Genetica","DOI":"10.1023/A:1013776931796","ISSN":"00166707","issue":"1/3","page":"155-173","source":"DOI.org (Crossref)","title":"Genetic manipulations in aquaculture: a review of stock improvement by classical and modern technologies","URL":"http://link.springer.com/10.1023/A:1013776931796","volume":"111","author":[{"family":"Hulata","given":"G."}],"accessed":{"date-parts":[["2020",8,14]]},"issued":{"date-parts":[["2001"]]}},"label":"page"},{"id":32727,"uris":["http://zotero.org/groups/2352922/items/VZ9IFFJI"],"itemData":{"id":32727,"type":"article-journal","container-title":"Journal of Experimental Marine Biology and Ecology","DOI":"10.1016/S0022-0981(01)00382-3","ISSN":"00220981","issue":"2","journalAbbreviation":"Journal of Experimental Marine Biology and Ecology","language":"en","page":"121-145","source":"DOI.org (Crossref)","title":"How useful are the genetic markers in attempts to understand and manage marine biodiversity?","URL":"https://linkinghub.elsevier.com/retrieve/pii/S0022098101003823","volume":"268","author":[{"family":"Féral","given":"Jean-Pierre"}],"accessed":{"date-parts":[["2020",8,14]]},"issued":{"date-parts":[["2002",2]]}},"label":"page"}],"schema":"https://github.com/citation-style-language/schema/raw/master/csl-citation.json"} </w:instrText>
      </w:r>
      <w:r w:rsidRPr="00A9434B">
        <w:fldChar w:fldCharType="separate"/>
      </w:r>
      <w:r w:rsidR="00C71E80" w:rsidRPr="00A9434B">
        <w:t>(Hulata, 2001; Féral, 2002)</w:t>
      </w:r>
      <w:r w:rsidRPr="00A9434B">
        <w:fldChar w:fldCharType="end"/>
      </w:r>
      <w:r w:rsidRPr="00A9434B">
        <w:t xml:space="preserve">. More recently the use of mini barcoding and quantitative PCR detection of environmental DNA allows scientists and managers to detect fragments of DNA left behind by species in non-living components of the environment (i.e., soil, sediments and water) without the need to observe or collect the focal species </w:t>
      </w:r>
      <w:r w:rsidRPr="00A9434B">
        <w:fldChar w:fldCharType="begin"/>
      </w:r>
      <w:r w:rsidR="0006613E">
        <w:instrText xml:space="preserve"> ADDIN ZOTERO_ITEM CSL_CITATION {"citationID":"a2n4je586cq","properties":{"formattedCitation":"(D\\uc0\\u237{}az-Ferguson &amp; Moyer, 2014)","plainCitation":"(Díaz-Ferguson &amp; Moyer, 2014)","noteIndex":0},"citationItems":[{"id":23633,"uris":["http://zotero.org/groups/2352922/items/YMQJX4SW"],"itemData":{"id":23633,"type":"article-journal","abstract":"Genetic material (short DNA fragments) left behind by species in nonliving components of the environment (e.g. soil, sediment, or water) is defined as environmental DNA (eDNA). This DNA has been previously described as particulate DNA and has been used to detect and describe microbial communities in marine sediments since the mid-1980’s and phytoplankton communities in the water column since the early-1990’s. More recently, eDNA has been used to monitor invasive or endangered vertebrate and invertebrate species. While there is a steady increase in the applicability of eDNA as a monitoring tool, a variety of eDNA applications are emerging in fields such as forensics, population and community ecology, and taxonomy. This review provides scientist an understanding of the methods underlying eDNA detection as well as applications, key methodological considerations, and emerging areas of interest for its use in ecology and conservation of freshwater and marine environments.","container-title":"Revista de Biología Tropical","DOI":"https://doi.org/10.15517/rbt.v62i4.13231","issue":"4","page":"1274-1284","title":"History, applications and methodological issues and perspectives for the use of environmental DNA (eDNA) in marine and freshwater environments","URL":"https://revistas.ucr.ac.cr/index.php/rbt/article/view/13231","volume":"62","author":[{"family":"Díaz-Ferguson","given":"Edgardo E."},{"family":"Moyer","given":"Gregory R."}],"issued":{"date-parts":[["2014",12,1]]}},"label":"page"}],"schema":"https://github.com/citation-style-language/schema/raw/master/csl-citation.json"} </w:instrText>
      </w:r>
      <w:r w:rsidRPr="00A9434B">
        <w:fldChar w:fldCharType="separate"/>
      </w:r>
      <w:r w:rsidR="00E452E2" w:rsidRPr="00E452E2">
        <w:t>(Díaz-Ferguson &amp; Moyer, 2014)</w:t>
      </w:r>
      <w:r w:rsidRPr="00A9434B">
        <w:fldChar w:fldCharType="end"/>
      </w:r>
      <w:r w:rsidRPr="00A9434B">
        <w:t xml:space="preserve">. Environmental DNA, although still developing as a technology to narrow uncertainty, has been demonstrated to be efficient at detecting species with a small population size such as invasive alien species in the course of establishment, or imperilled, threatened and endangered species </w:t>
      </w:r>
      <w:r w:rsidRPr="00A9434B">
        <w:fldChar w:fldCharType="begin"/>
      </w:r>
      <w:r w:rsidR="0006613E">
        <w:instrText xml:space="preserve"> ADDIN ZOTERO_ITEM CSL_CITATION {"citationID":"aj8ohamhog","properties":{"formattedCitation":"(Jerde et al., 2011)","plainCitation":"(Jerde et al., 2011)","noteIndex":0},"citationItems":[{"id":30166,"uris":["http://zotero.org/groups/2352922/items/UT5YKBAR"],"itemData":{"id":30166,"type":"article-journal","container-title":"Conservation Letters","DOI":"10.1111/j.1755-263X.2010.00158.x","ISSN":"1755263X","issue":"2","language":"en","page":"150-157","source":"DOI.org (Crossref)","title":"“Sight-unseen” detection of rare aquatic species using environmental DNA","title-short":"“Sight-unseen” detection of rare aquatic species using environmental DNA","URL":"http://doi.wiley.com/10.1111/j.1755-263X.2010.00158.x","volume":"4","author":[{"family":"Jerde","given":"Christopher L."},{"family":"Mahon","given":"Andrew R."},{"family":"Chadderton","given":"W. Lindsay"},{"family":"Lodge","given":"David M."}],"accessed":{"date-parts":[["2019",10,23]]},"issued":{"date-parts":[["2011",4]]}},"label":"page"}],"schema":"https://github.com/citation-style-language/schema/raw/master/csl-citation.json"} </w:instrText>
      </w:r>
      <w:r w:rsidRPr="00A9434B">
        <w:fldChar w:fldCharType="separate"/>
      </w:r>
      <w:r w:rsidR="00C71E80" w:rsidRPr="00A9434B">
        <w:t>(Jerde et al., 2011)</w:t>
      </w:r>
      <w:r w:rsidRPr="00A9434B">
        <w:fldChar w:fldCharType="end"/>
      </w:r>
      <w:r w:rsidRPr="00A9434B">
        <w:t xml:space="preserve">. Marine ecosystems are just one of the areas where environmental DNA surveys are likely to radically change the detection and monitoring of invasive species </w:t>
      </w:r>
      <w:r w:rsidRPr="00A9434B">
        <w:fldChar w:fldCharType="begin"/>
      </w:r>
      <w:r w:rsidR="0014002B">
        <w:instrText xml:space="preserve"> ADDIN ZOTERO_ITEM CSL_CITATION {"citationID":"a2pp2u4i3m9","properties":{"formattedCitation":"(Chown et al., 2015; Darling et al., 2017; Holman et al., 2019)","plainCitation":"(Chown et al., 2015; Darling et al., 2017; Holman et al., 2019)","noteIndex":0},"citationItems":[{"id":30230,"uris":["http://zotero.org/groups/2352922/items/96FXPPKQ"],"itemData":{"id":30230,"type":"article-journal","abstract":"The rate of biological invasions is expected to increase as the effects of climate change on biological communities become widespread. Climate change enhances habitat disturbance which facilitates the establishment of invasive species, which in turn provides opportunities for hybridization and introgression. These effects influence local biodiversity that can be tracked through genetic and genomic approaches. Metabarcoding and metagenomic approaches provide a way of monitoring some types of communities under climate change for the appearance of invasives. Introgression and hybridization can be followed by the analysis of entire genomes so that rapidly changing areas of the genome are identified and instances of genetic pollution monitored. Genomic markers enable accurate tracking of invasive species' geographic origin well beyond what was previously possible. New genomic tools are promoting fresh insights into classic questions about invading organisms under climate change, such as the role of genetic variation, local adaptation and climate pre-adaptation in successful invasions. These tools are providing managers with often more effective means to identify potential threats, improve surveillance and assess impacts on communities. We provide a framework for the application of genomic techniques within a management context and also indicate some important limitations in what can be achieved.","container-title":"Evolutionary Applications","DOI":"10.1111/eva.12234","ISSN":"1752-4571","issue":"1","journalAbbreviation":"Evol. Appl.","page":"23-46","title":"Biological invasions, climate change and genomics","volume":"8","author":[{"family":"Chown","given":"Steven L."},{"family":"Hodgins","given":"K. A."},{"family":"Griffin","given":"P. C."},{"family":"Oakeshott","given":"J. G."},{"family":"Byrne","given":"M."},{"family":"Hoffmann","given":"A. A."}],"issued":{"date-parts":[["2015",1]]}},"label":"page"},{"id":26448,"uris":["http://zotero.org/groups/2352922/items/S8RANFVM"],"itemData":{"id":26448,"type":"article-journal","container-title":"Marine Policy","DOI":"10.1016/j.marpol.2017.08.014","ISSN":"0308597X","journalAbbreviation":"Marine Policy","language":"en","page":"54-64","source":"DOI.org (Crossref)","title":"Recommendations for developing and applying genetic tools to assess and manage biological invasions in marine ecosystems","URL":"https://linkinghub.elsevier.com/retrieve/pii/S0308597X17303421","volume":"85","author":[{"family":"Darling","given":"John A."},{"family":"Galil","given":"Bella S."},{"family":"Carvalho","given":"Gary R."},{"family":"Rius","given":"Marc"},{"family":"Viard","given":"Frédérique"},{"family":"Piraino","given":"Stefano"}],"accessed":{"date-parts":[["2021",5,3]]},"issued":{"date-parts":[["2017",11]]}},"label":"page"},{"id":53130,"uris":["http://zotero.org/groups/2352922/items/4IKBR5YZ","http://zotero.org/groups/2352922/items/S9TES5Y5"],"itemData":{"id":53130,"type":"article-journal","abstract":"Environmental DNA (eDNA) surveys are increasingly being used for biodiversity monitoring, principally because they are sensitive and can provide high resolution community composition data. Despite considerable progress in recent years, eDNA studies examining how different environmental sample types can affect species detectability remain rare. Comparisons of environmental samples are especially important for providing best practice guidance on early detection and subsequent mitigation of non-indigenous species. Here we used eDNA metabarcoding of COI (cytochrome c oxidase subunit I) and 18S (nuclear small subunit ribosomal DNA) genes to compare community composition between sediment and water samples in artificial coastal sites across the United Kingdom. We first detected markedly different communities and a consistently greater number of distinct operational taxonomic units in sediment compared to water. We then compared our eDNA datasets with previously published rapid assessment biodiversity surveys and found excellent concordance among the different survey techniques. Finally, our eDNA surveys detected many non-indigenous species, including several newly introduced species, highlighting the utility of eDNA metabarcoding for both early detection and temporal / spatial monitoring of non-indigenous species. We conclude that careful consideration on environmental sample type is needed when conducting eDNA surveys, especially for studies assessing community change.","container-title":"Scientific Reports","DOI":"10.1038/s41598-019-47899-7","ISSN":"2045-2322","issue":"1","journalAbbreviation":"Sci Rep","language":"en","license":"2019 The Author(s)","page":"11559","source":"www.nature.com","title":"Detection of introduced and resident marine species using environmental DNA metabarcoding of sediment and water","URL":"https://www.nature.com/articles/s41598-019-47899-7","volume":"9","author":[{"family":"Holman","given":"Luke E."},{"family":"Bruyn","given":"Mark","non-dropping-particle":"de"},{"family":"Creer","given":"Simon"},{"family":"Carvalho","given":"Gary"},{"family":"Robidart","given":"Julie"},{"family":"Rius","given":"Marc"}],"accessed":{"date-parts":[["2022",9,1]]},"issued":{"date-parts":[["2019",8,9]]}},"label":"page"}],"schema":"https://github.com/citation-style-language/schema/raw/master/csl-citation.json"} </w:instrText>
      </w:r>
      <w:r w:rsidRPr="00A9434B">
        <w:fldChar w:fldCharType="separate"/>
      </w:r>
      <w:r w:rsidR="0014002B" w:rsidRPr="0014002B">
        <w:t>(Chown et al., 2015; Darling et al., 2017; Holman et al., 2019)</w:t>
      </w:r>
      <w:r w:rsidRPr="00A9434B">
        <w:fldChar w:fldCharType="end"/>
      </w:r>
      <w:r w:rsidRPr="00A9434B">
        <w:t>. These methods and other</w:t>
      </w:r>
      <w:r w:rsidR="00861539">
        <w:t>s</w:t>
      </w:r>
      <w:r w:rsidRPr="00A9434B">
        <w:t xml:space="preserve"> are covered in more depth in </w:t>
      </w:r>
      <w:r w:rsidR="00095F2C">
        <w:rPr>
          <w:b/>
          <w:iCs/>
        </w:rPr>
        <w:t>C</w:t>
      </w:r>
      <w:r w:rsidRPr="00673554">
        <w:rPr>
          <w:b/>
          <w:iCs/>
        </w:rPr>
        <w:t>hapter 5</w:t>
      </w:r>
      <w:r w:rsidRPr="00673554">
        <w:rPr>
          <w:iCs/>
        </w:rPr>
        <w:t xml:space="preserve">, </w:t>
      </w:r>
      <w:r w:rsidRPr="00673554">
        <w:rPr>
          <w:b/>
          <w:iCs/>
        </w:rPr>
        <w:t>section 5.4</w:t>
      </w:r>
      <w:r w:rsidRPr="00673554">
        <w:rPr>
          <w:b/>
        </w:rPr>
        <w:t>.</w:t>
      </w:r>
      <w:r w:rsidRPr="00673554">
        <w:rPr>
          <w:b/>
          <w:iCs/>
        </w:rPr>
        <w:t>4.2</w:t>
      </w:r>
      <w:r w:rsidRPr="00A9434B">
        <w:t>.</w:t>
      </w:r>
    </w:p>
    <w:p w14:paraId="402D11ED" w14:textId="339F390D" w:rsidR="00CC4659" w:rsidRPr="00F27FC5" w:rsidRDefault="1EBAE8CC" w:rsidP="00585D0E">
      <w:pPr>
        <w:pStyle w:val="Heading5"/>
        <w:rPr>
          <w:b w:val="0"/>
          <w:bCs/>
          <w:i/>
          <w:iCs/>
          <w:lang w:val="de-DE"/>
        </w:rPr>
      </w:pPr>
      <w:r w:rsidRPr="00A9434B">
        <w:t xml:space="preserve">(2) </w:t>
      </w:r>
      <w:r w:rsidR="27F3C236" w:rsidRPr="00A9434B">
        <w:t>Overcoming g</w:t>
      </w:r>
      <w:r w:rsidR="1E4B2BF8" w:rsidRPr="00A9434B">
        <w:t>aps in impact analysis</w:t>
      </w:r>
      <w:r w:rsidR="00967D3F" w:rsidRPr="00A9434B">
        <w:br/>
      </w:r>
      <w:r w:rsidR="00B07792" w:rsidRPr="00A9434B">
        <w:rPr>
          <w:b w:val="0"/>
          <w:bCs/>
        </w:rPr>
        <w:t>The number of alien plant species worldwide has been estimated to be in the thousands, but in 2013</w:t>
      </w:r>
      <w:r w:rsidR="006B2B4A" w:rsidRPr="00A9434B">
        <w:rPr>
          <w:b w:val="0"/>
          <w:bCs/>
        </w:rPr>
        <w:t>,</w:t>
      </w:r>
      <w:r w:rsidR="00B07792" w:rsidRPr="00A9434B">
        <w:rPr>
          <w:b w:val="0"/>
          <w:bCs/>
        </w:rPr>
        <w:t xml:space="preserve"> robust impact studies were </w:t>
      </w:r>
      <w:r w:rsidR="006B2B4A" w:rsidRPr="00A9434B">
        <w:rPr>
          <w:b w:val="0"/>
          <w:bCs/>
        </w:rPr>
        <w:t xml:space="preserve">only </w:t>
      </w:r>
      <w:r w:rsidR="00B07792" w:rsidRPr="00A9434B">
        <w:rPr>
          <w:b w:val="0"/>
          <w:bCs/>
        </w:rPr>
        <w:t>available for fewer than 200</w:t>
      </w:r>
      <w:r w:rsidR="004E636F">
        <w:rPr>
          <w:b w:val="0"/>
          <w:bCs/>
        </w:rPr>
        <w:t xml:space="preserve"> species</w:t>
      </w:r>
      <w:r w:rsidR="00B07792" w:rsidRPr="00A9434B">
        <w:rPr>
          <w:b w:val="0"/>
          <w:bCs/>
        </w:rPr>
        <w:t xml:space="preserve"> </w:t>
      </w:r>
      <w:r w:rsidR="00B07792" w:rsidRPr="00673554">
        <w:rPr>
          <w:b w:val="0"/>
          <w:bCs/>
          <w:iCs/>
        </w:rPr>
        <w:fldChar w:fldCharType="begin"/>
      </w:r>
      <w:r w:rsidR="0006613E">
        <w:rPr>
          <w:b w:val="0"/>
          <w:bCs/>
        </w:rPr>
        <w:instrText xml:space="preserve"> ADDIN ZOTERO_ITEM CSL_CITATION {"citationID":"bxXKxhQX","properties":{"formattedCitation":"(Py\\uc0\\u353{}ek et al., 2013)","plainCitation":"(Pyšek et al., 2013)","dontUpdate":true,"noteIndex":0},"citationItems":[{"id":29207,"uris":["http://zotero.org/groups/2352922/items/YG4LGN6Y"],"itemData":{"id":29207,"type":"article-journal","abstract":"This paper explores how a lack of taxonomic expertise, and by implication a dearth of taxonomic products such as identification tools, has hindered progress in understanding andmanaging biological invasions. It also explores how the taxonomic endeavour could benefit from studies of invasive species. We review the literature on the current situation in taxonomy with a focus on the challenges of identifying alien plant species and explorehowthis has affected the study of biological invasions. Biosecurity strategies, legislation dealing with invasive species, quarantine, weed surveillance and monitoring all depend on accurate and rapid identification of non-native taxa. However, such identification can be challenging because the taxonomic skill base in most countries is diffuse and lacks critical mass. Taxonomic resources are essential for the effective management of invasive plants and incorrect identifications can impede ecological studies. On the other hand, biological invasions have provided important tests of basic theories about species concepts. Better integration of classical alpha taxonomy and modern genetic taxonomic approaches will improve the accuracy of species identification and further refine taxonomic classification at the level of populations and genotypes in the field and laboratory. Modern taxonomy therefore needs to integrate both classical and new concepts and approaches. In particular, differing points of view between the proponents of morphological and molecular approaches should be negotiated because a narrow taxonomic perspective is harmful; the rigour of taxonomic decision- making clearly increases if insights from a variety of different complementary disciplines are combined and confronted. Taxonomy plays a critical role in the study of plant invasions and in turn benefits from the insights gained from these studies. © 2013 The Authors.","container-title":"AoB PLANTS","DOI":"10.1093/aobpla/plt042","ISSN":"2041-2851","journalAbbreviation":"AoB PLANTS","language":"en","page":"plt042","source":"DOI.org (Crossref)","title":"Hitting the right target: taxonomic challenges for, and of, plant invasions","title-short":"Hitting the right target","URL":"https://academic.oup.com/aobpla/article-lookup/doi/10.1093/aobpla/plt042","volume":"5","author":[{"family":"Pyšek","given":"Petr"},{"family":"Hulme","given":"P. E."},{"family":"Meyerson","given":"L. A."},{"family":"Smith","given":"G. F."},{"family":"Boatwright","given":"J. S."},{"family":"Crouch","given":"N. R."},{"family":"Figueiredo","given":"E."},{"family":"Foxcroft","given":"L. C."},{"family":"Jarošík","given":"V."},{"family":"Richardson","given":"D. M."},{"family":"Suda","given":"J."},{"family":"Wilson","given":"J. R. U."}],"accessed":{"date-parts":[["2021",6,16]]},"issued":{"date-parts":[["2013",11,13]]}},"label":"page"}],"schema":"https://github.com/citation-style-language/schema/raw/master/csl-citation.json"} </w:instrText>
      </w:r>
      <w:r w:rsidR="00B07792" w:rsidRPr="00673554">
        <w:rPr>
          <w:b w:val="0"/>
          <w:bCs/>
          <w:iCs/>
        </w:rPr>
        <w:fldChar w:fldCharType="separate"/>
      </w:r>
      <w:r w:rsidR="00095F2C" w:rsidRPr="00673554">
        <w:rPr>
          <w:b w:val="0"/>
        </w:rPr>
        <w:t>(Pyšek et al., 2013</w:t>
      </w:r>
      <w:r w:rsidR="00B07792" w:rsidRPr="00673554">
        <w:rPr>
          <w:b w:val="0"/>
          <w:bCs/>
          <w:iCs/>
        </w:rPr>
        <w:fldChar w:fldCharType="end"/>
      </w:r>
      <w:r w:rsidR="00B07792" w:rsidRPr="00A9434B">
        <w:rPr>
          <w:b w:val="0"/>
          <w:bCs/>
        </w:rPr>
        <w:t>;</w:t>
      </w:r>
      <w:r w:rsidR="00B07792" w:rsidRPr="00A9434B">
        <w:rPr>
          <w:b w:val="0"/>
          <w:bCs/>
          <w:i/>
          <w:iCs/>
        </w:rPr>
        <w:fldChar w:fldCharType="begin"/>
      </w:r>
      <w:r w:rsidR="00B07792" w:rsidRPr="00A9434B">
        <w:rPr>
          <w:b w:val="0"/>
          <w:bCs/>
        </w:rPr>
        <w:instrText>ADDIN EN.CITE &lt;EndNote&gt;&lt;Cite&gt;&lt;Author&gt;Hulme&lt;/Author&gt;&lt;Year&gt;2013&lt;/Year&gt;&lt;RecNum&gt;375&lt;/RecNum&gt;&lt;DisplayText&gt;(Hulme, Pyšek et al. 2013)&lt;/DisplayText&gt;&lt;record&gt;&lt;rec-number&gt;224&lt;/rec-number&gt;&lt;foreign-keys&gt;&lt;key app="EN" db-id="0d55paxdcvwpebe55d1vrz5ne2pattprarta" timestamp="1597992734"&gt;224&lt;/key&gt;&lt;/foreign-keys&gt;&lt;ref-type name="Journal Article"&gt;17&lt;/ref-type&gt;&lt;contributors&gt;&lt;authors&gt;&lt;author&gt;Hulme, Philip E.&lt;/author&gt;&lt;author&gt;Pyšek, Petr&lt;/author&gt;&lt;author&gt;Jarošík, Vojtěch&lt;/author&gt;&lt;author&gt;Pergl, Jan&lt;/author&gt;&lt;author&gt;Schaffner, Urs&lt;/author&gt;&lt;author&gt;Vilà, Montserrat&lt;/author&gt;&lt;/authors&gt;&lt;/contributors&gt;&lt;titles&gt;&lt;title&gt;Bias and error in understanding plant invasion impacts&lt;/title&gt;&lt;secondary-title&gt;Trends in Ecology &amp;amp; Evolution&lt;/secondary-title&gt;&lt;alt-title&gt;Trends in Ecology &amp;amp; Evolution&lt;/alt-title&gt;&lt;/titles&gt;&lt;periodical&gt;&lt;full-title&gt;Trends in ecology &amp;amp; evolution&lt;/full-title&gt;&lt;/periodical&gt;&lt;alt-periodical&gt;&lt;full-title&gt;Trends in ecology &amp;amp; evolution&lt;/full-title&gt;&lt;/alt-periodical&gt;&lt;pages&gt;212-218&lt;/pages&gt;&lt;volume&gt;28&lt;/volume&gt;&lt;number&gt;4&lt;/number&gt;&lt;keywords&gt;&lt;keyword&gt;biodiversity&lt;/keyword&gt;&lt;keyword&gt;biological invasions&lt;/keyword&gt;&lt;keyword&gt;ecosystem processes&lt;/keyword&gt;&lt;keyword&gt;functional traits&lt;/keyword&gt;&lt;keyword&gt;weeds&lt;/keyword&gt;&lt;/keywords&gt;&lt;dates&gt;&lt;year&gt;2013&lt;/year&gt;&lt;pub-dates&gt;&lt;date&gt;2013/04/01/&lt;/date&gt;&lt;/pub-dates&gt;&lt;/dates&gt;&lt;isbn&gt;0169-5347&lt;/isbn&gt;&lt;urls&gt;&lt;related-urls&gt;&lt;url&gt;http://www.sciencedirect.com/science/article/pii/S0169534712002716&lt;/url&gt;&lt;/related-urls&gt;&lt;/urls&gt;&lt;electronic-resource-num&gt;10.1016/j.tree.2012.10.010&lt;/electronic-resource-num&gt;&lt;remote-database-provider&gt;ScienceDirect&lt;/remote-database-provider&gt;&lt;language&gt;en&lt;/language&gt;&lt;access-date&gt;2020/04/06/04:17:18&lt;/access-date&gt;&lt;/record&gt;&lt;/Cite&gt;&lt;/EndNote&gt;</w:instrText>
      </w:r>
      <w:r w:rsidR="00B07792" w:rsidRPr="00A9434B">
        <w:rPr>
          <w:b w:val="0"/>
          <w:bCs/>
          <w:i/>
          <w:iCs/>
        </w:rPr>
        <w:fldChar w:fldCharType="end"/>
      </w:r>
      <w:r w:rsidR="00B07792" w:rsidRPr="00A9434B">
        <w:rPr>
          <w:b w:val="0"/>
          <w:bCs/>
        </w:rPr>
        <w:t xml:space="preserve"> </w:t>
      </w:r>
      <w:r w:rsidR="00095F2C">
        <w:rPr>
          <w:bCs/>
          <w:iCs/>
        </w:rPr>
        <w:t>C</w:t>
      </w:r>
      <w:r w:rsidR="00B07792" w:rsidRPr="00673554">
        <w:rPr>
          <w:bCs/>
          <w:iCs/>
        </w:rPr>
        <w:t>hapter 4</w:t>
      </w:r>
      <w:r w:rsidR="00B07792" w:rsidRPr="00A9434B">
        <w:rPr>
          <w:b w:val="0"/>
          <w:bCs/>
        </w:rPr>
        <w:t xml:space="preserve">). For </w:t>
      </w:r>
      <w:r w:rsidR="00316DB9" w:rsidRPr="00A9434B">
        <w:rPr>
          <w:b w:val="0"/>
          <w:bCs/>
        </w:rPr>
        <w:t>example</w:t>
      </w:r>
      <w:r w:rsidR="00B07792" w:rsidRPr="00A9434B">
        <w:rPr>
          <w:b w:val="0"/>
          <w:bCs/>
        </w:rPr>
        <w:t>, i</w:t>
      </w:r>
      <w:r w:rsidR="27F3C236" w:rsidRPr="00A9434B">
        <w:rPr>
          <w:b w:val="0"/>
          <w:bCs/>
        </w:rPr>
        <w:t xml:space="preserve">nformation on </w:t>
      </w:r>
      <w:r w:rsidR="1B57A4C0" w:rsidRPr="00A9434B">
        <w:rPr>
          <w:b w:val="0"/>
          <w:bCs/>
        </w:rPr>
        <w:t>the impacts of alien species on biodiversity</w:t>
      </w:r>
      <w:r w:rsidR="0D66D84A" w:rsidRPr="00A9434B">
        <w:rPr>
          <w:b w:val="0"/>
          <w:bCs/>
        </w:rPr>
        <w:t xml:space="preserve"> and on </w:t>
      </w:r>
      <w:r w:rsidR="4C1F436F" w:rsidRPr="00A9434B">
        <w:rPr>
          <w:b w:val="0"/>
          <w:bCs/>
        </w:rPr>
        <w:t>Indigenous Peoples</w:t>
      </w:r>
      <w:r w:rsidR="0D66D84A" w:rsidRPr="00A9434B">
        <w:rPr>
          <w:b w:val="0"/>
          <w:bCs/>
        </w:rPr>
        <w:t xml:space="preserve"> and local communities is </w:t>
      </w:r>
      <w:r w:rsidR="27F3C236" w:rsidRPr="00A9434B">
        <w:rPr>
          <w:b w:val="0"/>
          <w:bCs/>
        </w:rPr>
        <w:t>a key gap</w:t>
      </w:r>
      <w:r w:rsidR="0D66D84A" w:rsidRPr="00A9434B">
        <w:rPr>
          <w:b w:val="0"/>
          <w:bCs/>
        </w:rPr>
        <w:t>, with particularly acute gaps on impacts across Africa and Central As</w:t>
      </w:r>
      <w:r w:rsidR="5EE0822A" w:rsidRPr="00A9434B">
        <w:rPr>
          <w:b w:val="0"/>
          <w:bCs/>
        </w:rPr>
        <w:t xml:space="preserve">ia and at the ecosystem level </w:t>
      </w:r>
      <w:r w:rsidR="00F806B6" w:rsidRPr="00A9434B">
        <w:rPr>
          <w:b w:val="0"/>
          <w:bCs/>
        </w:rPr>
        <w:t>(</w:t>
      </w:r>
      <w:r w:rsidR="00095F2C">
        <w:rPr>
          <w:bCs/>
          <w:iCs/>
        </w:rPr>
        <w:t>C</w:t>
      </w:r>
      <w:r w:rsidR="0D66D84A" w:rsidRPr="00673554">
        <w:rPr>
          <w:bCs/>
          <w:iCs/>
        </w:rPr>
        <w:t>hapter</w:t>
      </w:r>
      <w:r w:rsidR="5EE0822A" w:rsidRPr="00673554">
        <w:rPr>
          <w:bCs/>
          <w:iCs/>
        </w:rPr>
        <w:t xml:space="preserve"> 4</w:t>
      </w:r>
      <w:r w:rsidR="006B2B4A" w:rsidRPr="00673554">
        <w:rPr>
          <w:b w:val="0"/>
          <w:bCs/>
          <w:iCs/>
        </w:rPr>
        <w:t>,</w:t>
      </w:r>
      <w:r w:rsidR="006B2B4A" w:rsidRPr="00673554">
        <w:rPr>
          <w:bCs/>
          <w:iCs/>
        </w:rPr>
        <w:t xml:space="preserve"> sections 4.6.4</w:t>
      </w:r>
      <w:r w:rsidR="006B2B4A" w:rsidRPr="00673554">
        <w:rPr>
          <w:bCs/>
        </w:rPr>
        <w:t xml:space="preserve"> </w:t>
      </w:r>
      <w:r w:rsidR="006B2B4A" w:rsidRPr="00935C0C">
        <w:rPr>
          <w:b w:val="0"/>
          <w:bCs/>
        </w:rPr>
        <w:t>and</w:t>
      </w:r>
      <w:r w:rsidR="006B2B4A" w:rsidRPr="00673554">
        <w:rPr>
          <w:b w:val="0"/>
          <w:bCs/>
          <w:iCs/>
        </w:rPr>
        <w:t xml:space="preserve"> </w:t>
      </w:r>
      <w:r w:rsidR="006B2B4A" w:rsidRPr="00673554">
        <w:rPr>
          <w:bCs/>
          <w:iCs/>
        </w:rPr>
        <w:t>4.7.2</w:t>
      </w:r>
      <w:r w:rsidR="5EE0822A" w:rsidRPr="00673554">
        <w:rPr>
          <w:b w:val="0"/>
          <w:bCs/>
          <w:iCs/>
        </w:rPr>
        <w:t>;</w:t>
      </w:r>
      <w:r w:rsidR="5EE0822A" w:rsidRPr="00673554">
        <w:rPr>
          <w:bCs/>
          <w:iCs/>
        </w:rPr>
        <w:t xml:space="preserve"> </w:t>
      </w:r>
      <w:r w:rsidR="00635D23" w:rsidRPr="00673554">
        <w:rPr>
          <w:bCs/>
          <w:iCs/>
        </w:rPr>
        <w:fldChar w:fldCharType="begin"/>
      </w:r>
      <w:r w:rsidR="00635D23" w:rsidRPr="00673554">
        <w:rPr>
          <w:bCs/>
          <w:iCs/>
        </w:rPr>
        <w:instrText xml:space="preserve"> REF _Ref104892309 \h  \* MERGEFORMAT </w:instrText>
      </w:r>
      <w:r w:rsidR="00635D23" w:rsidRPr="00673554">
        <w:rPr>
          <w:bCs/>
          <w:iCs/>
        </w:rPr>
      </w:r>
      <w:r w:rsidR="00635D23" w:rsidRPr="00673554">
        <w:rPr>
          <w:bCs/>
          <w:iCs/>
        </w:rPr>
        <w:fldChar w:fldCharType="separate"/>
      </w:r>
      <w:r w:rsidR="0011368C" w:rsidRPr="00673554">
        <w:rPr>
          <w:bCs/>
          <w:iCs/>
        </w:rPr>
        <w:t>Table 6.1</w:t>
      </w:r>
      <w:r w:rsidR="00635D23" w:rsidRPr="00673554">
        <w:rPr>
          <w:bCs/>
          <w:iCs/>
        </w:rPr>
        <w:fldChar w:fldCharType="end"/>
      </w:r>
      <w:r w:rsidR="5EE0822A" w:rsidRPr="00A9434B">
        <w:rPr>
          <w:b w:val="0"/>
          <w:bCs/>
        </w:rPr>
        <w:t>)</w:t>
      </w:r>
      <w:r w:rsidR="6795121D" w:rsidRPr="00A9434B">
        <w:rPr>
          <w:b w:val="0"/>
          <w:bCs/>
        </w:rPr>
        <w:t xml:space="preserve">. Even more substantial </w:t>
      </w:r>
      <w:r w:rsidR="748ACC7E" w:rsidRPr="00A9434B">
        <w:rPr>
          <w:b w:val="0"/>
          <w:bCs/>
        </w:rPr>
        <w:t>information</w:t>
      </w:r>
      <w:r w:rsidR="6795121D" w:rsidRPr="00A9434B">
        <w:rPr>
          <w:b w:val="0"/>
          <w:bCs/>
        </w:rPr>
        <w:t xml:space="preserve"> gap</w:t>
      </w:r>
      <w:r w:rsidR="7247C4B3" w:rsidRPr="00A9434B">
        <w:rPr>
          <w:b w:val="0"/>
          <w:bCs/>
        </w:rPr>
        <w:t>s</w:t>
      </w:r>
      <w:r w:rsidR="6795121D" w:rsidRPr="00A9434B">
        <w:rPr>
          <w:b w:val="0"/>
          <w:bCs/>
        </w:rPr>
        <w:t xml:space="preserve"> occur in the marine realm where only a small proportion of organisms have been evaluated for their impact in their non-native range, particularly in the deep sea and pelagic open ocean. In a meta-analysis of the impacts of invasive macroalgae data </w:t>
      </w:r>
      <w:r w:rsidR="27F3C236" w:rsidRPr="00A9434B">
        <w:rPr>
          <w:b w:val="0"/>
          <w:bCs/>
        </w:rPr>
        <w:t xml:space="preserve">on </w:t>
      </w:r>
      <w:r w:rsidR="6795121D" w:rsidRPr="00A9434B">
        <w:rPr>
          <w:b w:val="0"/>
          <w:bCs/>
        </w:rPr>
        <w:t xml:space="preserve">only 12 species were </w:t>
      </w:r>
      <w:r w:rsidR="27F3C236" w:rsidRPr="00A9434B">
        <w:rPr>
          <w:b w:val="0"/>
          <w:bCs/>
        </w:rPr>
        <w:t>found</w:t>
      </w:r>
      <w:r w:rsidR="6795121D" w:rsidRPr="00A9434B">
        <w:rPr>
          <w:b w:val="0"/>
          <w:bCs/>
        </w:rPr>
        <w:t xml:space="preserve">, of which only eight had experimental evidence of impact </w:t>
      </w:r>
      <w:r w:rsidR="00635D23" w:rsidRPr="00A9434B">
        <w:rPr>
          <w:b w:val="0"/>
          <w:bCs/>
          <w:i/>
          <w:iCs/>
        </w:rPr>
        <w:fldChar w:fldCharType="begin"/>
      </w:r>
      <w:r w:rsidR="0006613E">
        <w:rPr>
          <w:b w:val="0"/>
          <w:bCs/>
        </w:rPr>
        <w:instrText xml:space="preserve"> ADDIN ZOTERO_ITEM CSL_CITATION {"citationID":"a1dku3v9fq2","properties":{"formattedCitation":"(Maggi et al., 2015)","plainCitation":"(Maggi et al., 2015)","noteIndex":0},"citationItems":[{"id":22684,"uris":["http://zotero.org/groups/2352922/items/KF7QJ7E8"],"itemData":{"id":22684,"type":"article-journal","container-title":"Diversity and Distributions","DOI":"10.1111/ddi.12264","ISSN":"1366-9516, 1472-4642","issue":"1","journalAbbreviation":"Diversity Distrib.","language":"en","page":"1-12","source":"DOI.</w:instrText>
      </w:r>
      <w:r w:rsidR="0006613E">
        <w:rPr>
          <w:rFonts w:hint="eastAsia"/>
          <w:b w:val="0"/>
          <w:bCs/>
        </w:rPr>
        <w:instrText>org (Crossref)","title":"Ecological impacts of invading seaweeds: a meta</w:instrText>
      </w:r>
      <w:r w:rsidR="0006613E">
        <w:rPr>
          <w:rFonts w:hint="eastAsia"/>
          <w:b w:val="0"/>
          <w:bCs/>
        </w:rPr>
        <w:instrText>‐</w:instrText>
      </w:r>
      <w:r w:rsidR="0006613E">
        <w:rPr>
          <w:rFonts w:hint="eastAsia"/>
          <w:b w:val="0"/>
          <w:bCs/>
        </w:rPr>
        <w:instrText>analysis of their effects at different trophic levels","title-short":"Ecological impacts of invading seaweeds","URL":"https://onlinelibrary.wiley.com/doi/abs/10.1111/ddi.12264","volume":"21","author":[{"family":"Maggi","given":"E."},{"family":"Benedetti</w:instrText>
      </w:r>
      <w:r w:rsidR="0006613E">
        <w:rPr>
          <w:rFonts w:hint="eastAsia"/>
          <w:b w:val="0"/>
          <w:bCs/>
        </w:rPr>
        <w:instrText>‐</w:instrText>
      </w:r>
      <w:r w:rsidR="0006613E">
        <w:rPr>
          <w:rFonts w:hint="eastAsia"/>
          <w:b w:val="0"/>
          <w:bCs/>
        </w:rPr>
        <w:instrText>Cecchi","given":"L."},{"family":"Castelli","given":"A."},{"family":"Chatzinikolaou","given":"E."},{"family":"Crowe","given":"T. P."},{"family":"Ghedini","given":"G."},{"family":"Kotta</w:instrText>
      </w:r>
      <w:r w:rsidR="0006613E">
        <w:rPr>
          <w:b w:val="0"/>
          <w:bCs/>
        </w:rPr>
        <w:instrText xml:space="preserve">","given":"J."},{"family":"Lyons","given":"D. A."},{"family":"Ravaglioli","given":"C."},{"family":"Rilov","given":"G."},{"family":"Rindi","given":"L."},{"family":"Bulleri","given":"F."}],"editor":[{"family":"MacIsaac","given":"Hugh"}],"accessed":{"date-parts":[["2020",6,10]]},"issued":{"date-parts":[["2015",1]]}},"label":"page"}],"schema":"https://github.com/citation-style-language/schema/raw/master/csl-citation.json"} </w:instrText>
      </w:r>
      <w:r w:rsidR="00635D23" w:rsidRPr="00A9434B">
        <w:rPr>
          <w:b w:val="0"/>
          <w:bCs/>
          <w:i/>
          <w:iCs/>
        </w:rPr>
        <w:fldChar w:fldCharType="separate"/>
      </w:r>
      <w:r w:rsidR="00C71E80" w:rsidRPr="00A9434B">
        <w:rPr>
          <w:b w:val="0"/>
          <w:bCs/>
        </w:rPr>
        <w:t>(Maggi et al., 2015)</w:t>
      </w:r>
      <w:r w:rsidR="00635D23" w:rsidRPr="00A9434B">
        <w:rPr>
          <w:b w:val="0"/>
          <w:bCs/>
          <w:i/>
          <w:iCs/>
        </w:rPr>
        <w:fldChar w:fldCharType="end"/>
      </w:r>
      <w:r w:rsidR="6795121D" w:rsidRPr="00A9434B">
        <w:rPr>
          <w:b w:val="0"/>
          <w:bCs/>
        </w:rPr>
        <w:t>. Another review of marine aliens in Europe found only 13</w:t>
      </w:r>
      <w:r w:rsidR="00B97803" w:rsidRPr="00A9434B">
        <w:rPr>
          <w:b w:val="0"/>
          <w:bCs/>
        </w:rPr>
        <w:t xml:space="preserve"> per cent</w:t>
      </w:r>
      <w:r w:rsidR="6795121D" w:rsidRPr="00A9434B">
        <w:rPr>
          <w:b w:val="0"/>
          <w:bCs/>
        </w:rPr>
        <w:t xml:space="preserve"> of the reported impacts were supported by experiments and most were only inferred from abundance of the alien and co-occurrence with potentially impacted native species </w:t>
      </w:r>
      <w:r w:rsidR="00635D23" w:rsidRPr="00A9434B">
        <w:rPr>
          <w:b w:val="0"/>
          <w:bCs/>
          <w:i/>
          <w:iCs/>
        </w:rPr>
        <w:fldChar w:fldCharType="begin"/>
      </w:r>
      <w:r w:rsidR="0006613E">
        <w:rPr>
          <w:b w:val="0"/>
          <w:bCs/>
        </w:rPr>
        <w:instrText xml:space="preserve"> ADDIN ZOTERO_ITEM CSL_CITATION {"citationID":"a2l92n66g04","properties":{"formattedCitation":"(Katsanevakis et al., 2014)","plainCitation":"(Katsanevakis et al., 2014)","noteIndex":0},"citationItems":[{"id":31137,"uris":["http://zotero.org/groups/2352922/items/MJ6VJFAQ"],"itemData":{"id":31137,"type":"article-journal","abstract":"A good understanding of the mechanisms and magnitude of the impact of invasive alien species on ecosystem services and biodiversity is a prerequisite for the efficient prioritisation of actions to prevent new invasions or for developing mitigation measures. In this review, we identified alien marine species that have a high impact on ecosystem services and biodiversity in European seas, classified the mechanisms of impact, commented on the methods applied for assessing the impact and the related inferential strength, and reported on gaps in available information. Furthermore, we have proposed an updated inventory of 87 marine species in Europe, representing 13 phyla, which have a documented high impact on ecosystem services or biodiversity.","container-title":"Aquatic Invasions","DOI":"10.3391/ai.2014.9.4.01","ISSN":"18185487","issue":"4","journalAbbreviation":"AI","language":"en","page":"391-423","source":"DOI.org (Crossref)","title":"Impacts of invasive alien marine species on ecosystem services and biodiversity: a pan-European review","title-short":"Impacts of invasive alien marine species on ecosystem services and biodiversity","URL":"http://www.aquaticinvasions.net/2014/issue4.html","volume":"9","author":[{"family":"Katsanevakis","given":"Stelios"},{"family":"Wallentinus","given":"Inger"},{"family":"Zenetos","given":"Argyro"},{"family":"Leppäkoski","given":"Erkki"},{"family":"Çinar","given":"Melih Ertan"},{"family":"Oztürk","given":"Bayram"},{"family":"Grabowski","given":"Michal"},{"family":"Golani","given":"Daniel"},{"family":"Cardoso","given":"Ana Cristina"}],"accessed":{"date-parts":[["2020",6,16]]},"issued":{"date-parts":[["2014",11]]}},"label":"page"}],"schema":"https://github.com/citation-style-language/schema/raw/master/csl-citation.json"} </w:instrText>
      </w:r>
      <w:r w:rsidR="00635D23" w:rsidRPr="00A9434B">
        <w:rPr>
          <w:b w:val="0"/>
          <w:bCs/>
          <w:i/>
          <w:iCs/>
        </w:rPr>
        <w:fldChar w:fldCharType="separate"/>
      </w:r>
      <w:r w:rsidR="00C71E80" w:rsidRPr="00F27FC5">
        <w:rPr>
          <w:b w:val="0"/>
          <w:bCs/>
          <w:lang w:val="de-DE"/>
        </w:rPr>
        <w:t>(Katsanevakis et al., 2014)</w:t>
      </w:r>
      <w:r w:rsidR="00635D23" w:rsidRPr="00A9434B">
        <w:rPr>
          <w:b w:val="0"/>
          <w:bCs/>
          <w:i/>
          <w:iCs/>
        </w:rPr>
        <w:fldChar w:fldCharType="end"/>
      </w:r>
      <w:r w:rsidR="639933B3" w:rsidRPr="00A9434B">
        <w:rPr>
          <w:b w:val="0"/>
          <w:bCs/>
          <w:i/>
          <w:iCs/>
        </w:rPr>
        <w:fldChar w:fldCharType="begin"/>
      </w:r>
      <w:r w:rsidR="639933B3" w:rsidRPr="00F27FC5">
        <w:rPr>
          <w:b w:val="0"/>
          <w:bCs/>
          <w:lang w:val="de-DE"/>
        </w:rPr>
        <w:instrText>ADDIN EN.CITE &lt;EndNote&gt;&lt;Cite&gt;&lt;Author&gt;Katsanevakis&lt;/Author&gt;&lt;Year&gt;2014&lt;/Year&gt;&lt;RecNum&gt;370&lt;/RecNum&gt;&lt;DisplayText&gt;(Katsanevakis, Wallentinus et al. 2014)&lt;/DisplayText&gt;&lt;record&gt;&lt;rec-number&gt;227&lt;/rec-number&gt;&lt;foreign-keys&gt;&lt;key app="EN" db-id="0d55paxdcvwpebe55d1vrz5ne2pattprarta" timestamp="1597992734"&gt;227&lt;/key&gt;&lt;/foreign-keys&gt;&lt;ref-type name="Journal Article"&gt;17&lt;/ref-type&gt;&lt;contributors&gt;&lt;authors&gt;&lt;author&gt;Katsanevakis, Stelios&lt;/author&gt;&lt;author&gt;Wallentinus, Inger&lt;/author&gt;&lt;author&gt;Zenetos, Argyro&lt;/author&gt;&lt;author&gt;Leppäkoski, Erkki&lt;/author&gt;&lt;author&gt;Çinar, Melih Ertan&lt;/author&gt;&lt;author&gt;Oztürk, Bayram&lt;/author&gt;&lt;author&gt;Grabowski, Michal&lt;/author&gt;&lt;author&gt;Golani, Daniel&lt;/author&gt;&lt;author&gt;Cardoso, Ana Cristina&lt;/author&gt;&lt;/authors&gt;&lt;/contributors&gt;&lt;titles&gt;&lt;title&gt;Impacts of invasive alien marine species on ecosystem services and biodiversity: a pan-European review&lt;/title&gt;&lt;secondary-title&gt;Aquatic Invasions&lt;/secondary-title&gt;&lt;alt-title&gt;AI&lt;/alt-title&gt;&lt;short-title&gt;Impacts of invasive alien marine species on ecosystem services and biodiversity&lt;/short-title&gt;&lt;/titles&gt;&lt;periodical&gt;&lt;full-title&gt;Aquatic Invasions&lt;/full-title&gt;&lt;/periodical&gt;&lt;pages&gt;391-423&lt;/pages&gt;&lt;volume&gt;9&lt;/volume&gt;&lt;number&gt;4&lt;/number&gt;&lt;dates&gt;&lt;year&gt;2014&lt;/year&gt;&lt;pub-dates&gt;&lt;date&gt;2014/11//&lt;/date&gt;&lt;/pub-dates&gt;&lt;/dates&gt;&lt;isbn&gt;18185487&lt;/isbn&gt;&lt;urls&gt;&lt;related-urls&gt;&lt;url&gt;http://www.aquaticinvasions.net/2014/issue4.html&lt;/url&gt;&lt;/related-urls&gt;&lt;/urls&gt;&lt;electronic-resource-num&gt;10.3391/ai.2014.9.4.01&lt;/electronic-resource-num&gt;&lt;remote-database-provider&gt;DOI.org (Crossref)&lt;/remote-database-provider&gt;&lt;access-date&gt;2020/06/16/07:38:55&lt;/access-date&gt;&lt;/record&gt;&lt;/Cite&gt;&lt;/EndNote&gt;</w:instrText>
      </w:r>
      <w:r w:rsidR="639933B3" w:rsidRPr="00A9434B">
        <w:rPr>
          <w:b w:val="0"/>
          <w:bCs/>
          <w:i/>
          <w:iCs/>
        </w:rPr>
        <w:fldChar w:fldCharType="end"/>
      </w:r>
      <w:r w:rsidR="6795121D" w:rsidRPr="00F27FC5">
        <w:rPr>
          <w:b w:val="0"/>
          <w:bCs/>
          <w:lang w:val="de-DE"/>
        </w:rPr>
        <w:t xml:space="preserve">. </w:t>
      </w:r>
      <w:r w:rsidR="7C342CDB" w:rsidRPr="00F27FC5">
        <w:rPr>
          <w:b w:val="0"/>
          <w:bCs/>
          <w:lang w:val="de-DE"/>
        </w:rPr>
        <w:t>See</w:t>
      </w:r>
      <w:r w:rsidR="0E029C8B" w:rsidRPr="00F27FC5">
        <w:rPr>
          <w:b w:val="0"/>
          <w:bCs/>
          <w:lang w:val="de-DE"/>
        </w:rPr>
        <w:t xml:space="preserve"> </w:t>
      </w:r>
      <w:r w:rsidR="00095F2C">
        <w:rPr>
          <w:bCs/>
          <w:iCs/>
          <w:lang w:val="de-DE"/>
        </w:rPr>
        <w:t>C</w:t>
      </w:r>
      <w:r w:rsidR="0E029C8B" w:rsidRPr="00673554">
        <w:rPr>
          <w:bCs/>
          <w:iCs/>
          <w:lang w:val="de-DE"/>
        </w:rPr>
        <w:t>hapter 4</w:t>
      </w:r>
      <w:r w:rsidR="7C342CDB" w:rsidRPr="00673554">
        <w:rPr>
          <w:b w:val="0"/>
          <w:bCs/>
          <w:iCs/>
          <w:lang w:val="de-DE"/>
        </w:rPr>
        <w:t>,</w:t>
      </w:r>
      <w:r w:rsidR="7C342CDB" w:rsidRPr="00673554">
        <w:rPr>
          <w:bCs/>
          <w:iCs/>
          <w:lang w:val="de-DE"/>
        </w:rPr>
        <w:t xml:space="preserve"> section 4.7.2</w:t>
      </w:r>
      <w:r w:rsidR="7C342CDB" w:rsidRPr="00F27FC5">
        <w:rPr>
          <w:b w:val="0"/>
          <w:bCs/>
          <w:lang w:val="de-DE"/>
        </w:rPr>
        <w:t>,</w:t>
      </w:r>
      <w:r w:rsidR="0E029C8B" w:rsidRPr="00F27FC5">
        <w:rPr>
          <w:b w:val="0"/>
          <w:bCs/>
          <w:lang w:val="de-DE"/>
        </w:rPr>
        <w:t xml:space="preserve"> </w:t>
      </w:r>
      <w:r w:rsidR="13AE105D" w:rsidRPr="00F27FC5">
        <w:rPr>
          <w:b w:val="0"/>
          <w:bCs/>
          <w:lang w:val="de-DE"/>
        </w:rPr>
        <w:t>for more details on the data and information needs to understand impacts</w:t>
      </w:r>
      <w:r w:rsidR="00EB415D">
        <w:rPr>
          <w:b w:val="0"/>
          <w:bCs/>
          <w:lang w:val="de-DE"/>
        </w:rPr>
        <w:t xml:space="preserve"> and</w:t>
      </w:r>
      <w:r w:rsidR="7D2CD31B" w:rsidRPr="00F27FC5">
        <w:rPr>
          <w:b w:val="0"/>
          <w:bCs/>
          <w:lang w:val="de-DE"/>
        </w:rPr>
        <w:t xml:space="preserve"> </w:t>
      </w:r>
      <w:r w:rsidR="00095F2C">
        <w:rPr>
          <w:bCs/>
          <w:iCs/>
          <w:lang w:val="de-DE"/>
        </w:rPr>
        <w:t>C</w:t>
      </w:r>
      <w:r w:rsidR="7D2CD31B" w:rsidRPr="00673554">
        <w:rPr>
          <w:bCs/>
          <w:iCs/>
          <w:lang w:val="de-DE"/>
        </w:rPr>
        <w:t>hapter 5</w:t>
      </w:r>
      <w:r w:rsidR="7D2CD31B" w:rsidRPr="00673554">
        <w:rPr>
          <w:b w:val="0"/>
          <w:bCs/>
          <w:iCs/>
          <w:lang w:val="de-DE"/>
        </w:rPr>
        <w:t>,</w:t>
      </w:r>
      <w:r w:rsidR="7D2CD31B" w:rsidRPr="00673554">
        <w:rPr>
          <w:bCs/>
          <w:iCs/>
          <w:lang w:val="de-DE"/>
        </w:rPr>
        <w:t xml:space="preserve"> section 5.2</w:t>
      </w:r>
      <w:r w:rsidR="7D2CD31B" w:rsidRPr="00F27FC5">
        <w:rPr>
          <w:b w:val="0"/>
          <w:bCs/>
          <w:lang w:val="de-DE"/>
        </w:rPr>
        <w:t>, for other use in decision</w:t>
      </w:r>
      <w:r w:rsidR="671880B5" w:rsidRPr="00F27FC5">
        <w:rPr>
          <w:b w:val="0"/>
          <w:bCs/>
          <w:lang w:val="de-DE"/>
        </w:rPr>
        <w:t>-</w:t>
      </w:r>
      <w:r w:rsidR="7D2CD31B" w:rsidRPr="00F27FC5">
        <w:rPr>
          <w:b w:val="0"/>
          <w:bCs/>
          <w:lang w:val="de-DE"/>
        </w:rPr>
        <w:t>making.</w:t>
      </w:r>
    </w:p>
    <w:p w14:paraId="1C1595F4" w14:textId="2F2698EA" w:rsidR="00CC4659" w:rsidRPr="00A9434B" w:rsidRDefault="00967D3F" w:rsidP="00585D0E">
      <w:pPr>
        <w:pStyle w:val="Heading5"/>
        <w:rPr>
          <w:b w:val="0"/>
          <w:bCs/>
        </w:rPr>
      </w:pPr>
      <w:r w:rsidRPr="00A9434B">
        <w:t xml:space="preserve">(3) </w:t>
      </w:r>
      <w:r w:rsidR="00CC4659" w:rsidRPr="00A9434B">
        <w:t>Reducing geographic bias in research</w:t>
      </w:r>
      <w:r w:rsidR="00901791" w:rsidRPr="00A9434B">
        <w:br/>
      </w:r>
      <w:r w:rsidR="00C46680">
        <w:rPr>
          <w:b w:val="0"/>
        </w:rPr>
        <w:t xml:space="preserve">Invasive alien species </w:t>
      </w:r>
      <w:r w:rsidR="2CC2BBCF" w:rsidRPr="00A9434B">
        <w:rPr>
          <w:b w:val="0"/>
          <w:bCs/>
        </w:rPr>
        <w:t>are pervasive</w:t>
      </w:r>
      <w:r w:rsidR="00096BEF" w:rsidRPr="00A9434B">
        <w:rPr>
          <w:b w:val="0"/>
          <w:bCs/>
        </w:rPr>
        <w:t>,</w:t>
      </w:r>
      <w:r w:rsidR="2CC2BBCF" w:rsidRPr="00A9434B">
        <w:rPr>
          <w:b w:val="0"/>
          <w:bCs/>
        </w:rPr>
        <w:t xml:space="preserve"> but there is disparity of data availability and research efforts across geographic regions. All the studies that examined geographic patterns of data availability (</w:t>
      </w:r>
      <w:r w:rsidR="003B193D" w:rsidRPr="00A9434B">
        <w:rPr>
          <w:b w:val="0"/>
          <w:bCs/>
        </w:rPr>
        <w:t xml:space="preserve">i.e., </w:t>
      </w:r>
      <w:r w:rsidR="2CC2BBCF" w:rsidRPr="00A9434B">
        <w:rPr>
          <w:b w:val="0"/>
          <w:bCs/>
        </w:rPr>
        <w:t>species occurrence data) and research effort (</w:t>
      </w:r>
      <w:r w:rsidR="003B193D" w:rsidRPr="00A9434B">
        <w:rPr>
          <w:b w:val="0"/>
          <w:bCs/>
        </w:rPr>
        <w:t xml:space="preserve">i.e., </w:t>
      </w:r>
      <w:r w:rsidR="2CC2BBCF" w:rsidRPr="00A9434B">
        <w:rPr>
          <w:b w:val="0"/>
          <w:bCs/>
        </w:rPr>
        <w:t>publication efforts, ecological study sites) showed geographic biases with a general pattern of high data availability and research efforts in Europe, Australia and North America and low availability in Asia and Afric</w:t>
      </w:r>
      <w:r w:rsidR="2CC2BBCF" w:rsidRPr="001738E7">
        <w:rPr>
          <w:b w:val="0"/>
          <w:bCs/>
        </w:rPr>
        <w:t xml:space="preserve">a </w:t>
      </w:r>
      <w:r w:rsidR="00635D23" w:rsidRPr="001738E7">
        <w:rPr>
          <w:b w:val="0"/>
          <w:bCs/>
          <w:i/>
          <w:iCs/>
        </w:rPr>
        <w:fldChar w:fldCharType="begin"/>
      </w:r>
      <w:r w:rsidR="002D2756">
        <w:rPr>
          <w:b w:val="0"/>
          <w:bCs/>
        </w:rPr>
        <w:instrText xml:space="preserve"> ADDIN ZOTERO_ITEM CSL_CITATION {"citationID":"D4ze9Esl","properties":{"formattedCitation":"(Boakes et al., 2010; Yesson et al., 2007)","plainCitation":"(Boakes et al., 2010; Yesson et al., 2007)","dontUpdate":true,"noteIndex":0},"citationItems":[{"id":11497,"uris":["http://zotero.org/groups/2352922/items/K324CWYW"],"itemData":{"id":11497,"type":"article-journal","abstract":"Boakes et al. compile and analyze a historical dataset of 170,000 bird sightings over two centuries and show how changing trends in data gathering may confound a true picture of biodiversity change.","container-title":"PLoS Biology","DOI":"10.1371/journal.pbio.1000385","ISSN":"1545-7885","issue":"6","journalAbbreviation":"PLoS Biol","language":"en","page":"e1000385","source":"DOI.org (Crossref)","title":"Distorted Views of Biodiversity: Spatial and Temporal Bias in Species Occurrence Data","title-short":"Distorted Views of Biodiversity","URL":"https://dx.plos.org/10.1371/journal.pbio.1000385","volume":"8","author":[{"family":"Boakes","given":"Elizabeth H."},{"family":"McGowan","given":"Philip J. K."},{"family":"Fuller","given":"Richard A."},{"family":"Chang-qing","given":"Ding"},{"family":"Clark","given":"Natalie E."},{"family":"O'Connor","given":"Kim"},{"family":"Mace","given":"Georgina M."}],"accessed":{"date-parts":[["2020",6,15]]},"issued":{"date-parts":[["2010",6,1]]}},"label":"page"},{"id":24261,"uris":["http://zotero.org/groups/2352922/items/FIADMGRF"],"itemData":{"id":24261,"type":"article-journal","abstract":"There is a concerted global effort to digitize biodiversity occurrence data from herbarium and museum collections that together offer an unparalleled archive of life on Earth over the past few centuries. The Global Biodiversity Information Facility provides the largest single gateway to these data. Since 2004 it has provided a single point of access to specimen data from databases of biological surveys and collections. Biologists now have rapid access to more than 120 million observations, for use in many biological analyses. We investigate the quality and coverage of data digitally available, from the perspective of a biologist seeking distribution data for spatial analysis on a global scale. We present an example of automatic verification of geographic data using distributions from the International Legume Database and Information Service to test empirically, issues of geographic coverage and accuracy. There are over 1/2 million records covering 31% of all Legume species, and 84% of these records pass geographic validation. These data are not yet a global biodiversity resource for all species, or all countries. A user will encounter many biases and gaps in these data which should be understood before data are used or analyzed. The data are notably deficient in many of the world's biodiversity hotspots. The deficiencies in data coverage can be resolved by an increased application of resources to digitize and publish data throughout these most diverse regions. But in the push to provide ever more data online, we should not forget that consistent data quality is of paramount importance if the data are to be useful in capturing a meaningful picture of life on Earth.","container-title":"PLoS ONE","DOI":"10.1371/journal.pone.0001124","ISSN":"1932-6203","issue":"11","journalAbbreviation":"PLOS ONE","language":"en","page":"e1124","source":"PLoS Journals","title":"How Global Is the Global Biodiversity Information Facility?","URL":"https://journals.plos.org/plosone/article?id=10.1371/journal.pone.0001124","volume":"2","author":[{"family":"Yesson","given":"Chris"},{"family":"Brewer","given":"Peter W."},{"family":"Sutton","given":"Tim"},{"family":"Caithness","given":"Neil"},{"family":"Pahwa","given":"Jaspreet S."},{"family":"Burgess","given":"Mikhaila"},{"family":"Gray","given":"W. Alec"},{"family":"White","given":"Richard J."},{"family":"Jones","given":"Andrew C."},{"family":"Bisby","given":"Frank A."},{"family":"Culham","given":"Alastair"}],"accessed":{"date-parts":[["2019",4,15]]},"issued":{"date-parts":[["2007",11,7]]}},"label":"page"}],"schema":"https://github.com/citation-style-language/schema/raw/master/csl-citation.json"} </w:instrText>
      </w:r>
      <w:r w:rsidR="00635D23" w:rsidRPr="001738E7">
        <w:rPr>
          <w:b w:val="0"/>
          <w:bCs/>
          <w:i/>
          <w:iCs/>
        </w:rPr>
        <w:fldChar w:fldCharType="separate"/>
      </w:r>
      <w:r w:rsidR="001738E7" w:rsidRPr="001738E7">
        <w:rPr>
          <w:b w:val="0"/>
        </w:rPr>
        <w:t>(Boakes et al., 2010; Yesson et al., 2007</w:t>
      </w:r>
      <w:r w:rsidR="00635D23" w:rsidRPr="001738E7">
        <w:rPr>
          <w:b w:val="0"/>
          <w:bCs/>
          <w:i/>
          <w:iCs/>
        </w:rPr>
        <w:fldChar w:fldCharType="end"/>
      </w:r>
      <w:r w:rsidR="639933B3" w:rsidRPr="001738E7">
        <w:rPr>
          <w:b w:val="0"/>
          <w:bCs/>
          <w:i/>
          <w:iCs/>
        </w:rPr>
        <w:fldChar w:fldCharType="begin"/>
      </w:r>
      <w:r w:rsidR="639933B3" w:rsidRPr="001738E7">
        <w:rPr>
          <w:b w:val="0"/>
          <w:bCs/>
        </w:rPr>
        <w:instrText>ADDIN EN.CITE</w:instrText>
      </w:r>
      <w:r w:rsidR="639933B3" w:rsidRPr="001738E7">
        <w:rPr>
          <w:b w:val="0"/>
          <w:bCs/>
          <w:i/>
          <w:iCs/>
        </w:rPr>
        <w:fldChar w:fldCharType="begin"/>
      </w:r>
      <w:r w:rsidR="639933B3" w:rsidRPr="001738E7">
        <w:rPr>
          <w:b w:val="0"/>
          <w:bCs/>
        </w:rPr>
        <w:instrText>ADDIN EN.CITE.DATA</w:instrText>
      </w:r>
      <w:r w:rsidR="639933B3" w:rsidRPr="001738E7">
        <w:rPr>
          <w:b w:val="0"/>
          <w:bCs/>
          <w:i/>
          <w:iCs/>
        </w:rPr>
        <w:fldChar w:fldCharType="end"/>
      </w:r>
      <w:r w:rsidR="639933B3" w:rsidRPr="001738E7">
        <w:rPr>
          <w:b w:val="0"/>
          <w:bCs/>
          <w:i/>
          <w:iCs/>
        </w:rPr>
        <w:fldChar w:fldCharType="end"/>
      </w:r>
      <w:r w:rsidR="00635D23" w:rsidRPr="001738E7">
        <w:rPr>
          <w:b w:val="0"/>
          <w:bCs/>
        </w:rPr>
        <w:t xml:space="preserve">; </w:t>
      </w:r>
      <w:r w:rsidR="00095F2C">
        <w:rPr>
          <w:bCs/>
          <w:iCs/>
        </w:rPr>
        <w:t>C</w:t>
      </w:r>
      <w:r w:rsidR="003616A4" w:rsidRPr="00673554">
        <w:rPr>
          <w:bCs/>
          <w:iCs/>
        </w:rPr>
        <w:t>hapter 2</w:t>
      </w:r>
      <w:r w:rsidR="003616A4" w:rsidRPr="00673554">
        <w:rPr>
          <w:b w:val="0"/>
          <w:bCs/>
          <w:iCs/>
        </w:rPr>
        <w:t>,</w:t>
      </w:r>
      <w:r w:rsidR="003616A4" w:rsidRPr="00673554">
        <w:rPr>
          <w:bCs/>
          <w:iCs/>
        </w:rPr>
        <w:t xml:space="preserve"> Figure 2.6</w:t>
      </w:r>
      <w:r w:rsidR="003616A4" w:rsidRPr="00A9434B">
        <w:rPr>
          <w:b w:val="0"/>
          <w:bCs/>
        </w:rPr>
        <w:t>)</w:t>
      </w:r>
      <w:r w:rsidR="2CC2BBCF" w:rsidRPr="00A9434B">
        <w:rPr>
          <w:b w:val="0"/>
          <w:bCs/>
        </w:rPr>
        <w:t xml:space="preserve">. </w:t>
      </w:r>
      <w:r w:rsidR="003616A4" w:rsidRPr="00A9434B">
        <w:rPr>
          <w:b w:val="0"/>
          <w:bCs/>
        </w:rPr>
        <w:t>Such geographic bias is also prevalent among scenarios and modelling studies related to invasive alien species (</w:t>
      </w:r>
      <w:r w:rsidR="00095F2C">
        <w:rPr>
          <w:bCs/>
          <w:iCs/>
        </w:rPr>
        <w:t>C</w:t>
      </w:r>
      <w:r w:rsidR="00901791" w:rsidRPr="00673554">
        <w:rPr>
          <w:bCs/>
          <w:iCs/>
        </w:rPr>
        <w:t>hapter 1</w:t>
      </w:r>
      <w:r w:rsidR="00901791" w:rsidRPr="00673554">
        <w:rPr>
          <w:b w:val="0"/>
          <w:bCs/>
          <w:iCs/>
        </w:rPr>
        <w:t>,</w:t>
      </w:r>
      <w:r w:rsidR="003616A4" w:rsidRPr="00673554">
        <w:rPr>
          <w:bCs/>
          <w:iCs/>
        </w:rPr>
        <w:t xml:space="preserve"> </w:t>
      </w:r>
      <w:r w:rsidR="00623111" w:rsidRPr="00673554">
        <w:rPr>
          <w:bCs/>
          <w:iCs/>
        </w:rPr>
        <w:t>section 1.6.7.3</w:t>
      </w:r>
      <w:r w:rsidR="003616A4" w:rsidRPr="00A9434B">
        <w:rPr>
          <w:b w:val="0"/>
          <w:bCs/>
        </w:rPr>
        <w:t xml:space="preserve">). </w:t>
      </w:r>
      <w:r w:rsidR="7C7B86BC" w:rsidRPr="00A9434B">
        <w:rPr>
          <w:b w:val="0"/>
          <w:bCs/>
        </w:rPr>
        <w:t>Geographic bias has already been highlighted in the other chapters</w:t>
      </w:r>
      <w:r w:rsidR="00EA3A80" w:rsidRPr="00A9434B">
        <w:rPr>
          <w:b w:val="0"/>
          <w:bCs/>
        </w:rPr>
        <w:t xml:space="preserve"> (</w:t>
      </w:r>
      <w:r w:rsidR="7C7B86BC" w:rsidRPr="00A9434B">
        <w:rPr>
          <w:b w:val="0"/>
          <w:bCs/>
        </w:rPr>
        <w:t xml:space="preserve">particularly </w:t>
      </w:r>
      <w:r w:rsidR="00095F2C">
        <w:rPr>
          <w:bCs/>
          <w:iCs/>
        </w:rPr>
        <w:t>C</w:t>
      </w:r>
      <w:r w:rsidR="7C7B86BC" w:rsidRPr="00673554">
        <w:rPr>
          <w:bCs/>
          <w:iCs/>
        </w:rPr>
        <w:t>hapter 2</w:t>
      </w:r>
      <w:r w:rsidR="00EA3A80" w:rsidRPr="00673554">
        <w:rPr>
          <w:b w:val="0"/>
          <w:bCs/>
          <w:iCs/>
        </w:rPr>
        <w:t>,</w:t>
      </w:r>
      <w:r w:rsidR="00EA3A80" w:rsidRPr="00673554">
        <w:rPr>
          <w:bCs/>
          <w:iCs/>
        </w:rPr>
        <w:t xml:space="preserve"> </w:t>
      </w:r>
      <w:r w:rsidR="00AF3836" w:rsidRPr="00673554">
        <w:rPr>
          <w:bCs/>
          <w:iCs/>
        </w:rPr>
        <w:t>Figure 2.6</w:t>
      </w:r>
      <w:r w:rsidR="00664433" w:rsidRPr="00A9434B">
        <w:rPr>
          <w:b w:val="0"/>
          <w:bCs/>
          <w:i/>
          <w:iCs/>
        </w:rPr>
        <w:t xml:space="preserve"> </w:t>
      </w:r>
      <w:r w:rsidR="00664433" w:rsidRPr="00A9434B">
        <w:rPr>
          <w:b w:val="0"/>
          <w:bCs/>
        </w:rPr>
        <w:t xml:space="preserve">and </w:t>
      </w:r>
      <w:r w:rsidR="00664433" w:rsidRPr="00673554">
        <w:rPr>
          <w:bCs/>
          <w:iCs/>
        </w:rPr>
        <w:t>section 2.4</w:t>
      </w:r>
      <w:r w:rsidR="00A31680" w:rsidRPr="00935C0C">
        <w:rPr>
          <w:b w:val="0"/>
          <w:bCs/>
        </w:rPr>
        <w:t>;</w:t>
      </w:r>
      <w:r w:rsidR="00477910" w:rsidRPr="00673554">
        <w:rPr>
          <w:bCs/>
          <w:iCs/>
        </w:rPr>
        <w:t xml:space="preserve"> </w:t>
      </w:r>
      <w:r w:rsidR="00095F2C">
        <w:rPr>
          <w:bCs/>
          <w:iCs/>
        </w:rPr>
        <w:t>C</w:t>
      </w:r>
      <w:r w:rsidR="00EA3A80" w:rsidRPr="00673554">
        <w:rPr>
          <w:bCs/>
          <w:iCs/>
        </w:rPr>
        <w:t xml:space="preserve">hapter </w:t>
      </w:r>
      <w:r w:rsidR="7C7B86BC" w:rsidRPr="00673554">
        <w:rPr>
          <w:bCs/>
          <w:iCs/>
        </w:rPr>
        <w:t>4</w:t>
      </w:r>
      <w:r w:rsidR="00EA3A80" w:rsidRPr="00673554">
        <w:rPr>
          <w:b w:val="0"/>
          <w:bCs/>
          <w:iCs/>
        </w:rPr>
        <w:t>,</w:t>
      </w:r>
      <w:r w:rsidR="00EA3A80" w:rsidRPr="00673554">
        <w:rPr>
          <w:bCs/>
          <w:iCs/>
        </w:rPr>
        <w:t xml:space="preserve"> section 4.7.2</w:t>
      </w:r>
      <w:r w:rsidR="00A31680" w:rsidRPr="00935C0C">
        <w:rPr>
          <w:b w:val="0"/>
          <w:bCs/>
        </w:rPr>
        <w:t>;</w:t>
      </w:r>
      <w:r w:rsidR="00EA3A80" w:rsidRPr="00673554">
        <w:rPr>
          <w:bCs/>
          <w:iCs/>
        </w:rPr>
        <w:t xml:space="preserve"> </w:t>
      </w:r>
      <w:r w:rsidR="00B9562C" w:rsidRPr="00673554">
        <w:rPr>
          <w:rFonts w:eastAsia="Calibri Light"/>
          <w:bCs/>
          <w:iCs/>
        </w:rPr>
        <w:fldChar w:fldCharType="begin"/>
      </w:r>
      <w:r w:rsidR="00B9562C" w:rsidRPr="00673554">
        <w:rPr>
          <w:rFonts w:eastAsia="Calibri Light"/>
          <w:bCs/>
          <w:iCs/>
        </w:rPr>
        <w:instrText xml:space="preserve"> REF _Ref104898829 \h  \* MERGEFORMAT </w:instrText>
      </w:r>
      <w:r w:rsidR="00B9562C" w:rsidRPr="00673554">
        <w:rPr>
          <w:rFonts w:eastAsia="Calibri Light"/>
          <w:bCs/>
          <w:iCs/>
        </w:rPr>
      </w:r>
      <w:r w:rsidR="00B9562C" w:rsidRPr="00673554">
        <w:rPr>
          <w:rFonts w:eastAsia="Calibri Light"/>
          <w:bCs/>
          <w:iCs/>
        </w:rPr>
        <w:fldChar w:fldCharType="separate"/>
      </w:r>
      <w:r w:rsidR="0011368C" w:rsidRPr="00673554">
        <w:rPr>
          <w:bCs/>
          <w:iCs/>
        </w:rPr>
        <w:t>Box 6.18</w:t>
      </w:r>
      <w:r w:rsidR="00B9562C" w:rsidRPr="00673554">
        <w:rPr>
          <w:rFonts w:eastAsia="Calibri Light"/>
          <w:bCs/>
          <w:iCs/>
        </w:rPr>
        <w:fldChar w:fldCharType="end"/>
      </w:r>
      <w:r w:rsidR="00901791" w:rsidRPr="00A9434B">
        <w:rPr>
          <w:rFonts w:eastAsia="Calibri Light"/>
          <w:b w:val="0"/>
          <w:bCs/>
        </w:rPr>
        <w:t>)</w:t>
      </w:r>
      <w:r w:rsidR="7C7B86BC" w:rsidRPr="00A9434B">
        <w:rPr>
          <w:b w:val="0"/>
          <w:bCs/>
        </w:rPr>
        <w:t>.</w:t>
      </w:r>
      <w:r w:rsidR="003616A4" w:rsidRPr="00A9434B">
        <w:rPr>
          <w:b w:val="0"/>
          <w:bCs/>
        </w:rPr>
        <w:t xml:space="preserve"> The recent publication of national checklists of invasive alien species for most of the world’s countries</w:t>
      </w:r>
      <w:r w:rsidR="0089769F" w:rsidRPr="00A9434B">
        <w:rPr>
          <w:b w:val="0"/>
          <w:bCs/>
        </w:rPr>
        <w:t xml:space="preserve"> helps to overcome this geographic bias, with the focus of these checklists</w:t>
      </w:r>
      <w:r w:rsidR="007F78C7">
        <w:rPr>
          <w:b w:val="0"/>
          <w:bCs/>
        </w:rPr>
        <w:t xml:space="preserve"> being</w:t>
      </w:r>
      <w:r w:rsidR="0089769F" w:rsidRPr="00A9434B">
        <w:rPr>
          <w:b w:val="0"/>
          <w:bCs/>
        </w:rPr>
        <w:t xml:space="preserve"> on invasive alien species with biodiversity impacts and not on all alien species</w:t>
      </w:r>
      <w:r w:rsidR="0089769F" w:rsidRPr="00935C0C">
        <w:rPr>
          <w:b w:val="0"/>
          <w:bCs/>
        </w:rPr>
        <w:t xml:space="preserve"> </w:t>
      </w:r>
      <w:r w:rsidR="00635D23" w:rsidRPr="00935C0C">
        <w:rPr>
          <w:b w:val="0"/>
          <w:bCs/>
          <w:i/>
          <w:iCs/>
        </w:rPr>
        <w:fldChar w:fldCharType="begin"/>
      </w:r>
      <w:r w:rsidR="002D2756">
        <w:rPr>
          <w:b w:val="0"/>
          <w:bCs/>
        </w:rPr>
        <w:instrText xml:space="preserve"> ADDIN ZOTERO_ITEM CSL_CITATION {"citationID":"a21a1bbk146","properties":{"formattedCitation":"(Pagad et al., 2022)","plainCitation":"(Pagad et al., 2022)","noteIndex":0},"citationItems":[{"id":52617,"uris":["http://zotero.org/groups/2352922/items/XKWUAWB5","http://zotero.org/groups/2352922/items/GAJN9YAZ"],"itemData":{"id":52617,"type":"article-journal","abstract":"The Country Compendium of the Global Register of Introduced and Invasive Species (GRIIS) is a collation of data across 196 individual country checklists of alien species, along with a designation of those species with evidence of impact at a country level. The Compendium provides a baseline for monitoring the distribution and invasion status of all major taxonomic groups, and can be used for the purpose of global analyses of introduced (alien, non-native, exotic) and invasive species (invasive alien species), including regional, single and multi-species taxon assessments and comparisons. It enables exploration of gaps and inferred absences of species across countries, and also provides one means for updating individual GRIIS Checklists. The Country Compendium is, for example, instrumental, along with data on first records of introduction, for assessing and reporting on invasive alien species targets, including for the Convention on Biological Diversity and Sustainable Development Goals. The GRIIS Country Compendium provides a baseline and mechanism for tracking the spread of introduced and invasive alien species across countries globally.Desig</w:instrText>
      </w:r>
      <w:r w:rsidR="002D2756">
        <w:rPr>
          <w:rFonts w:hint="eastAsia"/>
          <w:b w:val="0"/>
          <w:bCs/>
        </w:rPr>
        <w:instrText xml:space="preserve">n Type(s)Data integration objective </w:instrText>
      </w:r>
      <w:r w:rsidR="002D2756">
        <w:rPr>
          <w:rFonts w:hint="eastAsia"/>
          <w:b w:val="0"/>
          <w:bCs/>
        </w:rPr>
        <w:instrText>●</w:instrText>
      </w:r>
      <w:r w:rsidR="002D2756">
        <w:rPr>
          <w:rFonts w:hint="eastAsia"/>
          <w:b w:val="0"/>
          <w:bCs/>
        </w:rPr>
        <w:instrText xml:space="preserve"> Observation designMeasurement Type(s)Alien species occurrence </w:instrText>
      </w:r>
      <w:r w:rsidR="002D2756">
        <w:rPr>
          <w:rFonts w:hint="eastAsia"/>
          <w:b w:val="0"/>
          <w:bCs/>
        </w:rPr>
        <w:instrText>●</w:instrText>
      </w:r>
      <w:r w:rsidR="002D2756">
        <w:rPr>
          <w:rFonts w:hint="eastAsia"/>
          <w:b w:val="0"/>
          <w:bCs/>
        </w:rPr>
        <w:instrText xml:space="preserve"> Evidence of impact invasive alien species assessment objectiveTechnology Type(s)Agent expert </w:instrText>
      </w:r>
      <w:r w:rsidR="002D2756">
        <w:rPr>
          <w:rFonts w:hint="eastAsia"/>
          <w:b w:val="0"/>
          <w:bCs/>
        </w:rPr>
        <w:instrText>●</w:instrText>
      </w:r>
      <w:r w:rsidR="002D2756">
        <w:rPr>
          <w:rFonts w:hint="eastAsia"/>
          <w:b w:val="0"/>
          <w:bCs/>
        </w:rPr>
        <w:instrText xml:space="preserve"> Data collationFactor Type(s)Geographic location </w:instrText>
      </w:r>
      <w:r w:rsidR="002D2756">
        <w:rPr>
          <w:rFonts w:hint="eastAsia"/>
          <w:b w:val="0"/>
          <w:bCs/>
        </w:rPr>
        <w:instrText>●</w:instrText>
      </w:r>
      <w:r w:rsidR="002D2756">
        <w:rPr>
          <w:rFonts w:hint="eastAsia"/>
          <w:b w:val="0"/>
          <w:bCs/>
        </w:rPr>
        <w:instrText xml:space="preserve"> Origin / provenance </w:instrText>
      </w:r>
      <w:r w:rsidR="002D2756">
        <w:rPr>
          <w:rFonts w:hint="eastAsia"/>
          <w:b w:val="0"/>
          <w:bCs/>
        </w:rPr>
        <w:instrText>●</w:instrText>
      </w:r>
      <w:r w:rsidR="002D2756">
        <w:rPr>
          <w:rFonts w:hint="eastAsia"/>
          <w:b w:val="0"/>
          <w:bCs/>
        </w:rPr>
        <w:instrText xml:space="preserve"> HabitatSample Characteristics - OrganismAnimalia </w:instrText>
      </w:r>
      <w:r w:rsidR="002D2756">
        <w:rPr>
          <w:rFonts w:hint="eastAsia"/>
          <w:b w:val="0"/>
          <w:bCs/>
        </w:rPr>
        <w:instrText>●</w:instrText>
      </w:r>
      <w:r w:rsidR="002D2756">
        <w:rPr>
          <w:rFonts w:hint="eastAsia"/>
          <w:b w:val="0"/>
          <w:bCs/>
        </w:rPr>
        <w:instrText xml:space="preserve"> Bacteria </w:instrText>
      </w:r>
      <w:r w:rsidR="002D2756">
        <w:rPr>
          <w:rFonts w:hint="eastAsia"/>
          <w:b w:val="0"/>
          <w:bCs/>
        </w:rPr>
        <w:instrText>●</w:instrText>
      </w:r>
      <w:r w:rsidR="002D2756">
        <w:rPr>
          <w:rFonts w:hint="eastAsia"/>
          <w:b w:val="0"/>
          <w:bCs/>
        </w:rPr>
        <w:instrText xml:space="preserve"> Chromista </w:instrText>
      </w:r>
      <w:r w:rsidR="002D2756">
        <w:rPr>
          <w:rFonts w:hint="eastAsia"/>
          <w:b w:val="0"/>
          <w:bCs/>
        </w:rPr>
        <w:instrText>●</w:instrText>
      </w:r>
      <w:r w:rsidR="002D2756">
        <w:rPr>
          <w:rFonts w:hint="eastAsia"/>
          <w:b w:val="0"/>
          <w:bCs/>
        </w:rPr>
        <w:instrText xml:space="preserve"> Fungi </w:instrText>
      </w:r>
      <w:r w:rsidR="002D2756">
        <w:rPr>
          <w:rFonts w:hint="eastAsia"/>
          <w:b w:val="0"/>
          <w:bCs/>
        </w:rPr>
        <w:instrText>●</w:instrText>
      </w:r>
      <w:r w:rsidR="002D2756">
        <w:rPr>
          <w:rFonts w:hint="eastAsia"/>
          <w:b w:val="0"/>
          <w:bCs/>
        </w:rPr>
        <w:instrText xml:space="preserve"> Plantae </w:instrText>
      </w:r>
      <w:r w:rsidR="002D2756">
        <w:rPr>
          <w:rFonts w:hint="eastAsia"/>
          <w:b w:val="0"/>
          <w:bCs/>
        </w:rPr>
        <w:instrText>●</w:instrText>
      </w:r>
      <w:r w:rsidR="002D2756">
        <w:rPr>
          <w:rFonts w:hint="eastAsia"/>
          <w:b w:val="0"/>
          <w:bCs/>
        </w:rPr>
        <w:instrText xml:space="preserve"> Protista (Protozoa) </w:instrText>
      </w:r>
      <w:r w:rsidR="002D2756">
        <w:rPr>
          <w:rFonts w:hint="eastAsia"/>
          <w:b w:val="0"/>
          <w:bCs/>
        </w:rPr>
        <w:instrText>●</w:instrText>
      </w:r>
      <w:r w:rsidR="002D2756">
        <w:rPr>
          <w:rFonts w:hint="eastAsia"/>
          <w:b w:val="0"/>
          <w:bCs/>
        </w:rPr>
        <w:instrText xml:space="preserve"> VirusesSample Characteristics - LocationGlobal countries","container-title":"Scientific Data","DOI":"10.1038/s41597-022-01514-z</w:instrText>
      </w:r>
      <w:r w:rsidR="002D2756">
        <w:rPr>
          <w:b w:val="0"/>
          <w:bCs/>
        </w:rPr>
        <w:instrText xml:space="preserve">","ISSN":"2052-4463","issue":"1","journalAbbreviation":"Sci Data","language":"en","license":"2022 The Author(s)","page":"391","source":"www.nature.com","title":"Country Compendium of the Global Register of Introduced and Invasive Species","URL":"https://www.nature.com/articles/s41597-022-01514-z","volume":"9","author":[{"family":"Pagad","given":"Shyama"},{"family":"Bisset","given":"Stewart"},{"family":"Genovesi","given":"Piero"},{"family":"Groom","given":"Quentin"},{"family":"Hirsch","given":"Tim"},{"family":"Jetz","given":"Walter"},{"family":"Ranipeta","given":"Ajay"},{"family":"Schigel","given":"Dmitry"},{"family":"Sica","given":"Yanina V."},{"family":"McGeoch","given":"Melodie A."}],"accessed":{"date-parts":[["2022",7,25]]},"issued":{"date-parts":[["2022",7,9]]}},"label":"page"}],"schema":"https://github.com/citation-style-language/schema/raw/master/csl-citation.json"} </w:instrText>
      </w:r>
      <w:r w:rsidR="00635D23" w:rsidRPr="00935C0C">
        <w:rPr>
          <w:b w:val="0"/>
          <w:bCs/>
          <w:i/>
          <w:iCs/>
        </w:rPr>
        <w:fldChar w:fldCharType="separate"/>
      </w:r>
      <w:r w:rsidR="00D13761" w:rsidRPr="00673554">
        <w:rPr>
          <w:b w:val="0"/>
        </w:rPr>
        <w:t>(Pagad et al., 2022)</w:t>
      </w:r>
      <w:r w:rsidR="00635D23" w:rsidRPr="00935C0C">
        <w:rPr>
          <w:b w:val="0"/>
          <w:bCs/>
          <w:i/>
          <w:iCs/>
        </w:rPr>
        <w:fldChar w:fldCharType="end"/>
      </w:r>
      <w:r w:rsidR="0089769F" w:rsidRPr="00A9434B">
        <w:rPr>
          <w:b w:val="0"/>
          <w:bCs/>
        </w:rPr>
        <w:t>.</w:t>
      </w:r>
    </w:p>
    <w:p w14:paraId="032677DA" w14:textId="6918527D" w:rsidR="00CC4659" w:rsidRPr="00A9434B" w:rsidRDefault="00CC4659" w:rsidP="006B3143">
      <w:r w:rsidRPr="00A9434B">
        <w:rPr>
          <w:bCs/>
        </w:rPr>
        <w:t xml:space="preserve">A systematic review investigated </w:t>
      </w:r>
      <w:r w:rsidR="00C46680">
        <w:t xml:space="preserve">invasive alien species </w:t>
      </w:r>
      <w:r w:rsidRPr="00A9434B">
        <w:rPr>
          <w:bCs/>
        </w:rPr>
        <w:t>in n</w:t>
      </w:r>
      <w:r w:rsidRPr="00A9434B">
        <w:t xml:space="preserve">atural ecosystems </w:t>
      </w:r>
      <w:r w:rsidR="00635D23" w:rsidRPr="00A9434B">
        <w:fldChar w:fldCharType="begin"/>
      </w:r>
      <w:r w:rsidR="002D2756">
        <w:instrText xml:space="preserve"> ADDIN ZOTERO_ITEM CSL_CITATION {"citationID":"a2e7kja1ovm","properties":{"formattedCitation":"(Lowry et al., 2013)","plainCitation":"(Lowry et al., 2013)","noteIndex":0},"citationItems":[{"id":29102,"uris":["http://zotero.org/groups/2352922/items/ZRLVA9PP"],"itemData":{"id":29102,"type":"article-journal","abstract":"Species introductions of anthropogenic origins are a major aspect of rapid ecological change globally. Research on biological invasions has generated a large literature on many different aspects of this phenomenon. Here, we describe and categorize some aspects of this literature, to better understand what has been studied and what we know, mapping well-studied areas and important gaps. To do so, we employ the techniques of systematic reviewing widely adopted in other scientific disciplines, to further the use of approaches in reviewing the literature that are as scientific, repeatable, and transparent as those employed in a primary study. We identified 2398 relevant studies in a field synopsis of the biological invasions literature. A majority of these studies (58%) were concerned with hypotheses for causes of biological invasions, while studies on impacts of invasions were the next most common (32% of the publications). We examined 1537 papers in greater detail in a systematic review. Superior competitive abilities of invaders, environmental disturbance, and invaded community species richness were the most common hypotheses examined. Most studies examined only a single hypothesis. Almost half of the papers were field observational studies. Studies of terrestrial invasions dominate the literature, with most of these concerning plant invasions. The focus of the literature overall is uneven, with important gaps in areas of theoretical and practical importance. We employ the techniques of systematic reviewing and field synopses, widely adopted in other scientific disciplines, to describe and categorize a substantial portion of the literature on biological invasions, to better understand what has been studied and what we know, mapping well-studied areas and important gaps. Among other findings, we report that studies of terrestrial plant invasions dominate the literature, and we identify important gaps in areas of theoretical and practical importance. © 2012 The Authors. Ecology and Evolution published by Blackwell Publishing Ltd.","container-title":"Ecology and Evolution","DOI":"10.1002/ece3.431","ISSN":"2045-7758","issue":"1","journalAbbreviation":"Ecol Evol","page":"182-196","title":"Biological invasions: a field synopsis, systematic review, and database of the literature","title-short":"Biological invasions","URL":"https://www.scopus.com/inward/record.uri?eid=2-s2.0-84886259273&amp;doi=10.1002%2fece3.431&amp;partnerID=40&amp;md5=a6b39c3217275567a665ba33ba1edd51","volume":"3","author":[{"family":"Lowry","given":"E."},{"family":"Rollinson","given":"E.J."},{"family":"Laybourn","given":"A.J."},{"family":"Scott","given":"T.E."},{"family":"Aiello-Lammens","given":"M.E."},{"family":"Gray","given":"S.M."},{"family":"Mickley","given":"J."},{"family":"Gurevitch","given":"J."}],"issued":{"date-parts":[["2013",1]]}},"label":"page"}],"schema":"https://github.com/citation-style-language/schema/raw/master/csl-citation.json"} </w:instrText>
      </w:r>
      <w:r w:rsidR="00635D23" w:rsidRPr="00A9434B">
        <w:fldChar w:fldCharType="separate"/>
      </w:r>
      <w:r w:rsidR="00C71E80" w:rsidRPr="00A9434B">
        <w:t>(Lowry et al., 2013)</w:t>
      </w:r>
      <w:r w:rsidR="00635D23" w:rsidRPr="00A9434B">
        <w:fldChar w:fldCharType="end"/>
      </w:r>
      <w:r w:rsidRPr="00A9434B">
        <w:t xml:space="preserve"> </w:t>
      </w:r>
      <w:r w:rsidR="005B5FFE" w:rsidRPr="00A9434B">
        <w:t>and found that</w:t>
      </w:r>
      <w:r w:rsidRPr="00A9434B">
        <w:t xml:space="preserve"> such studies were mostly concentrated in North America, Western Europe, Eastern Australia, New Zealand</w:t>
      </w:r>
      <w:r w:rsidR="00EB415D">
        <w:t xml:space="preserve"> and</w:t>
      </w:r>
      <w:r w:rsidRPr="00A9434B">
        <w:t xml:space="preserve"> Hawaii, while there was a dearth of studies in countries located in the tropics, such as in Asia, Africa</w:t>
      </w:r>
      <w:r w:rsidR="00EB415D">
        <w:t xml:space="preserve"> and</w:t>
      </w:r>
      <w:r w:rsidRPr="00A9434B">
        <w:t xml:space="preserve"> Central and South America. This pattern is close to the geographic distribution of sites of overall ecological studies in terrestrial system</w:t>
      </w:r>
      <w:r w:rsidR="005B5FFE" w:rsidRPr="00A9434B">
        <w:t>s</w:t>
      </w:r>
      <w:r w:rsidRPr="00A9434B">
        <w:t xml:space="preserve"> </w:t>
      </w:r>
      <w:r w:rsidR="00635D23" w:rsidRPr="00A9434B">
        <w:fldChar w:fldCharType="begin"/>
      </w:r>
      <w:r w:rsidR="002D2756">
        <w:instrText xml:space="preserve"> ADDIN ZOTERO_ITEM CSL_CITATION {"citationID":"a1pil86nvql","properties":{"formattedCitation":"(L. J. Martin et al., 2012)","plainCitation":"(L. J. Martin et al., 2012)","noteIndex":0},"citationItems":[{"id":28961,"uris":["http://zotero.org/groups/2352922/items/ARTX29GJ"],"itemData":{"id":28961,"type":"article-journal","abstract":"Although the geographical context of ecological observations shapes ecological theory, the global distribution of ecological studies has never been analyzed. Here, we document the global distribution and context (protected status, biome, anthrome, and net primary productivity) of 2573 terrestrial study sites reported in recent publications (2004–2009) of 10 highly cited ecology journals. We find evidence of several geographical biases, including overrepresentation of protected areas, temperate deciduous woodlands, and wealthy countries. Even within densely settled or agricultural regions, ecologists tend to study “natural” fragments. Such biases in trendsetting journals may limit the scalability of ecological theory and hinder conservation efforts in the 75% of the terrestrial world where humans live and work.","container-title":"Frontiers in Ecology and the Environment","DOI":"10.1890/110154","ISSN":"1540-9309","issue":"4","journalAbbreviation":"Frontiers in Ecology and the Environment","language":"en","license":"© The Ecological Society of America","page":"195-201","source":"Wiley Online Library","title":"Mapping where ecologists work: biases in the global distribution of terrestrial ecological observations","title-short":"Mapping where ecologists work","URL":"https://esajournals.onlinelibrary.wiley.com/doi/abs/10.1890/110154","volume":"10","author":[{"family":"Martin","given":"Laura J."},{"family":"Blossey","given":"Bernd"},{"family":"Ellis","given":"Erle"}],"accessed":{"date-parts":[["2020",4,1]]},"issued":{"date-parts":[["2012"]]}},"label":"page"}],"schema":"https://github.com/citation-style-language/schema/raw/master/csl-citation.json"} </w:instrText>
      </w:r>
      <w:r w:rsidR="00635D23" w:rsidRPr="00A9434B">
        <w:fldChar w:fldCharType="separate"/>
      </w:r>
      <w:r w:rsidR="00C71E80" w:rsidRPr="00A9434B">
        <w:t>(L. J. Martin et al., 2012)</w:t>
      </w:r>
      <w:r w:rsidR="00635D23" w:rsidRPr="00A9434B">
        <w:fldChar w:fldCharType="end"/>
      </w:r>
      <w:r w:rsidRPr="00A9434B">
        <w:fldChar w:fldCharType="begin"/>
      </w:r>
      <w:r w:rsidRPr="00A9434B">
        <w:instrText>ADDIN EN.CITE &lt;EndNote&gt;&lt;Cite&gt;&lt;Author&gt;Martin&lt;/Author&gt;&lt;Year&gt;2012&lt;/Year&gt;&lt;RecNum&gt;366&lt;/RecNum&gt;&lt;DisplayText&gt;(Martin, Blossey et al. 2012)&lt;/DisplayText&gt;&lt;record&gt;&lt;rec-number&gt;236&lt;/rec-number&gt;&lt;foreign-keys&gt;&lt;key app="EN" db-id="0d55paxdcvwpebe55d1vrz5ne2pattprarta" timestamp="1597992735"&gt;236&lt;/key&gt;&lt;/foreign-keys&gt;&lt;ref-type name="Journal Article"&gt;17&lt;/ref-type&gt;&lt;contributors&gt;&lt;authors&gt;&lt;author&gt;Martin, Laura J.&lt;/author&gt;&lt;author&gt;Blossey, Bernd&lt;/author&gt;&lt;author&gt;Ellis, Erle&lt;/author&gt;&lt;/authors&gt;&lt;/contributors&gt;&lt;titles&gt;&lt;title&gt;Mapping where ecologists work: biases in the global distribution of terrestrial ecological observations&lt;/title&gt;&lt;secondary-title&gt;Frontiers in Ecology and the Environment&lt;/secondary-title&gt;&lt;alt-title&gt;Frontiers in Ecology and the Environment&lt;/alt-title&gt;&lt;short-title&gt;Mapping where ecologists work&lt;/short-title&gt;&lt;/titles&gt;&lt;periodical&gt;&lt;full-title&gt;Frontiers in Ecology and the Environment&lt;/full-title&gt;&lt;abbr-1&gt;Front Ecol Environ&lt;/abbr-1&gt;&lt;/periodical&gt;&lt;alt-periodical&gt;&lt;full-title&gt;Frontiers in Ecology and the Environment&lt;/full-title&gt;&lt;abbr-1&gt;Front Ecol Environ&lt;/abbr-1&gt;&lt;/alt-periodical&gt;&lt;pages&gt;195-201&lt;/pages&gt;&lt;volume&gt;10&lt;/volume&gt;&lt;number&gt;4&lt;/number&gt;&lt;dates&gt;&lt;year&gt;2012&lt;/year&gt;&lt;pub-dates&gt;&lt;date&gt;2012&lt;/date&gt;&lt;/pub-dates&gt;&lt;/dates&gt;&lt;isbn&gt;1540-9309&lt;/isbn&gt;&lt;urls&gt;&lt;related-urls&gt;&lt;url&gt;https://esajournals.onlinelibrary.wiley.com/doi/abs/10.1890/110154&lt;/url&gt;&lt;/related-urls&gt;&lt;/urls&gt;&lt;electronic-resource-num&gt;10.1890/110154&lt;/electronic-resource-num&gt;&lt;remote-database-provider&gt;Wiley Online Library&lt;/remote-database-provider&gt;&lt;language&gt;en&lt;/language&gt;&lt;access-date&gt;2020/04/01/09:43:16&lt;/access-date&gt;&lt;/record&gt;&lt;/Cite&gt;&lt;/EndNote&gt;</w:instrText>
      </w:r>
      <w:r w:rsidRPr="00A9434B">
        <w:fldChar w:fldCharType="end"/>
      </w:r>
      <w:r w:rsidRPr="00A9434B">
        <w:t xml:space="preserve">. </w:t>
      </w:r>
      <w:r w:rsidR="005B5FFE" w:rsidRPr="00A9434B">
        <w:t>N</w:t>
      </w:r>
      <w:r w:rsidRPr="00A9434B">
        <w:t xml:space="preserve">early three-quarters of field studies </w:t>
      </w:r>
      <w:r w:rsidR="005B5FFE" w:rsidRPr="00A9434B">
        <w:t xml:space="preserve">have been done </w:t>
      </w:r>
      <w:r w:rsidRPr="00A9434B">
        <w:t xml:space="preserve">in terrestrial systems, with </w:t>
      </w:r>
      <w:r w:rsidRPr="00A9434B">
        <w:lastRenderedPageBreak/>
        <w:t>freshwater and marine ecosystems significantly underrepresented in studies of natural ecosystems</w:t>
      </w:r>
      <w:r w:rsidR="005B5FFE" w:rsidRPr="00A9434B">
        <w:t xml:space="preserve"> </w:t>
      </w:r>
      <w:r w:rsidR="005B5FFE" w:rsidRPr="00A9434B">
        <w:fldChar w:fldCharType="begin"/>
      </w:r>
      <w:r w:rsidR="002D2756">
        <w:instrText xml:space="preserve"> ADDIN ZOTERO_ITEM CSL_CITATION {"citationID":"eHdRfYoc","properties":{"formattedCitation":"(Lowry et al., 2013)","plainCitation":"(Lowry et al., 2013)","dontUpdate":true,"noteIndex":0},"citationItems":[{"id":29102,"uris":["http://zotero.org/groups/2352922/items/ZRLVA9PP"],"itemData":{"id":29102,"type":"article-journal","abstract":"Species introductions of anthropogenic origins are a major aspect of rapid ecological change globally. Research on biological invasions has generated a large literature on many different aspects of this phenomenon. Here, we describe and categorize some aspects of this literature, to better understand what has been studied and what we know, mapping well-studied areas and important gaps. To do so, we employ the techniques of systematic reviewing widely adopted in other scientific disciplines, to further the use of approaches in reviewing the literature that are as scientific, repeatable, and transparent as those employed in a primary study. We identified 2398 relevant studies in a field synopsis of the biological invasions literature. A majority of these studies (58%) were concerned with hypotheses for causes of biological invasions, while studies on impacts of invasions were the next most common (32% of the publications). We examined 1537 papers in greater detail in a systematic review. Superior competitive abilities of invaders, environmental disturbance, and invaded community species richness were the most common hypotheses examined. Most studies examined only a single hypothesis. Almost half of the papers were field observational studies. Studies of terrestrial invasions dominate the literature, with most of these concerning plant invasions. The focus of the literature overall is uneven, with important gaps in areas of theoretical and practical importance. We employ the techniques of systematic reviewing and field synopses, widely adopted in other scientific disciplines, to describe and categorize a substantial portion of the literature on biological invasions, to better understand what has been studied and what we know, mapping well-studied areas and important gaps. Among other findings, we report that studies of terrestrial plant invasions dominate the literature, and we identify important gaps in areas of theoretical and practical importance. © 2012 The Authors. Ecology and Evolution published by Blackwell Publishing Ltd.","container-title":"Ecology and Evolution","DOI":"10.1002/ece3.431","ISSN":"2045-7758","issue":"1","journalAbbreviation":"Ecol Evol","page":"182-196","title":"Biological invasions: a field synopsis, systematic review, and database of the literature","title-short":"Biological invasions","URL":"https://www.scopus.com/inward/record.uri?eid=2-s2.0-84886259273&amp;doi=10.1002%2fece3.431&amp;partnerID=40&amp;md5=a6b39c3217275567a665ba33ba1edd51","volume":"3","author":[{"family":"Lowry","given":"E."},{"family":"Rollinson","given":"E.J."},{"family":"Laybourn","given":"A.J."},{"family":"Scott","given":"T.E."},{"family":"Aiello-Lammens","given":"M.E."},{"family":"Gray","given":"S.M."},{"family":"Mickley","given":"J."},{"family":"Gurevitch","given":"J."}],"issued":{"date-parts":[["2013",1]]}},"label":"page"}],"schema":"https://github.com/citation-style-language/schema/raw/master/csl-citation.json"} </w:instrText>
      </w:r>
      <w:r w:rsidR="005B5FFE" w:rsidRPr="00A9434B">
        <w:fldChar w:fldCharType="separate"/>
      </w:r>
      <w:r w:rsidR="001738E7" w:rsidRPr="001738E7">
        <w:t>(Lowry et al., 2013</w:t>
      </w:r>
      <w:r w:rsidR="005B5FFE" w:rsidRPr="00A9434B">
        <w:fldChar w:fldCharType="end"/>
      </w:r>
      <w:r w:rsidR="00BE2A81" w:rsidRPr="00A9434B">
        <w:t xml:space="preserve">; </w:t>
      </w:r>
      <w:r w:rsidR="0044275A">
        <w:rPr>
          <w:b/>
          <w:iCs/>
        </w:rPr>
        <w:t>C</w:t>
      </w:r>
      <w:r w:rsidR="0089769F" w:rsidRPr="00673554">
        <w:rPr>
          <w:b/>
          <w:iCs/>
        </w:rPr>
        <w:t>hapter 2</w:t>
      </w:r>
      <w:r w:rsidR="0089769F" w:rsidRPr="00673554">
        <w:rPr>
          <w:iCs/>
        </w:rPr>
        <w:t>,</w:t>
      </w:r>
      <w:r w:rsidR="0089769F" w:rsidRPr="00673554">
        <w:rPr>
          <w:b/>
          <w:iCs/>
        </w:rPr>
        <w:t xml:space="preserve"> section 2.5.1</w:t>
      </w:r>
      <w:r w:rsidR="0089769F" w:rsidRPr="00A9434B">
        <w:t>)</w:t>
      </w:r>
      <w:r w:rsidRPr="00A9434B">
        <w:t>. Similarly, countries with a high percentage of IUCN Red Listed vertebrate species that are threatened by invasive alien species</w:t>
      </w:r>
      <w:r w:rsidR="00607B50" w:rsidRPr="00A9434B">
        <w:t xml:space="preserve"> </w:t>
      </w:r>
      <w:r w:rsidR="00DE414C" w:rsidRPr="00A9434B">
        <w:t>(</w:t>
      </w:r>
      <w:r w:rsidR="006B607A" w:rsidRPr="00A9434B">
        <w:t xml:space="preserve">e.g., </w:t>
      </w:r>
      <w:r w:rsidRPr="00A9434B">
        <w:t xml:space="preserve">Mexico, Colombia, Peru, Argentina, Madagascar, India, Indonesia) have a low percentage of publications </w:t>
      </w:r>
      <w:r w:rsidR="005B5FFE" w:rsidRPr="00A9434B">
        <w:t>on</w:t>
      </w:r>
      <w:r w:rsidRPr="00A9434B">
        <w:t xml:space="preserve"> biological invasions </w:t>
      </w:r>
      <w:r w:rsidRPr="00A9434B">
        <w:fldChar w:fldCharType="begin"/>
      </w:r>
      <w:r w:rsidRPr="00A9434B">
        <w:instrText>ADDIN EN.CITE &lt;EndNote&gt;&lt;Cite&gt;&lt;Author&gt;Bellard&lt;/Author&gt;&lt;Year&gt;2016&lt;/Year&gt;&lt;RecNum&gt;365&lt;/RecNum&gt;&lt;DisplayText&gt;(Bellard and Jeschke 2016)&lt;/DisplayText&gt;&lt;record&gt;&lt;rec-number&gt;237&lt;/rec-number&gt;&lt;foreign-keys&gt;&lt;key app="EN" db-id="0d55paxdcvwpebe55d1vrz5ne2pattprarta" timestamp="1597992735"&gt;237&lt;/key&gt;&lt;/foreign-keys&gt;&lt;ref-type name="Journal Article"&gt;17&lt;/ref-type&gt;&lt;contributors&gt;&lt;authors&gt;&lt;author&gt;Bellard, C.&lt;/author&gt;&lt;author&gt;Jeschke, J. M.&lt;/author&gt;&lt;/authors&gt;&lt;/contributors&gt;&lt;titles&gt;&lt;title&gt;A spatial mismatch between invader impacts and research publications: Biological Invasions and Geographic Bias&lt;/title&gt;&lt;secondary-title&gt;Conservation Biology&lt;/secondary-title&gt;&lt;alt-title&gt;Conservation Biology&lt;/alt-title&gt;&lt;short-title&gt;A spatial mismatch between invader impacts and research publications&lt;/short-title&gt;&lt;/titles&gt;&lt;periodical&gt;&lt;full-title&gt;Conservation Biology&lt;/full-title&gt;&lt;/periodical&gt;&lt;alt-periodical&gt;&lt;full-title&gt;Conservation Biology&lt;/full-title&gt;&lt;/alt-periodical&gt;&lt;pages&gt;230-232&lt;/pages&gt;&lt;volume&gt;30&lt;/volume&gt;&lt;number&gt;1&lt;/number&gt;&lt;dates&gt;&lt;year&gt;2016&lt;/year&gt;&lt;pub-dates&gt;&lt;date&gt;2016/02//&lt;/date&gt;&lt;/pub-dates&gt;&lt;/dates&gt;&lt;isbn&gt;08888892&lt;/isbn&gt;&lt;urls&gt;&lt;related-urls&gt;&lt;url&gt;http://doi.wiley.com/10.1111/cobi.12611&lt;/url&gt;&lt;/related-urls&gt;&lt;/urls&gt;&lt;electronic-resource-num&gt;10.1111/cobi.12611&lt;/electronic-resource-num&gt;&lt;remote-database-provider&gt;DOI.org (Crossref)&lt;/remote-database-provider&gt;&lt;language&gt;en&lt;/language&gt;&lt;access-date&gt;2019/11/06/19:07:41&lt;/access-date&gt;&lt;/record&gt;&lt;/Cite&gt;&lt;/EndNote&gt;</w:instrText>
      </w:r>
      <w:r w:rsidRPr="00A9434B">
        <w:fldChar w:fldCharType="separate"/>
      </w:r>
      <w:r w:rsidR="00876995" w:rsidRPr="00A9434B">
        <w:fldChar w:fldCharType="begin"/>
      </w:r>
      <w:r w:rsidR="002D2756">
        <w:instrText xml:space="preserve"> ADDIN ZOTERO_ITEM CSL_CITATION {"citationID":"a11m5v534bs","properties":{"formattedCitation":"(Bellard &amp; Jeschke, 2016)","plainCitation":"(Bellard &amp; Jeschke, 2016)","noteIndex":0},"citationItems":[{"id":24401,"uris":["http://zotero.org/groups/2352922/items/VNHZCI56"],"itemData":{"id":24401,"type":"article-journal","container-title":"Conservation Biology","DOI":"10.1111/cobi.12611","ISSN":"08888892","issue":"1","journalAbbreviation":"Conservation Biology","language":"en","page":"230-232","source":"DOI.org (Crossref)","title":"A spatial mismatch between invader impacts and research publications","title-short":"A spatial mismatch between invader impacts and research publications","URL":"http://doi.wiley.com/10.1111/cobi.12611","volume":"30","author":[{"family":"Bellard","given":"Céline"},{"family":"Jeschke","given":"J.M."}],"accessed":{"date-parts":[["2019",11,7]]},"issued":{"date-parts":[["2016",2]]}},"label":"page"}],"schema":"https://github.com/citation-style-language/schema/raw/master/csl-citation.json"} </w:instrText>
      </w:r>
      <w:r w:rsidR="00876995" w:rsidRPr="00A9434B">
        <w:fldChar w:fldCharType="separate"/>
      </w:r>
      <w:r w:rsidR="00C71E80" w:rsidRPr="00A9434B">
        <w:t>(Bellard &amp; Jeschke, 2016)</w:t>
      </w:r>
      <w:r w:rsidR="00876995" w:rsidRPr="00A9434B">
        <w:fldChar w:fldCharType="end"/>
      </w:r>
      <w:r w:rsidRPr="00A9434B">
        <w:fldChar w:fldCharType="end"/>
      </w:r>
      <w:r w:rsidRPr="00A9434B">
        <w:t xml:space="preserve">. In contrast, the countries with a low percentage of invasive alien species-threatened Red Listed species </w:t>
      </w:r>
      <w:r w:rsidR="00DE414C" w:rsidRPr="00A9434B">
        <w:t>(</w:t>
      </w:r>
      <w:r w:rsidR="006B607A" w:rsidRPr="00A9434B">
        <w:t xml:space="preserve">e.g., </w:t>
      </w:r>
      <w:r w:rsidRPr="00A9434B">
        <w:t xml:space="preserve">Canada, United States, China) have high publication efforts on biological invasions. </w:t>
      </w:r>
      <w:r w:rsidR="005B5FFE" w:rsidRPr="00A9434B">
        <w:t>A</w:t>
      </w:r>
      <w:r w:rsidRPr="00A9434B">
        <w:t>lien birds</w:t>
      </w:r>
      <w:r w:rsidR="005B5FFE" w:rsidRPr="00A9434B">
        <w:t>, for example,</w:t>
      </w:r>
      <w:r w:rsidRPr="00A9434B">
        <w:t xml:space="preserve"> have been reported in 247 regions across the world</w:t>
      </w:r>
      <w:r w:rsidR="005B5FFE" w:rsidRPr="00A9434B">
        <w:t>,</w:t>
      </w:r>
      <w:r w:rsidRPr="00A9434B">
        <w:t xml:space="preserve"> but environmental impact data </w:t>
      </w:r>
      <w:r w:rsidR="005B5FFE" w:rsidRPr="00A9434B">
        <w:t>is</w:t>
      </w:r>
      <w:r w:rsidRPr="00A9434B">
        <w:t xml:space="preserve"> available for </w:t>
      </w:r>
      <w:r w:rsidR="005B5FFE" w:rsidRPr="00A9434B">
        <w:t xml:space="preserve">only </w:t>
      </w:r>
      <w:r w:rsidRPr="00A9434B">
        <w:t>60 regions (24</w:t>
      </w:r>
      <w:r w:rsidR="00626B25" w:rsidRPr="00A9434B">
        <w:t xml:space="preserve"> per cent</w:t>
      </w:r>
      <w:r w:rsidR="00BE2A81" w:rsidRPr="00A9434B">
        <w:t xml:space="preserve">; </w:t>
      </w:r>
      <w:r w:rsidR="00876995" w:rsidRPr="00A9434B">
        <w:fldChar w:fldCharType="begin"/>
      </w:r>
      <w:r w:rsidR="002D2756">
        <w:instrText xml:space="preserve"> ADDIN ZOTERO_ITEM CSL_CITATION {"citationID":"lfCcQuZz","properties":{"formattedCitation":"(T. Evans &amp; Blackburn, 2019)","plainCitation":"(T. Evans &amp; Blackburn, 2019)","dontUpdate":true,"noteIndex":0},"citationItems":[{"id":17185,"uris":["http://zotero.org/groups/2352922/items/V8B4ZLBP"],"itemData":{"id":17185,"type":"article-journal","abstract":"Alien birds are widely distributed across the globe, but information on their environmental impacts is available for less than a quarter of the regions in which they are located. We test a series of hypotheses better to understand why impact data are available for some regions but not others. Information on factors hypothesised to influence spatial variation in the availability of impact data were collated for 60 regions with actual, recorded alien bird impacts, and 187 regions without. These data were analysed using mixed effects models. The characteristics of alien bird invasions most strongly influence the availability of impact data, which are more likely to be available for regions with higher alien bird species richness and longer alien bird residence times. There are many regions of the world that lack impact data but are characterised by high alien bird species richness and long alien bird residence times: it is likely that the impacts of alien birds are going unnoticed within them. To a lesser extent, impact data are also more likely to be available for regions characterised by higher economic development. Improving the capacity for research amongst less developed regions may therefore be a key strategy to improve our understanding of the impacts of alien birds. Impact data availability was not found to be associated with impact severity, and therefore we cannot conclude that regions lacking impact data do so because the impacts sustained within them are less severe.","container-title":"Biological Invasions","DOI":"10.1007/s10530-019-02153-z","ISSN":"1573-1464","journalAbbreviation":"Biol Invasions","language":"en","page":"1027–1036","source":"Springer Link","title":"Global variation in the availability of data on the environmental impacts of alien birds","URL":"https://doi.org/10.1007/s10530-019-02153-z","volume":"22","author":[{"family":"Evans","given":"Thomas"},{"family":"Blackburn","given":"Tim M."}],"accessed":{"date-parts":[["2019",11,27]]},"issued":{"date-parts":[["2020",3]]}},"label":"page"}],"schema":"https://github.com/citation-style-language/schema/raw/master/csl-citation.json"} </w:instrText>
      </w:r>
      <w:r w:rsidR="00876995" w:rsidRPr="00A9434B">
        <w:fldChar w:fldCharType="separate"/>
      </w:r>
      <w:r w:rsidR="001738E7" w:rsidRPr="001738E7">
        <w:t>T. Evans &amp; Blackburn, 2019)</w:t>
      </w:r>
      <w:r w:rsidR="00876995" w:rsidRPr="00A9434B">
        <w:fldChar w:fldCharType="end"/>
      </w:r>
      <w:r w:rsidRPr="00A9434B">
        <w:t xml:space="preserve">. </w:t>
      </w:r>
    </w:p>
    <w:p w14:paraId="75D0A13C" w14:textId="5FCDC3C7" w:rsidR="00CC4659" w:rsidRPr="00A9434B" w:rsidRDefault="0F4B11EF" w:rsidP="006B3143">
      <w:r w:rsidRPr="00A9434B">
        <w:t>Taking the example of</w:t>
      </w:r>
      <w:r w:rsidR="639933B3" w:rsidRPr="00A9434B">
        <w:t xml:space="preserve"> Latin American and Caribbean countries, the number of articles </w:t>
      </w:r>
      <w:r w:rsidR="005B5FFE" w:rsidRPr="00A9434B">
        <w:t>on</w:t>
      </w:r>
      <w:r w:rsidR="639933B3" w:rsidRPr="00A9434B">
        <w:t xml:space="preserve"> invasive alien species </w:t>
      </w:r>
      <w:r w:rsidR="005B5FFE" w:rsidRPr="00A9434B">
        <w:t>over</w:t>
      </w:r>
      <w:r w:rsidR="639933B3" w:rsidRPr="00A9434B">
        <w:t xml:space="preserve"> the last 20 years was 344, with an increase after 2003 and a higher percentage between 2003 and 2008 </w:t>
      </w:r>
      <w:r w:rsidR="00876995" w:rsidRPr="00A9434B">
        <w:fldChar w:fldCharType="begin"/>
      </w:r>
      <w:r w:rsidR="002D2756">
        <w:instrText xml:space="preserve"> ADDIN ZOTERO_ITEM CSL_CITATION {"citationID":"a250ujl1vav","properties":{"formattedCitation":"(Pauchard et al., 2011)","plainCitation":"(Pauchard et al., 2011)","noteIndex":0},"citationItems":[{"id":11738,"uris":["http://zotero.org/groups/2352922/items/QA63V697"],"itemData":{"id":11738,"type":"chapter","container-title":"Conservación Biológica: Perspectivas desde América Latina","event-place":"Santiago de Chile","ISBN":"978-956-11-2309-6","language":"es","page":"17","publisher":"Editorial Universitaria","publisher-place":"Santiago de Chile","source":"Zotero","title":"Invasiones biológicas en América Latina y el Caribe: tendencias en investigación para la conservación","author":[{"family":"Pauchard","given":"Aníbal"},{"family":"Quiroz","given":"Constanza"},{"family":"García","given":"Rafael"},{"family":"Anderson","given":"Christopher B"},{"family":"Arroyo","given":"Mary T Kalin"}],"issued":{"date-parts":[["2011"]]}},"label":"page"}],"schema":"https://github.com/citation-style-language/schema/raw/master/csl-citation.json"} </w:instrText>
      </w:r>
      <w:r w:rsidR="00876995" w:rsidRPr="00A9434B">
        <w:fldChar w:fldCharType="separate"/>
      </w:r>
      <w:r w:rsidR="00C71E80" w:rsidRPr="00A9434B">
        <w:t>(Pauchard et al., 2011)</w:t>
      </w:r>
      <w:r w:rsidR="00876995" w:rsidRPr="00A9434B">
        <w:fldChar w:fldCharType="end"/>
      </w:r>
      <w:r w:rsidR="639933B3" w:rsidRPr="00A9434B">
        <w:t xml:space="preserve">. The country with most articles on invasive alien species was Argentina (105), followed by Brazil (85), Chile (53) and Mexico (41). These </w:t>
      </w:r>
      <w:r w:rsidR="005B5FFE" w:rsidRPr="00A9434B">
        <w:t xml:space="preserve">four </w:t>
      </w:r>
      <w:r w:rsidR="639933B3" w:rsidRPr="00A9434B">
        <w:t>countries contributed 82.5</w:t>
      </w:r>
      <w:r w:rsidR="00626B25" w:rsidRPr="00A9434B">
        <w:t xml:space="preserve"> per cent</w:t>
      </w:r>
      <w:r w:rsidR="639933B3" w:rsidRPr="00A9434B">
        <w:t xml:space="preserve"> of all the articles on invasive alien species from </w:t>
      </w:r>
      <w:r w:rsidR="00A3611E" w:rsidRPr="00A9434B">
        <w:t>Latin American and Caribbean countries</w:t>
      </w:r>
      <w:r w:rsidR="00130E49" w:rsidRPr="00A9434B">
        <w:t xml:space="preserve">. </w:t>
      </w:r>
      <w:r w:rsidR="00096BEF" w:rsidRPr="00A9434B">
        <w:t>D</w:t>
      </w:r>
      <w:r w:rsidR="00130E49" w:rsidRPr="00A9434B">
        <w:t xml:space="preserve">ifferences among countries reflect the asymmetry in invasive alien species research among the </w:t>
      </w:r>
      <w:r w:rsidR="639933B3" w:rsidRPr="00A9434B">
        <w:t>Latin American and Caribbean countries</w:t>
      </w:r>
      <w:r w:rsidR="004C08F9" w:rsidRPr="00A9434B">
        <w:t>, but also the effect of country size</w:t>
      </w:r>
      <w:r w:rsidR="639933B3" w:rsidRPr="00A9434B">
        <w:t xml:space="preserve">. Most countries </w:t>
      </w:r>
      <w:r w:rsidR="00096BEF" w:rsidRPr="00A9434B">
        <w:t>o</w:t>
      </w:r>
      <w:r w:rsidR="639933B3" w:rsidRPr="00A9434B">
        <w:t>n the continent began publishing on invasive alien species only in the 1990s</w:t>
      </w:r>
      <w:r w:rsidR="00096BEF" w:rsidRPr="00A9434B">
        <w:t xml:space="preserve"> </w:t>
      </w:r>
      <w:r w:rsidR="00096BEF" w:rsidRPr="00A9434B">
        <w:fldChar w:fldCharType="begin"/>
      </w:r>
      <w:r w:rsidR="002D2756">
        <w:instrText xml:space="preserve"> ADDIN ZOTERO_ITEM CSL_CITATION {"citationID":"a2ceqqbipi1","properties":{"formattedCitation":"(Speziale et al., 2012)","plainCitation":"(Speziale et al., 2012)","noteIndex":0},"citationItems":[{"id":32622,"uris":["http://zotero.org/groups/2352922/items/SRBC8E79"],"itemData":{"id":32622,"type":"article-journal","abstract":"Non-native species have reached South American ecosystems and may be threatening the exceptional biodiversity of this region. However, people often value and exploit introduced species not knowing that they are non-natives, nor understanding their impacts. In this paper we analyze the trend of scientific research on introduced species in South America and whether a socio-cultural explanation could underlie the results by comparing them with European, North American and Australasian countries. We also controlled for research effort, which could reflect economic inequalities, by analyzing the articles published on introduced species in relation to the total number of articles published on related disciplines. Research trends suggest that non-native species are not of major concern for South American countries, there being less research on this topic in countries with higher biodiversity. Compared to other colonized countries such as the USA, New Zealand and Australia, research on non-native species was lagging and less abundant in South America, even when controlling for research effort. Historical and recent socio-cultural particularities may explain the similar attitudes and research input seen in South American countries and their Spanish and Portuguese colonizers. A generational amnesia, where younger generations descendent from European colonizers are not aware of past biological conditions, could be exacerbating this lack of concern. South American policies seem to reflect the low level of interest in non-native species shown by their citizens. National policies are poorly developed and mainly deal with alien species threatening productive systems. Given the strong cultural component of this dilemma, integrated ways to reverse this situation are needed, including education, international research collaboration, and a common South American policy.","container-title":"Biological Invasions","DOI":"10.1007/s10530-011-0162-0","ISSN":"1387-3547, 1573-1464","issue":"8","journalAbbreviation":"Biol Invasions","language":"en","page":"1609-1621","source":"DOI.org (Crossref)","title":"Dealing with non-native species: what makes the difference in South America?","title-short":"Dealing with non-native species","URL":"http://link.springer.com/10.1007/s10530-011-0162-0","volume":"14","author":[{"family":"Speziale","given":"Karina L."},{"family":"Lambertucci","given":"Sergio A."},{"family":"Carrete","given":"Martina"},{"family":"Tella","given":"José L."}],"accessed":{"date-parts":[["2019",11,5]]},"issued":{"date-parts":[["2012",8]]}},"label":"page"}],"schema":"https://github.com/citation-style-language/schema/raw/master/csl-citation.json"} </w:instrText>
      </w:r>
      <w:r w:rsidR="00096BEF" w:rsidRPr="00A9434B">
        <w:fldChar w:fldCharType="separate"/>
      </w:r>
      <w:r w:rsidR="00C71E80" w:rsidRPr="00A9434B">
        <w:t>(Speziale et al., 2012)</w:t>
      </w:r>
      <w:r w:rsidR="00096BEF" w:rsidRPr="00A9434B">
        <w:fldChar w:fldCharType="end"/>
      </w:r>
      <w:r w:rsidR="639933B3" w:rsidRPr="00A9434B">
        <w:t xml:space="preserve">. However, the differences among countries in research effort on </w:t>
      </w:r>
      <w:r w:rsidR="008A68B3" w:rsidRPr="00A9434B">
        <w:t>alien</w:t>
      </w:r>
      <w:r w:rsidR="639933B3" w:rsidRPr="00A9434B">
        <w:t xml:space="preserve"> species does not seem to be just a matter of research budgets, nor differences between developed or developing countries, nor differences due to their higher biodiversity and the interest in protecting it. Although an explanation might be a lower number of invasive alien species in South America, scientific information to properly assess this remains lacking </w:t>
      </w:r>
      <w:r w:rsidR="006E020E" w:rsidRPr="00A9434B">
        <w:fldChar w:fldCharType="begin"/>
      </w:r>
      <w:r w:rsidR="002D2756">
        <w:instrText xml:space="preserve"> ADDIN ZOTERO_ITEM CSL_CITATION {"citationID":"7FQp60z3","properties":{"formattedCitation":"(Speziale et al., 2012)","plainCitation":"(Speziale et al., 2012)","noteIndex":0},"citationItems":[{"id":32622,"uris":["http://zotero.org/groups/2352922/items/SRBC8E79"],"itemData":{"id":32622,"type":"article-journal","abstract":"Non-native species have reached South American ecosystems and may be threatening the exceptional biodiversity of this region. However, people often value and exploit introduced species not knowing that they are non-natives, nor understanding their impacts. In this paper we analyze the trend of scientific research on introduced species in South America and whether a socio-cultural explanation could underlie the results by comparing them with European, North American and Australasian countries. We also controlled for research effort, which could reflect economic inequalities, by analyzing the articles published on introduced species in relation to the total number of articles published on related disciplines. Research trends suggest that non-native species are not of major concern for South American countries, there being less research on this topic in countries with higher biodiversity. Compared to other colonized countries such as the USA, New Zealand and Australia, research on non-native species was lagging and less abundant in South America, even when controlling for research effort. Historical and recent socio-cultural particularities may explain the similar attitudes and research input seen in South American countries and their Spanish and Portuguese colonizers. A generational amnesia, where younger generations descendent from European colonizers are not aware of past biological conditions, could be exacerbating this lack of concern. South American policies seem to reflect the low level of interest in non-native species shown by their citizens. National policies are poorly developed and mainly deal with alien species threatening productive systems. Given the strong cultural component of this dilemma, integrated ways to reverse this situation are needed, including education, international research collaboration, and a common South American policy.","container-title":"Biological Invasions","DOI":"10.1007/s10530-011-0162-0","ISSN":"1387-3547, 1573-1464","issue":"8","journalAbbreviation":"Biol Invasions","language":"en","page":"1609-1621","source":"DOI.org (Crossref)","title":"Dealing with non-native species: what makes the difference in South America?","title-short":"Dealing with non-native species","URL":"http://link.springer.com/10.1007/s10530-011-0162-0","volume":"14","author":[{"family":"Speziale","given":"Karina L."},{"family":"Lambertucci","given":"Sergio A."},{"family":"Carrete","given":"Martina"},{"family":"Tella","given":"José L."}],"accessed":{"date-parts":[["2019",11,5]]},"issued":{"date-parts":[["2012",8]]}},"label":"page"}],"schema":"https://github.com/citation-style-language/schema/raw/master/csl-citation.json"} </w:instrText>
      </w:r>
      <w:r w:rsidR="006E020E" w:rsidRPr="00A9434B">
        <w:fldChar w:fldCharType="separate"/>
      </w:r>
      <w:r w:rsidR="00C71E80" w:rsidRPr="00A9434B">
        <w:t>(Speziale et al., 2012)</w:t>
      </w:r>
      <w:r w:rsidR="006E020E" w:rsidRPr="00A9434B">
        <w:fldChar w:fldCharType="end"/>
      </w:r>
      <w:r w:rsidR="639933B3" w:rsidRPr="00A9434B">
        <w:t>.</w:t>
      </w:r>
    </w:p>
    <w:p w14:paraId="44A0456E" w14:textId="1274A3A1" w:rsidR="00017C04" w:rsidRDefault="00F50AF9" w:rsidP="56C59A3A">
      <w:r>
        <w:t xml:space="preserve">Generating timely and adequate information across geographic regions is an opportunity for implementing effective management strategies. This is particularly important for the aquatic realm, where eradication and control efforts are viable only at the very initial stages of the invasion process </w:t>
      </w:r>
      <w:r w:rsidR="639933B3" w:rsidRPr="00A9434B">
        <w:fldChar w:fldCharType="begin"/>
      </w:r>
      <w:r w:rsidR="002D2756">
        <w:instrText xml:space="preserve"> ADDIN ZOTERO_ITEM CSL_CITATION {"citationID":"a7gp9u4but","properties":{"formattedCitation":"(Lehtiniemi et al., 2012)","plainCitation":"(Lehtiniemi et al., 2012)","noteIndex":0},"citationItems":[{"id":33106,"uris":["http://zotero.org/groups/2352922/items/KBJPPH9D"],"itemData":{"id":33106,"type":"article-journal","container-title":"Biological Invasions","DOI":"10.1007/s10530-011-0066-z","ISSN":"1387-3547, 1573-1464","issue":"2","journalAbbreviation":"Biol Invasions","language":"en","page":"341-354","source":"DOI.org (Crossref)","title":"Spreading and physico-biological reproduction limitations of the invasive American comb jelly &lt;i&gt;Mnemiopsis leidyi&lt;/i&gt; in the Baltic Sea","URL":"http://link.springer.com/10.1007/s10530-011-0066-z","volume":"14","author":[{"family":"Lehtiniemi","given":"Maiju"},{"family":"Lehmann","given":"Andreas"},{"family":"Javidpour","given":"Jamileh"},{"family":"Myrberg","given":"Kai"}],"accessed":{"date-parts":[["2020",8,13]]},"issued":{"date-parts":[["2012",2]]}},"label":"page"}],"schema":"https://github.com/citation-style-language/schema/raw/master/csl-citation.json"} </w:instrText>
      </w:r>
      <w:r w:rsidR="639933B3" w:rsidRPr="00A9434B">
        <w:fldChar w:fldCharType="separate"/>
      </w:r>
      <w:r w:rsidR="00C71E80" w:rsidRPr="00A9434B">
        <w:t>(Lehtiniemi et al., 2012)</w:t>
      </w:r>
      <w:r w:rsidR="639933B3" w:rsidRPr="00A9434B">
        <w:fldChar w:fldCharType="end"/>
      </w:r>
      <w:r w:rsidR="19A7ECC1" w:rsidRPr="00A9434B">
        <w:t>. L</w:t>
      </w:r>
      <w:r w:rsidR="4F7DAD86" w:rsidRPr="00A9434B">
        <w:t xml:space="preserve">ack of </w:t>
      </w:r>
      <w:r w:rsidR="18B034CC" w:rsidRPr="00A9434B">
        <w:t>information</w:t>
      </w:r>
      <w:r w:rsidR="4F7DAD86" w:rsidRPr="00A9434B">
        <w:t xml:space="preserve"> in regions highly vul</w:t>
      </w:r>
      <w:r w:rsidR="03A3F02A" w:rsidRPr="00A9434B">
        <w:t>nerable to</w:t>
      </w:r>
      <w:r w:rsidR="00603382">
        <w:t xml:space="preserve"> </w:t>
      </w:r>
      <w:r w:rsidR="00C46680">
        <w:t xml:space="preserve">invasive alien species </w:t>
      </w:r>
      <w:r w:rsidR="03A3F02A" w:rsidRPr="00A9434B">
        <w:t>may result</w:t>
      </w:r>
      <w:r w:rsidR="4F7DAD86" w:rsidRPr="00A9434B">
        <w:t xml:space="preserve"> in a delayed response to invasive alien species at an early stage</w:t>
      </w:r>
      <w:r w:rsidR="006E020E" w:rsidRPr="00A9434B">
        <w:t xml:space="preserve"> </w:t>
      </w:r>
      <w:r w:rsidR="006E020E" w:rsidRPr="00A9434B">
        <w:fldChar w:fldCharType="begin"/>
      </w:r>
      <w:r w:rsidR="002D2756">
        <w:instrText xml:space="preserve"> ADDIN ZOTERO_ITEM CSL_CITATION {"citationID":"NNPnjXFd","properties":{"formattedCitation":"(Bellard &amp; Jeschke, 2016)","plainCitation":"(Bellard &amp; Jeschke, 2016)","dontUpdate":true,"noteIndex":0},"citationItems":[{"id":24401,"uris":["http://zotero.org/groups/2352922/items/VNHZCI56"],"itemData":{"id":24401,"type":"article-journal","container-title":"Conservation Biology","DOI":"10.1111/cobi.12611","ISSN":"08888892","issue":"1","journalAbbreviation":"Conservation Biology","language":"en","page":"230-232","source":"DOI.org (Crossref)","title":"A spatial mismatch between invader impacts and research publications","title-short":"A spatial mismatch between invader impacts and research publications","URL":"http://doi.wiley.com/10.1111/cobi.12611","volume":"30","author":[{"family":"Bellard","given":"Céline"},{"family":"Jeschke","given":"J.M."}],"accessed":{"date-parts":[["2019",11,7]]},"issued":{"date-parts":[["2016",2]]}}}],"schema":"https://github.com/citation-style-language/schema/raw/master/csl-citation.json"} </w:instrText>
      </w:r>
      <w:r w:rsidR="006E020E" w:rsidRPr="00A9434B">
        <w:fldChar w:fldCharType="separate"/>
      </w:r>
      <w:r w:rsidR="001738E7" w:rsidRPr="001738E7">
        <w:t>(Bellard &amp; Jeschke, 2016</w:t>
      </w:r>
      <w:r w:rsidR="006E020E" w:rsidRPr="00A9434B">
        <w:fldChar w:fldCharType="end"/>
      </w:r>
      <w:r w:rsidR="006E020E" w:rsidRPr="00A9434B">
        <w:t xml:space="preserve">; </w:t>
      </w:r>
      <w:r w:rsidR="0044275A">
        <w:rPr>
          <w:b/>
          <w:iCs/>
        </w:rPr>
        <w:t>C</w:t>
      </w:r>
      <w:r w:rsidR="44D254A4" w:rsidRPr="00673554">
        <w:rPr>
          <w:b/>
          <w:iCs/>
        </w:rPr>
        <w:t xml:space="preserve">hapter </w:t>
      </w:r>
      <w:r w:rsidR="4931D2BF" w:rsidRPr="00673554">
        <w:rPr>
          <w:b/>
          <w:iCs/>
        </w:rPr>
        <w:t>5</w:t>
      </w:r>
      <w:r w:rsidR="4A756B95" w:rsidRPr="00673554">
        <w:rPr>
          <w:iCs/>
        </w:rPr>
        <w:t>,</w:t>
      </w:r>
      <w:r w:rsidR="4931D2BF" w:rsidRPr="00673554">
        <w:rPr>
          <w:b/>
          <w:iCs/>
        </w:rPr>
        <w:t xml:space="preserve"> section </w:t>
      </w:r>
      <w:r w:rsidR="44D254A4" w:rsidRPr="00673554">
        <w:rPr>
          <w:b/>
          <w:iCs/>
        </w:rPr>
        <w:t>5.</w:t>
      </w:r>
      <w:r w:rsidR="00DF6EFC" w:rsidRPr="00673554">
        <w:rPr>
          <w:b/>
          <w:iCs/>
        </w:rPr>
        <w:t>6.2</w:t>
      </w:r>
      <w:r w:rsidR="44D254A4" w:rsidRPr="00A9434B">
        <w:t>)</w:t>
      </w:r>
      <w:r w:rsidR="4F7DAD86" w:rsidRPr="00A9434B">
        <w:t>.</w:t>
      </w:r>
      <w:r>
        <w:t xml:space="preserve"> As a consequence of a lack of monitoring, occurrences of invasive alien species can remain unnoticed, thereby reducing the chances of early detection and eradication. </w:t>
      </w:r>
    </w:p>
    <w:p w14:paraId="5D2D0EE1" w14:textId="28CBB43A" w:rsidR="00CC4659" w:rsidRPr="00A9434B" w:rsidRDefault="00CC4659" w:rsidP="006B3143">
      <w:pPr>
        <w:rPr>
          <w:rFonts w:eastAsia="Calibri Light"/>
        </w:rPr>
      </w:pPr>
      <w:r w:rsidRPr="00A9434B">
        <w:t xml:space="preserve">Low research investment and data availability in certain regions, such as parts of Asia and Africa </w:t>
      </w:r>
      <w:r w:rsidR="00876995" w:rsidRPr="00A9434B">
        <w:fldChar w:fldCharType="begin"/>
      </w:r>
      <w:r w:rsidR="002D2756">
        <w:instrText xml:space="preserve"> ADDIN ZOTERO_ITEM CSL_CITATION {"citationID":"aur7p1lg61","properties":{"formattedCitation":"(Bellard &amp; Jeschke, 2016; T. Evans &amp; Blackburn, 2020; Lowry et al., 2013; Py\\uc0\\u353{}ek et al., 2008)","plainCitation":"(Bellard &amp; Jeschke, 2016; T. Evans &amp; Blackburn, 2020; Lowry et al., 2013; Pyšek et al., 2008)","noteIndex":0},"citationItems":[{"id":24401,"uris":["http://zotero.org/groups/2352922/items/VNHZCI56"],"itemData":{"id":24401,"type":"article-journal","container-title":"Conservation Biology","DOI":"10.1111/cobi.12611","ISSN":"08888892","issue":"1","journalAbbreviation":"Conservation Biology","language":"en","page":"230-232","source":"DOI.org (Crossref)","title":"A spatial mismatch between invader impacts and research publications","title-short":"A spatial mismatch between invader impacts and research publications","URL":"http://doi.wiley.com/10.1111/cobi.12611","volume":"30","author":[{"family":"Bellard","given":"Céline"},{"family":"Jeschke","given":"J.M."}],"accessed":{"date-parts":[["2019",11,7]]},"issued":{"date-parts":[["2016",2]]}}},{"id":17185,"uris":["http://zotero.org/groups/2352922/items/V8B4ZLBP"],"itemData":{"id":17185,"type":"article-journal","abstract":"Alien birds are widely distributed across the globe, but information on their environmental impacts is available for less than a quarter of the regions in which they are located. We test a series of hypotheses better to understand why impact data are available for some regions but not others. Information on factors hypothesised to influence spatial variation in the availability of impact data were collated for 60 regions with actual, recorded alien bird impacts, and 187 regions without. These data were analysed using mixed effects models. The characteristics of alien bird invasions most strongly influence the availability of impact data, which are more likely to be available for regions with higher alien bird species richness and longer alien bird residence times. There are many regions of the world that lack impact data but are characterised by high alien bird species richness and long alien bird residence times: it is likely that the impacts of alien birds are going unnoticed within them. To a lesser extent, impact data are also more likely to be available for regions characterised by higher economic development. Improving the capacity for research amongst less developed regions may therefore be a key strategy to improve our understanding of the impacts of alien birds. Impact data availability was not found to be associated with impact severity, and therefore we cannot conclude that regions lacking impact data do so because the impacts sustained within them are less severe.","container-title":"Biological Invasions","DOI":"10.1007/s10530-019-02153-z","ISSN":"1573-1464","journalAbbreviation":"Biol Invasions","language":"en","page":"1027–1036","source":"Springer Link","title":"Global variation in the availability of data on the environmental impacts of alien birds","URL":"https://doi.org/10.1007/s10530-019-02153-z","volume":"22","author":[{"family":"Evans","given":"Thomas"},{"family":"Blackburn","given":"Tim M."}],"accessed":{"date-parts":[["2019",11,27]]},"issued":{"date-parts":[["2020",3]]}},"label":"page"},{"id":29102,"uris":["http://zotero.org/groups/2352922/items/ZRLVA9PP"],"itemData":{"id":29102,"type":"article-journal","abstract":"Species introductions of anthropogenic origins are a major aspect of rapid ecological change globally. Research on biological invasions has generated a large literature on many different aspects of this phenomenon. Here, we describe and categorize some aspects of this literature, to better understand what has been studied and what we know, mapping well-studied areas and important gaps. To do so, we employ the techniques of systematic reviewing widely adopted in other scientific disciplines, to further the use of approaches in reviewing the literature that are as scientific, repeatable, and transparent as those employed in a primary study. We identified 2398 relevant studies in a field synopsis of the biological invasions literature. A majority of these studies (58%) were concerned with hypotheses for causes of biological invasions, while studies on impacts of invasions were the next most common (32% of the publications). We examined 1537 papers in greater detail in a systematic review. Superior competitive abilities of invaders, environmental disturbance, and invaded community species richness were the most common hypotheses examined. Most studies examined only a single hypothesis. Almost half of the papers were field observational studies. Studies of terrestrial invasions dominate the literature, with most of these concerning plant invasions. The focus of the literature overall is uneven, with important gaps in areas of theoretical and practical importance. We employ the techniques of systematic reviewing and field synopses, widely adopted in other scientific disciplines, to describe and categorize a substantial portion of the literature on biological invasions, to better understand what has been studied and what we know, mapping well-studied areas and important gaps. Among other findings, we report that studies of terrestrial plant invasions dominate the literature, and we identify important gaps in areas of theoretical and practical importance. © 2012 The Authors. Ecology and Evolution published by Blackwell Publishing Ltd.","container-title":"Ecology and Evolution","DOI":"10.1002/ece3.431","ISSN":"2045-7758","issue":"1","journalAbbreviation":"Ecol Evol","page":"182-196","title":"Biological invasions: a field synopsis, systematic review, and database of the literature","title-short":"Biological invasions","URL":"https://www.scopus.com/inward/record.uri?eid=2-s2.0-84886259273&amp;doi=10.1002%2fece3.431&amp;partnerID=40&amp;md5=a6b39c3217275567a665ba33ba1edd51","volume":"3","author":[{"family":"Lowry","given":"E."},{"family":"Rollinson","given":"E.J."},{"family":"Laybourn","given":"A.J."},{"family":"Scott","given":"T.E."},{"family":"Aiello-Lammens","given":"M.E."},{"family":"Gray","given":"S.M."},{"family":"Mickley","given":"J."},{"family":"Gurevitch","given":"J."}],"issued":{"date-parts":[["2013",1]]}},"label":"page"},{"id":28845,"uris":["http://zotero.org/groups/2352922/items/7XWAYSMT"],"itemData":{"id":28845,"type":"article-journal","abstract":"Invasive alien species come from most taxonomic groups, and invasion biology is searching for robust cross-taxon generalizations and principles. An analysis of 2670 papers dealing with 892 invasive species showed that all major groups of invaders are well studied, but that most information on the mechanisms of invasion has emerged from work on a limited number of the most harmful invaders. A strong geographical bias, with Africa and Asia understudied, inhibits a balanced understanding of invasion, because we might be lacking knowledge of specific invasion mechanisms from poorly studied, regionally specific habitats. International cooperation is required to achieve a more geographically balanced picture of biological invasions. Invasive species with the greatest impact are best studied, but more studies of species that are naturalized but not (yet) invasive are needed to improve understanding of the mechanisms acting during the naturalization phase of invasions and leading to successful invasion.","container-title":"Trends in Ecology &amp; Evolution","DOI":"10.1016/j.tree.2008.02.002","ISSN":"0169-5347","issue":"5","journalAbbreviation":"Trends in Ecology &amp; Evolution","language":"en","page":"237-244","source":"ScienceDirect","title":"Geographical and taxonomic biases in invasion ecology","URL":"http://www.sciencedirect.com/science/article/pii/S0169534708000967","volume":"23","author":[{"family":"Pyšek","given":"Petr"},{"family":"Richardson","given":"David M."},{"family":"Pergl","given":"Jan"},{"family":"Jarošík","given":"Vojt</w:instrText>
      </w:r>
      <w:r w:rsidR="002D2756">
        <w:rPr>
          <w:rFonts w:hint="eastAsia"/>
        </w:rPr>
        <w:instrText>ě</w:instrText>
      </w:r>
      <w:r w:rsidR="002D2756">
        <w:instrText xml:space="preserve">ch"},{"family":"Sixtová","given":"Zuzana"},{"family":"Weber","given":"Ewald"}],"accessed":{"date-parts":[["2020",4,1]]},"issued":{"date-parts":[["2008",5,1]]}},"label":"page"}],"schema":"https://github.com/citation-style-language/schema/raw/master/csl-citation.json"} </w:instrText>
      </w:r>
      <w:r w:rsidR="00876995" w:rsidRPr="00A9434B">
        <w:fldChar w:fldCharType="separate"/>
      </w:r>
      <w:r w:rsidR="00FD65B1" w:rsidRPr="00FD65B1">
        <w:t>(Bellard &amp; Jeschke, 2016; T. Evans &amp; Blackburn, 2020; Lowry et al., 2013; Pyšek et al., 2008)</w:t>
      </w:r>
      <w:r w:rsidR="00876995" w:rsidRPr="00A9434B">
        <w:fldChar w:fldCharType="end"/>
      </w:r>
      <w:r w:rsidRPr="00A9434B">
        <w:fldChar w:fldCharType="begin"/>
      </w:r>
      <w:r w:rsidRPr="00A9434B">
        <w:instrText>ADDIN EN.CITE</w:instrText>
      </w:r>
      <w:r w:rsidRPr="00A9434B">
        <w:fldChar w:fldCharType="begin"/>
      </w:r>
      <w:r w:rsidRPr="00A9434B">
        <w:instrText>ADDIN EN.CITE.DATA</w:instrText>
      </w:r>
      <w:r w:rsidRPr="00A9434B">
        <w:fldChar w:fldCharType="end"/>
      </w:r>
      <w:r w:rsidRPr="00A9434B">
        <w:fldChar w:fldCharType="end"/>
      </w:r>
      <w:r w:rsidR="00565FD0" w:rsidRPr="00A9434B">
        <w:t>,</w:t>
      </w:r>
      <w:r w:rsidRPr="00A9434B">
        <w:t xml:space="preserve"> </w:t>
      </w:r>
      <w:r w:rsidR="00096BEF" w:rsidRPr="00A9434B">
        <w:t>can</w:t>
      </w:r>
      <w:r w:rsidRPr="00A9434B">
        <w:t xml:space="preserve"> mean that these regions are less understood and thus underrepresented when frameworks and theories are developed for biological invasions and their management. Therefore, collaborations between invasion scientists in developed and developing</w:t>
      </w:r>
      <w:r w:rsidR="00C5559B" w:rsidRPr="00A9434B">
        <w:t xml:space="preserve"> countries</w:t>
      </w:r>
      <w:r w:rsidRPr="00A9434B">
        <w:t xml:space="preserve">, and developing research capacity in less developed </w:t>
      </w:r>
      <w:r w:rsidR="00C5559B" w:rsidRPr="00A9434B">
        <w:t>countries</w:t>
      </w:r>
      <w:r w:rsidRPr="00A9434B">
        <w:t xml:space="preserve"> improves data availability for better understanding of the processes associated with biological invasions </w:t>
      </w:r>
      <w:r w:rsidR="00876995" w:rsidRPr="00A9434B">
        <w:fldChar w:fldCharType="begin"/>
      </w:r>
      <w:r w:rsidR="002D2756">
        <w:instrText xml:space="preserve"> ADDIN ZOTERO_ITEM CSL_CITATION {"citationID":"a277r0ik8ag","properties":{"formattedCitation":"(Bellard &amp; Jeschke, 2016)","plainCitation":"(Bellard &amp; Jeschke, 2016)","noteIndex":0},"citationItems":[{"id":24401,"uris":["http://zotero.org/groups/2352922/items/VNHZCI56"],"itemData":{"id":24401,"type":"article-journal","container-title":"Conservation Biology","DOI":"10.1111/cobi.12611","ISSN":"08888892","issue":"1","journalAbbreviation":"Conservation Biology","language":"en","page":"230-232","source":"DOI.org (Crossref)","title":"A spatial mismatch between invader impacts and research publications","title-short":"A spatial mismatch between invader impacts and research publications","URL":"http://doi.wiley.com/10.1111/cobi.12611","volume":"30","author":[{"family":"Bellard","given":"Céline"},{"family":"Jeschke","given":"J.M."}],"accessed":{"date-parts":[["2019",11,7]]},"issued":{"date-parts":[["2016",2]]}}}],"schema":"https://github.com/citation-style-language/schema/raw/master/csl-citation.json"} </w:instrText>
      </w:r>
      <w:r w:rsidR="00876995" w:rsidRPr="00A9434B">
        <w:fldChar w:fldCharType="separate"/>
      </w:r>
      <w:r w:rsidR="00C71E80" w:rsidRPr="00A9434B">
        <w:t>(Bellard &amp; Jeschke, 2016)</w:t>
      </w:r>
      <w:r w:rsidR="00876995" w:rsidRPr="00A9434B">
        <w:fldChar w:fldCharType="end"/>
      </w:r>
      <w:r w:rsidRPr="00A9434B">
        <w:t xml:space="preserve">. </w:t>
      </w:r>
      <w:r w:rsidR="1F2FC5E5" w:rsidRPr="00A9434B">
        <w:t xml:space="preserve">Since geographic biases </w:t>
      </w:r>
      <w:r w:rsidR="00B120C3" w:rsidRPr="00A9434B">
        <w:t>are</w:t>
      </w:r>
      <w:r w:rsidR="1F2FC5E5" w:rsidRPr="00A9434B">
        <w:t xml:space="preserve"> also apparent in authorship (corresponding author) of the research articles published in journals like </w:t>
      </w:r>
      <w:r w:rsidR="1F2FC5E5" w:rsidRPr="00A9434B">
        <w:rPr>
          <w:i/>
          <w:iCs/>
        </w:rPr>
        <w:t>Biological Invasions</w:t>
      </w:r>
      <w:r w:rsidR="00096BEF" w:rsidRPr="00A9434B">
        <w:t xml:space="preserve">, </w:t>
      </w:r>
      <w:r w:rsidR="1F2FC5E5" w:rsidRPr="00A9434B">
        <w:t xml:space="preserve">with disproportionately high submission by authors from North America, Europe and Australasia, such biases can be minimized by encouraging manuscript submissions from countries of other regions </w:t>
      </w:r>
      <w:r w:rsidR="00876995" w:rsidRPr="00A9434B">
        <w:fldChar w:fldCharType="begin"/>
      </w:r>
      <w:r w:rsidR="002D2756">
        <w:instrText xml:space="preserve"> ADDIN ZOTERO_ITEM CSL_CITATION {"citationID":"auvfp06lb2","properties":{"formattedCitation":"(Nu\\uc0\\u241{}ez et al., 2021)","plainCitation":"(Nuñez et al., 2021)","noteIndex":0},"citationItems":[{"id":31794,"uris":["http://zotero.org/groups/2352922/items/8V4QIG8Y"],"itemData":{"id":31794,"type":"article-journal","abstract":"Most published papers in ecology come from a handful of countries, and invasion science as an ecological subdiscipline is no exception. Based on the country of corresponding authors, we analyzed patterns in submissions, reviews, and publications in the journal Biological Invasions from its first issue in 1999 to 2020. Regionally, North America, Europe, and Australasia submitted and published the most articles during this period and supplied most reviewers and journal editors. As a country, the USA stands out in terms of papers published and reviewers involved in the process. The dominance of published articles from USA-based scientists declined through time, but such articles still constitute one-third of all articles in recent years. However, as biological invasions are a worldwide phenomenon acting on local to global scales, research from all regions of the world is needed to better understand and manage invasions. By tracking and reporting the trends in the countries of origin of the journal’s authors and reviewers, and by encouraging submissions from more countries, we hope that geographical differences will decrease and that a more global understanding of biological invasions will emerge.","container-title":"Biological Invasions","DOI":"10.1007/s10530-021-02666-6","ISSN":"1573-1464","journalAbbreviation":"Biol Invasions","language":"en","page":"333-340","source":"Springer Link","title":"Two decades of data reveal that Biological Invasions needs to increase participation beyond North America, Europe, and Australasia","URL":"https://doi.org/10.1007/s10530-021-02666-6","volume":"24","author":[{"family":"Nuñez","given":"Martin A."},{"family":"Chiuffo","given":"Mariana C."},{"family":"Seebens","given":"Hanno"},{"family":"Kuebbing","given":"Sara"},{"family":"McCary","given":"Matthew A."},{"family":"Lieurance","given":"Deah"},{"family":"Zhang","given":"Bo"},{"family":"Simberloff","given":"Daniel"},{"family":"Meyerson","given":"Laura A."}],"accessed":{"date-parts":[["2021",11,26]]},"issued":{"date-parts":[["2021",11,17]]}},"label":"page"}],"schema":"https://github.com/citation-style-language/schema/raw/master/csl-citation.json"} </w:instrText>
      </w:r>
      <w:r w:rsidR="00876995" w:rsidRPr="00A9434B">
        <w:fldChar w:fldCharType="separate"/>
      </w:r>
      <w:r w:rsidR="00C71E80" w:rsidRPr="00A9434B">
        <w:t>(Nuñez et al., 2021)</w:t>
      </w:r>
      <w:r w:rsidR="00876995" w:rsidRPr="00A9434B">
        <w:fldChar w:fldCharType="end"/>
      </w:r>
      <w:r w:rsidR="004C08F9" w:rsidRPr="00A9434B">
        <w:t xml:space="preserve">. </w:t>
      </w:r>
      <w:r w:rsidRPr="00A9434B">
        <w:rPr>
          <w:rFonts w:eastAsia="Calibri Light"/>
        </w:rPr>
        <w:t xml:space="preserve">Owing to a lack of study or expertise, discovery of invasive alien species in invaded areas can lag by decades or longer. </w:t>
      </w:r>
      <w:r w:rsidR="007746AF" w:rsidRPr="00A9434B">
        <w:rPr>
          <w:rFonts w:eastAsia="Calibri Light"/>
        </w:rPr>
        <w:t>T</w:t>
      </w:r>
      <w:r w:rsidRPr="00A9434B">
        <w:rPr>
          <w:rFonts w:eastAsia="Calibri Light"/>
        </w:rPr>
        <w:t>he numbers of recorded marine invasive alien species are</w:t>
      </w:r>
      <w:r w:rsidR="00096BEF" w:rsidRPr="00A9434B">
        <w:rPr>
          <w:rFonts w:eastAsia="Calibri Light"/>
        </w:rPr>
        <w:t>, for example, particularly</w:t>
      </w:r>
      <w:r w:rsidRPr="00A9434B">
        <w:rPr>
          <w:rFonts w:eastAsia="Calibri Light"/>
        </w:rPr>
        <w:t xml:space="preserve"> likely to be underestimated. The </w:t>
      </w:r>
      <w:r w:rsidR="00096BEF" w:rsidRPr="00A9434B">
        <w:rPr>
          <w:rFonts w:eastAsia="Calibri Light"/>
        </w:rPr>
        <w:t>size</w:t>
      </w:r>
      <w:r w:rsidRPr="00A9434B">
        <w:rPr>
          <w:rFonts w:eastAsia="Calibri Light"/>
        </w:rPr>
        <w:t xml:space="preserve"> of this gap is difficult to assess, and it varies among different taxa, habitats</w:t>
      </w:r>
      <w:r w:rsidR="00EB415D">
        <w:rPr>
          <w:rFonts w:eastAsia="Calibri Light"/>
        </w:rPr>
        <w:t xml:space="preserve"> and</w:t>
      </w:r>
      <w:r w:rsidRPr="00A9434B">
        <w:rPr>
          <w:rFonts w:eastAsia="Calibri Light"/>
        </w:rPr>
        <w:t xml:space="preserve"> regions. Information is most accurate for large, conspicuous, multicellular organisms </w:t>
      </w:r>
      <w:r w:rsidRPr="00A9434B">
        <w:rPr>
          <w:rFonts w:eastAsia="Times New Roman"/>
        </w:rPr>
        <w:fldChar w:fldCharType="begin"/>
      </w:r>
      <w:r w:rsidR="002D2756">
        <w:rPr>
          <w:rFonts w:eastAsia="Calibri Light"/>
        </w:rPr>
        <w:instrText xml:space="preserve"> ADDIN ZOTERO_ITEM CSL_CITATION {"citationID":"a3ntujopsc","properties":{"formattedCitation":"(Galil et al., 2014; Ojaveer et al., 2015)","plainCitation":"(Galil et al., 2014; Ojaveer et al., 2015)","noteIndex":0},"citationItems":[{"id":29156,"uris":["http://zotero.org/groups/2352922/items/2BVDAWFF"],"itemData":{"id":29156,"type":"article-journal","abstract":"The European Union lacks a comprehensive framework to address the threats posed by the introduction and spread of marine non-indigenous species (NIS). Current efforts are fragmented and suffer substantial gaps in coverage. In this paper we identify and discuss issues relating to the assessment of spatial and temporal patterns of introductions in European Seas (ES), based on a scientifically validated information system of aquatic non-indigenous and cryptogenic species, AquaNIS. While recognizing the limitations of the existing data, we extract information that can be used to assess the relative risk of introductions for different taxonomic groups, geographic regions and likely vectors. The dataset comprises 879 multicellular NIS. We applied a country-based approach to assess patterns of NIS richness in ES, and identify the principal introduction routes and vectors, the most widespread NIS and their spatial and temporal spread patterns. Between 1970 and 2013, the number of recorded NIS has grown by 86, 173 and 204% in the Baltic, Western European margin and the Mediterranean, respectively; 52 of the 879 NIS were recorded in 10 or more countries, and 25 NIS first recorded in European seas since 1990 have since been reported in five or more countries. Our results highlight the ever-rising role of shipping (commercial and recreational) as a vector for the widespread and recently spread NIS. The Suez Canal, a corridor unique to the Mediterranean, is responsible for the increased introduction of new thermophilic NIS into this warming sea. The 2020 goal of the EU Biodiversity Strategy concerning marine Invasive Alien Species may not be fully attainable. The setting of a new target date should be accompanied by scientifically robust, sensible and pragmatic plans to minimize introductions of marine NIS and to study those present.","container-title":"Ethology Ecology &amp; Evolution","DOI":"10.1080/03949370.2014.897651","ISSN":"0394-9370, 1828-7131","issue":"2-3","journalAbbreviation":"Ethology Ecology &amp; Evolution","language":"en","page":"152-171","source":"DOI.org (Crossref)","title":"International arrivals: widespread bioinvasions in European Seas","title-short":"International arrivals","URL":"http://www.tandfonline.com/doi/abs/10.1080/03949370.2014.897651","volume":"26","author":[{"family":"Galil","given":"Bella S."},{"family":"Marchini","given":"A."},{"family":"Occhipinti-Ambrogi","given":"A."},{"family":"Minchin","given":"D."},{"family":"Narščius","given":"A."},{"family":"Ojaveer","given":"H."},{"family":"Olenin","given":"S."}],"accessed":{"date-parts":[["2021",6,23]]},"issued":{"date-parts":[["2014",7,3]]}},"label":"page"},{"id":30773,"uris":["http://zotero.org/groups/2352922/items/JFSIMMIA"],"itemData":{"id":30773,"type":"article-journal","abstract":"Assessment of the ecological and economic/societal impacts of the introduction of non-indigenous species (NIS) is one of the primary focus areas of bioinvasion science in terrestrial and aquatic environments, and is considered essential to management. A classification system of NIS, based on the magnitude of their environmental impacts, was recently proposed to assist management. Here, we consider the potential application of this classification scheme to the marine environment, and offer a complementary framework focussing on value sets in order to explicitly address marine management concerns. Since existing data on marine NIS impacts are scarce and successful marine removals are rare, we propose that management of marine NIS adopt a precautionary approach, which not only would emphasise preventing new incursions through pre-border and at-border controls but also should influence the categorisation of impacts. The study of marine invasion impacts requires urgent attention and significant investment, since we lack the luxury of waiting for the knowledge base to be acquired before the window of opportunity closes for feasible management.","container-title":"PLoS Biology","DOI":"10.1371/journal.pbio.1002130","ISSN":"15457885","issue":"4","note":"PMID: 25875845","page":"e1002130","title":"Classification of non-indigenous species based on their impacts: considerations for application in marine management","volume":"13","author":[{"family":"Ojaveer","given":"Henn"},{"family":"Galil","given":"Bella S."},{"family":"Campbell","given":"Marnie L."},{"family":"Carlton","given":"James T."},{"family":"Canning-Clode","given":"João"},{"family":"Cook","given":"Elizabeth J."},{"family":"Davidson","given":"Alisha D."},{"family":"Hewitt","given":"Chad L."},{"family":"Jelmert","given":"Anders"},{"family":"Marchini","given":"Agnese"},{"family":"McKenzie","given":"Cynthia H."},{"family":"Minchin","given":"Dan"},{"family":"Occhipinti-Ambrogi","given":"Anna"},{"family":"Olenin","given":"Sergej"},{"family":"Ruiz","given":"Gregory"}],"issued":{"date-parts":[["2015"]]}},"label":"page"}],"schema":"https://github.com/citation-style-language/schema/raw/master/csl-citation.json"} </w:instrText>
      </w:r>
      <w:r w:rsidRPr="00A9434B">
        <w:rPr>
          <w:rFonts w:eastAsia="Calibri Light"/>
        </w:rPr>
        <w:fldChar w:fldCharType="separate"/>
      </w:r>
      <w:r w:rsidR="00017441" w:rsidRPr="00017441">
        <w:t>(Galil et al., 2014; Ojaveer et al., 2015)</w:t>
      </w:r>
      <w:r w:rsidRPr="00A9434B">
        <w:rPr>
          <w:rFonts w:eastAsia="Calibri Light"/>
        </w:rPr>
        <w:fldChar w:fldCharType="end"/>
      </w:r>
      <w:r w:rsidRPr="00A9434B">
        <w:rPr>
          <w:rFonts w:eastAsia="Calibri Light"/>
        </w:rPr>
        <w:t>.</w:t>
      </w:r>
    </w:p>
    <w:p w14:paraId="24A0B8BD" w14:textId="4DDDAFD8" w:rsidR="001B6D94" w:rsidRPr="00A9434B" w:rsidRDefault="3F687633" w:rsidP="00585D0E">
      <w:pPr>
        <w:pStyle w:val="Heading5"/>
        <w:rPr>
          <w:rFonts w:eastAsia="Calibri Light"/>
          <w:b w:val="0"/>
          <w:bCs/>
          <w:i/>
        </w:rPr>
      </w:pPr>
      <w:r w:rsidRPr="00A9434B">
        <w:t>(4)</w:t>
      </w:r>
      <w:r w:rsidR="0E8CD906" w:rsidRPr="00A9434B">
        <w:t xml:space="preserve"> </w:t>
      </w:r>
      <w:r w:rsidR="58D4C3C8" w:rsidRPr="00A9434B">
        <w:t xml:space="preserve">Invasive alien species </w:t>
      </w:r>
      <w:r w:rsidR="4E75D835" w:rsidRPr="00A9434B">
        <w:t xml:space="preserve">- </w:t>
      </w:r>
      <w:r w:rsidR="58D4C3C8" w:rsidRPr="00A9434B">
        <w:t xml:space="preserve">native and </w:t>
      </w:r>
      <w:r w:rsidR="3198DE30" w:rsidRPr="00A9434B">
        <w:t>invaded</w:t>
      </w:r>
      <w:r w:rsidR="58D4C3C8" w:rsidRPr="00A9434B">
        <w:t xml:space="preserve"> ranges</w:t>
      </w:r>
      <w:r w:rsidR="006C5D75" w:rsidRPr="00A9434B">
        <w:br/>
      </w:r>
      <w:r w:rsidR="27E3AEDF" w:rsidRPr="00A9434B">
        <w:rPr>
          <w:rFonts w:eastAsia="Calibri Light"/>
          <w:b w:val="0"/>
          <w:bCs/>
        </w:rPr>
        <w:t xml:space="preserve">There are significant data gaps on the spatial delimitation of the edges of species native and </w:t>
      </w:r>
      <w:r w:rsidR="72CFE551" w:rsidRPr="00A9434B">
        <w:rPr>
          <w:rFonts w:eastAsia="Calibri Light"/>
          <w:b w:val="0"/>
          <w:bCs/>
        </w:rPr>
        <w:t>invaded</w:t>
      </w:r>
      <w:r w:rsidR="27E3AEDF" w:rsidRPr="00A9434B">
        <w:rPr>
          <w:rFonts w:eastAsia="Calibri Light"/>
          <w:b w:val="0"/>
          <w:bCs/>
        </w:rPr>
        <w:t xml:space="preserve"> ranges, particularly at scales fine enough to inform management decisions </w:t>
      </w:r>
      <w:r w:rsidR="006C5D75" w:rsidRPr="00A9434B">
        <w:rPr>
          <w:rFonts w:eastAsia="Calibri Light"/>
          <w:b w:val="0"/>
          <w:bCs/>
          <w:i/>
          <w:iCs/>
        </w:rPr>
        <w:fldChar w:fldCharType="begin"/>
      </w:r>
      <w:r w:rsidR="002D2756">
        <w:rPr>
          <w:rFonts w:eastAsia="Calibri Light"/>
          <w:b w:val="0"/>
          <w:bCs/>
        </w:rPr>
        <w:instrText xml:space="preserve"> ADDIN ZOTERO_ITEM CSL_CITATION {"citationID":"a15i21v4bpn","properties":{"formattedCitation":"(Hardisty et al., 2019; Latombe et al., 2017)","plainCitation":"(Hardisty et al., 2019; Latombe et al., 2017)","noteIndex":0},"citationItems":[{"id":10450,"uris":["http://zotero.org/groups/2352922/items/83KKFJI6"],"itemData":{"id":10450,"type":"article-journal","container-title":"Environmental Research Letters","DOI":"10.1088/1748-9326/aaf5db","ISSN":"1748-9326","issue":"2","journalAbbreviation":"Environ. Res. Lett.","page":"025005","source":"DOI.org (Crossref)","title":"Research infrastructure challenges in preparing essential biodiversity variables data products for alien invasive species","URL":"https://iopscience.iop.org/article/10.1088/1748-9326/aaf5db","volume":"14","author":[{"family":"Hardisty","given":"Alex R"},{"family":"Belbin","given":"Lee"},{"family":"Hobern","given":"Donald"},{"family":"McGeoch","given":"Melodie A."},{"family":"Pirzl","given":"Rebecca"},{"family":"Williams","given":"Kristen J"},{"family":"Kissling","given":"W Daniel"}],"accessed":{"date-parts":[["2020",6,15]]},"issued":{"date-parts":[["2019",2,1]]}},"label":"page"},{"id":28759,"uris":["http://zotero.org/groups/2352922/items/RDKZXX6M"],"itemData":{"id":28759,"type":"article-journal","abstract":"Managing biological invasions relies on good global coverage of species distributions. Accurate information on alien species distributions, obtained from international policy and cross-border co-operation, is required to evaluate trans-boundary and trading partnership risks. However, a standardized approach for systematically monitoring alien species and tracking biological invasions is still lacking. This Perspective presents a vision for global observation and monitoring of biological invasions. We show how the architecture for tracking biological invasions is provided by a minimum information set of Essential Variables, global collaboration on data sharing and infrastructure, and strategic contributions by countries. We show how this novel, synthetic approach to an observation system for alien species provides a tangible and attainable solution to delivering the information needed to slow the rate of new incursions and reduce the impacts of invaders. We identify three Essential Variables for Invasion Monitoring; alien species occurrence, species alien status and alien species impact. We outline how delivery of this minimum information set by joint, complementary contributions from countries and global community initiatives is possible. Country contributions are made feasible using a modular approach where all countries are able to participate and strategically build their contributions to a global information set over time. The vision we outline will deliver wide-ranging benefits to countries and international efforts to slow the rate of biological invasions and minimize their environmental impacts. These benefits will accrue over time as global coverage and information on alien species increases.","container-title":"Biological Conservation","DOI":"10.1016/j.biocon.2016.06.013","ISSN":"00063207","journalAbbreviation":"Biological Conservation","language":"en","page":"295-308","source":"DOI.org (Crossref)","title":"A vision for global monitoring of biological invasions","URL":"https://linkinghub.elsevier.com/retrieve/pii/S0006320716302373","volume":"213","author":[{"family":"Latombe","given":"Guillaume"},{"family":"Pyšek","given":"Petr"},{"family":"Jeschke","given":"Jonathan M."},{"family":"Blackburn","given":"Tim M."},{"family":"Bacher","given":"Sven"},{"family":"Capinha","given":"César"},{"family":"Costello","given":"Mark J."},{"family":"Fernández","given":"Miguel"},{"family":"Gregory","given":"Richard D."},{"family":"Hobern","given":"Donald"},{"family":"Hui","given":"Cang"},{"family":"Jetz","given":"Walter"},{"family":"Kumschick","given":"Sabrina"},{"family":"McGrannachan","given":"Chris"},{"family":"Pergl","given":"Jan"},{"family":"Roy","given":"Helen E."},{"family":"Scalera","given":"Riccardo"},{"family":"Squires","given":"Zoe E."},{"family":"Wilson","given":"John R.U."},{"family":"Winter","given":"Marten"},{"family":"Genovesi","given":"Piero"},{"family":"McGeoch","given":"Melodie A."}],"issued":{"date-parts":[["2017",9]]}},"label":"page"}],"schema":"https://github.com/citation-style-language/schema/raw/master/csl-citation.json"} </w:instrText>
      </w:r>
      <w:r w:rsidR="006C5D75" w:rsidRPr="00A9434B">
        <w:rPr>
          <w:rFonts w:eastAsia="Calibri Light"/>
          <w:b w:val="0"/>
          <w:bCs/>
          <w:i/>
          <w:iCs/>
        </w:rPr>
        <w:fldChar w:fldCharType="separate"/>
      </w:r>
      <w:r w:rsidR="00C71E80" w:rsidRPr="00A9434B">
        <w:rPr>
          <w:b w:val="0"/>
          <w:bCs/>
        </w:rPr>
        <w:t xml:space="preserve">(Hardisty et al., 2019; </w:t>
      </w:r>
      <w:r w:rsidR="00C71E80" w:rsidRPr="00A9434B">
        <w:rPr>
          <w:b w:val="0"/>
          <w:bCs/>
        </w:rPr>
        <w:lastRenderedPageBreak/>
        <w:t>Latombe et al., 2017)</w:t>
      </w:r>
      <w:r w:rsidR="006C5D75" w:rsidRPr="00A9434B">
        <w:rPr>
          <w:rFonts w:eastAsia="Calibri Light"/>
          <w:b w:val="0"/>
          <w:bCs/>
          <w:i/>
          <w:iCs/>
        </w:rPr>
        <w:fldChar w:fldCharType="end"/>
      </w:r>
      <w:r w:rsidR="4FFD1AF1" w:rsidRPr="00A9434B">
        <w:rPr>
          <w:rFonts w:eastAsia="Calibri Light"/>
          <w:b w:val="0"/>
          <w:bCs/>
        </w:rPr>
        <w:t xml:space="preserve">. </w:t>
      </w:r>
      <w:r w:rsidR="1E4B2BF8" w:rsidRPr="00A9434B">
        <w:rPr>
          <w:rFonts w:eastAsia="Calibri Light"/>
          <w:b w:val="0"/>
          <w:bCs/>
        </w:rPr>
        <w:t xml:space="preserve">Species distribution, specifically native and </w:t>
      </w:r>
      <w:r w:rsidR="09635B3F" w:rsidRPr="00A9434B">
        <w:rPr>
          <w:rFonts w:eastAsia="Calibri Light"/>
          <w:b w:val="0"/>
          <w:bCs/>
        </w:rPr>
        <w:t>invaded</w:t>
      </w:r>
      <w:r w:rsidR="1E4B2BF8" w:rsidRPr="00A9434B">
        <w:rPr>
          <w:rFonts w:eastAsia="Calibri Light"/>
          <w:b w:val="0"/>
          <w:bCs/>
        </w:rPr>
        <w:t xml:space="preserve"> range, are derived from a wide variety of sources. Indeed, how the definition of what constitutes a native or </w:t>
      </w:r>
      <w:r w:rsidR="2D7DB335" w:rsidRPr="00A9434B">
        <w:rPr>
          <w:rFonts w:eastAsia="Calibri Light"/>
          <w:b w:val="0"/>
          <w:bCs/>
        </w:rPr>
        <w:t>alien</w:t>
      </w:r>
      <w:r w:rsidR="1E4B2BF8" w:rsidRPr="00A9434B">
        <w:rPr>
          <w:rFonts w:eastAsia="Calibri Light"/>
          <w:b w:val="0"/>
          <w:bCs/>
        </w:rPr>
        <w:t xml:space="preserve"> species varies globally depending on the history of human migrations </w:t>
      </w:r>
      <w:r w:rsidR="00F806B6" w:rsidRPr="00A9434B">
        <w:rPr>
          <w:rFonts w:eastAsia="Calibri Light"/>
          <w:b w:val="0"/>
          <w:bCs/>
        </w:rPr>
        <w:t>(</w:t>
      </w:r>
      <w:r w:rsidR="0044275A">
        <w:rPr>
          <w:rFonts w:eastAsia="Calibri Light"/>
          <w:bCs/>
          <w:iCs/>
        </w:rPr>
        <w:t>C</w:t>
      </w:r>
      <w:r w:rsidR="00F43B36" w:rsidRPr="00673554">
        <w:rPr>
          <w:rFonts w:eastAsia="Calibri Light"/>
          <w:bCs/>
          <w:iCs/>
        </w:rPr>
        <w:t>hapter 1</w:t>
      </w:r>
      <w:r w:rsidR="00F43B36" w:rsidRPr="00673554">
        <w:rPr>
          <w:rFonts w:eastAsia="Calibri Light"/>
          <w:b w:val="0"/>
          <w:bCs/>
          <w:iCs/>
        </w:rPr>
        <w:t>,</w:t>
      </w:r>
      <w:r w:rsidR="00F43B36" w:rsidRPr="00673554">
        <w:rPr>
          <w:rFonts w:eastAsia="Calibri Light"/>
          <w:bCs/>
          <w:iCs/>
        </w:rPr>
        <w:t xml:space="preserve"> Figure 1.1</w:t>
      </w:r>
      <w:r w:rsidR="00874096" w:rsidRPr="00673554">
        <w:rPr>
          <w:rFonts w:eastAsia="Calibri Light"/>
          <w:b w:val="0"/>
          <w:bCs/>
          <w:iCs/>
        </w:rPr>
        <w:t>,</w:t>
      </w:r>
      <w:r w:rsidR="00874096" w:rsidRPr="00673554">
        <w:rPr>
          <w:rFonts w:eastAsia="Calibri Light"/>
          <w:bCs/>
          <w:iCs/>
        </w:rPr>
        <w:t xml:space="preserve"> sections 1.3.1</w:t>
      </w:r>
      <w:r w:rsidR="00F43B36" w:rsidRPr="00A9434B">
        <w:rPr>
          <w:rFonts w:eastAsia="Calibri Light"/>
          <w:b w:val="0"/>
          <w:bCs/>
          <w:i/>
          <w:iCs/>
        </w:rPr>
        <w:t xml:space="preserve"> </w:t>
      </w:r>
      <w:r w:rsidR="00F43B36" w:rsidRPr="00A9434B">
        <w:rPr>
          <w:rFonts w:eastAsia="Calibri Light"/>
          <w:b w:val="0"/>
          <w:bCs/>
        </w:rPr>
        <w:t>and</w:t>
      </w:r>
      <w:r w:rsidR="00F43B36" w:rsidRPr="00A9434B">
        <w:rPr>
          <w:rFonts w:eastAsia="Calibri Light"/>
          <w:b w:val="0"/>
          <w:bCs/>
          <w:i/>
          <w:iCs/>
        </w:rPr>
        <w:t xml:space="preserve"> </w:t>
      </w:r>
      <w:r w:rsidR="00F43B36" w:rsidRPr="00673554">
        <w:rPr>
          <w:rFonts w:eastAsia="Calibri Light"/>
          <w:bCs/>
          <w:iCs/>
        </w:rPr>
        <w:t>1.5.</w:t>
      </w:r>
      <w:r w:rsidR="00CB7377" w:rsidRPr="00673554">
        <w:rPr>
          <w:rFonts w:eastAsia="Calibri Light"/>
          <w:bCs/>
          <w:iCs/>
        </w:rPr>
        <w:t>2</w:t>
      </w:r>
      <w:r w:rsidR="00CB7377" w:rsidRPr="00A9434B">
        <w:rPr>
          <w:rFonts w:eastAsia="Calibri Light"/>
          <w:b w:val="0"/>
          <w:bCs/>
        </w:rPr>
        <w:t xml:space="preserve">; </w:t>
      </w:r>
      <w:r w:rsidR="006C5D75" w:rsidRPr="00A9434B">
        <w:rPr>
          <w:rFonts w:eastAsia="Times New Roman"/>
          <w:b w:val="0"/>
          <w:bCs/>
          <w:i/>
          <w:iCs/>
        </w:rPr>
        <w:fldChar w:fldCharType="begin"/>
      </w:r>
      <w:r w:rsidR="002D2756">
        <w:rPr>
          <w:rFonts w:eastAsia="Calibri Light"/>
          <w:b w:val="0"/>
          <w:bCs/>
        </w:rPr>
        <w:instrText xml:space="preserve"> ADDIN ZOTERO_ITEM CSL_CITATION {"citationID":"a270ofvde9o","properties":{"formattedCitation":"(Carthey &amp; Banks, 2012)","plainCitation":"(Carthey &amp; Banks, 2012)","dontUpdate":true,"noteIndex":0},"citationItems":[{"id":24383,"uris":["http://zotero.org/groups/2352922/items/M43VTTR4"],"itemData":{"id":24383,"type":"article-journal","container-title":"PLoS ONE","DOI":"10.1371/journal.pone.0031804","ISSN":"1932-6203","issue":"2","journalAbbreviation":"PLoS ONE","language":"en","page":"e31804","source":"DOI.org (Crossref)","title":"When Does an Alien Become a Native Species? A Vulnerable Native Mammal Recognizes and Responds to Its Long-Term Alien Predator","title-short":"When Does an Alien Become a Native Species?","URL":"https://dx.plos.org/10.1371/journal.pone.0031804","volume":"7","author":[{"family":"Carthey","given":"Alexandra J. R."},{"family":"Banks","given":"Peter B."}],"editor":[{"family":"Somers","given":"Michael"}],"accessed":{"date-parts":[["2021",2,8]]},"issued":{"date-parts":[["2012",2,15]]}},"label":"page"}],"schema":"https://github.com/citation-style-language/schema/raw/master/csl-citation.json"} </w:instrText>
      </w:r>
      <w:r w:rsidR="006C5D75" w:rsidRPr="00A9434B">
        <w:rPr>
          <w:rFonts w:eastAsia="Calibri Light"/>
          <w:b w:val="0"/>
          <w:bCs/>
          <w:i/>
          <w:iCs/>
        </w:rPr>
        <w:fldChar w:fldCharType="separate"/>
      </w:r>
      <w:r w:rsidR="00C71E80" w:rsidRPr="00A9434B">
        <w:rPr>
          <w:b w:val="0"/>
          <w:bCs/>
        </w:rPr>
        <w:t>Carthey &amp; Banks, 2012)</w:t>
      </w:r>
      <w:r w:rsidR="006C5D75" w:rsidRPr="00A9434B">
        <w:rPr>
          <w:rFonts w:eastAsia="Calibri Light"/>
          <w:b w:val="0"/>
          <w:bCs/>
          <w:i/>
          <w:iCs/>
        </w:rPr>
        <w:fldChar w:fldCharType="end"/>
      </w:r>
      <w:r w:rsidR="1E4B2BF8" w:rsidRPr="00A9434B">
        <w:rPr>
          <w:rFonts w:eastAsia="Calibri Light"/>
          <w:b w:val="0"/>
          <w:bCs/>
        </w:rPr>
        <w:t xml:space="preserve">. These differences in definition influence the scope of invasive alien species policy and although the differences can be subtle, they </w:t>
      </w:r>
      <w:r w:rsidR="2F4FE659" w:rsidRPr="00A9434B">
        <w:rPr>
          <w:rFonts w:eastAsia="Calibri Light"/>
          <w:b w:val="0"/>
          <w:bCs/>
        </w:rPr>
        <w:t>could</w:t>
      </w:r>
      <w:r w:rsidR="1E4B2BF8" w:rsidRPr="00A9434B">
        <w:rPr>
          <w:rFonts w:eastAsia="Calibri Light"/>
          <w:b w:val="0"/>
          <w:bCs/>
        </w:rPr>
        <w:t xml:space="preserve"> be considered when directly comparing national </w:t>
      </w:r>
      <w:r w:rsidR="2D7DB335" w:rsidRPr="00A9434B">
        <w:rPr>
          <w:rFonts w:eastAsia="Calibri Light"/>
          <w:b w:val="0"/>
          <w:bCs/>
        </w:rPr>
        <w:t>alien species</w:t>
      </w:r>
      <w:r w:rsidR="1E4B2BF8" w:rsidRPr="00A9434B">
        <w:rPr>
          <w:rFonts w:eastAsia="Calibri Light"/>
          <w:b w:val="0"/>
          <w:bCs/>
        </w:rPr>
        <w:t xml:space="preserve"> inventories </w:t>
      </w:r>
      <w:r w:rsidR="006C5D75" w:rsidRPr="00A9434B">
        <w:rPr>
          <w:rFonts w:eastAsia="Calibri Light"/>
          <w:b w:val="0"/>
          <w:bCs/>
          <w:i/>
          <w:iCs/>
        </w:rPr>
        <w:fldChar w:fldCharType="begin"/>
      </w:r>
      <w:r w:rsidR="002D2756">
        <w:rPr>
          <w:rFonts w:eastAsia="Calibri Light"/>
          <w:b w:val="0"/>
          <w:bCs/>
        </w:rPr>
        <w:instrText xml:space="preserve"> ADDIN ZOTERO_ITEM CSL_CITATION {"citationID":"a2jrorr290g","properties":{"formattedCitation":"(Jackson et al., 2017)","plainCitation":"(Jackson et al., 2017)","noteIndex":0},"citationItems":[{"id":22640,"uris":["http://zotero.org/groups/2352922/items/U2RJGWJ6"],"itemData":{"id":22640,"type":"article-journal","abstract":"The taxonomic identity and status of the Australian Dingo has been unsettled and controversial since its initial description in 1792. Since that time it has been referred to by various names including Canis dingo, Canis lupus dingo, Canis familiaris and Canis familiaris dingo. Of these names C. l. dingo and C. f. dingo have been most often used, but it has recently been proposed that the Australian Dingo should be once again recognized as a full species—Canis dingo. There is an urgent need to address the instability of the names referring to the Dingo because of the consequences for management and policy. Therefore, the objective of this study was to assess the morphological, genetic, ecological and biological data to determine the taxonomic relationships of the Dingo with the aim of confirming the correct scientific name. The recent proposal for Canis dingo as the most appropriate name is not sustainable under zoological nomenclature protocols nor based on the genetic and morphological evidence. Instead we proffer the name C. familiaris for all free-ranging dogs, regardless of breed and location throughout the world, including the Australian Dingo. The suggested nomenclature also provides a framework for managing free-ranging dogs including Dingoes, under Australian legislation and policy. The broad principles of nomenclature we discuss here apply to all free-roaming dogs that coexist with their hybrids, including the New Guinea Singing Dog.","container-title":"Zootaxa","DOI":"10.11646/zootaxa.4317.2.1","ISSN":"1175-5334, 1175-5326","issue":"2","journalAbbreviation":"Zootaxa","page":"201","source":"DOI.org (Crossref)","title":"The Wayward Dog: Is the Australian native dog or Dingo a distinct species?","title-short":"The Wayward Dog","URL":"https://biotaxa.org/Zootaxa/article/view/zootaxa.4317.2.1","volume":"4317","author":[{"family":"Jackson","given":"Stephen M."},{"family":"Groves","given":"Colin P."},{"family":"Fleming","given":"Peter J.S."},{"family":"Aplin","given":"Ken P."},{"family":"Eldridge","given":"Mark D.B."},{"family":"Gonzalez","given":"Antonio"},{"family":"Helgen","given":"Kristofer M."}],"accessed":{"date-parts":[["2020",6,15]]},"issued":{"date-parts":[["2017",9,4]]}},"label":"page"}],"schema":"https://github.com/citation-style-language/schema/raw/master/csl-citation.json"} </w:instrText>
      </w:r>
      <w:r w:rsidR="006C5D75" w:rsidRPr="00A9434B">
        <w:rPr>
          <w:rFonts w:eastAsia="Calibri Light"/>
          <w:b w:val="0"/>
          <w:bCs/>
          <w:i/>
          <w:iCs/>
        </w:rPr>
        <w:fldChar w:fldCharType="separate"/>
      </w:r>
      <w:r w:rsidR="00C71E80" w:rsidRPr="00A9434B">
        <w:rPr>
          <w:b w:val="0"/>
          <w:bCs/>
        </w:rPr>
        <w:t>(Jackson et al., 2017)</w:t>
      </w:r>
      <w:r w:rsidR="006C5D75" w:rsidRPr="00A9434B">
        <w:rPr>
          <w:rFonts w:eastAsia="Calibri Light"/>
          <w:b w:val="0"/>
          <w:bCs/>
          <w:i/>
          <w:iCs/>
        </w:rPr>
        <w:fldChar w:fldCharType="end"/>
      </w:r>
      <w:r w:rsidR="1E4B2BF8" w:rsidRPr="00A9434B">
        <w:rPr>
          <w:rFonts w:eastAsia="Calibri Light"/>
          <w:b w:val="0"/>
          <w:bCs/>
        </w:rPr>
        <w:t>.</w:t>
      </w:r>
      <w:r w:rsidR="27E3AEDF" w:rsidRPr="00A9434B">
        <w:rPr>
          <w:rFonts w:eastAsia="Calibri Light"/>
          <w:b w:val="0"/>
          <w:bCs/>
        </w:rPr>
        <w:t xml:space="preserve"> </w:t>
      </w:r>
      <w:r w:rsidR="1E4B2BF8" w:rsidRPr="00A9434B">
        <w:rPr>
          <w:rFonts w:eastAsia="Calibri Light"/>
          <w:b w:val="0"/>
          <w:bCs/>
        </w:rPr>
        <w:t xml:space="preserve">Native status is derived from the definition and an evaluation of the available evidence. Such evidence might be direct, such as, from fossil remains, specimens and first-hand accounts. However, native status </w:t>
      </w:r>
      <w:r w:rsidR="002E3571">
        <w:rPr>
          <w:rFonts w:eastAsia="Calibri Light"/>
          <w:b w:val="0"/>
          <w:bCs/>
        </w:rPr>
        <w:t>is often</w:t>
      </w:r>
      <w:r w:rsidR="1E4B2BF8" w:rsidRPr="00A9434B">
        <w:rPr>
          <w:rFonts w:eastAsia="Calibri Light"/>
          <w:b w:val="0"/>
          <w:bCs/>
        </w:rPr>
        <w:t xml:space="preserve"> evaluated indirectly from an assessment of the habitat, distribution, evolutionary history and life history of a species</w:t>
      </w:r>
      <w:r w:rsidR="1E4B2BF8" w:rsidRPr="00A9434B">
        <w:rPr>
          <w:b w:val="0"/>
          <w:bCs/>
        </w:rPr>
        <w:t xml:space="preserve"> </w:t>
      </w:r>
      <w:r w:rsidR="006C5D75" w:rsidRPr="00A9434B">
        <w:rPr>
          <w:b w:val="0"/>
          <w:bCs/>
          <w:i/>
          <w:iCs/>
        </w:rPr>
        <w:fldChar w:fldCharType="begin"/>
      </w:r>
      <w:r w:rsidR="002D2756">
        <w:rPr>
          <w:b w:val="0"/>
          <w:bCs/>
        </w:rPr>
        <w:instrText xml:space="preserve"> ADDIN ZOTERO_ITEM CSL_CITATION {"citationID":"akqj61dihv","properties":{"formattedCitation":"(Essl et al., 2018; Hoagstrom et al., 2009)","plainCitation":"(Essl et al., 2018; Hoagstrom et al., 2009)","noteIndex":0},"citationItems":[{"id":29275,"uris":["http://zotero.org/groups/2352922/items/JQ7JQKMV"],"itemData":{"id":29275,"type":"article-journal","abstract":"Human activities such as the transport of species to new regions and modifications of the environment are increasingly reshaping the distribution of biota. Accordingly, developing robust, repeatable, and consistent definitions of alien species that serve scientific and policy purposes has become of prime importance. We provide a set of classification criteria that are widely applicable across taxa and realms and offer guidance on their use in practice. The criteria focus on (a) acknowledging the role of assessment uncertainty, (b) incorporating time since introduction, (c) considering infraspecific taxonomic ranks, and (d) differentiating between alien species whose survival depends on explicit human assistance from those that survive without such assistance. Furthermore, we make recommendations for reducing assessment uncertainty, suggest thresholds for species assessment, and develop an assessment scheme. We illustrate the application of the assessment criteria with case studies. Finally, the implications for alien species management, policy, and research are discussed.","container-title":"BioScience","DOI":"10.1093/biosci/biy057","ISSN":"0006-3568, 1525-3244","issue":"7","language":"en","page":"496-509","source":"DOI.org (Crossref)","title":"Which taxa are alien? Criteria, applications, and uncertainties","title-short":"Which Taxa Are Alien?","URL":"https://academic.oup.com/bioscience/article/68/7/496/5050532","volume":"68","author":[{"family":"Essl","given":"Franz"},{"family":"Bacher","given":"Sven"},{"family":"Genovesi","given":"Piero"},{"family":"Hulme","given":"Philip E"},{"family":"Jeschke","given":"Jonathan M"},{"family":"Katsanevakis","given":"Stelios"},{"family":"Kowarik","given":"Ingo"},{"family":"Kühn","given":"Ingolf"},{"family":"Pyšek","given":"Petr"},{"family":"Rabitsch","given":"Wolfgang"},{"family":"Schindler","given":"Stefan"},{"family":"Kleunen","given":"Mark","non-dropping-particle":"van"},{"family":"Vilà","given":"Montserrat"},{"family":"Wilson","given":"John R U"},{"family":"Richardson","given":"David M"}],"accessed":{"date-parts":[["2020",6,15]]},"issued":{"date-parts":[["2018",7,1]]}},"label":"page"},{"id":22639,"uris":["http://zotero.org/groups/2352922/items/JUINMSKV"],"itemData":{"id":22639,"type":"article-journal","container-title":"Aquatic Conservation: Marine and Freshwater Ecosystems","DOI":"10.1002/aqc.1000","ISSN":"10527613, 10990755","issue":"1","journalAbbreviation":"Aquatic Conserv: Mar. Freshw. Ecosyst.","language":"en","page":"88-95","source":"DOI.org (Crossref)","title":"Criteria for determining native distributions of biota: the case of the northern plains killifish in the Cheyenne River drainage, North America","title-short":"Criteria for determining native distributions of biota","URL":"http://doi.wiley.com/10.1002/aqc.1000","volume":"19","author":[{"family":"Hoagstrom","given":"Christopher W."},{"family":"Hayer","given":"Cari-Ann"},{"family":"Berry","given":"Charles R."}],"accessed":{"date-parts":[["2020",6,15]]},"issued":{"date-parts":[["2009",1]]}},"label":"page"}],"schema":"https://github.com/citation-style-language/schema/raw/master/csl-citation.json"} </w:instrText>
      </w:r>
      <w:r w:rsidR="006C5D75" w:rsidRPr="00A9434B">
        <w:rPr>
          <w:b w:val="0"/>
          <w:bCs/>
          <w:i/>
          <w:iCs/>
        </w:rPr>
        <w:fldChar w:fldCharType="separate"/>
      </w:r>
      <w:r w:rsidR="00C71E80" w:rsidRPr="00A9434B">
        <w:rPr>
          <w:b w:val="0"/>
          <w:bCs/>
        </w:rPr>
        <w:t>(Essl et al., 2018; Hoagstrom et al., 2009)</w:t>
      </w:r>
      <w:r w:rsidR="006C5D75" w:rsidRPr="00A9434B">
        <w:rPr>
          <w:b w:val="0"/>
          <w:bCs/>
          <w:i/>
          <w:iCs/>
        </w:rPr>
        <w:fldChar w:fldCharType="end"/>
      </w:r>
      <w:r w:rsidR="1E4B2BF8" w:rsidRPr="00A9434B">
        <w:rPr>
          <w:rFonts w:eastAsia="Calibri Light"/>
          <w:b w:val="0"/>
          <w:bCs/>
        </w:rPr>
        <w:t>. For certain taxonomic groups evidence is particularly elusive. For example, rare soft-bodied organisms in deep marine habitats are rarely surveyed</w:t>
      </w:r>
      <w:r w:rsidR="1255E379" w:rsidRPr="00A9434B">
        <w:rPr>
          <w:rFonts w:eastAsia="Calibri Light"/>
          <w:b w:val="0"/>
          <w:bCs/>
        </w:rPr>
        <w:t>, and often given</w:t>
      </w:r>
      <w:r w:rsidR="006C5D75" w:rsidRPr="00A9434B">
        <w:rPr>
          <w:rFonts w:eastAsia="Calibri Light"/>
          <w:b w:val="0"/>
          <w:bCs/>
        </w:rPr>
        <w:t xml:space="preserve"> the </w:t>
      </w:r>
      <w:r w:rsidR="1E4B2BF8" w:rsidRPr="00A9434B">
        <w:rPr>
          <w:rFonts w:eastAsia="Calibri Light"/>
          <w:b w:val="0"/>
          <w:bCs/>
        </w:rPr>
        <w:t xml:space="preserve">status of </w:t>
      </w:r>
      <w:r w:rsidR="1255E379" w:rsidRPr="00A9434B">
        <w:rPr>
          <w:rFonts w:eastAsia="Calibri Light"/>
          <w:b w:val="0"/>
          <w:bCs/>
        </w:rPr>
        <w:t>“</w:t>
      </w:r>
      <w:r w:rsidR="1E4B2BF8" w:rsidRPr="00A9434B">
        <w:rPr>
          <w:rFonts w:eastAsia="Calibri Light"/>
          <w:b w:val="0"/>
          <w:bCs/>
        </w:rPr>
        <w:t xml:space="preserve">cryptogenic </w:t>
      </w:r>
      <w:r w:rsidR="1255E379" w:rsidRPr="00A9434B">
        <w:rPr>
          <w:rFonts w:eastAsia="Calibri Light"/>
          <w:b w:val="0"/>
          <w:bCs/>
        </w:rPr>
        <w:t>species”</w:t>
      </w:r>
      <w:r w:rsidR="1E4B2BF8" w:rsidRPr="001738E7">
        <w:rPr>
          <w:rFonts w:eastAsia="Calibri Light"/>
          <w:b w:val="0"/>
          <w:bCs/>
        </w:rPr>
        <w:t xml:space="preserve"> </w:t>
      </w:r>
      <w:r w:rsidR="006C5D75" w:rsidRPr="001738E7">
        <w:rPr>
          <w:rFonts w:eastAsia="Times New Roman"/>
          <w:b w:val="0"/>
          <w:bCs/>
          <w:i/>
          <w:iCs/>
        </w:rPr>
        <w:fldChar w:fldCharType="begin"/>
      </w:r>
      <w:r w:rsidR="006C5D75" w:rsidRPr="001738E7">
        <w:rPr>
          <w:rFonts w:eastAsia="Calibri Light"/>
          <w:b w:val="0"/>
          <w:bCs/>
        </w:rPr>
        <w:instrText>ADDIN EN.CITE &lt;EndNote&gt;&lt;Cite&gt;&lt;Author&gt;Carlton&lt;/Author&gt;&lt;Year&gt;1996&lt;/Year&gt;&lt;RecNum&gt;227&lt;/RecNum&gt;&lt;DisplayText&gt;(Carlton 1996)&lt;/DisplayText&gt;&lt;record&gt;&lt;rec-number&gt;243&lt;/rec-number&gt;&lt;foreign-keys&gt;&lt;key app="EN" db-id="0d55paxdcvwpebe55d1vrz5ne2pattprarta" timestamp="1597992735"&gt;243&lt;/key&gt;&lt;/foreign-keys&gt;&lt;ref-type name="Journal Article"&gt;17&lt;/ref-type&gt;&lt;contributors&gt;&lt;authors&gt;&lt;author&gt;Carlton, James T.&lt;/author&gt;&lt;/authors&gt;&lt;/contributors&gt;&lt;titles&gt;&lt;title&gt;Biological Invasions and Cryptogenic Species&lt;/title&gt;&lt;secondary-title&gt;Ecology&lt;/secondary-title&gt;&lt;/titles&gt;&lt;periodical&gt;&lt;full-title&gt;Ecology&lt;/full-title&gt;&lt;abbr-1&gt;Ecology&lt;/abbr-1&gt;&lt;/periodical&gt;&lt;pages&gt;1653-1655&lt;/pages&gt;&lt;volume&gt;77&lt;/volume&gt;&lt;number&gt;6&lt;/number&gt;&lt;dates&gt;&lt;year&gt;1996&lt;/year&gt;&lt;pub-dates&gt;&lt;date&gt;1996/09//&lt;/date&gt;&lt;/pub-dates&gt;&lt;/dates&gt;&lt;isbn&gt;00129658&lt;/isbn&gt;&lt;urls&gt;&lt;related-urls&gt;&lt;url&gt;http://doi.wiley.com/10.2307/2265767&lt;/url&gt;&lt;/related-urls&gt;&lt;/urls&gt;&lt;electronic-resource-num&gt;10.2307/2265767&lt;/electronic-resource-num&gt;&lt;remote-database-provider&gt;DOI.org (Crossref)&lt;/remote-database-provider&gt;&lt;language&gt;en&lt;/language&gt;&lt;access-date&gt;2020/06/15/07:21:49&lt;/access-date&gt;&lt;/record&gt;&lt;/Cite&gt;&lt;/EndNote&gt;</w:instrText>
      </w:r>
      <w:r w:rsidR="006C5D75" w:rsidRPr="001738E7">
        <w:rPr>
          <w:rFonts w:eastAsia="Calibri Light"/>
          <w:b w:val="0"/>
          <w:bCs/>
          <w:i/>
          <w:iCs/>
        </w:rPr>
        <w:fldChar w:fldCharType="separate"/>
      </w:r>
      <w:r w:rsidR="006C5D75" w:rsidRPr="001738E7">
        <w:rPr>
          <w:rFonts w:eastAsia="Calibri Light"/>
          <w:b w:val="0"/>
          <w:bCs/>
          <w:i/>
          <w:iCs/>
        </w:rPr>
        <w:fldChar w:fldCharType="begin"/>
      </w:r>
      <w:r w:rsidR="002D2756">
        <w:rPr>
          <w:rFonts w:eastAsia="Calibri Light"/>
          <w:b w:val="0"/>
          <w:bCs/>
        </w:rPr>
        <w:instrText xml:space="preserve"> ADDIN ZOTERO_ITEM CSL_CITATION {"citationID":"5BqZIViD","properties":{"formattedCitation":"(Carlton, 1996)","plainCitation":"(Carlton, 1996)","dontUpdate":true,"noteIndex":0},"citationItems":[{"id":29110,"uris":["http://zotero.org/groups/2352922/items/85HVPA9B"],"itemData":{"id":29110,"type":"article-journal","container-title":"Ecology","DOI":"10.2307/2265767","ISSN":"1939-9170","issue":"6","language":"en","note":"_eprint: https://onlinelibrary.wiley.com/doi/pdf/10.2307/2265767","page":"1653-1655","source":"Wiley Online Library","title":"Biological Invasions and Cryptogenic Species","URL":"http://doi.wiley.com/10.2307/2265767","volume":"77","author":[{"family":"Carlton","given":"James T."}],"accessed":{"date-parts":[["2020",4,30]]},"issued":{"date-parts":[["1996"]]}},"label":"page"}],"schema":"https://github.com/citation-style-language/schema/raw/master/csl-citation.json"} </w:instrText>
      </w:r>
      <w:r w:rsidR="006C5D75" w:rsidRPr="001738E7">
        <w:rPr>
          <w:rFonts w:eastAsia="Calibri Light"/>
          <w:b w:val="0"/>
          <w:bCs/>
          <w:i/>
          <w:iCs/>
        </w:rPr>
        <w:fldChar w:fldCharType="separate"/>
      </w:r>
      <w:r w:rsidR="001738E7" w:rsidRPr="001738E7">
        <w:rPr>
          <w:b w:val="0"/>
        </w:rPr>
        <w:t>(Carlton, 1996</w:t>
      </w:r>
      <w:r w:rsidR="006C5D75" w:rsidRPr="001738E7">
        <w:rPr>
          <w:rFonts w:eastAsia="Calibri Light"/>
          <w:b w:val="0"/>
          <w:bCs/>
          <w:i/>
          <w:iCs/>
        </w:rPr>
        <w:fldChar w:fldCharType="end"/>
      </w:r>
      <w:r w:rsidR="006C5D75" w:rsidRPr="001738E7">
        <w:rPr>
          <w:rFonts w:eastAsia="Calibri Light"/>
          <w:b w:val="0"/>
          <w:bCs/>
          <w:i/>
          <w:iCs/>
        </w:rPr>
        <w:fldChar w:fldCharType="end"/>
      </w:r>
      <w:r w:rsidR="4C0FB7B8" w:rsidRPr="00A9434B">
        <w:rPr>
          <w:rFonts w:eastAsia="Calibri Light"/>
          <w:b w:val="0"/>
          <w:bCs/>
        </w:rPr>
        <w:t>;</w:t>
      </w:r>
      <w:r w:rsidR="2D817044" w:rsidRPr="00A9434B">
        <w:rPr>
          <w:rFonts w:eastAsia="Calibri Light"/>
          <w:b w:val="0"/>
          <w:bCs/>
        </w:rPr>
        <w:t xml:space="preserve"> </w:t>
      </w:r>
      <w:r w:rsidR="0044275A">
        <w:rPr>
          <w:rFonts w:eastAsia="Calibri Light"/>
          <w:bCs/>
          <w:iCs/>
        </w:rPr>
        <w:t>G</w:t>
      </w:r>
      <w:r w:rsidR="004515D8" w:rsidRPr="00673554">
        <w:rPr>
          <w:rFonts w:eastAsia="Calibri Light"/>
          <w:bCs/>
          <w:iCs/>
        </w:rPr>
        <w:t>lossary</w:t>
      </w:r>
      <w:r w:rsidR="0085609A" w:rsidRPr="00935C0C">
        <w:rPr>
          <w:rFonts w:eastAsia="Calibri Light"/>
          <w:b w:val="0"/>
          <w:bCs/>
        </w:rPr>
        <w:t>;</w:t>
      </w:r>
      <w:r w:rsidR="004515D8" w:rsidRPr="00673554">
        <w:rPr>
          <w:rFonts w:eastAsia="Calibri Light"/>
          <w:bCs/>
        </w:rPr>
        <w:t xml:space="preserve"> </w:t>
      </w:r>
      <w:r w:rsidR="0044275A">
        <w:rPr>
          <w:rFonts w:eastAsia="Calibri Light"/>
          <w:bCs/>
          <w:iCs/>
        </w:rPr>
        <w:t>C</w:t>
      </w:r>
      <w:r w:rsidR="38810B76" w:rsidRPr="00673554">
        <w:rPr>
          <w:rFonts w:eastAsia="Calibri Light"/>
          <w:bCs/>
          <w:iCs/>
        </w:rPr>
        <w:t>hapter 2</w:t>
      </w:r>
      <w:r w:rsidR="38810B76" w:rsidRPr="00673554">
        <w:rPr>
          <w:rFonts w:eastAsia="Calibri Light"/>
          <w:bCs/>
        </w:rPr>
        <w:t xml:space="preserve"> </w:t>
      </w:r>
      <w:r w:rsidR="38810B76" w:rsidRPr="00A9434B">
        <w:rPr>
          <w:rFonts w:eastAsia="Calibri Light"/>
          <w:b w:val="0"/>
          <w:bCs/>
        </w:rPr>
        <w:t>for more examples)</w:t>
      </w:r>
      <w:r w:rsidR="1E4B2BF8" w:rsidRPr="00A9434B">
        <w:rPr>
          <w:rFonts w:eastAsia="Calibri Light"/>
          <w:b w:val="0"/>
          <w:bCs/>
        </w:rPr>
        <w:t xml:space="preserve">. Assessments of native status are often made in </w:t>
      </w:r>
      <w:r w:rsidR="00271148">
        <w:rPr>
          <w:rFonts w:eastAsia="Calibri Light"/>
          <w:b w:val="0"/>
          <w:bCs/>
        </w:rPr>
        <w:t>plant and amimal</w:t>
      </w:r>
      <w:r w:rsidR="1E4B2BF8" w:rsidRPr="00A9434B">
        <w:rPr>
          <w:rFonts w:eastAsia="Calibri Light"/>
          <w:b w:val="0"/>
          <w:bCs/>
        </w:rPr>
        <w:t xml:space="preserve"> surveys and are published in </w:t>
      </w:r>
      <w:r w:rsidR="00926DF1">
        <w:rPr>
          <w:rFonts w:eastAsia="Calibri Light"/>
          <w:b w:val="0"/>
          <w:bCs/>
        </w:rPr>
        <w:t>taxonomic checklists</w:t>
      </w:r>
      <w:r w:rsidR="1E4B2BF8" w:rsidRPr="00A9434B">
        <w:rPr>
          <w:rFonts w:eastAsia="Calibri Light"/>
          <w:b w:val="0"/>
          <w:bCs/>
        </w:rPr>
        <w:t>. In most cases the categorization is uncontroversial. However, in some cases the designation can have political and practical consequences.</w:t>
      </w:r>
    </w:p>
    <w:p w14:paraId="44DBECD2" w14:textId="7BFD339B" w:rsidR="00CC4659" w:rsidRPr="00A9434B" w:rsidRDefault="07F8E895" w:rsidP="00C46680">
      <w:pPr>
        <w:pStyle w:val="Heading3"/>
      </w:pPr>
      <w:bookmarkStart w:id="534" w:name="_Toc1369400914"/>
      <w:bookmarkStart w:id="535" w:name="_Toc133428348"/>
      <w:r w:rsidRPr="00A9434B">
        <w:t>Uncertainty of information on introduction pathways</w:t>
      </w:r>
      <w:bookmarkEnd w:id="534"/>
      <w:bookmarkEnd w:id="535"/>
    </w:p>
    <w:p w14:paraId="44191D0A" w14:textId="27711418" w:rsidR="64AC50BF" w:rsidRPr="00A9434B" w:rsidRDefault="00A73A17" w:rsidP="006B3143">
      <w:pPr>
        <w:rPr>
          <w:rFonts w:eastAsia="Calibri Light"/>
        </w:rPr>
      </w:pPr>
      <w:r w:rsidRPr="00A9434B">
        <w:rPr>
          <w:rFonts w:eastAsia="Calibri Light"/>
        </w:rPr>
        <w:t xml:space="preserve">Pathways </w:t>
      </w:r>
      <w:r w:rsidR="639933B3" w:rsidRPr="00A9434B">
        <w:rPr>
          <w:rFonts w:eastAsia="Calibri Light"/>
        </w:rPr>
        <w:t xml:space="preserve">of introduction, particularly in the marine realm, are </w:t>
      </w:r>
      <w:r w:rsidR="3961A7AD" w:rsidRPr="00A9434B">
        <w:rPr>
          <w:rFonts w:eastAsia="Calibri Light"/>
        </w:rPr>
        <w:t xml:space="preserve">not always </w:t>
      </w:r>
      <w:r w:rsidR="639933B3" w:rsidRPr="00A9434B">
        <w:rPr>
          <w:rFonts w:eastAsia="Calibri Light"/>
        </w:rPr>
        <w:t>known with high certainty</w:t>
      </w:r>
      <w:r w:rsidR="009E44CB" w:rsidRPr="00A9434B">
        <w:rPr>
          <w:rFonts w:eastAsia="Calibri Light"/>
        </w:rPr>
        <w:t xml:space="preserve"> (</w:t>
      </w:r>
      <w:r w:rsidR="0044275A">
        <w:rPr>
          <w:rFonts w:eastAsia="Calibri Light"/>
          <w:b/>
          <w:iCs/>
        </w:rPr>
        <w:t>C</w:t>
      </w:r>
      <w:r w:rsidR="009E44CB" w:rsidRPr="00673554">
        <w:rPr>
          <w:rFonts w:eastAsia="Calibri Light"/>
          <w:b/>
          <w:iCs/>
        </w:rPr>
        <w:t>hapter 2</w:t>
      </w:r>
      <w:r w:rsidR="009E44CB" w:rsidRPr="00673554">
        <w:rPr>
          <w:rFonts w:eastAsia="Calibri Light"/>
          <w:iCs/>
        </w:rPr>
        <w:t>,</w:t>
      </w:r>
      <w:r w:rsidR="009E44CB" w:rsidRPr="00673554">
        <w:rPr>
          <w:rFonts w:eastAsia="Calibri Light"/>
          <w:b/>
          <w:iCs/>
        </w:rPr>
        <w:t xml:space="preserve"> section 2.1.2</w:t>
      </w:r>
      <w:r w:rsidR="009E44CB" w:rsidRPr="00A9434B">
        <w:rPr>
          <w:rFonts w:eastAsia="Calibri Light"/>
        </w:rPr>
        <w:t>)</w:t>
      </w:r>
      <w:r w:rsidR="639933B3" w:rsidRPr="00A9434B">
        <w:rPr>
          <w:rFonts w:eastAsia="Calibri Light"/>
        </w:rPr>
        <w:t>. Only occasionally are there documented deliberate releases, or clear evidence link</w:t>
      </w:r>
      <w:r w:rsidR="00A15279">
        <w:rPr>
          <w:rFonts w:eastAsia="Calibri Light"/>
        </w:rPr>
        <w:t>ing</w:t>
      </w:r>
      <w:r w:rsidR="639933B3" w:rsidRPr="00A9434B">
        <w:rPr>
          <w:rFonts w:eastAsia="Calibri Light"/>
        </w:rPr>
        <w:t xml:space="preserve"> donor and invaded regions, and where </w:t>
      </w:r>
      <w:r w:rsidR="00A15279">
        <w:rPr>
          <w:rFonts w:eastAsia="Calibri Light"/>
        </w:rPr>
        <w:t>species’</w:t>
      </w:r>
      <w:r w:rsidR="639933B3" w:rsidRPr="00A9434B">
        <w:rPr>
          <w:rFonts w:eastAsia="Calibri Light"/>
        </w:rPr>
        <w:t xml:space="preserve"> life history and historical records point to an obvious</w:t>
      </w:r>
      <w:r w:rsidR="00A15279">
        <w:rPr>
          <w:rFonts w:eastAsia="Calibri Light"/>
        </w:rPr>
        <w:t xml:space="preserve"> introduction</w:t>
      </w:r>
      <w:r w:rsidR="639933B3" w:rsidRPr="00A9434B">
        <w:rPr>
          <w:rFonts w:eastAsia="Calibri Light"/>
        </w:rPr>
        <w:t xml:space="preserve"> pathway. In most cases, vectors and pathways are assumed based on the biological and ecological traits of the species, the habitats they occupy in the native and introduced range, and the timing of first record, trade patterns, human use and vector activity </w:t>
      </w:r>
      <w:r w:rsidR="639933B3" w:rsidRPr="00A9434B">
        <w:rPr>
          <w:rFonts w:eastAsia="Times New Roman"/>
        </w:rPr>
        <w:fldChar w:fldCharType="begin"/>
      </w:r>
      <w:r w:rsidR="002D2756">
        <w:rPr>
          <w:rFonts w:eastAsia="Calibri Light"/>
        </w:rPr>
        <w:instrText xml:space="preserve"> ADDIN ZOTERO_ITEM CSL_CITATION {"citationID":"a1vpgbrdn06","properties":{"formattedCitation":"(Faulkner et al., 2016; Galil et al., 2014; Hewitt et al., 2004; Wonham &amp; Carlton, 2005)","plainCitation":"(Faulkner et al., 2016; Galil et al., 2014; Hewitt et al., 2004; Wonham &amp; Carlton, 2005)","noteIndex":0},"citationItems":[{"id":32401,"uris":["http://zotero.org/groups/2352922/items/WBBGY3KX"],"itemData":{"id":32401,"type":"article-journal","abstract":"For the effective prevention of biological invasions, the pathways responsible for introductions must be understood and managed. However introduction pathways, particularly for developing nations, have been understudied. Using the Hulme et al. (J Appl Ecol 45:403–414, 2008) pathway classification, we assessed the South African introduction pathways in terms of the number of introductions, the invasion success of introduced taxa, how the pathways have changed over time, and how these factors vary for vertebrates, invertebrates and plants. Pathway and date of introduction, region of origin, distribution and invasion status data for 2111 alien taxa were extracted from databases. Most alien and invasive taxa were deliberately introduced and subsequently escaped captivity or cultivation. Pathway prominence also varied temporally and across organism types. Vertebrates and plants were largely escapes and although most plant escapes have become invasive, this is not the case for vertebrates. However the number of new plant and vertebrate escapes has increased over time. Invertebrates have been deliberately released or unintentionally introduced as contaminants or stowaways. For invertebrates the number of release, contaminant and stowaway introductions has increased, and most contaminants and stowaways have become invasive. As effective screening procedures are in place for invertebrates released for biological control, the major threats for South Africa are from vertebrate and plant escapes and invertebrate contaminants and stowaways. We recommend improvements to risk assessment and education to prevent escapes, and prioritised inspection strategies to reduce stowaway and contaminant introductions. Finally, as introduction pathways and introduced taxa change temporally, biosecurity decisions need to be informed by information on current and future pathways.","container-title":"Biological Invasions","DOI":"10.1007/s10530-015-0990-4","ISSN":"1573-1464","issue":"1","journalAbbreviation":"Biol Invasions","language":"en","note":"number: 1","page":"73-87","source":"Springer Link","title":"Understanding and managing the introduction pathways of alien taxa: South Africa as a case study","title-short":"Understanding and managing the introduction pathways of alien taxa","URL":"https://doi.org/10.1007/s10530-015-0990-4","volume":"18","author":[{"family":"Faulkner","given":"Katelyn T."},{"family":"Robertson","given":"Mark P."},{"family":"Rouget","given":"Mathieu"},{"family":"Wilson","given":"John R. U."}],"accessed":{"date-parts":[["2021",12,7]]},"issued":{"date-parts":[["2016",1,1]]}},"label":"page"},{"id":29156,"uris":["http://zotero.org/groups/2352922/items/2BVDAWFF"],"itemData":{"id":29156,"type":"article-journal","abstract":"The European Union lacks a comprehensive framework to address the threats posed by the introduction and spread of marine non-indigenous species (NIS). Current efforts are fragmented and suffer substantial gaps in coverage. In this paper we identify and discuss issues relating to the assessment of spatial and temporal patterns of introductions in European Seas (ES), based on a scientifically validated information system of aquatic non-indigenous and cryptogenic species, AquaNIS. While recognizing the limitations of the existing data, we extract information that can be used to assess the relative risk of introductions for different taxonomic groups, geographic regions and likely vectors. The dataset comprises 879 multicellular NIS. We applied a country-based approach to assess patterns of NIS richness in ES, and identify the principal introduction routes and vectors, the most widespread NIS and their spatial and temporal spread patterns. Between 1970 and 2013, the number of recorded NIS has grown by 86, 173 and 204% in the Baltic, Western European margin and the Mediterranean, respectively; 52 of the 879 NIS were recorded in 10 or more countries, and 25 NIS first recorded in European seas since 1990 have since been reported in five or more countries. Our results highlight the ever-rising role of shipping (commercial and recreational) as a vector for the widespread and recently spread NIS. The Suez Canal, a corridor unique to the Mediterranean, is responsible for the increased introduction of new thermophilic NIS into this warming sea. The 2020 goal of the EU Biodiversity Strategy concerning marine Invasive Alien Species may not be fully attainable. The setting of a new target date should be accompanied by scientifically robust, sensible and pragmatic plans to minimize introductions of marine NIS and to study those present.","container-title":"Ethology Ecology &amp; Evolution","DOI":"10.1080/03949370.2014.897651","ISSN":"0394-9370, 1828-7131","issue":"2-3","journalAbbreviation":"Ethology Ecology &amp; Evolution","language":"en","page":"152-171","source":"DOI.org (Crossref)","title":"International arrivals: widespread bioinvasions in European Seas","title-short":"International arrivals","URL":"http://www.tandfonline.com/doi/abs/10.1080/03949370.2014.897651","volume":"26","author":[{"family":"Galil","given":"Bella S."},{"family":"Marchini","given":"A."},{"family":"Occhipinti-Ambrogi","given":"A."},{"family":"Minchin","given":"D."},{"family":"Narščius","given":"A."},{"family":"Ojaveer","given":"H."},{"family":"Olenin","given":"S."}],"accessed":{"date-parts":[["2021",6,23]]},"issued":{"date-parts":[["2014",7,3]]}},"label":"page"},{"id":17414,"uris":["http://zotero.org/groups/2352922/items/XUB2Z9LX"],"itemData":{"id":17414,"type":"article-journal","abstract":"Marine biosecurity, the protection of the marine environment from impacts of non-indigenous species, has a high profile in New Zealand largely associated with a dependence on shipping. The Ministry of Fisheries is the lead agency for marine biosecurity and is tasked with managing the risks posed by pests and non-indigenous marine species. Much like the terrestrial environment, multiple pathways provide ample opportunities for new species to arrive. The Marine Biosecurity Team was established in 1998, and under the Biodiversity package delivered by government, has undertaken an ambitious programme to deliver biosecurity outcomes by reducing the knowledge gaps and establishing management frameworks. A Risk Management Framework aids decision-making and operational planning. Despite significant progress, a number of gaps have been identified in our knowledge base, capability, and capacity that require attention.","container-title":"New Zealand Journal of Marine and Freshwater Research","DOI":"10.1080/00288330.2004.9517250","ISSN":"0028-8330","issue":"3","page":"429–438","source":"Google Scholar","title":"New Zealand marine biosecurity: Delivering outcomes in a fluid environment","title-short":"New Zealand marine biosecurity","volume":"38","author":[{"family":"Hewitt","given":"Chad L."},{"family":"Willing","given":"Jane"},{"family":"Bauckham","given":"Allan"},{"family":"Cassidy","given":"A. Maria"},{"family":"Cox","given":"Camilla M. S."},{"family":"Jones","given":"Liz"},{"family":"Wotton","given":"Debra M."}],"issued":{"date-parts":[["2004"]]}},"label":"page"},{"id":32394,"uris":["http://zotero.org/groups/2352922/items/BB2S2AEF"],"itemData":{"id":32394,"type":"article-journal","container-title":"Biological Invasions","DOI":"10.1007/s10530-004-2581-7","ISSN":"1387-3547, 1573-1464","issue":"3","journalAbbreviation":"Biol Invasions","language":"en","page":"369-392","source":"DOI.org (Crossref)","title":"Trends in marine biological invasions at local and regional scales: the Northeast Pacific Ocean as a model system","title-short":"Trends in marine biological invasions at local and regional scales","URL":"http://link.springer.com/10.1007/s10530-004-2581-7","volume":"7","author":[{"family":"Wonham","given":"Marjorie J."},{"family":"Carlton","given":"James T."}],"accessed":{"date-parts":[["2021",12,7]]},"issued":{"date-parts":[["2005",5]]}},"label":"page"}],"schema":"https://github.com/citation-style-language/schema/raw/master/csl-citation.json"} </w:instrText>
      </w:r>
      <w:r w:rsidR="639933B3" w:rsidRPr="00A9434B">
        <w:rPr>
          <w:rFonts w:eastAsia="Calibri Light"/>
        </w:rPr>
        <w:fldChar w:fldCharType="separate"/>
      </w:r>
      <w:r w:rsidR="00017441" w:rsidRPr="00017441">
        <w:t>(Faulkner et al., 2016; Galil et al., 2014; Hewitt et al., 2004; Wonham &amp; Carlton, 2005)</w:t>
      </w:r>
      <w:r w:rsidR="639933B3" w:rsidRPr="00A9434B">
        <w:rPr>
          <w:rFonts w:eastAsia="Calibri Light"/>
        </w:rPr>
        <w:fldChar w:fldCharType="end"/>
      </w:r>
      <w:r w:rsidR="639933B3" w:rsidRPr="00A9434B">
        <w:rPr>
          <w:rFonts w:eastAsia="Calibri Light"/>
        </w:rPr>
        <w:t xml:space="preserve">. For most species the precise details of their introduction history will not be known with any certainty </w:t>
      </w:r>
      <w:r w:rsidR="0054645C" w:rsidRPr="00A9434B">
        <w:rPr>
          <w:rFonts w:eastAsia="Calibri Light"/>
        </w:rPr>
        <w:fldChar w:fldCharType="begin"/>
      </w:r>
      <w:r w:rsidR="002D2756">
        <w:rPr>
          <w:rFonts w:eastAsia="Calibri Light"/>
        </w:rPr>
        <w:instrText xml:space="preserve"> ADDIN ZOTERO_ITEM CSL_CITATION {"citationID":"a11sf31hoh6","properties":{"formattedCitation":"(Wonham &amp; Carlton, 2005)","plainCitation":"(Wonham &amp; Carlton, 2005)","noteIndex":0},"citationItems":[{"id":32394,"uris":["http://zotero.org/groups/2352922/items/BB2S2AEF"],"itemData":{"id":32394,"type":"article-journal","container-title":"Biological Invasions","DOI":"10.1007/s10530-004-2581-7","ISSN":"1387-3547, 1573-1464","issue":"3","journalAbbreviation":"Biol Invasions","language":"en","page":"369-392","source":"DOI.org (Crossref)","title":"Trends in marine biological invasions at local and regional scales: the Northeast Pacific Ocean as a model system","title-short":"Trends in marine biological invasions at local and regional scales","URL":"http://link.springer.com/10.1007/s10530-004-2581-7","volume":"7","author":[{"family":"Wonham","given":"Marjorie J."},{"family":"Carlton","given":"James T."}],"accessed":{"date-parts":[["2021",12,7]]},"issued":{"date-parts":[["2005",5]]}}}],"schema":"https://github.com/citation-style-language/schema/raw/master/csl-citation.json"} </w:instrText>
      </w:r>
      <w:r w:rsidR="0054645C" w:rsidRPr="00A9434B">
        <w:rPr>
          <w:rFonts w:eastAsia="Calibri Light"/>
        </w:rPr>
        <w:fldChar w:fldCharType="separate"/>
      </w:r>
      <w:r w:rsidR="00C71E80" w:rsidRPr="00A9434B">
        <w:t>(Wonham &amp; Carlton, 2005)</w:t>
      </w:r>
      <w:r w:rsidR="0054645C" w:rsidRPr="00A9434B">
        <w:rPr>
          <w:rFonts w:eastAsia="Calibri Light"/>
        </w:rPr>
        <w:fldChar w:fldCharType="end"/>
      </w:r>
      <w:r w:rsidR="639933B3" w:rsidRPr="00A9434B">
        <w:rPr>
          <w:rFonts w:eastAsia="Calibri Light"/>
        </w:rPr>
        <w:t>.</w:t>
      </w:r>
      <w:r w:rsidR="003115AE" w:rsidRPr="00A9434B">
        <w:t xml:space="preserve"> </w:t>
      </w:r>
      <w:r w:rsidR="003115AE" w:rsidRPr="00A9434B">
        <w:rPr>
          <w:rFonts w:eastAsia="Calibri Light"/>
        </w:rPr>
        <w:t>This might be the reason why only 10</w:t>
      </w:r>
      <w:r w:rsidR="00626B25" w:rsidRPr="00A9434B">
        <w:t xml:space="preserve"> per cent</w:t>
      </w:r>
      <w:r w:rsidR="003115AE" w:rsidRPr="00A9434B">
        <w:rPr>
          <w:rFonts w:eastAsia="Calibri Light"/>
        </w:rPr>
        <w:t xml:space="preserve"> of the studies related to future scenarios and modelling of </w:t>
      </w:r>
      <w:r w:rsidR="005A797E" w:rsidRPr="00A9434B">
        <w:rPr>
          <w:rFonts w:eastAsia="Calibri Light"/>
        </w:rPr>
        <w:t>invasive alien species</w:t>
      </w:r>
      <w:r w:rsidR="003115AE" w:rsidRPr="00A9434B">
        <w:rPr>
          <w:rFonts w:eastAsia="Calibri Light"/>
        </w:rPr>
        <w:t xml:space="preserve"> included pathways </w:t>
      </w:r>
      <w:r w:rsidR="00F806B6" w:rsidRPr="00A9434B">
        <w:rPr>
          <w:rFonts w:eastAsia="Calibri Light"/>
        </w:rPr>
        <w:t>(</w:t>
      </w:r>
      <w:r w:rsidR="0044275A">
        <w:rPr>
          <w:rFonts w:eastAsia="Calibri Light"/>
          <w:b/>
          <w:iCs/>
        </w:rPr>
        <w:t>C</w:t>
      </w:r>
      <w:r w:rsidR="0054645C" w:rsidRPr="00673554">
        <w:rPr>
          <w:rFonts w:eastAsia="Calibri Light"/>
          <w:b/>
          <w:iCs/>
        </w:rPr>
        <w:t>hapter 1</w:t>
      </w:r>
      <w:r w:rsidR="0054645C" w:rsidRPr="00673554">
        <w:rPr>
          <w:rFonts w:eastAsia="Calibri Light"/>
          <w:iCs/>
        </w:rPr>
        <w:t>,</w:t>
      </w:r>
      <w:r w:rsidR="0054645C" w:rsidRPr="00673554">
        <w:rPr>
          <w:rFonts w:eastAsia="Calibri Light"/>
          <w:b/>
          <w:iCs/>
        </w:rPr>
        <w:t xml:space="preserve"> </w:t>
      </w:r>
      <w:r w:rsidR="00FF1550" w:rsidRPr="00673554">
        <w:rPr>
          <w:rFonts w:eastAsia="Calibri Light"/>
          <w:b/>
          <w:iCs/>
        </w:rPr>
        <w:t>section 1.6.7.3</w:t>
      </w:r>
      <w:r w:rsidR="0054645C" w:rsidRPr="00A9434B">
        <w:rPr>
          <w:rFonts w:eastAsia="Calibri Light"/>
        </w:rPr>
        <w:t>)</w:t>
      </w:r>
      <w:r w:rsidR="003115AE" w:rsidRPr="00A9434B">
        <w:rPr>
          <w:rFonts w:eastAsia="Calibri Light"/>
        </w:rPr>
        <w:t>.</w:t>
      </w:r>
      <w:r w:rsidR="639933B3" w:rsidRPr="00A9434B">
        <w:rPr>
          <w:rFonts w:eastAsia="Calibri Light"/>
        </w:rPr>
        <w:t xml:space="preserve"> This limits </w:t>
      </w:r>
      <w:r w:rsidR="00096BEF" w:rsidRPr="00A9434B">
        <w:rPr>
          <w:rFonts w:eastAsia="Calibri Light"/>
        </w:rPr>
        <w:t>options</w:t>
      </w:r>
      <w:r w:rsidR="639933B3" w:rsidRPr="00A9434B">
        <w:rPr>
          <w:rFonts w:eastAsia="Calibri Light"/>
        </w:rPr>
        <w:t xml:space="preserve"> for </w:t>
      </w:r>
      <w:r w:rsidR="00096BEF" w:rsidRPr="00A9434B">
        <w:rPr>
          <w:rFonts w:eastAsia="Calibri Light"/>
        </w:rPr>
        <w:t>governance</w:t>
      </w:r>
      <w:r w:rsidR="639933B3" w:rsidRPr="00A9434B">
        <w:rPr>
          <w:rFonts w:eastAsia="Calibri Light"/>
        </w:rPr>
        <w:t xml:space="preserve"> </w:t>
      </w:r>
      <w:r w:rsidR="00096BEF" w:rsidRPr="00A9434B">
        <w:rPr>
          <w:rFonts w:eastAsia="Calibri Light"/>
        </w:rPr>
        <w:t>because without adequate information</w:t>
      </w:r>
      <w:r w:rsidR="639933B3" w:rsidRPr="00A9434B">
        <w:rPr>
          <w:rFonts w:eastAsia="Calibri Light"/>
        </w:rPr>
        <w:t xml:space="preserve"> </w:t>
      </w:r>
      <w:r w:rsidR="00096BEF" w:rsidRPr="00A9434B">
        <w:rPr>
          <w:rFonts w:eastAsia="Calibri Light"/>
        </w:rPr>
        <w:t xml:space="preserve">on introduction pathways, </w:t>
      </w:r>
      <w:r w:rsidR="639933B3" w:rsidRPr="00A9434B">
        <w:rPr>
          <w:rFonts w:eastAsia="Calibri Light"/>
        </w:rPr>
        <w:t>it is difficult to implement policy for biosecurity</w:t>
      </w:r>
      <w:r w:rsidR="00096BEF" w:rsidRPr="00A9434B">
        <w:rPr>
          <w:rFonts w:eastAsia="Calibri Light"/>
        </w:rPr>
        <w:t xml:space="preserve">, </w:t>
      </w:r>
      <w:r w:rsidR="001B6D94" w:rsidRPr="00A9434B">
        <w:rPr>
          <w:rFonts w:eastAsia="Calibri Light"/>
        </w:rPr>
        <w:t>prioriti</w:t>
      </w:r>
      <w:r w:rsidR="00B87CCA" w:rsidRPr="00A9434B">
        <w:rPr>
          <w:rFonts w:eastAsia="Calibri Light"/>
        </w:rPr>
        <w:t>z</w:t>
      </w:r>
      <w:r w:rsidR="001B6D94" w:rsidRPr="00A9434B">
        <w:rPr>
          <w:rFonts w:eastAsia="Calibri Light"/>
        </w:rPr>
        <w:t>e</w:t>
      </w:r>
      <w:r w:rsidR="00096BEF" w:rsidRPr="00A9434B">
        <w:rPr>
          <w:rFonts w:eastAsia="Calibri Light"/>
        </w:rPr>
        <w:t xml:space="preserve"> where to invest in interventions to manage biological invasions,</w:t>
      </w:r>
      <w:r w:rsidR="639933B3" w:rsidRPr="00A9434B">
        <w:rPr>
          <w:rFonts w:eastAsia="Calibri Light"/>
        </w:rPr>
        <w:t xml:space="preserve"> </w:t>
      </w:r>
      <w:r w:rsidR="00096BEF" w:rsidRPr="00A9434B">
        <w:rPr>
          <w:rFonts w:eastAsia="Calibri Light"/>
        </w:rPr>
        <w:t>or</w:t>
      </w:r>
      <w:r w:rsidR="639933B3" w:rsidRPr="00A9434B">
        <w:rPr>
          <w:rFonts w:eastAsia="Calibri Light"/>
        </w:rPr>
        <w:t xml:space="preserve"> assign responsibility</w:t>
      </w:r>
      <w:r w:rsidR="00096BEF" w:rsidRPr="00A9434B">
        <w:rPr>
          <w:rFonts w:eastAsia="Calibri Light"/>
        </w:rPr>
        <w:t xml:space="preserve"> to actors responsible</w:t>
      </w:r>
      <w:r w:rsidR="639933B3" w:rsidRPr="00A9434B">
        <w:rPr>
          <w:rFonts w:eastAsia="Calibri Light"/>
        </w:rPr>
        <w:t xml:space="preserve"> for unwanted introductions</w:t>
      </w:r>
      <w:r w:rsidR="00595579" w:rsidRPr="00A9434B">
        <w:rPr>
          <w:rFonts w:eastAsia="Calibri Light"/>
        </w:rPr>
        <w:t xml:space="preserve"> </w:t>
      </w:r>
      <w:r w:rsidR="00F806B6" w:rsidRPr="00A9434B">
        <w:rPr>
          <w:rFonts w:eastAsia="Calibri Light"/>
        </w:rPr>
        <w:t>(</w:t>
      </w:r>
      <w:r w:rsidR="0044275A">
        <w:rPr>
          <w:rFonts w:eastAsia="Calibri Light"/>
          <w:b/>
          <w:iCs/>
        </w:rPr>
        <w:t>C</w:t>
      </w:r>
      <w:r w:rsidR="00595579" w:rsidRPr="00673554">
        <w:rPr>
          <w:rFonts w:eastAsia="Calibri Light"/>
          <w:b/>
          <w:iCs/>
        </w:rPr>
        <w:t>hapter 2</w:t>
      </w:r>
      <w:r w:rsidR="00595579" w:rsidRPr="00673554">
        <w:rPr>
          <w:rFonts w:eastAsia="Calibri Light"/>
          <w:iCs/>
        </w:rPr>
        <w:t>,</w:t>
      </w:r>
      <w:r w:rsidR="00595579" w:rsidRPr="00673554">
        <w:rPr>
          <w:rFonts w:eastAsia="Calibri Light"/>
          <w:b/>
          <w:iCs/>
        </w:rPr>
        <w:t xml:space="preserve"> </w:t>
      </w:r>
      <w:r w:rsidR="00691629" w:rsidRPr="00673554">
        <w:rPr>
          <w:rFonts w:eastAsia="Calibri Light"/>
          <w:b/>
          <w:iCs/>
        </w:rPr>
        <w:t>section 2.1.2</w:t>
      </w:r>
      <w:r w:rsidR="00691629" w:rsidRPr="00A9434B">
        <w:rPr>
          <w:rFonts w:eastAsia="Calibri Light"/>
          <w:i/>
          <w:iCs/>
        </w:rPr>
        <w:t xml:space="preserve"> </w:t>
      </w:r>
      <w:r w:rsidR="00691629" w:rsidRPr="00A9434B">
        <w:rPr>
          <w:rFonts w:eastAsia="Calibri Light"/>
        </w:rPr>
        <w:t>for more information</w:t>
      </w:r>
      <w:r w:rsidR="00371E1A" w:rsidRPr="00A9434B">
        <w:rPr>
          <w:rFonts w:eastAsia="Calibri Light"/>
        </w:rPr>
        <w:t xml:space="preserve"> </w:t>
      </w:r>
      <w:r w:rsidR="00691629" w:rsidRPr="00A9434B">
        <w:rPr>
          <w:rFonts w:eastAsia="Calibri Light"/>
        </w:rPr>
        <w:t xml:space="preserve">on </w:t>
      </w:r>
      <w:r w:rsidR="00371E1A" w:rsidRPr="00A9434B">
        <w:rPr>
          <w:rFonts w:eastAsia="Calibri Light"/>
        </w:rPr>
        <w:t>knowledge and data</w:t>
      </w:r>
      <w:r w:rsidR="00691629" w:rsidRPr="00A9434B">
        <w:rPr>
          <w:rFonts w:eastAsia="Calibri Light"/>
        </w:rPr>
        <w:t xml:space="preserve"> gaps on introduction pathways and</w:t>
      </w:r>
      <w:r w:rsidR="00691629" w:rsidRPr="00A9434B">
        <w:rPr>
          <w:rFonts w:eastAsia="Calibri Light"/>
          <w:i/>
          <w:iCs/>
        </w:rPr>
        <w:t xml:space="preserve"> </w:t>
      </w:r>
      <w:r w:rsidR="0044275A">
        <w:rPr>
          <w:rFonts w:eastAsia="Calibri Light"/>
          <w:b/>
          <w:iCs/>
        </w:rPr>
        <w:t>C</w:t>
      </w:r>
      <w:r w:rsidR="00691629" w:rsidRPr="00673554">
        <w:rPr>
          <w:rFonts w:eastAsia="Calibri Light"/>
          <w:b/>
          <w:iCs/>
        </w:rPr>
        <w:t>hapter 5</w:t>
      </w:r>
      <w:r w:rsidR="00691629" w:rsidRPr="00673554">
        <w:rPr>
          <w:rFonts w:eastAsia="Calibri Light"/>
          <w:iCs/>
        </w:rPr>
        <w:t xml:space="preserve">, </w:t>
      </w:r>
      <w:r w:rsidR="00691629" w:rsidRPr="00673554">
        <w:rPr>
          <w:rFonts w:eastAsia="Calibri Light"/>
          <w:b/>
          <w:iCs/>
        </w:rPr>
        <w:t>section 5.3.1</w:t>
      </w:r>
      <w:r w:rsidR="00691629" w:rsidRPr="00A9434B">
        <w:rPr>
          <w:rFonts w:eastAsia="Calibri Light"/>
          <w:i/>
          <w:iCs/>
        </w:rPr>
        <w:t xml:space="preserve"> </w:t>
      </w:r>
      <w:r w:rsidR="00691629" w:rsidRPr="00A9434B">
        <w:rPr>
          <w:rFonts w:eastAsia="Calibri Light"/>
        </w:rPr>
        <w:t>on pathway management strategies)</w:t>
      </w:r>
      <w:r w:rsidR="639933B3" w:rsidRPr="00A9434B">
        <w:rPr>
          <w:rFonts w:eastAsia="Calibri Light"/>
        </w:rPr>
        <w:t xml:space="preserve">. </w:t>
      </w:r>
    </w:p>
    <w:p w14:paraId="127BDFED" w14:textId="12846401" w:rsidR="00CC4659" w:rsidRPr="00A9434B" w:rsidRDefault="07F8E895" w:rsidP="00C46680">
      <w:pPr>
        <w:pStyle w:val="Heading3"/>
      </w:pPr>
      <w:bookmarkStart w:id="536" w:name="_Toc1348611972"/>
      <w:bookmarkStart w:id="537" w:name="_Toc133428349"/>
      <w:r w:rsidRPr="00A9434B">
        <w:t>Balancing basic and applied research</w:t>
      </w:r>
      <w:r w:rsidR="19A7ECC1" w:rsidRPr="00A9434B">
        <w:t xml:space="preserve"> on biological invasions</w:t>
      </w:r>
      <w:bookmarkEnd w:id="536"/>
      <w:bookmarkEnd w:id="537"/>
    </w:p>
    <w:p w14:paraId="354A5207" w14:textId="77777777" w:rsidR="00CC4659" w:rsidRPr="00A9434B" w:rsidRDefault="00CC4659" w:rsidP="006B3143">
      <w:r w:rsidRPr="00A9434B">
        <w:t xml:space="preserve">There is no clear dividing line between so-called, “pure” research conducted solely for increasing </w:t>
      </w:r>
      <w:r w:rsidR="00643684" w:rsidRPr="00A9434B">
        <w:t>information</w:t>
      </w:r>
      <w:r w:rsidRPr="00A9434B">
        <w:t xml:space="preserve"> and applied research that has clear practical applications. Nevertheless, th</w:t>
      </w:r>
      <w:r w:rsidR="00096BEF" w:rsidRPr="00A9434B">
        <w:t>e</w:t>
      </w:r>
      <w:r w:rsidRPr="00A9434B">
        <w:t xml:space="preserve"> distinction is made</w:t>
      </w:r>
      <w:r w:rsidR="00096BEF" w:rsidRPr="00A9434B">
        <w:t xml:space="preserve"> below</w:t>
      </w:r>
      <w:r w:rsidRPr="00A9434B">
        <w:t xml:space="preserve"> to help us evaluate the balance of funding and resources devote</w:t>
      </w:r>
      <w:r w:rsidR="09C133FA" w:rsidRPr="00A9434B">
        <w:t>d</w:t>
      </w:r>
      <w:r w:rsidRPr="00A9434B">
        <w:t xml:space="preserve"> to different aspects of science.</w:t>
      </w:r>
    </w:p>
    <w:p w14:paraId="7F39A297" w14:textId="660F84B1" w:rsidR="00CC4659" w:rsidRPr="00A9434B" w:rsidRDefault="00CC4659" w:rsidP="006B3143">
      <w:r w:rsidRPr="00A9434B">
        <w:t>In response to the problem</w:t>
      </w:r>
      <w:r w:rsidR="00096BEF" w:rsidRPr="00A9434B">
        <w:t xml:space="preserve">, </w:t>
      </w:r>
      <w:r w:rsidRPr="00A9434B">
        <w:t xml:space="preserve">the number of peer-reviewed publications on biological invasions has increased steadily </w:t>
      </w:r>
      <w:r w:rsidRPr="00A9434B">
        <w:fldChar w:fldCharType="begin"/>
      </w:r>
      <w:r w:rsidRPr="00A9434B">
        <w:instrText>ADDIN EN.CITE &lt;EndNote&gt;&lt;Cite&gt;&lt;Author&gt;Vaz&lt;/Author&gt;&lt;Year&gt;2017&lt;/Year&gt;&lt;RecNum&gt;442&lt;/RecNum&gt;&lt;DisplayText&gt;(Vaz, Kueffer et al. 2017)&lt;/DisplayText&gt;&lt;record&gt;&lt;rec-number&gt;244&lt;/rec-number&gt;&lt;foreign-keys&gt;&lt;key app="EN" db-id="0d55paxdcvwpebe55d1vrz5ne2pattprarta" timestamp="1597992735"&gt;244&lt;/key&gt;&lt;/foreign-keys&gt;&lt;ref-type name="Journal Article"&gt;17&lt;/ref-type&gt;&lt;contributors&gt;&lt;authors&gt;&lt;author&gt;Vaz, Ana S.&lt;/author&gt;&lt;author&gt;Kueffer, Christoph&lt;/author&gt;&lt;author&gt;Kull, Christian A.&lt;/author&gt;&lt;author&gt;Richardson, David M.&lt;/author&gt;&lt;author&gt;Schindler, Stefan&lt;/author&gt;&lt;author&gt;Muñoz-Pajares, A. Jesús&lt;/author&gt;&lt;author&gt;Vicente, Joana R.&lt;/author&gt;&lt;author&gt;Martins, João&lt;/author&gt;&lt;author&gt;Hui, Cang&lt;/author&gt;&lt;author&gt;Kühn, Ingolf&lt;/author&gt;&lt;author&gt;Honrado, João P.&lt;/author&gt;&lt;/authors&gt;&lt;/contributors&gt;&lt;titles&gt;&lt;title&gt;The progress of interdisciplinarity in invasion science&lt;/title&gt;&lt;secondary-title&gt;Ambio&lt;/secondary-title&gt;&lt;alt-title&gt;Ambio&lt;/alt-title&gt;&lt;/titles&gt;&lt;periodical&gt;&lt;full-title&gt;Ambio&lt;/full-title&gt;&lt;abbr-1&gt;Ambio&lt;/abbr-1&gt;&lt;/periodical&gt;&lt;alt-periodical&gt;&lt;full-title&gt;Ambio&lt;/full-title&gt;&lt;abbr-1&gt;Ambio&lt;/abbr-1&gt;&lt;/alt-periodical&gt;&lt;pages&gt;428-442&lt;/pages&gt;&lt;volume&gt;46&lt;/volume&gt;&lt;number&gt;4&lt;/number&gt;&lt;keywords&gt;&lt;keyword&gt;Biological invasions&lt;/keyword&gt;&lt;keyword&gt;Interdisciplinarity&lt;/keyword&gt;&lt;keyword&gt;Non-native species&lt;/keyword&gt;&lt;keyword&gt;Scientometrics&lt;/keyword&gt;&lt;keyword&gt;Social–ecological research&lt;/keyword&gt;&lt;/keywords&gt;&lt;dates&gt;&lt;year&gt;2017&lt;/year&gt;&lt;pub-dates&gt;&lt;date&gt;2017/05/01/&lt;/date&gt;&lt;/pub-dates&gt;&lt;/dates&gt;&lt;isbn&gt;1654-7209&lt;/isbn&gt;&lt;urls&gt;&lt;related-urls&gt;&lt;url&gt;https://doi.org/10.1007/s13280-017-0897-7&lt;/url&gt;&lt;/related-urls&gt;&lt;/urls&gt;&lt;electronic-resource-num&gt;10.1007/s13280-017-0897-7&lt;/electronic-resource-num&gt;&lt;remote-database-provider&gt;Springer Link&lt;/remote-database-provider&gt;&lt;language&gt;en&lt;/language&gt;&lt;access-date&gt;2019/10/07/12:05:03&lt;/access-date&gt;&lt;/record&gt;&lt;/Cite&gt;&lt;/EndNote&gt;</w:instrText>
      </w:r>
      <w:r w:rsidRPr="00A9434B">
        <w:fldChar w:fldCharType="separate"/>
      </w:r>
      <w:r w:rsidR="0054645C" w:rsidRPr="00A9434B">
        <w:fldChar w:fldCharType="begin"/>
      </w:r>
      <w:r w:rsidR="002D2756">
        <w:instrText xml:space="preserve"> ADDIN ZOTERO_ITEM CSL_CITATION {"citationID":"a6e6eiprfd","properties":{"formattedCitation":"(Vaz et al., 2017)","plainCitation":"(Vaz et al., 2017)","noteIndex":0},"citationItems":[{"id":11151,"uris":["http://zotero.org/groups/2352922/items/WJ8XYNIF"],"itemData":{"id":11151,"type":"article-journal","abstract":"Interdisciplinarity is needed to gain knowledge of the ecology of invasive species and invaded ecosystems, and of the human dimensions of biological invasions. We combine a quantitative literature review with a qualitative historical narrative to document the progress of interdisciplinarity in invasion science since 1950. Our review shows that 92.4% of interdisciplinary publications (out of 9192) focus on ecological questions, 4.4% on social ones, and 3.2% on social–ecological ones. The emergence of invasion science out of ecology might explain why interdisciplinarity has remained mostly within the natural sciences. Nevertheless, invasion science is attracting social–ecological collaborations to understand ecological challenges, and to develop novel approaches to address new ideas, concepts, and invasion-related questions between scholars and stakeholders. We discuss ways to reframe invasion science as a field centred on interlinked social–ecological dynamics to bring science, governance and society together in a common effort to deal with invasions.","container-title":"Ambio","DOI":"10.1007/s13280-017-0897-7","ISSN":"1654-7209","issue":"4","journalAbbreviation":"Ambio","language":"en","page":"428-442","source":"Springer Link","title":"The progress of interdisciplinarity in invasion science","URL":"https://doi.org/10.1007/s13280-017-0897-7","volume":"46","author":[{"family":"Vaz","given":"Ana S."},{"family":"Kueffer","given":"Christoph"},{"family":"Kull","given":"Christian A."},{"family":"Richardson","given":"David M."},{"family":"Schindler","given":"Stefan"},{"family":"Muñoz-Pajares","given":"A. Jesús"},{"family":"Vicente","given":"Joana R."},{"family":"Martins","given":"João"},{"family":"Hui","given":"Cang"},{"family":"Kühn","given":"Ingolf"},{"family":"Honrado","given":"João P."}],"accessed":{"date-parts":[["2019",10,7]]},"issued":{"date-parts":[["2017",5,1]]}},"label":"page"}],"schema":"https://github.com/citation-style-language/schema/raw/master/csl-citation.json"} </w:instrText>
      </w:r>
      <w:r w:rsidR="0054645C" w:rsidRPr="00A9434B">
        <w:fldChar w:fldCharType="separate"/>
      </w:r>
      <w:r w:rsidR="00C71E80" w:rsidRPr="00A9434B">
        <w:t>(Vaz et al., 2017)</w:t>
      </w:r>
      <w:r w:rsidR="0054645C" w:rsidRPr="00A9434B">
        <w:fldChar w:fldCharType="end"/>
      </w:r>
      <w:r w:rsidRPr="00A9434B">
        <w:fldChar w:fldCharType="end"/>
      </w:r>
      <w:r w:rsidRPr="00A9434B">
        <w:t xml:space="preserve">. These research publications can be broadly divided into basic research focusing on the process, patterns and impacts of </w:t>
      </w:r>
      <w:r w:rsidR="00C46680">
        <w:t>invasive alien species</w:t>
      </w:r>
      <w:r w:rsidRPr="00A9434B">
        <w:t xml:space="preserve">, and applied research, focusing on their management and mitigation. While basic research allows us to understand temporal and spatial patterns of </w:t>
      </w:r>
      <w:r w:rsidR="00C46680">
        <w:t xml:space="preserve">invasive alien species </w:t>
      </w:r>
      <w:r w:rsidRPr="00A9434B">
        <w:t xml:space="preserve">and their underlying mechanisms, applied research builds on the </w:t>
      </w:r>
      <w:r w:rsidR="00643684" w:rsidRPr="00A9434B">
        <w:t>information</w:t>
      </w:r>
      <w:r w:rsidRPr="00A9434B">
        <w:t xml:space="preserve"> generated from basic research to develop contextualized management strategies at varying spatial and governance scales.</w:t>
      </w:r>
    </w:p>
    <w:p w14:paraId="611F8911" w14:textId="3FD8067B" w:rsidR="00CC4659" w:rsidRPr="00A9434B" w:rsidRDefault="026A953C" w:rsidP="006B3143">
      <w:r w:rsidRPr="00A9434B">
        <w:lastRenderedPageBreak/>
        <w:t>Basic research dominates p</w:t>
      </w:r>
      <w:r w:rsidR="1E4B2BF8" w:rsidRPr="00A9434B">
        <w:t xml:space="preserve">eer-reviewed publications on biological invasions </w:t>
      </w:r>
      <w:r w:rsidR="00EB1739" w:rsidRPr="00A9434B">
        <w:fldChar w:fldCharType="begin"/>
      </w:r>
      <w:r w:rsidR="00EB1739" w:rsidRPr="00A9434B">
        <w:instrText>ADDIN EN.CITE &lt;EndNote&gt;&lt;Cite&gt;&lt;Author&gt;Esler&lt;/Author&gt;&lt;Year&gt;2010&lt;/Year&gt;&lt;RecNum&gt;395&lt;/RecNum&gt;&lt;DisplayText&gt;(Esler, Prozesky et al. 2010)&lt;/DisplayText&gt;&lt;record&gt;&lt;rec-number&gt;395&lt;/rec-number&gt;&lt;foreign-keys&gt;&lt;key app="EN" db-id="99ver0spcz592aer0w9xwv210vt5exzxspvf" timestamp="1593167969"&gt;395&lt;/key&gt;&lt;/foreign-keys&gt;&lt;ref-type name="Journal Article"&gt;17&lt;/ref-type&gt;&lt;contributors&gt;&lt;authors&gt;&lt;author&gt;Esler, Karen J.&lt;/author&gt;&lt;author&gt;Prozesky, Heidi&lt;/author&gt;&lt;author&gt;Sharma, Gyan P.&lt;/author&gt;&lt;author&gt;McGeoch, Melodie&lt;/author&gt;&lt;/authors&gt;&lt;/contributors&gt;&lt;titles&gt;&lt;title&gt;How wide is the ‘‘knowing-doing’’ gap in invasion biology?&lt;/title&gt;&lt;secondary-title&gt;Biological Invasions&lt;/secondary-title&gt;&lt;/titles&gt;&lt;pages&gt;4065-4075&lt;/pages&gt;&lt;volume&gt;12&lt;/volume&gt;&lt;dates&gt;&lt;year&gt;2010&lt;/year&gt;&lt;pub-dates&gt;&lt;date&gt;2010&lt;/date&gt;&lt;/pub-dates&gt;&lt;/dates&gt;&lt;urls&gt;&lt;/urls&gt;&lt;electronic-resource-num&gt;10.1007/s10530-010-9812-x&lt;/electronic-resource-num&gt;&lt;language&gt;English&lt;/language&gt;&lt;/record&gt;&lt;/Cite&gt;&lt;/EndNote&gt;</w:instrText>
      </w:r>
      <w:r w:rsidR="00EB1739" w:rsidRPr="00A9434B">
        <w:fldChar w:fldCharType="separate"/>
      </w:r>
      <w:r w:rsidR="00EB1739" w:rsidRPr="00A9434B">
        <w:fldChar w:fldCharType="begin"/>
      </w:r>
      <w:r w:rsidR="002D2756">
        <w:instrText xml:space="preserve"> ADDIN ZOTERO_ITEM CSL_CITATION {"citationID":"as0mcpa872","properties":{"formattedCitation":"(Esler et al., 2010)","plainCitation":"(Esler et al., 2010)","noteIndex":0},"citationItems":[{"id":10808,"uris":["http://zotero.org/groups/2352922/items/NNIG5QBT"],"itemData":{"id":10808,"type":"article-journal","abstract":"Invasion biology is a growing discipline with clear ecological, social and economic implications. A wide range of research effort is thus required to address the invasion problem, and literature on the topic is extensive. However, the extent to which the invasion biology research is addressing the challenges associated with management and mitigation of the impacts of invasions has been questioned. Using bibliometric analysis, we investigated the extent to which the literature on the subject contributes to implementation of knowledge generated, by addressing aspects of management, policy, and/or implementation; the impact of these papers as indicated by the number of citations they attract; and the geopolitical scale of focus of invasion ecology papers, particularly those that attempt to bridge the knowingdoing gap. We then compared these ﬁndings with the information needs of conservation practitioners. We ﬁrst looked globally at popular search engines and then narrowed our focus to South Africa—one of three regions outside USA where researchers producing highly cited papers in invasion ecology are well represented. At this level, we conducted a content analysis of invasion ecology-related papers, of which at least one author was afﬁliated to a South African institution. The knowledge base in the ﬁeld of invasion biology is comprised largely of research oriented towards ‘‘knowing’’, while research aimed at strategically applying or implementing that knowledge is poorly represented in the scientiﬁc literature, and the scale of its emphasis is not local. Conservation practitioners clearly indicate a need for basic knowledge. However, invasion science must develop channels for effective engagement to ensure that the research is contextualised, and will deal with the complex ecological, social and economic challenges posed by invasions.","container-title":"Biological Invasions","DOI":"10.1007/s10530-010-9812-x","ISSN":"1387-3547, 1573-1464","issue":"12","journalAbbreviation":"Biol Invasions","language":"English","page":"4065–4075","title":"How wide is the “knowing-doing” gap in invasion biology?","URL":"http://link.springer.com/10.1007/s10530-010-9812-x","volume":"12","author":[{"family":"Esler","given":"Karen J"},{"family":"Prozesky","given":"Heidi"},{"family":"Sharma","given":"Gyan P."},{"family":"McGeoch","given":"Melodie A."}],"issued":{"date-parts":[["2010"]]}},"label":"page"}],"schema":"https://github.com/citation-style-language/schema/raw/master/csl-citation.json"} </w:instrText>
      </w:r>
      <w:r w:rsidR="00EB1739" w:rsidRPr="00A9434B">
        <w:fldChar w:fldCharType="separate"/>
      </w:r>
      <w:r w:rsidR="00C71E80" w:rsidRPr="00A9434B">
        <w:t>(Esler et al., 2010)</w:t>
      </w:r>
      <w:r w:rsidR="00EB1739" w:rsidRPr="00A9434B">
        <w:fldChar w:fldCharType="end"/>
      </w:r>
      <w:r w:rsidR="00EB1739" w:rsidRPr="00A9434B">
        <w:fldChar w:fldCharType="end"/>
      </w:r>
      <w:r w:rsidR="1E4B2BF8" w:rsidRPr="00A9434B">
        <w:t>. This disparity may be accounted for by the publication of much applied research in</w:t>
      </w:r>
      <w:r w:rsidR="1A800833" w:rsidRPr="00A9434B">
        <w:t xml:space="preserve"> </w:t>
      </w:r>
      <w:r w:rsidR="1E4B2BF8" w:rsidRPr="00A9434B">
        <w:t xml:space="preserve">grey literature, such as governmental reports </w:t>
      </w:r>
      <w:r w:rsidR="00EB1739" w:rsidRPr="00A9434B">
        <w:fldChar w:fldCharType="begin"/>
      </w:r>
      <w:r w:rsidR="002D2756">
        <w:instrText xml:space="preserve"> ADDIN ZOTERO_ITEM CSL_CITATION {"citationID":"asp8rbvcn9","properties":{"formattedCitation":"(Lowry et al., 2013)","plainCitation":"(Lowry et al., 2013)","noteIndex":0},"citationItems":[{"id":29102,"uris":["http://zotero.org/groups/2352922/items/ZRLVA9PP"],"itemData":{"id":29102,"type":"article-journal","abstract":"Species introductions of anthropogenic origins are a major aspect of rapid ecological change globally. Research on biological invasions has generated a large literature on many different aspects of this phenomenon. Here, we describe and categorize some aspects of this literature, to better understand what has been studied and what we know, mapping well-studied areas and important gaps. To do so, we employ the techniques of systematic reviewing widely adopted in other scientific disciplines, to further the use of approaches in reviewing the literature that are as scientific, repeatable, and transparent as those employed in a primary study. We identified 2398 relevant studies in a field synopsis of the biological invasions literature. A majority of these studies (58%) were concerned with hypotheses for causes of biological invasions, while studies on impacts of invasions were the next most common (32% of the publications). We examined 1537 papers in greater detail in a systematic review. Superior competitive abilities of invaders, environmental disturbance, and invaded community species richness were the most common hypotheses examined. Most studies examined only a single hypothesis. Almost half of the papers were field observational studies. Studies of terrestrial invasions dominate the literature, with most of these concerning plant invasions. The focus of the literature overall is uneven, with important gaps in areas of theoretical and practical importance. We employ the techniques of systematic reviewing and field synopses, widely adopted in other scientific disciplines, to describe and categorize a substantial portion of the literature on biological invasions, to better understand what has been studied and what we know, mapping well-studied areas and important gaps. Among other findings, we report that studies of terrestrial plant invasions dominate the literature, and we identify important gaps in areas of theoretical and practical importance. © 2012 The Authors. Ecology and Evolution published by Blackwell Publishing Ltd.","container-title":"Ecology and Evolution","DOI":"10.1002/ece3.431","ISSN":"2045-7758","issue":"1","journalAbbreviation":"Ecol Evol","page":"182-196","title":"Biological invasions: a field synopsis, systematic review, and database of the literature","title-short":"Biological invasions","URL":"https://www.scopus.com/inward/record.uri?eid=2-s2.0-84886259273&amp;doi=10.1002%2fece3.431&amp;partnerID=40&amp;md5=a6b39c3217275567a665ba33ba1edd51","volume":"3","author":[{"family":"Lowry","given":"E."},{"family":"Rollinson","given":"E.J."},{"family":"Laybourn","given":"A.J."},{"family":"Scott","given":"T.E."},{"family":"Aiello-Lammens","given":"M.E."},{"family":"Gray","given":"S.M."},{"family":"Mickley","given":"J."},{"family":"Gurevitch","given":"J."}],"issued":{"date-parts":[["2013",1]]}},"label":"page"}],"schema":"https://github.com/citation-style-language/schema/raw/master/csl-citation.json"} </w:instrText>
      </w:r>
      <w:r w:rsidR="00EB1739" w:rsidRPr="00A9434B">
        <w:fldChar w:fldCharType="separate"/>
      </w:r>
      <w:r w:rsidR="00C71E80" w:rsidRPr="00A9434B">
        <w:t>(Lowry et al., 2013)</w:t>
      </w:r>
      <w:r w:rsidR="00EB1739" w:rsidRPr="00A9434B">
        <w:fldChar w:fldCharType="end"/>
      </w:r>
      <w:r w:rsidR="1E4B2BF8" w:rsidRPr="00A9434B">
        <w:t>. There is also large variation in the use of research methods in basic research. For example, nearly half (46</w:t>
      </w:r>
      <w:r w:rsidR="506000A5" w:rsidRPr="00A9434B">
        <w:t xml:space="preserve"> per</w:t>
      </w:r>
      <w:r w:rsidR="00D6259A" w:rsidRPr="00A9434B">
        <w:t xml:space="preserve"> </w:t>
      </w:r>
      <w:r w:rsidR="506000A5" w:rsidRPr="00A9434B">
        <w:t>cent</w:t>
      </w:r>
      <w:r w:rsidR="1E4B2BF8" w:rsidRPr="00A9434B">
        <w:t xml:space="preserve">) of the studies that attempted to understand </w:t>
      </w:r>
      <w:r w:rsidR="002E3571">
        <w:t xml:space="preserve">the </w:t>
      </w:r>
      <w:r w:rsidR="1E4B2BF8" w:rsidRPr="00A9434B">
        <w:t>fundamental process of biological invasions are field observational studies, while less than one-fifth (18</w:t>
      </w:r>
      <w:r w:rsidR="1E465C15" w:rsidRPr="00A9434B">
        <w:t xml:space="preserve"> per</w:t>
      </w:r>
      <w:r w:rsidR="00D6259A" w:rsidRPr="00A9434B">
        <w:t xml:space="preserve"> </w:t>
      </w:r>
      <w:r w:rsidR="1E465C15" w:rsidRPr="00A9434B">
        <w:t>cent</w:t>
      </w:r>
      <w:r w:rsidR="1E4B2BF8" w:rsidRPr="00A9434B">
        <w:t>) were field experimental studies</w:t>
      </w:r>
      <w:r w:rsidR="220FF342" w:rsidRPr="00A9434B">
        <w:t xml:space="preserve"> </w:t>
      </w:r>
      <w:r w:rsidR="00EB1739" w:rsidRPr="00A9434B">
        <w:fldChar w:fldCharType="begin"/>
      </w:r>
      <w:r w:rsidR="002D2756">
        <w:instrText xml:space="preserve"> ADDIN ZOTERO_ITEM CSL_CITATION {"citationID":"a26v5ecf5qe","properties":{"formattedCitation":"(Lowry et al., 2013)","plainCitation":"(Lowry et al., 2013)","noteIndex":0},"citationItems":[{"id":29102,"uris":["http://zotero.org/groups/2352922/items/ZRLVA9PP"],"itemData":{"id":29102,"type":"article-journal","abstract":"Species introductions of anthropogenic origins are a major aspect of rapid ecological change globally. Research on biological invasions has generated a large literature on many different aspects of this phenomenon. Here, we describe and categorize some aspects of this literature, to better understand what has been studied and what we know, mapping well-studied areas and important gaps. To do so, we employ the techniques of systematic reviewing widely adopted in other scientific disciplines, to further the use of approaches in reviewing the literature that are as scientific, repeatable, and transparent as those employed in a primary study. We identified 2398 relevant studies in a field synopsis of the biological invasions literature. A majority of these studies (58%) were concerned with hypotheses for causes of biological invasions, while studies on impacts of invasions were the next most common (32% of the publications). We examined 1537 papers in greater detail in a systematic review. Superior competitive abilities of invaders, environmental disturbance, and invaded community species richness were the most common hypotheses examined. Most studies examined only a single hypothesis. Almost half of the papers were field observational studies. Studies of terrestrial invasions dominate the literature, with most of these concerning plant invasions. The focus of the literature overall is uneven, with important gaps in areas of theoretical and practical importance. We employ the techniques of systematic reviewing and field synopses, widely adopted in other scientific disciplines, to describe and categorize a substantial portion of the literature on biological invasions, to better understand what has been studied and what we know, mapping well-studied areas and important gaps. Among other findings, we report that studies of terrestrial plant invasions dominate the literature, and we identify important gaps in areas of theoretical and practical importance. © 2012 The Authors. Ecology and Evolution published by Blackwell Publishing Ltd.","container-title":"Ecology and Evolution","DOI":"10.1002/ece3.431","ISSN":"2045-7758","issue":"1","journalAbbreviation":"Ecol Evol","page":"182-196","title":"Biological invasions: a field synopsis, systematic review, and database of the literature","title-short":"Biological invasions","URL":"https://www.scopus.com/inward/record.uri?eid=2-s2.0-84886259273&amp;doi=10.1002%2fece3.431&amp;partnerID=40&amp;md5=a6b39c3217275567a665ba33ba1edd51","volume":"3","author":[{"family":"Lowry","given":"E."},{"family":"Rollinson","given":"E.J."},{"family":"Laybourn","given":"A.J."},{"family":"Scott","given":"T.E."},{"family":"Aiello-Lammens","given":"M.E."},{"family":"Gray","given":"S.M."},{"family":"Mickley","given":"J."},{"family":"Gurevitch","given":"J."}],"issued":{"date-parts":[["2013",1]]}}}],"schema":"https://github.com/citation-style-language/schema/raw/master/csl-citation.json"} </w:instrText>
      </w:r>
      <w:r w:rsidR="00EB1739" w:rsidRPr="00A9434B">
        <w:fldChar w:fldCharType="separate"/>
      </w:r>
      <w:r w:rsidR="00C71E80" w:rsidRPr="00A9434B">
        <w:t>(Lowry et al., 2013)</w:t>
      </w:r>
      <w:r w:rsidR="00EB1739" w:rsidRPr="00A9434B">
        <w:fldChar w:fldCharType="end"/>
      </w:r>
      <w:r w:rsidR="4C0FB7B8" w:rsidRPr="00A9434B">
        <w:t>.</w:t>
      </w:r>
    </w:p>
    <w:p w14:paraId="5D34D4A9" w14:textId="4341B317" w:rsidR="00017C04" w:rsidRDefault="00F50AF9">
      <w:bookmarkStart w:id="538" w:name="_heading=h.20xfydz" w:colFirst="0" w:colLast="0"/>
      <w:bookmarkStart w:id="539" w:name="_heading=h.4kx3h1s" w:colFirst="0" w:colLast="0"/>
      <w:bookmarkEnd w:id="538"/>
      <w:bookmarkEnd w:id="539"/>
      <w:r>
        <w:t xml:space="preserve">Similarly, a meta-analysis of biological invasions research from Latin American and Caribbean countries, between 2006 and 2008 found that only 5 per cent of publications focussed on invasive alien species management </w:t>
      </w:r>
      <w:r w:rsidR="00CC4659" w:rsidRPr="00A9434B">
        <w:fldChar w:fldCharType="begin"/>
      </w:r>
      <w:r w:rsidR="002D2756">
        <w:instrText xml:space="preserve"> ADDIN ZOTERO_ITEM CSL_CITATION {"citationID":"a16nrtb1ono","properties":{"formattedCitation":"(Pauchard et al., 2011)","plainCitation":"(Pauchard et al., 2011)","noteIndex":0},"citationItems":[{"id":11738,"uris":["http://zotero.org/groups/2352922/items/QA63V697"],"itemData":{"id":11738,"type":"chapter","container-title":"Conservación Biológica: Perspectivas desde América Latina","event-place":"Santiago de Chile","ISBN":"978-956-11-2309-6","language":"es","page":"17","publisher":"Editorial Universitaria","publisher-place":"Santiago de Chile","source":"Zotero","title":"Invasiones biológicas en América Latina y el Caribe: tendencias en investigación para la conservación","author":[{"family":"Pauchard","given":"Aníbal"},{"family":"Quiroz","given":"Constanza"},{"family":"García","given":"Rafael"},{"family":"Anderson","given":"Christopher B"},{"family":"Arroyo","given":"Mary T Kalin"}],"issued":{"date-parts":[["2011"]]}},"label":"page"}],"schema":"https://github.com/citation-style-language/schema/raw/master/csl-citation.json"} </w:instrText>
      </w:r>
      <w:r w:rsidR="00CC4659" w:rsidRPr="00A9434B">
        <w:fldChar w:fldCharType="separate"/>
      </w:r>
      <w:r w:rsidR="00C71E80" w:rsidRPr="00A9434B">
        <w:t>(Pauchard et al., 2011)</w:t>
      </w:r>
      <w:r w:rsidR="00CC4659" w:rsidRPr="00A9434B">
        <w:fldChar w:fldCharType="end"/>
      </w:r>
      <w:r w:rsidR="00CC4659" w:rsidRPr="00A9434B">
        <w:t>.</w:t>
      </w:r>
      <w:r>
        <w:t xml:space="preserve"> Of 185 articles, 57 per cent focused on analysing only one species and 43 per cent on more than one species. Invasion patterns were analysed in 39 per cent of them, invasion mechanisms in 25 per cent, bibliographic invasive alien species reviews comprised 12 per cent, impacts were the focus of 19 per cent,</w:t>
      </w:r>
      <w:r w:rsidR="002E3571">
        <w:t xml:space="preserve"> and</w:t>
      </w:r>
      <w:r>
        <w:t xml:space="preserve"> new invasive alien species were reported in 17 per cent </w:t>
      </w:r>
      <w:r w:rsidR="00D60537" w:rsidRPr="00A9434B">
        <w:fldChar w:fldCharType="begin"/>
      </w:r>
      <w:r w:rsidR="002D2756">
        <w:instrText xml:space="preserve"> ADDIN ZOTERO_ITEM CSL_CITATION {"citationID":"3D6AYSWG","properties":{"formattedCitation":"(Pauchard et al., 2011)","plainCitation":"(Pauchard et al., 2011)","noteIndex":0},"citationItems":[{"id":11738,"uris":["http://zotero.org/groups/2352922/items/QA63V697"],"itemData":{"id":11738,"type":"chapter","container-title":"Conservación Biológica: Perspectivas desde América Latina","event-place":"Santiago de Chile","ISBN":"978-956-11-2309-6","language":"es","page":"17","publisher":"Editorial Universitaria","publisher-place":"Santiago de Chile","source":"Zotero","title":"Invasiones biológicas en América Latina y el Caribe: tendencias en investigación para la conservación","author":[{"family":"Pauchard","given":"Aníbal"},{"family":"Quiroz","given":"Constanza"},{"family":"García","given":"Rafael"},{"family":"Anderson","given":"Christopher B"},{"family":"Arroyo","given":"Mary T Kalin"}],"issued":{"date-parts":[["2011"]]}},"label":"page"}],"schema":"https://github.com/citation-style-language/schema/raw/master/csl-citation.json"} </w:instrText>
      </w:r>
      <w:r w:rsidR="00D60537" w:rsidRPr="00A9434B">
        <w:fldChar w:fldCharType="separate"/>
      </w:r>
      <w:r w:rsidR="00C71E80" w:rsidRPr="00A9434B">
        <w:t>(Pauchard et al., 2011)</w:t>
      </w:r>
      <w:r w:rsidR="00D60537" w:rsidRPr="00A9434B">
        <w:fldChar w:fldCharType="end"/>
      </w:r>
      <w:r w:rsidR="00D60537" w:rsidRPr="00A9434B">
        <w:t>.</w:t>
      </w:r>
      <w:r>
        <w:t xml:space="preserve"> Basic research focussed on invasive alien species listing, population dynamics, biotic factors that promote invasion</w:t>
      </w:r>
      <w:r w:rsidR="00EB415D">
        <w:t xml:space="preserve"> and</w:t>
      </w:r>
      <w:r>
        <w:t xml:space="preserve"> ecological relationships (facilitation, competition</w:t>
      </w:r>
      <w:r w:rsidR="00EB415D">
        <w:t xml:space="preserve"> and</w:t>
      </w:r>
      <w:r>
        <w:t xml:space="preserve"> mutualism). The applied research focused on restoration, eradication or control measures </w:t>
      </w:r>
      <w:r w:rsidR="00D60537" w:rsidRPr="00A9434B">
        <w:fldChar w:fldCharType="begin"/>
      </w:r>
      <w:r w:rsidR="002D2756">
        <w:instrText xml:space="preserve"> ADDIN ZOTERO_ITEM CSL_CITATION {"citationID":"AKZpT7N2","properties":{"formattedCitation":"(Pauchard et al., 2011)","plainCitation":"(Pauchard et al., 2011)","dontUpdate":true,"noteIndex":0},"citationItems":[{"id":11738,"uris":["http://zotero.org/groups/2352922/items/QA63V697"],"itemData":{"id":11738,"type":"chapter","container-title":"Conservación Biológica: Perspectivas desde América Latina","event-place":"Santiago de Chile","ISBN":"978-956-11-2309-6","language":"es","page":"17","publisher":"Editorial Universitaria","publisher-place":"Santiago de Chile","source":"Zotero","title":"Invasiones biológicas en América Latina y el Caribe: tendencias en investigación para la conservación","author":[{"family":"Pauchard","given":"Aníbal"},{"family":"Quiroz","given":"Constanza"},{"family":"García","given":"Rafael"},{"family":"Anderson","given":"Christopher B"},{"family":"Arroyo","given":"Mary T Kalin"}],"issued":{"date-parts":[["2011"]]}},"label":"page"}],"schema":"https://github.com/citation-style-language/schema/raw/master/csl-citation.json"} </w:instrText>
      </w:r>
      <w:r w:rsidR="00D60537" w:rsidRPr="00A9434B">
        <w:fldChar w:fldCharType="separate"/>
      </w:r>
      <w:r w:rsidR="001738E7" w:rsidRPr="001738E7">
        <w:t>(Pauchard et al., 2011</w:t>
      </w:r>
      <w:r w:rsidR="00D60537" w:rsidRPr="00A9434B">
        <w:fldChar w:fldCharType="end"/>
      </w:r>
      <w:r w:rsidR="00130E49" w:rsidRPr="00A9434B">
        <w:t xml:space="preserve"> and references therein).</w:t>
      </w:r>
      <w:r>
        <w:t xml:space="preserve"> Publications on aquatic and marine invasive alien species in South American countries cover six major basic research themes: biology/ecology (58 per cent); invasive alien species new records (20.5 per cent); aquaculture (3 per cent); range expansions; genetics; and general reviews of aquatic species with a remarkably low number (all below 3 per cent), although the proportion of applied research papers is not reported </w:t>
      </w:r>
      <w:r w:rsidR="00B74706" w:rsidRPr="00A9434B">
        <w:fldChar w:fldCharType="begin"/>
      </w:r>
      <w:r w:rsidR="002D2756">
        <w:instrText xml:space="preserve"> ADDIN ZOTERO_ITEM CSL_CITATION {"citationID":"a273kl3rbrm","properties":{"formattedCitation":"(Schwindt &amp; Bortolus, 2017)","plainCitation":"(Schwindt &amp; Bortolus, 2017)","noteIndex":0},"citationItems":[{"id":30565,"uris":["http://zotero.org/groups/2352922/items/QFDFFAZU"],"itemData":{"id":30565,"type":"article-journal","abstract":"In this work, we describe and discuss the current status, trends, and gaps for aquatic invasion research in South America, and we reveal the current state of multinational collaborations on these matters across the continent. First, to measure temporal change in the magnitude of invasion research for South America, we replicated a survey performed in 2001 for marine exotic species, using identical methods used back then to search publications in the Aquatic Science and Fisheries Abstracts database. Second, to compare the South America invasion research effort, in terms of the production of scientiﬁc literature on aquatic invasion biology, across time (years), countries, aquatic (freshwater, estuarine, and marine) environments, themes, and taxonomic groups, we performed a more comprehensive search of publications using multiple databases (Scielo, ASFA, Scopus and Google Scholar). This exhaustive survey included articles in international, regional and local peer reviewed journals on aquatic (freshwater, marine and estuarine) exotic species of SA that were published between 2004 and 2014 in the three dominant languages of South America. We found that the research effort for marine exotic species research in South America increased 9-fold between the two time periods (1997–2001 vs. 2002–2014), with most (90%) of recent research occurring in the Atlantic (vs. Paciﬁc) coast. This disparity in research effort between coasts is consistently evident for individual environments (including freshwater, estuarine, and marine waters) and countries. While the focus of publications is unevenly distributed among research themes and taxa, the paucity of comparative analyses among countries is especially striking. Despite the general increment in research effort within the discipline, we consider there is an urgent need for more solid and concerted multinational efforts to address (ﬁnancially, scientiﬁcally and socially) the conspicuous gaps in aquatic invasion research. Failing to make these efforts is probably the major threat hampering the development of successful long term programs and strategies directed to prevent, manage and/or control the introduction of exotic species and their many impacts in the continent.","container-title":"Aquatic Ecosystem Health &amp; Management","DOI":"10.1080/14634988.2017.1404413","ISSN":"1463-4988, 1539-4077","issue":"4","journalAbbreviation":"Aquatic Ecosystem Health &amp; Management","language":"en","page":"322-333","source":"DOI.org (Crossref)","title":"Aquatic invasion biology research in South America: Geographic patterns, advances and perspectives","title-short":"Aquatic invasion biology research in South America","URL":"https://www.tandfonline.com/doi/full/10.1080/14634988.2017.1404413","volume":"20","author":[{"family":"Schwindt","given":"Evangelina"},{"family":"Bortolus","given":"Alejandro"}],"accessed":{"date-parts":[["2019",11,5]]},"issued":{"date-parts":[["2017",11,13]]}},"label":"page"}],"schema":"https://github.com/citation-style-language/schema/raw/master/csl-citation.json"} </w:instrText>
      </w:r>
      <w:r w:rsidR="00B74706" w:rsidRPr="00A9434B">
        <w:fldChar w:fldCharType="separate"/>
      </w:r>
      <w:r w:rsidR="00C71E80" w:rsidRPr="00A9434B">
        <w:t>(Schwindt &amp; Bortolus, 2017)</w:t>
      </w:r>
      <w:r w:rsidR="00B74706" w:rsidRPr="00A9434B">
        <w:fldChar w:fldCharType="end"/>
      </w:r>
      <w:r w:rsidR="00130E49" w:rsidRPr="00A9434B">
        <w:t>.</w:t>
      </w:r>
      <w:r>
        <w:t xml:space="preserve"> Uruguay is an example of a country that has developed both basic and applied research on terrestrial and aquatic non-indigenous and invasive alien species in the last 15 years </w:t>
      </w:r>
      <w:r w:rsidR="0054645C" w:rsidRPr="00A9434B">
        <w:fldChar w:fldCharType="begin"/>
      </w:r>
      <w:r w:rsidR="002D2756">
        <w:instrText xml:space="preserve"> ADDIN ZOTERO_ITEM CSL_CITATION {"citationID":"a27gmqpg8qj","properties":{"formattedCitation":"(Brazeiro et al., 2021; Brugnoli &amp; Laufer, 2018)","plainCitation":"(Brazeiro et al., 2021; Brugnoli &amp; Laufer, 2018)","noteIndex":0},"citationItems":[{"id":53364,"uris":["http://zotero.org/groups/2352922/items/M2F2Z4DB"],"itemData":{"id":53364,"type":"report","collection-title":"Montevideo","page":"226","publisher":"RETEMA-UdelaR, CEEI-Ministerio de Ambiente","title":"Especies exóticas invasorasde Uruguay: distribución, impactos socioambientales y estrategias de gestión.","URL":"https://ppduruguay.undp.org.uy/wp-content/uploads/2022/06/Especies-Exoticas-Invasoras-en-Uruguay_compressed.pdf","author":[{"family":"Brazeiro","given":"A"},{"family":"Bresciano","given":"D"},{"family":"Brugnoli","given":"E"},{"family":"Iturburu","given":"M"}],"accessed":{"date-parts":[["2022",9,15]]},"issued":{"date-parts":[["2021"]]}},"label":"page"},{"id":23660,"uris":["http://zotero.org/groups/2352922/items/IEXFZRQB"],"itemData":{"id":23660,"type":"book","event-place":"Montevideo","ISBN":"978-9974-658-36-3","language":"es","number-of-pages":"70","publisher":"Comité de Especies Exóticas Invasoras","publisher-place":"Montevideo","title":"Ecología, Manejo y Control de Especies Exóticas Invasoras en Uruguay, del Diagnóstico a la Acción","editor":[{"family":"Brugnoli","given":"Ernesto"},{"family":"Laufer","given":"Gabriel"}],"issued":{"date-parts":[["2018",2]]}},"label":"page"}],"schema":"https://github.com/citation-style-language/schema/raw/master/csl-citation.json"} </w:instrText>
      </w:r>
      <w:r w:rsidR="0054645C" w:rsidRPr="00A9434B">
        <w:fldChar w:fldCharType="separate"/>
      </w:r>
      <w:r w:rsidR="00C71E80" w:rsidRPr="00A9434B">
        <w:t>(Brazeiro et al., 2021; Brugnoli &amp; Laufer, 2018)</w:t>
      </w:r>
      <w:r w:rsidR="0054645C" w:rsidRPr="00A9434B">
        <w:fldChar w:fldCharType="end"/>
      </w:r>
      <w:r w:rsidR="00130E49" w:rsidRPr="00A9434B">
        <w:t>.</w:t>
      </w:r>
    </w:p>
    <w:p w14:paraId="4ECF3B0C" w14:textId="328B4F29" w:rsidR="00017C04" w:rsidRDefault="00F50AF9">
      <w:r>
        <w:t xml:space="preserve">Despite the apparent greater investment in basic compared to applied research, knowledge of some basic science questions is still inadequate globally. For example, in an evaluation of country-level checklists of invasive alien species, these were found to suffer from one or more of 10 different error categories, mostly related to poor information or measurement errors (epistemic uncertainties; </w:t>
      </w:r>
      <w:r w:rsidR="00CC4659" w:rsidRPr="00A9434B">
        <w:fldChar w:fldCharType="begin"/>
      </w:r>
      <w:r w:rsidR="002D2756">
        <w:instrText xml:space="preserve"> ADDIN ZOTERO_ITEM CSL_CITATION {"citationID":"a2k0b5cq0sq","properties":{"formattedCitation":"(McGeoch et al., 2012)","plainCitation":"(McGeoch et al., 2012)","dontUpdate":true,"noteIndex":0},"citationItems":[{"id":29287,"uris":["http://zotero.org/groups/2352922/items/I5I5N6GD"],"itemData":{"id":29287,"type":"article-journal","abstract":"Lists of invasive alien species (IAS) are essential for preventing, controlling, and reporting on the state of biological invasions. However, these lists suffer from a range of errors, with serious consequences for their use in science, policy, and management. Here we (1) collated and classified errors in IAS listing using a taxonomy of uncertainty; and (2) estimated the size of these errors using data from a completed listing exercise, with the purpose of better understanding, communicating, and dealing with them. Ten errors were identified. Most result from a lack of knowledge or measurement error (epistemic uncertainty), although two were a result of context dependence and vagueness (linguistic uncertainty). Estimates of the size of the effects of these errors were substantial in a number of cases and unknown in others. Most errors, and those with the largest estimated effect, result in underestimates of IAS numbers. However, there are a number of errors where the size and direction of the effect remains poorly understood.","container-title":"Ecological Applications","DOI":"10.1890/11-1252.1","ISSN":"1051-0761","issue":"3","journalAbbreviation":"Ecological Applications","language":"en","note":"PMID: 22645824","page":"959-971","source":"DOI.org (Crossref)","title":"Uncertainty in invasive alien species listing","URL":"http://doi.wiley.com/10.1890/11-1252.1","volume":"22","author":[{"family":"McGeoch","given":"Melodie A."},{"family":"Spear","given":"Dian"},{"family":"Kleynhans","given":"Elizabeth J."},{"family":"Marais","given":"Elrike"}],"accessed":{"date-parts":[["2019",11,9]]},"issued":{"date-parts":[["2012",4]]}},"label":"page"}],"schema":"https://github.com/citation-style-language/schema/raw/master/csl-citation.json"} </w:instrText>
      </w:r>
      <w:r w:rsidR="00CC4659" w:rsidRPr="00A9434B">
        <w:fldChar w:fldCharType="separate"/>
      </w:r>
      <w:r w:rsidR="00C71E80" w:rsidRPr="00A9434B">
        <w:t>McGeoch et al., 2012)</w:t>
      </w:r>
      <w:r w:rsidR="00CC4659" w:rsidRPr="00A9434B">
        <w:fldChar w:fldCharType="end"/>
      </w:r>
      <w:r w:rsidR="00CC4659" w:rsidRPr="00A9434B">
        <w:t>.</w:t>
      </w:r>
      <w:r>
        <w:t xml:space="preserve"> Important errors include: species misidentified as alien due to taxonomic uncertainty; failure to recognize invasive alien species as a result of insufficient surveying; overestimation due to the coarse spatial resolution of alien species distribution maps or species listing; delays in the publication of data; poor data management that leads to data being unfindable; incorrect decisions to list a species as “alien” (</w:t>
      </w:r>
      <w:r w:rsidR="0044275A">
        <w:rPr>
          <w:b/>
          <w:iCs/>
        </w:rPr>
        <w:t>G</w:t>
      </w:r>
      <w:r w:rsidR="00B0712F" w:rsidRPr="00673554">
        <w:rPr>
          <w:b/>
          <w:iCs/>
        </w:rPr>
        <w:t>lossary</w:t>
      </w:r>
      <w:r>
        <w:t>) due to inadequate and ambiguous information on species’ native range; incorrect decision of listing species as “invasive” due to limited information on their population dynamics and impacts, and lack of evidence-based standardized and universal criteria for designating a species as invasive (</w:t>
      </w:r>
      <w:r>
        <w:rPr>
          <w:b/>
        </w:rPr>
        <w:t>Chapter 5</w:t>
      </w:r>
      <w:r>
        <w:t>,</w:t>
      </w:r>
      <w:r>
        <w:rPr>
          <w:b/>
        </w:rPr>
        <w:t xml:space="preserve"> section 5.6.2.5</w:t>
      </w:r>
      <w:r>
        <w:t>,</w:t>
      </w:r>
      <w:r>
        <w:rPr>
          <w:b/>
        </w:rPr>
        <w:t xml:space="preserve"> </w:t>
      </w:r>
      <w:r w:rsidR="00B74706" w:rsidRPr="00673554">
        <w:rPr>
          <w:b/>
          <w:iCs/>
        </w:rPr>
        <w:t>Table</w:t>
      </w:r>
      <w:r>
        <w:rPr>
          <w:b/>
        </w:rPr>
        <w:t xml:space="preserve"> 5.12</w:t>
      </w:r>
      <w:r>
        <w:t>).</w:t>
      </w:r>
    </w:p>
    <w:p w14:paraId="7F192B86" w14:textId="17E3B228" w:rsidR="00017C04" w:rsidRDefault="00CC4659">
      <w:r w:rsidRPr="00A9434B">
        <w:t xml:space="preserve">While acknowledging that the errors could not be eliminated completely, </w:t>
      </w:r>
      <w:r w:rsidRPr="00A9434B">
        <w:fldChar w:fldCharType="begin"/>
      </w:r>
      <w:r w:rsidR="002D2756">
        <w:instrText xml:space="preserve"> ADDIN ZOTERO_ITEM CSL_CITATION {"citationID":"a11cbbtjpu5","properties":{"formattedCitation":"(McGeoch et al., 2012)","plainCitation":"(McGeoch et al., 2012)","noteIndex":0},"citationItems":[{"id":29287,"uris":["http://zotero.org/groups/2352922/items/I5I5N6GD"],"itemData":{"id":29287,"type":"article-journal","abstract":"Lists of invasive alien species (IAS) are essential for preventing, controlling, and reporting on the state of biological invasions. However, these lists suffer from a range of errors, with serious consequences for their use in science, policy, and management. Here we (1) collated and classified errors in IAS listing using a taxonomy of uncertainty; and (2) estimated the size of these errors using data from a completed listing exercise, with the purpose of better understanding, communicating, and dealing with them. Ten errors were identified. Most result from a lack of knowledge or measurement error (epistemic uncertainty), although two were a result of context dependence and vagueness (linguistic uncertainty). Estimates of the size of the effects of these errors were substantial in a number of cases and unknown in others. Most errors, and those with the largest estimated effect, result in underestimates of IAS numbers. However, there are a number of errors where the size and direction of the effect remains poorly understood.","container-title":"Ecological Applications","DOI":"10.1890/11-1252.1","ISSN":"1051-0761","issue":"3","journalAbbreviation":"Ecological Applications","language":"en","note":"PMID: 22645824","page":"959-971","source":"DOI.org (Crossref)","title":"Uncertainty in invasive alien species listing","URL":"http://doi.wiley.com/10.1890/11-1252.1","volume":"22","author":[{"family":"McGeoch","given":"Melodie A."},{"family":"Spear","given":"Dian"},{"family":"Kleynhans","given":"Elizabeth J."},{"family":"Marais","given":"Elrike"}],"accessed":{"date-parts":[["2019",11,9]]},"issued":{"date-parts":[["2012",4]]}}}],"schema":"https://github.com/citation-style-language/schema/raw/master/csl-citation.json"} </w:instrText>
      </w:r>
      <w:r w:rsidRPr="00A9434B">
        <w:fldChar w:fldCharType="separate"/>
      </w:r>
      <w:r w:rsidR="00065870" w:rsidRPr="00065870">
        <w:t>(McGeoch et al., 2012)</w:t>
      </w:r>
      <w:r w:rsidRPr="00A9434B">
        <w:fldChar w:fldCharType="end"/>
      </w:r>
      <w:r w:rsidR="00F50AF9">
        <w:t xml:space="preserve"> suggested some measures to minimize errors associated with country-level checklists, including expanding investment in invasive alien species research and monitoring, improving findability and accessibility of invasive alien species data, improving the speed at which a correction can be applied to a list, and improving transparency and repeatability of invasive alien species listing methods, along with standardized uses of terms and concepts. </w:t>
      </w:r>
    </w:p>
    <w:p w14:paraId="326DFA05" w14:textId="2F113E61" w:rsidR="00CC4659" w:rsidRPr="00A9434B" w:rsidRDefault="00643684" w:rsidP="006B3143">
      <w:r w:rsidRPr="00A9434B">
        <w:t>Information</w:t>
      </w:r>
      <w:r w:rsidR="639933B3" w:rsidRPr="00A9434B">
        <w:t xml:space="preserve"> generated from basic research is translated to management and policy responses through applied research. Poor representation of applied research in peer-reviewed publications </w:t>
      </w:r>
      <w:r w:rsidRPr="00A9434B">
        <w:fldChar w:fldCharType="begin"/>
      </w:r>
      <w:r w:rsidRPr="00A9434B">
        <w:instrText>ADDIN EN.CITE &lt;EndNote&gt;&lt;Cite&gt;&lt;Author&gt;Esler&lt;/Author&gt;&lt;Year&gt;2010&lt;/Year&gt;&lt;RecNum&gt;395&lt;/RecNum&gt;&lt;DisplayText&gt;(Esler, Prozesky et al. 2010)&lt;/DisplayText&gt;&lt;record&gt;&lt;rec-number&gt;395&lt;/rec-number&gt;&lt;foreign-keys&gt;&lt;key app="EN" db-id="99ver0spcz592aer0w9xwv210vt5exzxspvf" timestamp="1593167969"&gt;395&lt;/key&gt;&lt;/foreign-keys&gt;&lt;ref-type name="Journal Article"&gt;17&lt;/ref-type&gt;&lt;contributors&gt;&lt;authors&gt;&lt;author&gt;Esler, Karen J.&lt;/author&gt;&lt;author&gt;Prozesky, Heidi&lt;/author&gt;&lt;author&gt;Sharma, Gyan P.&lt;/author&gt;&lt;author&gt;McGeoch, Melodie&lt;/author&gt;&lt;/authors&gt;&lt;/contributors&gt;&lt;titles&gt;&lt;title&gt;How wide is the ‘‘knowing-doing’’ gap in invasion biology?&lt;/title&gt;&lt;secondary-title&gt;Biological Invasions&lt;/secondary-title&gt;&lt;/titles&gt;&lt;pages&gt;4065-4075&lt;/pages&gt;&lt;volume&gt;12&lt;/volume&gt;&lt;dates&gt;&lt;year&gt;2010&lt;/year&gt;&lt;pub-dates&gt;&lt;date&gt;2010&lt;/date&gt;&lt;/pub-dates&gt;&lt;/dates&gt;&lt;urls&gt;&lt;/urls&gt;&lt;electronic-resource-num&gt;10.1007/s10530-010-9812-x&lt;/electronic-resource-num&gt;&lt;language&gt;English&lt;/language&gt;&lt;/record&gt;&lt;/Cite&gt;&lt;/EndNote&gt;</w:instrText>
      </w:r>
      <w:r w:rsidRPr="00A9434B">
        <w:fldChar w:fldCharType="separate"/>
      </w:r>
      <w:r w:rsidRPr="00A9434B">
        <w:fldChar w:fldCharType="begin"/>
      </w:r>
      <w:r w:rsidR="002D2756">
        <w:instrText xml:space="preserve"> ADDIN ZOTERO_ITEM CSL_CITATION {"citationID":"a2ao07tp5lu","properties":{"formattedCitation":"(Esler et al., 2010)","plainCitation":"(Esler et al., 2010)","noteIndex":0},"citationItems":[{"id":10808,"uris":["http://zotero.org/groups/2352922/items/NNIG5QBT"],"itemData":{"id":10808,"type":"article-journal","abstract":"Invasion biology is a growing discipline with clear ecological, social and economic implications. A wide range of research effort is thus required to address the invasion problem, and literature on the topic is extensive. However, the extent to which the invasion biology research is addressing the challenges associated with management and mitigation of the impacts of invasions has been questioned. Using bibliometric analysis, we investigated the extent to which the literature on the subject contributes to implementation of knowledge generated, by addressing aspects of management, policy, and/or implementation; the impact of these papers as indicated by the number of citations they attract; and the geopolitical scale of focus of invasion ecology papers, particularly those that attempt to bridge the knowingdoing gap. We then compared these ﬁndings with the information needs of conservation practitioners. We ﬁrst looked globally at popular search engines and then narrowed our focus to South Africa—one of three regions outside USA where researchers producing highly cited papers in invasion ecology are well represented. At this level, we conducted a content analysis of invasion ecology-related papers, of which at least one author was afﬁliated to a South African institution. The knowledge base in the ﬁeld of invasion biology is comprised largely of research oriented towards ‘‘knowing’’, while research aimed at strategically applying or implementing that knowledge is poorly represented in the scientiﬁc literature, and the scale of its emphasis is not local. Conservation practitioners clearly indicate a need for basic knowledge. However, invasion science must develop channels for effective engagement to ensure that the research is contextualised, and will deal with the complex ecological, social and economic challenges posed by invasions.","container-title":"Biological Invasions","DOI":"10.1007/s10530-010-9812-x","ISSN":"1387-3547, 1573-1464","issue":"12","journalAbbreviation":"Biol Invasions","language":"English","page":"4065–4075","title":"How wide is the “knowing-doing” gap in invasion biology?","URL":"http://link.springer.com/10.1007/s10530-010-9812-x","volume":"12","author":[{"family":"Esler","given":"Karen J"},{"family":"Prozesky","given":"Heidi"},{"family":"Sharma","given":"Gyan P."},{"family":"McGeoch","given":"Melodie A."}],"issued":{"date-parts":[["2010"]]}},"label":"page"}],"schema":"https://github.com/citation-style-language/schema/raw/master/csl-citation.json"} </w:instrText>
      </w:r>
      <w:r w:rsidRPr="00A9434B">
        <w:fldChar w:fldCharType="separate"/>
      </w:r>
      <w:r w:rsidR="00C71E80" w:rsidRPr="00A9434B">
        <w:t>(Esler et al., 2010)</w:t>
      </w:r>
      <w:r w:rsidRPr="00A9434B">
        <w:fldChar w:fldCharType="end"/>
      </w:r>
      <w:r w:rsidRPr="00A9434B">
        <w:fldChar w:fldCharType="end"/>
      </w:r>
      <w:r w:rsidR="639933B3" w:rsidRPr="00A9434B">
        <w:t xml:space="preserve">, might have contributed to the continuous increase in the number of alien species across taxonomic groups and biogeographic regions </w:t>
      </w:r>
      <w:r w:rsidRPr="00A9434B">
        <w:fldChar w:fldCharType="begin"/>
      </w:r>
      <w:r w:rsidRPr="00A9434B">
        <w:instrText>ADDIN EN.CITE</w:instrText>
      </w:r>
      <w:r w:rsidRPr="00A9434B">
        <w:fldChar w:fldCharType="begin"/>
      </w:r>
      <w:r w:rsidRPr="00A9434B">
        <w:instrText>ADDIN EN.CITE.DATA</w:instrText>
      </w:r>
      <w:r w:rsidRPr="00A9434B">
        <w:fldChar w:fldCharType="end"/>
      </w:r>
      <w:r w:rsidRPr="00A9434B">
        <w:fldChar w:fldCharType="separate"/>
      </w:r>
      <w:r w:rsidRPr="00A9434B">
        <w:fldChar w:fldCharType="begin"/>
      </w:r>
      <w:r w:rsidR="002D2756">
        <w:instrText xml:space="preserve"> ADDIN ZOTERO_ITEM CSL_CITATION {"citationID":"afmc04ajr0","properties":{"formattedCitation":"(Seebens et al., 2018)","plainCitation":"(Seebens et al., 2018)","noteIndex":0},"citationItems":[{"id":10257,"uris":["http://zotero.org/groups/2352922/items/5KRHTPEJ"],"itemData":{"id":10257,"type":"article-journal","abstract":"Our ability to predict the identity of future invasive alien species is largely based upon knowledge of prior invasion history. Emerging alien species—those never encountered as aliens before—therefore pose a significant challenge to biosecurity interventions worldwide. Understanding their temporal trends, origins, and the drivers of their spread is pivotal to improving prevention and risk assessment tools. Here, we use a database of 45,984 first records of 16,019 established alien species to investigate the temporal dynamics of occurrences of emerging alien species worldwide. Even after many centuries of invasions the rate of emergence of new alien species is still high: One-quarter of first records during 2000–2005 were of species that had not been previously recorded anywhere as alien, though with large variation across taxa. Model results show that the high proportion of emerging alien species cannot be solely explained by increases in well-known drivers such as the amount of imported commodities from historically important source regions. Instead, these dynamics reflect the incorporation of new regions into the pool of potential alien species, likely as a consequence of expanding trade networks and environmental change. This process compensates for the depletion of the historically important source species pool through successive invasions. We estimate that 1–16% of all species on Earth, depending on the taxonomic group, qualify as potential alien species. These results suggest that there remains a high proportion of emerging alien species we have yet to encounter, with future impacts that are difficult to predict.","container-title":"Proceedings of the National Academy of Sciences","DOI":"10.1073/pnas.1719429115","ISSN":"0027-8424, 1091-6490","issue":"10","journalAbbreviation":"Proc Natl Acad Sci USA","language":"en","page":"E2264-E2273","source":"DOI.org (Crossref)","title":"Global rise in emerging alien species results from increased accessibility of new source pools","URL":"http://www.pnas.org/lookup/doi/10.1073/pnas.1719429115","volume":"115","author":[{"family":"Seebens","given":"Hanno"},{"family":"Blackburn","given":"Tim M."},{"family":"Dyer","given":"Ellie E."},{"family":"Genovesi","given":"Piero"},{"family":"Hulme","given":"Philip E."},{"family":"Jeschke","given":"Jonathan M."},{"family":"Pagad","given":"Shyama"},{"family":"Pyšek","given":"Petr"},{"family":"Kleunen","given":"Mark","non-dropping-particle":"van"},{"family":"Winter","given":"Marten"},{"family":"Ansong","given":"Michael"},{"family":"Arianoutsou","given":"Margarita"},{"family":"Bacher","given":"Sven"},{"family":"Blasius","given":"Bernd"},{"family":"Brockerhoff","given":"Eckehard G."},{"family":"Brundu","given":"Giuseppe"},{"family":"Capinha","given":"César"},{"family":"Causton","given":"Charlotte E."},{"family":"Celesti-Grapow","given":"Laura"},{"family":"Dawson","given":"Wayne"},{"family":"Dullinger","given":"Stefan"},{"family":"Economo","given":"Evan P."},{"family":"Fuentes","given":"Nicol"},{"family":"Guénard","given":"Benoit"},{"family":"Jäger","given":"Heinke"},{"family":"Kartesz","given":"John"},{"family":"Kenis","given":"Marc"},{"family":"Kühn","given":"Ingolf"},{"family":"Lenzner","given":"Bernd"},{"family":"Liebhold","given":"Andrew M."},{"family":"Mosena","given":"Alexander"},{"family":"Moser","given":"Dietmar"},{"family":"Nentwig","given":"Wolfgang"},{"family":"Nishino","given":"Misako"},{"family":"Pearman","given":"David"},{"family":"Pergl","given":"Jan"},{"family":"Rabitsch","given":"Wolfgang"},{"family":"Rojas-Sandoval","given":"Julissa"},{"family":"Roques","given":"Alain"},{"family":"Rorke","given":"Stephanie"},{"family":"Rossinelli","given":"Silvia"},{"family":"Roy","given":"Helen E."},{"family":"Scalera","given":"Riccardo"},{"family":"Schindler","given":"Stefan"},{"family":"Štajerová","given":"Kateřina"},{"family":"Tokarska-Guzik","given":"Barbara"},{"family":"Walker","given":"Kevin"},{"family":"Ward","given":"Darren F."},{"family":"Yamanaka","given":"Takehiko"},{"family":"Essl","given":"Franz"}],"accessed":{"date-parts":[["2019",8,31]]},"issued":{"date-parts":[["2018",3,6]]}},"label":"page"}],"schema":"https://github.com/citation-style-language/schema/raw/master/csl-citation.json"} </w:instrText>
      </w:r>
      <w:r w:rsidRPr="00A9434B">
        <w:fldChar w:fldCharType="separate"/>
      </w:r>
      <w:r w:rsidR="00C71E80" w:rsidRPr="00A9434B">
        <w:t>(Seebens et al., 2018)</w:t>
      </w:r>
      <w:r w:rsidRPr="00A9434B">
        <w:fldChar w:fldCharType="end"/>
      </w:r>
      <w:r w:rsidRPr="00A9434B">
        <w:fldChar w:fldCharType="end"/>
      </w:r>
      <w:r w:rsidR="639933B3" w:rsidRPr="00A9434B">
        <w:t xml:space="preserve">. Additional investment of resources for applied research </w:t>
      </w:r>
      <w:r w:rsidR="38E43A3D" w:rsidRPr="00A9434B">
        <w:t>w</w:t>
      </w:r>
      <w:r w:rsidR="639933B3" w:rsidRPr="00A9434B">
        <w:t xml:space="preserve">ould generate </w:t>
      </w:r>
      <w:r w:rsidRPr="00A9434B">
        <w:t>information</w:t>
      </w:r>
      <w:r w:rsidR="639933B3" w:rsidRPr="00A9434B">
        <w:t xml:space="preserve"> suitable for managers and policymakers to make decisions.</w:t>
      </w:r>
    </w:p>
    <w:p w14:paraId="401D50C2" w14:textId="4D2EABDF" w:rsidR="00CC4659" w:rsidRPr="00A9434B" w:rsidRDefault="08C398C3" w:rsidP="00C46680">
      <w:pPr>
        <w:pStyle w:val="Heading3"/>
      </w:pPr>
      <w:bookmarkStart w:id="540" w:name="_Toc99423177"/>
      <w:bookmarkStart w:id="541" w:name="_Toc133428350"/>
      <w:r w:rsidRPr="00A9434B">
        <w:lastRenderedPageBreak/>
        <w:t>S</w:t>
      </w:r>
      <w:r w:rsidR="4F7DAD86" w:rsidRPr="00A9434B">
        <w:t>ocioecological research</w:t>
      </w:r>
      <w:r w:rsidR="5BCEBB01" w:rsidRPr="00A9434B">
        <w:t xml:space="preserve"> to support policy and management</w:t>
      </w:r>
      <w:bookmarkEnd w:id="540"/>
      <w:bookmarkEnd w:id="541"/>
    </w:p>
    <w:p w14:paraId="3FAFEC22" w14:textId="5DE1CC1C" w:rsidR="00CC4659" w:rsidRPr="00A9434B" w:rsidRDefault="00520D6B" w:rsidP="006B3143">
      <w:r w:rsidRPr="00A9434B">
        <w:t>T</w:t>
      </w:r>
      <w:r w:rsidR="00CC4659" w:rsidRPr="00A9434B">
        <w:t xml:space="preserve">he prevention and sustainable management of biological invasions depends on an effective integration of environmental, social and economic components in management strategies </w:t>
      </w:r>
      <w:r w:rsidRPr="00A9434B">
        <w:fldChar w:fldCharType="begin"/>
      </w:r>
      <w:r w:rsidR="002D2756">
        <w:instrText xml:space="preserve"> ADDIN ZOTERO_ITEM CSL_CITATION {"citationID":"a5ks98nlfg","properties":{"formattedCitation":"(D. L. Larson et al., 2011)","plainCitation":"(D. L. Larson et al., 2011)","noteIndex":0},"citationItems":[{"id":11261,"uris":["http://zotero.org/groups/2352922/items/VP6Q9WDH"],"itemData":{"id":11261,"type":"article-journal","abstract":"Applying the concept of sustainability to invasive species management (ISM) is challenging but necessary, given the increasing rates of invasion and the high costs of invasion impacts and control. To be sustainable, ISM must address environmental, social, and economic factors (or “pillars”) that inﬂuence the causes, impacts, and control of invasive species across multiple spatial and temporal scales. Although these pillars are generally acknowledged, their implementation is often limited by insufﬁcient control options and signiﬁcant economic and political constraints. In this paper, we outline speciﬁc objectives in each of these three “pillars” that, if incorporated into a management plan, will improve the plan’s likelihood of sustainability. We then examine three case studies that illustrate how these objectives can be effectively implemented. Each pillar reinforces the others, such that the inclusion of even a few of the outlined objectives will lead to more effective management that achieves ecological goals, while generating social support and long-term funding to maintain projects to completion. We encourage agency directors and policy-makers to consider sustainability principles when developing funding schemes, management agendas, and policy.","container-title":"Journal of Environmental Management","DOI":"10.1016/j.jenvman.2010.08.025","ISSN":"03014797","issue":"1","journalAbbreviation":"Journal of Environmental Management","language":"en","page":"14-22","source":"DOI.org (Crossref)","title":"A framework for sustainable invasive species management: Environmental, social, and economic objectives","title-short":"A framework for sustainable invasive species management","URL":"https://linkinghub.elsevier.com/retrieve/pii/S0301479710002732","volume":"92","author":[{"family":"Larson","given":"Diane L."},{"family":"Phillips-Mao","given":"Laura"},{"family":"Quiram","given":"Gina"},{"family":"Sharpe","given":"Leah"},{"family":"Stark","given":"Rebecca"},{"family":"Sugita","given":"Shinya"},{"family":"Weiler","given":"Annie"}],"accessed":{"date-parts":[["2019",11,3]]},"issued":{"date-parts":[["2011",1]]}},"label":"page"}],"schema":"https://github.com/citation-style-language/schema/raw/master/csl-citation.json"} </w:instrText>
      </w:r>
      <w:r w:rsidRPr="00A9434B">
        <w:fldChar w:fldCharType="separate"/>
      </w:r>
      <w:r w:rsidR="00C71E80" w:rsidRPr="00A9434B">
        <w:t>(D. L. Larson et al., 2011)</w:t>
      </w:r>
      <w:r w:rsidRPr="00A9434B">
        <w:fldChar w:fldCharType="end"/>
      </w:r>
      <w:r w:rsidR="00CC4659" w:rsidRPr="00A9434B">
        <w:t xml:space="preserve">. This implies that an understanding of the socio-economic </w:t>
      </w:r>
      <w:r w:rsidR="001C1880" w:rsidRPr="00A9434B">
        <w:t>dimensions</w:t>
      </w:r>
      <w:r w:rsidR="00CC4659" w:rsidRPr="00A9434B">
        <w:t xml:space="preserve"> of biological invasions </w:t>
      </w:r>
      <w:r w:rsidR="001C1880" w:rsidRPr="00A9434B">
        <w:t>is</w:t>
      </w:r>
      <w:r w:rsidR="00CC4659" w:rsidRPr="00A9434B">
        <w:t xml:space="preserve"> as important as </w:t>
      </w:r>
      <w:r w:rsidR="001C1880" w:rsidRPr="00A9434B">
        <w:t>the knowledge held in the fields of biology, taxonomy</w:t>
      </w:r>
      <w:r w:rsidR="00EB415D">
        <w:t xml:space="preserve"> and</w:t>
      </w:r>
      <w:r w:rsidR="00CC4659" w:rsidRPr="00A9434B">
        <w:t xml:space="preserve"> </w:t>
      </w:r>
      <w:r w:rsidR="001C1880" w:rsidRPr="00A9434B">
        <w:t>other scientific specializations.</w:t>
      </w:r>
      <w:r w:rsidR="009D4056" w:rsidRPr="00A9434B">
        <w:t xml:space="preserve"> </w:t>
      </w:r>
      <w:r w:rsidR="00CC4659" w:rsidRPr="00A9434B">
        <w:t xml:space="preserve">In spite of </w:t>
      </w:r>
      <w:r w:rsidR="001C1880" w:rsidRPr="00A9434B">
        <w:t xml:space="preserve">the obviously </w:t>
      </w:r>
      <w:r w:rsidR="00CC4659" w:rsidRPr="00A9434B">
        <w:t xml:space="preserve">strong human and social dimensions </w:t>
      </w:r>
      <w:r w:rsidR="001C1880" w:rsidRPr="00A9434B">
        <w:t>of</w:t>
      </w:r>
      <w:r w:rsidR="00CC4659" w:rsidRPr="00A9434B">
        <w:t xml:space="preserve"> the invasion process, impacts of invasive alien species</w:t>
      </w:r>
      <w:r w:rsidR="00EB415D">
        <w:t xml:space="preserve"> and</w:t>
      </w:r>
      <w:r w:rsidR="00CC4659" w:rsidRPr="00A9434B">
        <w:t xml:space="preserve"> their management </w:t>
      </w:r>
      <w:r w:rsidRPr="00A9434B">
        <w:fldChar w:fldCharType="begin"/>
      </w:r>
      <w:r w:rsidR="002D2756">
        <w:instrText xml:space="preserve"> ADDIN ZOTERO_ITEM CSL_CITATION {"citationID":"awO0utUz","properties":{"formattedCitation":"(Shackleton, Shackleton, et al., 2019)","plainCitation":"(Shackleton, Shackleton, et al., 2019)","noteIndex":0},"citationItems":[{"id":56684,"uris":["http://zotero.org/groups/2352922/items/4PZGDY6S","http://zotero.org/groups/2352922/items/ZVLAJYMG"],"itemData":{"id":56684,"type":"article-journal","container-title":"Journal of Environmental Management","DOI":"10.1016/j.jenvman.2018.05.007","ISSN":"03014797","journalAbbreviation":"Journal of Environmental Management","language":"en","page":"145-157","source":"DOI.org (Crossref)","title":"The role of invasive alien species in shaping local livelihoods and human well-being: A review","title-short":"The role of invasive alien species in shaping local livelihoods and human well-being","URL":"https://linkinghub.elsevier.com/retrieve/pii/S0301479718305267","volume":"229","author":[{"family":"Shackleton","given":"Ross T."},{"family":"Shackleton","given":"Charlie M."},{"family":"Kull","given":"Christian A."}],"accessed":{"date-parts":[["2023",6,8]]},"issued":{"date-parts":[["2019",1]]}}}],"schema":"https://github.com/citation-style-language/schema/raw/master/csl-citation.json"} </w:instrText>
      </w:r>
      <w:r w:rsidRPr="00A9434B">
        <w:fldChar w:fldCharType="separate"/>
      </w:r>
      <w:r w:rsidR="001153D7" w:rsidRPr="001153D7">
        <w:t>(Shackleton, Shackleton, et al., 2019)</w:t>
      </w:r>
      <w:r w:rsidRPr="00A9434B">
        <w:fldChar w:fldCharType="end"/>
      </w:r>
      <w:r w:rsidR="00CC4659" w:rsidRPr="00A9434B">
        <w:t xml:space="preserve">, </w:t>
      </w:r>
      <w:r w:rsidR="001C1880" w:rsidRPr="00A9434B">
        <w:t xml:space="preserve">a 2017 study found that </w:t>
      </w:r>
      <w:r w:rsidR="00CC4659" w:rsidRPr="00A9434B">
        <w:t>more than 90</w:t>
      </w:r>
      <w:r w:rsidR="00451867" w:rsidRPr="00A9434B">
        <w:t xml:space="preserve"> per cent</w:t>
      </w:r>
      <w:r w:rsidR="00CC4659" w:rsidRPr="00A9434B">
        <w:t xml:space="preserve"> of research publications on biological invasions since 1958 were related to ecology and environment, while only 3.2</w:t>
      </w:r>
      <w:r w:rsidR="00451867" w:rsidRPr="00A9434B">
        <w:t xml:space="preserve"> per cent</w:t>
      </w:r>
      <w:r w:rsidR="00CC4659" w:rsidRPr="00A9434B">
        <w:t xml:space="preserve"> of the publications </w:t>
      </w:r>
      <w:r w:rsidR="001C1880" w:rsidRPr="00A9434B">
        <w:t>primarily</w:t>
      </w:r>
      <w:r w:rsidR="00CC4659" w:rsidRPr="00A9434B">
        <w:t xml:space="preserve"> addressed </w:t>
      </w:r>
      <w:r w:rsidR="14400AF0" w:rsidRPr="00A9434B">
        <w:t>socioecological</w:t>
      </w:r>
      <w:r w:rsidR="00CC4659" w:rsidRPr="00A9434B">
        <w:t xml:space="preserve"> dimension</w:t>
      </w:r>
      <w:r w:rsidR="001C1880" w:rsidRPr="00A9434B">
        <w:t>s</w:t>
      </w:r>
      <w:r w:rsidRPr="00A9434B">
        <w:t xml:space="preserve"> </w:t>
      </w:r>
      <w:r w:rsidRPr="00A9434B">
        <w:fldChar w:fldCharType="begin"/>
      </w:r>
      <w:r w:rsidR="002D2756">
        <w:instrText xml:space="preserve"> ADDIN ZOTERO_ITEM CSL_CITATION {"citationID":"apd0bmcb17","properties":{"formattedCitation":"(Vaz et al., 2017)","plainCitation":"(Vaz et al., 2017)","noteIndex":0},"citationItems":[{"id":11151,"uris":["http://zotero.org/groups/2352922/items/WJ8XYNIF"],"itemData":{"id":11151,"type":"article-journal","abstract":"Interdisciplinarity is needed to gain knowledge of the ecology of invasive species and invaded ecosystems, and of the human dimensions of biological invasions. We combine a quantitative literature review with a qualitative historical narrative to document the progress of interdisciplinarity in invasion science since 1950. Our review shows that 92.4% of interdisciplinary publications (out of 9192) focus on ecological questions, 4.4% on social ones, and 3.2% on social–ecological ones. The emergence of invasion science out of ecology might explain why interdisciplinarity has remained mostly within the natural sciences. Nevertheless, invasion science is attracting social–ecological collaborations to understand ecological challenges, and to develop novel approaches to address new ideas, concepts, and invasion-related questions between scholars and stakeholders. We discuss ways to reframe invasion science as a field centred on interlinked social–ecological dynamics to bring science, governance and society together in a common effort to deal with invasions.","container-title":"Ambio","DOI":"10.1007/s13280-017-0897-7","ISSN":"1654-7209","issue":"4","journalAbbreviation":"Ambio","language":"en","page":"428-442","source":"Springer Link","title":"The progress of interdisciplinarity in invasion science","URL":"https://doi.org/10.1007/s13280-017-0897-7","volume":"46","author":[{"family":"Vaz","given":"Ana S."},{"family":"Kueffer","given":"Christoph"},{"family":"Kull","given":"Christian A."},{"family":"Richardson","given":"David M."},{"family":"Schindler","given":"Stefan"},{"family":"Muñoz-Pajares","given":"A. Jesús"},{"family":"Vicente","given":"Joana R."},{"family":"Martins","given":"João"},{"family":"Hui","given":"Cang"},{"family":"Kühn","given":"Ingolf"},{"family":"Honrado","given":"João P."}],"accessed":{"date-parts":[["2019",10,7]]},"issued":{"date-parts":[["2017",5,1]]}},"label":"page"}],"schema":"https://github.com/citation-style-language/schema/raw/master/csl-citation.json"} </w:instrText>
      </w:r>
      <w:r w:rsidRPr="00A9434B">
        <w:fldChar w:fldCharType="separate"/>
      </w:r>
      <w:r w:rsidR="00C71E80" w:rsidRPr="00A9434B">
        <w:t>(Vaz et al., 2017)</w:t>
      </w:r>
      <w:r w:rsidRPr="00A9434B">
        <w:fldChar w:fldCharType="end"/>
      </w:r>
      <w:r w:rsidR="00CC4659" w:rsidRPr="00A9434B">
        <w:t>. Similarly, only 3</w:t>
      </w:r>
      <w:r w:rsidR="00451867" w:rsidRPr="00A9434B">
        <w:t xml:space="preserve"> per cent</w:t>
      </w:r>
      <w:r w:rsidR="00CC4659" w:rsidRPr="00A9434B">
        <w:t xml:space="preserve"> of 364 research articles related to invasive alien species produced by South Africa’s iconic Working for Water Program</w:t>
      </w:r>
      <w:r w:rsidR="634C4799" w:rsidRPr="00A9434B">
        <w:t>me</w:t>
      </w:r>
      <w:r w:rsidR="00CC4659" w:rsidRPr="00A9434B">
        <w:t xml:space="preserve"> between 1995 and 2017 addressed human dimensions associated with invasive alien species </w:t>
      </w:r>
      <w:r w:rsidRPr="00A9434B">
        <w:fldChar w:fldCharType="begin"/>
      </w:r>
      <w:r w:rsidR="002D2756">
        <w:instrText xml:space="preserve"> ADDIN ZOTERO_ITEM CSL_CITATION {"citationID":"a21nte5sec4","properties":{"formattedCitation":"(Abrahams et al., 2019)","plainCitation":"(Abrahams et al., 2019)","noteIndex":0},"citationItems":[{"id":10314,"uris":["http://zotero.org/groups/2352922/items/UEHZ7HLA"],"itemData":{"id":10314,"type":"article-journal","container-title":"Journal of Environmental Management","DOI":"10.1016/j.jenvman.2018.06.051","ISSN":"03014797","journalAbbreviation":"Journal of Environmental Management","language":"en","page":"27-37","source":"DOI.org (Crossref)","title":"Exploring the dynamics of research collaborations by mapping social networks in invasion science","URL":"https://linkinghub.elsevier.com/retrieve/pii/S0301479718306996","volume":"229","author":[{"family":"Abrahams","given":"B."},{"family":"Sitas","given":"N."},{"family":"Esler","given":"K.J."}],"accessed":{"date-parts":[["2020",3,30]]},"issued":{"date-parts":[["2019",1]]}},"label":"page"}],"schema":"https://github.com/citation-style-language/schema/raw/master/csl-citation.json"} </w:instrText>
      </w:r>
      <w:r w:rsidRPr="00A9434B">
        <w:fldChar w:fldCharType="separate"/>
      </w:r>
      <w:r w:rsidR="00C71E80" w:rsidRPr="00A9434B">
        <w:t>(Abrahams et al., 2019)</w:t>
      </w:r>
      <w:r w:rsidRPr="00A9434B">
        <w:fldChar w:fldCharType="end"/>
      </w:r>
      <w:r w:rsidR="00CC4659" w:rsidRPr="00A9434B">
        <w:t xml:space="preserve">. </w:t>
      </w:r>
    </w:p>
    <w:p w14:paraId="5B029D08" w14:textId="31F53E71" w:rsidR="00CC4659" w:rsidRPr="00A9434B" w:rsidRDefault="00CC4659" w:rsidP="006B3143">
      <w:r w:rsidRPr="00A9434B">
        <w:t>These scenarios suggest an under-representation of socially relevant research in biological invasion science</w:t>
      </w:r>
      <w:r w:rsidR="001C1880" w:rsidRPr="00A9434B">
        <w:t>;</w:t>
      </w:r>
      <w:r w:rsidRPr="00A9434B">
        <w:t xml:space="preserve"> </w:t>
      </w:r>
      <w:r w:rsidR="001C1880" w:rsidRPr="00A9434B">
        <w:t>e</w:t>
      </w:r>
      <w:r w:rsidRPr="00A9434B">
        <w:t xml:space="preserve">xpanding </w:t>
      </w:r>
      <w:r w:rsidR="001C1880" w:rsidRPr="00A9434B">
        <w:t>it</w:t>
      </w:r>
      <w:r w:rsidRPr="00A9434B">
        <w:t xml:space="preserve"> to include social dimensions of invasive alien species through interdisciplinary and transdisciplinary approaches will help to generate socially relevant additional data and </w:t>
      </w:r>
      <w:r w:rsidR="00643684" w:rsidRPr="00A9434B">
        <w:t>information</w:t>
      </w:r>
      <w:r w:rsidRPr="00A9434B">
        <w:t xml:space="preserve"> </w:t>
      </w:r>
      <w:r w:rsidRPr="00A9434B">
        <w:fldChar w:fldCharType="begin"/>
      </w:r>
      <w:r w:rsidR="002D2756">
        <w:instrText xml:space="preserve"> ADDIN ZOTERO_ITEM CSL_CITATION {"citationID":"Fyk6Vhn8","properties":{"formattedCitation":"(Abrahams et al., 2019; Esler et al., 2010; Shackleton et al., 2017)","plainCitation":"(Abrahams et al., 2019; Esler et al., 2010; Shackleton et al., 2017)","dontUpdate":true,"noteIndex":0},"citationItems":[{"id":10314,"uris":["http://zotero.org/groups/2352922/items/UEHZ7HLA"],"itemData":{"id":10314,"type":"article-journal","container-title":"Journal of Environmental Management","DOI":"10.1016/j.jenvman.2018.06.051","ISSN":"03014797","journalAbbreviation":"Journal of Environmental Management","language":"en","page":"27-37","source":"DOI.org (Crossref)","title":"Exploring the dynamics of research collaborations by mapping social networks in invasion science","URL":"https://linkinghub.elsevier.com/retrieve/pii/S0301479718306996","volume":"229","author":[{"family":"Abrahams","given":"B."},{"family":"Sitas","given":"N."},{"family":"Esler","given":"K.J."}],"accessed":{"date-parts":[["2020",3,30]]},"issued":{"date-parts":[["2019",1]]}},"label":"page"},{"id":10808,"uris":["http://zotero.org/groups/2352922/items/NNIG5QBT"],"itemData":{"id":10808,"type":"article-journal","abstract":"Invasion biology is a growing discipline with clear ecological, social and economic implications. A wide range of research effort is thus required to address the invasion problem, and literature on the topic is extensive. However, the extent to which the invasion biology research is addressing the challenges associated with management and mitigation of the impacts of invasions has been questioned. Using bibliometric analysis, we investigated the extent to which the literature on the subject contributes to implementation of knowledge generated, by addressing aspects of management, policy, and/or implementation; the impact of these papers as indicated by the number of citations they attract; and the geopolitical scale of focus of invasion ecology papers, particularly those that attempt to bridge the knowingdoing gap. We then compared these ﬁndings with the information needs of conservation practitioners. We ﬁrst looked globally at popular search engines and then narrowed our focus to South Africa—one of three regions outside USA where researchers producing highly cited papers in invasion ecology are well represented. At this level, we conducted a content analysis of invasion ecology-related papers, of which at least one author was afﬁliated to a South African institution. The knowledge base in the ﬁeld of invasion biology is comprised largely of research oriented towards ‘‘knowing’’, while research aimed at strategically applying or implementing that knowledge is poorly represented in the scientiﬁc literature, and the scale of its emphasis is not local. Conservation practitioners clearly indicate a need for basic knowledge. However, invasion science must develop channels for effective engagement to ensure that the research is contextualised, and will deal with the complex ecological, social and economic challenges posed by invasions.","container-title":"Biological Invasions","DOI":"10.1007/s10530-010-9812-x","ISSN":"1387-3547, 1573-1464","issue":"12","journalAbbreviation":"Biol Invasions","language":"English","page":"4065–4075","title":"How wide is the “knowing-doing” gap in invasion biology?","URL":"http://link.springer.com/10.1007/s10530-010-9812-x","volume":"12","author":[{"family":"Esler","given":"Karen J"},{"family":"Prozesky","given":"Heidi"},{"family":"Sharma","given":"Gyan P."},{"family":"McGeoch","given":"Melodie A."}],"issued":{"date-parts":[["2010"]]}},"label":"page"},{"id":30416,"uris":["http://zotero.org/groups/2352922/items/D857AK2E"],"itemData":{"id":30416,"type":"article-journal","container-title":"Biological Invasions","DOI":"10.1007/s10530-017-1453-x","ISSN":"1387-3547, 1573-1464","issue":"8","journalAbbreviation":"Biol Invasions","language":"en","page":"2427-2441","source":"DOI.org (Crossref)","title":"Distribution and socio-ecological impacts of the invasive alien cactus &lt;i&gt;Opuntia stricta&lt;/i&gt; in eastern Africa","URL":"http://link.springer.com/10.1007/s10530-017-1453-x","volume":"19","author":[{"family":"Shackleton","given":"Ross T."},{"family":"Witt","given":"A.B.R."},{"family":"Piroris","given":"F.M."},{"family":"Wilgen","given":"Brian W.","non-dropping-particle":"van"}],"accessed":{"date-parts":[["2019",10,3]]},"issued":{"date-parts":[["2017",8]]}},"label":"page"}],"schema":"https://github.com/citation-style-language/schema/raw/master/csl-citation.json"} </w:instrText>
      </w:r>
      <w:r w:rsidRPr="00A9434B">
        <w:fldChar w:fldCharType="separate"/>
      </w:r>
      <w:r w:rsidR="00F55BC6" w:rsidRPr="00F55BC6">
        <w:t>(Abrahams et al., 2019; Esler et al., 2010; Shackleton et al., 2017</w:t>
      </w:r>
      <w:r w:rsidRPr="00A9434B">
        <w:fldChar w:fldCharType="end"/>
      </w:r>
      <w:r w:rsidR="00AF3836" w:rsidRPr="00A9434B">
        <w:t xml:space="preserve">; </w:t>
      </w:r>
      <w:r w:rsidR="0044275A">
        <w:rPr>
          <w:b/>
          <w:iCs/>
        </w:rPr>
        <w:t>C</w:t>
      </w:r>
      <w:r w:rsidR="00AF3836" w:rsidRPr="00673554">
        <w:rPr>
          <w:b/>
          <w:iCs/>
        </w:rPr>
        <w:t>hapter 4</w:t>
      </w:r>
      <w:r w:rsidR="00AF3836" w:rsidRPr="00673554">
        <w:rPr>
          <w:iCs/>
        </w:rPr>
        <w:t>,</w:t>
      </w:r>
      <w:r w:rsidR="00AF3836" w:rsidRPr="00673554">
        <w:rPr>
          <w:b/>
          <w:iCs/>
        </w:rPr>
        <w:t xml:space="preserve"> </w:t>
      </w:r>
      <w:r w:rsidR="006B2B4A" w:rsidRPr="00673554">
        <w:rPr>
          <w:b/>
          <w:iCs/>
        </w:rPr>
        <w:t>Box 4.</w:t>
      </w:r>
      <w:r w:rsidR="006B2B4A" w:rsidRPr="00673554">
        <w:rPr>
          <w:b/>
        </w:rPr>
        <w:t xml:space="preserve">5 </w:t>
      </w:r>
      <w:r w:rsidR="006B2B4A" w:rsidRPr="00935C0C">
        <w:t>and</w:t>
      </w:r>
      <w:r w:rsidR="006B2B4A" w:rsidRPr="00673554">
        <w:rPr>
          <w:b/>
        </w:rPr>
        <w:t xml:space="preserve"> </w:t>
      </w:r>
      <w:r w:rsidR="00AF3836" w:rsidRPr="00673554">
        <w:rPr>
          <w:b/>
          <w:iCs/>
        </w:rPr>
        <w:t>section 4.</w:t>
      </w:r>
      <w:r w:rsidR="006B2B4A" w:rsidRPr="00673554">
        <w:rPr>
          <w:b/>
          <w:iCs/>
        </w:rPr>
        <w:t>7.1</w:t>
      </w:r>
      <w:r w:rsidR="00AF3836" w:rsidRPr="00A9434B">
        <w:t>)</w:t>
      </w:r>
      <w:r w:rsidRPr="00A9434B">
        <w:t xml:space="preserve">. These approaches </w:t>
      </w:r>
      <w:r w:rsidR="001C1880" w:rsidRPr="00A9434B">
        <w:t xml:space="preserve">can </w:t>
      </w:r>
      <w:r w:rsidRPr="00A9434B">
        <w:t xml:space="preserve">not only better inform current management and policy decisions but may also better predict future invasions in an era of global change </w:t>
      </w:r>
      <w:r w:rsidRPr="00A9434B">
        <w:fldChar w:fldCharType="begin"/>
      </w:r>
      <w:r w:rsidRPr="00A9434B">
        <w:instrText>ADDIN EN.CITE &lt;EndNote&gt;&lt;Cite&gt;&lt;Author&gt;Kueffer&lt;/Author&gt;&lt;Year&gt;2014&lt;/Year&gt;&lt;RecNum&gt;261&lt;/RecNum&gt;&lt;DisplayText&gt;(Kueffer, Daehler et al. 2014)&lt;/DisplayText&gt;&lt;record&gt;&lt;rec-number&gt;253&lt;/rec-number&gt;&lt;foreign-keys&gt;&lt;key app="EN" db-id="0d55paxdcvwpebe55d1vrz5ne2pattprarta" timestamp="1597992735"&gt;253&lt;/key&gt;&lt;/foreign-keys&gt;&lt;ref-type name="Journal Article"&gt;17&lt;/ref-type&gt;&lt;contributors&gt;&lt;authors&gt;&lt;author&gt;Kueffer, Christoph&lt;/author&gt;&lt;author&gt;Daehler, Curtis&lt;/author&gt;&lt;author&gt;Dietz, Hansjörg&lt;/author&gt;&lt;author&gt;McDougall, Keith&lt;/author&gt;&lt;author&gt;Parks, Catherine&lt;/author&gt;&lt;author&gt;Pauchard, Aníbal&lt;/author&gt;&lt;author&gt;Rew, Lisa&lt;/author&gt;&lt;/authors&gt;&lt;/contributors&gt;&lt;titles&gt;&lt;title&gt;The &amp;lt;i&amp;gt;Mountain Invasion Research Network (MIREN)&amp;lt;/i&amp;gt; . Linking Local and Global Scales for Addressing an Ecological Consequence of Global Change&lt;/title&gt;&lt;secondary-title&gt;GAIA - Ecological Perspectives for Science and Society&lt;/secondary-title&gt;&lt;alt-title&gt;GAIA - Ecological Perspectives for Science and Society&lt;/alt-title&gt;&lt;/titles&gt;&lt;periodical&gt;&lt;full-title&gt;GAIA - Ecological Perspectives for Science and Society&lt;/full-title&gt;&lt;abbr-1&gt;GAIA - Ecological Perspectives for Science and Society&lt;/abbr-1&gt;&lt;/periodical&gt;&lt;alt-periodical&gt;&lt;full-title&gt;GAIA - Ecological Perspectives for Science and Society&lt;/full-title&gt;&lt;abbr-1&gt;GAIA - Ecological Perspectives for Science and Society&lt;/abbr-1&gt;&lt;/alt-periodical&gt;&lt;pages&gt;263-265&lt;/pages&gt;&lt;volume&gt;23&lt;/volume&gt;&lt;number&gt;3&lt;/number&gt;&lt;dates&gt;&lt;year&gt;2014&lt;/year&gt;&lt;pub-dates&gt;&lt;date&gt;2014/10/10/&lt;/date&gt;&lt;/pub-dates&gt;&lt;/dates&gt;&lt;isbn&gt;0940-5550&lt;/isbn&gt;&lt;urls&gt;&lt;related-urls&gt;&lt;url&gt;http://www.ingentaconnect.com/content/10.14512/gaia.23.3.11&lt;/url&gt;&lt;/related-urls&gt;&lt;/urls&gt;&lt;electronic-resource-num&gt;10.14512/gaia.23.3.11&lt;/electronic-resource-num&gt;&lt;remote-database-provider&gt;DOI.org (Crossref)&lt;/remote-database-provider&gt;&lt;language&gt;en&lt;/language&gt;&lt;access-date&gt;2019/11/28/13:27:33&lt;/access-date&gt;&lt;/record&gt;&lt;/Cite&gt;&lt;/EndNote&gt;</w:instrText>
      </w:r>
      <w:r w:rsidRPr="00A9434B">
        <w:fldChar w:fldCharType="separate"/>
      </w:r>
      <w:r w:rsidRPr="00A9434B">
        <w:fldChar w:fldCharType="begin"/>
      </w:r>
      <w:r w:rsidR="002D2756">
        <w:instrText xml:space="preserve"> ADDIN ZOTERO_ITEM CSL_CITATION {"citationID":"alt4jr80pt","properties":{"formattedCitation":"(Kueffer et al., 2014)","plainCitation":"(Kueffer et al., 2014)","noteIndex":0},"citationItems":[{"id":16440,"uris":["http://zotero.org/groups/2352922/items/6RIEK7JD"],"itemData":{"id":16440,"type":"article-journal","container-title":"GAIA - Ecological Perspectives for Science and Society","DOI":"10.14512/gaia.23.3.11","ISSN":"0940-5550","issue":"3","journalAbbreviation":"GAIA - Ecological Perspectives for Science and Society","language":"en","page":"263-265","source":"DOI.org (Crossref)","title":"The &lt;i&gt;Mountain Invasion Research Network (MIREN)&lt;/i&gt;. Linking Local and Global Scales for Addressing an Ecological Consequence of Global Change","URL":"http://www.ingentaconnect.com/content/10.14512/gaia.23.3.11","volume":"23","author":[{"family":"Kueffer","given":"Christoph"},{"family":"Daehler","given":"Curtis"},{"family":"Dietz","given":"Hansjörg"},{"family":"McDougall","given":"Keith"},{"family":"Parks","given":"Catherine"},{"family":"Pauchard","given":"Aníbal"},{"family":"Rew","given":"Lisa"}],"accessed":{"date-parts":[["2019",11,28]]},"issued":{"date-parts":[["2014",10,10]]}},"label":"page"}],"schema":"https://github.com/citation-style-language/schema/raw/master/csl-citation.json"} </w:instrText>
      </w:r>
      <w:r w:rsidRPr="00A9434B">
        <w:fldChar w:fldCharType="separate"/>
      </w:r>
      <w:r w:rsidR="00C71E80" w:rsidRPr="00A9434B">
        <w:t>(Kueffer et al., 2014)</w:t>
      </w:r>
      <w:r w:rsidRPr="00A9434B">
        <w:fldChar w:fldCharType="end"/>
      </w:r>
      <w:r w:rsidRPr="00A9434B">
        <w:fldChar w:fldCharType="end"/>
      </w:r>
      <w:r w:rsidRPr="00A9434B">
        <w:t xml:space="preserve">. Furthermore, a transdisciplinary approach linking ecological and social sciences to generate data and knowledge is also helpful in building trust between communities and resource managers while managing </w:t>
      </w:r>
      <w:r w:rsidRPr="00A9434B">
        <w:rPr>
          <w:rFonts w:eastAsiaTheme="majorEastAsia"/>
        </w:rPr>
        <w:t>invasive alien species</w:t>
      </w:r>
      <w:r w:rsidRPr="00A9434B">
        <w:t xml:space="preserve"> </w:t>
      </w:r>
      <w:r w:rsidR="4F3EA680" w:rsidRPr="00A9434B">
        <w:t>that carry</w:t>
      </w:r>
      <w:r w:rsidR="009D4056" w:rsidRPr="00A9434B">
        <w:t xml:space="preserve"> </w:t>
      </w:r>
      <w:r w:rsidRPr="00A9434B">
        <w:t xml:space="preserve">social value </w:t>
      </w:r>
      <w:r w:rsidRPr="00A9434B">
        <w:fldChar w:fldCharType="begin"/>
      </w:r>
      <w:r w:rsidRPr="00A9434B">
        <w:instrText>ADDIN EN.CITE</w:instrText>
      </w:r>
      <w:r w:rsidRPr="00A9434B">
        <w:fldChar w:fldCharType="begin"/>
      </w:r>
      <w:r w:rsidRPr="00A9434B">
        <w:instrText>ADDIN EN.CITE.DATA</w:instrText>
      </w:r>
      <w:r w:rsidRPr="00A9434B">
        <w:fldChar w:fldCharType="end"/>
      </w:r>
      <w:r w:rsidRPr="00A9434B">
        <w:fldChar w:fldCharType="separate"/>
      </w:r>
      <w:r w:rsidRPr="00A9434B">
        <w:fldChar w:fldCharType="begin"/>
      </w:r>
      <w:r w:rsidR="002D2756">
        <w:instrText xml:space="preserve"> ADDIN ZOTERO_ITEM CSL_CITATION {"citationID":"a17u89aqd16","properties":{"formattedCitation":"(Beever et al., 2019)","plainCitation":"(Beever et al., 2019)","noteIndex":0},"citationItems":[{"id":31785,"uris":["http://zotero.org/groups/2352922/items/N8S4M8NB"],"itemData":{"id":31785,"type":"article-journal","abstract":"Introduced species can have important effects on the component species and processes of native ecosystems. However, effective introduced species management can be complicated by technical and social challenges. We identify “social–ecological mismatches” (that is, differences between the scales and functioning of interacting social and ecological systems) as one such challenge. We present three case studies in which mismatches between the organization and functioning of key social and ecological systems have contributed to controversies and debates surrounding introduced species management and policy. We identify three common issues: social systems and cultures may adapt to a new species’ arrival at a different rate than ecosystems; ecological impacts can arise at one spatial scale while social impacts occur at another; and the effects of introduced species can spread widely, whereas management actions are constrained by organizational and/or political boundaries. We propose strategies for collaborative knowledge building and adaptive management that may help address these challenges.","container-title":"Frontiers in Ecology and the Environment","DOI":"10.1002/fee.2000","ISSN":"1540-9309","issue":"2","language":"en","license":"© The Ecological Society of America","note":"_eprint: https://esajournals.onlinelibrary.wiley.com/doi/pdf/10.1002/fee.2000","page":"117-125","source":"Wiley Online Library","title":"Social–ecological mismatches create conservation challenges in introduced species management","URL":"https://esajournals.onlinelibrary.wiley.com/doi/abs/10.1002/fee.2000","volume":"17","author":[{"family":"Beever","given":"Erik A."},{"family":"Simberloff","given":"Daniel"},{"family":"Crowle</w:instrText>
      </w:r>
      <w:r w:rsidR="002D2756">
        <w:rPr>
          <w:rFonts w:hint="eastAsia"/>
        </w:rPr>
        <w:instrText>y","given":"Sarah L."},{"family":"Al</w:instrText>
      </w:r>
      <w:r w:rsidR="002D2756">
        <w:rPr>
          <w:rFonts w:hint="eastAsia"/>
        </w:rPr>
        <w:instrText>‐</w:instrText>
      </w:r>
      <w:r w:rsidR="002D2756">
        <w:rPr>
          <w:rFonts w:hint="eastAsia"/>
        </w:rPr>
        <w:instrText>Chokhachy","given":"Robert"},{"family":"Jackson","given":"Hazel A."},{"family":"Petersen","given":"Steven L."}],"accessed":{"date-parts":[["2020",8,18]]},"issued":{"date-parts":[["2019"]]}},"label":"page"}],"schema":"h</w:instrText>
      </w:r>
      <w:r w:rsidR="002D2756">
        <w:instrText xml:space="preserve">ttps://github.com/citation-style-language/schema/raw/master/csl-citation.json"} </w:instrText>
      </w:r>
      <w:r w:rsidRPr="00A9434B">
        <w:fldChar w:fldCharType="separate"/>
      </w:r>
      <w:r w:rsidR="00C71E80" w:rsidRPr="00A9434B">
        <w:t>(Beever et al., 2019)</w:t>
      </w:r>
      <w:r w:rsidRPr="00A9434B">
        <w:fldChar w:fldCharType="end"/>
      </w:r>
      <w:r w:rsidRPr="00A9434B">
        <w:fldChar w:fldCharType="end"/>
      </w:r>
      <w:r w:rsidRPr="00A9434B">
        <w:t>.</w:t>
      </w:r>
      <w:r w:rsidR="001C1880" w:rsidRPr="00A9434B">
        <w:t xml:space="preserve"> Ultimately, integrat</w:t>
      </w:r>
      <w:r w:rsidR="00413F82" w:rsidRPr="00A9434B">
        <w:t>ing</w:t>
      </w:r>
      <w:r w:rsidR="001C1880" w:rsidRPr="00A9434B">
        <w:t xml:space="preserve"> knowledge systems will be the most fruitful approach to addressing biological invasions, and this includes crosscutting work with the fields of epidemiology, health sciences, economics, political science, sociology, psychology, anthropology, history</w:t>
      </w:r>
      <w:r w:rsidR="00EB415D">
        <w:t xml:space="preserve"> and</w:t>
      </w:r>
      <w:r w:rsidR="001C1880" w:rsidRPr="00A9434B">
        <w:t xml:space="preserve"> others.</w:t>
      </w:r>
    </w:p>
    <w:p w14:paraId="0E4F1D17" w14:textId="1CE66147" w:rsidR="00CC4659" w:rsidRPr="00A9434B" w:rsidRDefault="07F8E895" w:rsidP="00C46680">
      <w:pPr>
        <w:pStyle w:val="Heading3"/>
      </w:pPr>
      <w:bookmarkStart w:id="542" w:name="_Toc956685206"/>
      <w:bookmarkStart w:id="543" w:name="_Toc133428351"/>
      <w:r w:rsidRPr="00A9434B">
        <w:t xml:space="preserve">Knowledge of </w:t>
      </w:r>
      <w:r w:rsidR="001E7B2B" w:rsidRPr="00A9434B">
        <w:rPr>
          <w:rFonts w:eastAsiaTheme="majorEastAsia"/>
        </w:rPr>
        <w:t>Indigenous Peoples</w:t>
      </w:r>
      <w:r w:rsidRPr="00A9434B">
        <w:t xml:space="preserve"> and local communities</w:t>
      </w:r>
      <w:bookmarkStart w:id="544" w:name="_Ref132039418"/>
      <w:r w:rsidR="00956E34" w:rsidRPr="00FD65B1">
        <w:rPr>
          <w:rStyle w:val="FootnoteReference"/>
        </w:rPr>
        <w:footnoteReference w:id="16"/>
      </w:r>
      <w:bookmarkEnd w:id="542"/>
      <w:bookmarkEnd w:id="543"/>
      <w:bookmarkEnd w:id="544"/>
    </w:p>
    <w:p w14:paraId="64263841" w14:textId="378C18E0" w:rsidR="00017C04" w:rsidRDefault="4A81D426">
      <w:r w:rsidRPr="00A9434B">
        <w:rPr>
          <w:rFonts w:eastAsiaTheme="majorEastAsia"/>
        </w:rPr>
        <w:t>It has long been recogni</w:t>
      </w:r>
      <w:r w:rsidR="00B87CCA" w:rsidRPr="00A9434B">
        <w:rPr>
          <w:rFonts w:eastAsiaTheme="majorEastAsia"/>
        </w:rPr>
        <w:t>z</w:t>
      </w:r>
      <w:r w:rsidRPr="00A9434B">
        <w:rPr>
          <w:rFonts w:eastAsiaTheme="majorEastAsia"/>
        </w:rPr>
        <w:t xml:space="preserve">ed that </w:t>
      </w:r>
      <w:r w:rsidR="001E7B2B" w:rsidRPr="00A9434B">
        <w:rPr>
          <w:rFonts w:eastAsiaTheme="majorEastAsia"/>
        </w:rPr>
        <w:t>Indigenous Peoples</w:t>
      </w:r>
      <w:r w:rsidRPr="00A9434B">
        <w:rPr>
          <w:rFonts w:eastAsiaTheme="majorEastAsia"/>
        </w:rPr>
        <w:t xml:space="preserve"> and local communities hold unique knowledge on biodiversity. They often inhabit remote, biodiverse landscapes from which they derive diverse resources. Their knowledge may not be documented but may be important to understand ecosystem processes and </w:t>
      </w:r>
      <w:r w:rsidR="00A86232" w:rsidRPr="00A9434B">
        <w:rPr>
          <w:rFonts w:eastAsiaTheme="majorEastAsia"/>
        </w:rPr>
        <w:t xml:space="preserve">resource </w:t>
      </w:r>
      <w:r w:rsidRPr="00A9434B">
        <w:rPr>
          <w:rFonts w:eastAsiaTheme="majorEastAsia"/>
        </w:rPr>
        <w:t xml:space="preserve">management. </w:t>
      </w:r>
      <w:bookmarkStart w:id="545" w:name="_heading=h.302dr9l" w:colFirst="0" w:colLast="0"/>
      <w:bookmarkStart w:id="546" w:name="_heading=h.1f7o1he" w:colFirst="0" w:colLast="0"/>
      <w:bookmarkEnd w:id="545"/>
      <w:bookmarkEnd w:id="546"/>
      <w:r w:rsidR="00F50AF9">
        <w:t xml:space="preserve">Indigenous </w:t>
      </w:r>
      <w:r w:rsidR="002E3571">
        <w:t xml:space="preserve">and </w:t>
      </w:r>
      <w:r w:rsidR="00F50AF9">
        <w:t xml:space="preserve">local knowledge has been recognized and accepted as relevant to the development and good quality of life of Indigenous Peoples </w:t>
      </w:r>
      <w:r w:rsidRPr="00A9434B">
        <w:rPr>
          <w:rFonts w:eastAsia="Times New Roman"/>
        </w:rPr>
        <w:fldChar w:fldCharType="begin"/>
      </w:r>
      <w:r w:rsidR="002D2756">
        <w:rPr>
          <w:rFonts w:eastAsia="DengXian Light"/>
        </w:rPr>
        <w:instrText xml:space="preserve"> ADDIN ZOTERO_ITEM CSL_CITATION {"citationID":"a5tjm6e3dr","properties":{"formattedCitation":"(Sillitoe &amp; Marzano, 2009; Williams &amp; Hardison, 2013)","plainCitation":"(Sillitoe &amp; Marzano, 2009; Williams &amp; Hardison, 2013)","noteIndex":0},"citationItems":[{"id":11266,"uris":["http://zotero.org/groups/2352922/items/UERGG48G"],"itemData":{"id":11266,"type":"article-journal","container-title":"Futures","DOI":"10.1016/j.futures.2008.07.004","ISSN":"00163287","issue":"1","journalAbbreviation":"Futures","language":"en","page":"13-23","source":"DOI.org (Crossref)","title":"Future of indigenous knowledge research in development","URL":"https://linkinghub.elsevier.com/retrieve/pii/S0016328708001109","volume":"41","author":[{"family":"Sillitoe","given":"Paul"},{"family":"Marzano","given":"Mariella"}],"accessed":{"date-parts":[["2020",6,8]]},"issued":{"date-parts":[["2009",2]]}},"label":"page"},{"id":22706,"uris":["http://zotero.org/groups/2352922/items/6AWS7WR3"],"itemData":{"id":22706,"type":"chapter","container-title":"Climate Change and Indigenous Peoples in the United States","event-place":"Cham","note":"DOI: 10.1007/978-3-319-05266-3_3","page":"23-36","publisher":"Springer","publisher-place":"Cham","title":"Culture, law, risk and governance: contexts of traditional knowledge in climate change adaptation","URL":"https://doi.org/10.1007/978-3-319-05266-3_3","author":[{"family":"Williams","given":"T"},{"family":"Hardison","given":"P"}],"editor":[{"family":"Maldonado","given":"J.K."},{"family":"Colombi","given":"B."},{"family":"Pandya","given":"R."}],"issued":{"date-parts":[["2013"]]}},"label":"page"}],"schema":"https://github.com/citation-style-language/schema/raw/master/csl-citation.json"} </w:instrText>
      </w:r>
      <w:r w:rsidRPr="00A9434B">
        <w:rPr>
          <w:rFonts w:eastAsia="DengXian Light"/>
        </w:rPr>
        <w:fldChar w:fldCharType="separate"/>
      </w:r>
      <w:r w:rsidR="00C71E80" w:rsidRPr="00A9434B">
        <w:t>(Sillitoe &amp; Marzano, 2009; Williams &amp; Hardison, 2013)</w:t>
      </w:r>
      <w:r w:rsidRPr="00A9434B">
        <w:rPr>
          <w:rFonts w:eastAsia="DengXian Light"/>
        </w:rPr>
        <w:fldChar w:fldCharType="end"/>
      </w:r>
      <w:r w:rsidRPr="00A9434B">
        <w:rPr>
          <w:rFonts w:eastAsiaTheme="majorEastAsia"/>
        </w:rPr>
        <w:t>.</w:t>
      </w:r>
      <w:r w:rsidR="00F50AF9">
        <w:t xml:space="preserve"> Nevertheless, Indigenous Peoples and local communities have often been excluded from decision</w:t>
      </w:r>
      <w:r w:rsidR="00941B41">
        <w:t>-</w:t>
      </w:r>
      <w:r w:rsidR="00F50AF9">
        <w:t xml:space="preserve">making and would wish to take more control over their cultural and intellectual knowledge </w:t>
      </w:r>
      <w:r w:rsidRPr="00A9434B">
        <w:rPr>
          <w:rFonts w:eastAsia="Times New Roman"/>
        </w:rPr>
        <w:fldChar w:fldCharType="begin"/>
      </w:r>
      <w:r w:rsidR="002D2756">
        <w:rPr>
          <w:rFonts w:eastAsia="DengXian Light"/>
        </w:rPr>
        <w:instrText xml:space="preserve"> ADDIN ZOTERO_ITEM CSL_CITATION {"citationID":"a1896j4l8bo","properties":{"formattedCitation":"(Bolhassan et al., 2014)","plainCitation":"(Bolhassan et al., 2014)","noteIndex":0},"citationItems":[{"id":30554,"uris":["http://zotero.org/groups/2352922/items/B47ZSHXI"],"itemData":{"id":30554,"type":"paper-conference","container-title":"2014 47th Hawaii International Conference on System Sciences","DOI":"10.1109/HICSS.2014.419","event-place":"Waikoloa, HI, USA","ISBN":"978-1-4799-2504-9","page":"3378–3388","publisher":"IEEE","publisher-place":"Waikoloa, HI, USA","title":"Indigenous Knowledge Sharing in Sarawak: A System-Level View and Its Implications for the Cultural Heritage Sector","URL":"http://ieeexplore.ieee.org/document/6759021/","author":[{"family":"Bolhassan","given":"Rashidah"},{"family":"Cranefield","given":"Jocelyn"},{"family":"Dorner","given":"Dan"}],"issued":{"date-parts":[["2014",1]]}},"label":"page"}],"schema":"https://github.com/citation-style-language/schema/raw/master/csl-citation.json"} </w:instrText>
      </w:r>
      <w:r w:rsidRPr="00A9434B">
        <w:rPr>
          <w:rFonts w:eastAsia="DengXian Light"/>
        </w:rPr>
        <w:fldChar w:fldCharType="separate"/>
      </w:r>
      <w:r w:rsidR="00C71E80" w:rsidRPr="00A9434B">
        <w:t>(Bolhassan et al., 2014)</w:t>
      </w:r>
      <w:r w:rsidRPr="00A9434B">
        <w:rPr>
          <w:rFonts w:eastAsia="DengXian Light"/>
        </w:rPr>
        <w:fldChar w:fldCharType="end"/>
      </w:r>
      <w:r w:rsidRPr="00A9434B">
        <w:rPr>
          <w:rFonts w:eastAsiaTheme="majorEastAsia"/>
        </w:rPr>
        <w:t>.</w:t>
      </w:r>
      <w:r w:rsidR="00F50AF9">
        <w:t xml:space="preserve"> Historically the power imbalance between the holders and potential users of traditional knowledge have meant that the benefits derived from this knowledge have not been shared equally. </w:t>
      </w:r>
      <w:r w:rsidR="002E3571">
        <w:t>M</w:t>
      </w:r>
      <w:r w:rsidR="00F50AF9">
        <w:t>istrust and misunderstanding has</w:t>
      </w:r>
      <w:r w:rsidR="002E3571">
        <w:t xml:space="preserve"> often</w:t>
      </w:r>
      <w:r w:rsidR="00F50AF9">
        <w:t xml:space="preserve"> developed in both directions between academic science and Indigenous Peoples and local communities </w:t>
      </w:r>
      <w:r w:rsidRPr="00A9434B">
        <w:rPr>
          <w:rFonts w:eastAsiaTheme="majorEastAsia"/>
        </w:rPr>
        <w:fldChar w:fldCharType="begin"/>
      </w:r>
      <w:r w:rsidR="002D2756">
        <w:rPr>
          <w:rFonts w:eastAsiaTheme="majorEastAsia"/>
        </w:rPr>
        <w:instrText xml:space="preserve"> ADDIN ZOTERO_ITEM CSL_CITATION {"citationID":"a2dsdqr4um1","properties":{"formattedCitation":"(Bohensky &amp; Maru, 2011; Mulligan &amp; Stoett, 2000)","plainCitation":"(Bohensky &amp; Maru, 2011; Mulligan &amp; Stoett, 2000)","noteIndex":0},"citationItems":[{"id":30550,"uris":["http://zotero.org/groups/2352922/items/QT4XK9ZE"],"itemData":{"id":30550,"type":"article-journal","container-title":"Ecology and Society","DOI":"10.5751/ES-04342-160406","ISSN":"1708-3087","issue":"4","journalAbbreviation":"E&amp;S","language":"en","page":"6","source":"DOI.org (Crossref)","title":"Indigenous Knowledge, Science, and Resilience: What Have We Learned from a Decade of International Literature on \"Integration\"?","title-short":"Indigenous Knowledge, Science, and Resilience","URL":"http://www.ecologyandsociety.org/vol16/iss4/art6/","volume":"16","author":[{"family":"Bohensky","given":"Erin L."},{"family":"Maru","given":"Yiheyis"}],"accessed":{"date-parts":[["2020",6,27]]},"issued":{"date-parts":[["2011"]]}},"label":"page"},{"id":54744,"uris":["http://zotero.org/groups/2352922/items/33P9295H"],"itemData":{"id":54744,"type":"article-journal","container-title":"International Journal","DOI":"https://doi.org/10.2307/40203478","issue":"2","note":"ISBN: 0020-7020\npublisher: SAGE Publications Sage UK: London, England","page":"224-246","title":"A Global Bio-Prospecting Regime: Partnership or Piracy?","volume":"55","author":[{"family":"Mulligan","given":"Shane"},{"family":"Stoett","given":"Peter"}],"issued":{"date-parts":[["2000"]]}}}],"schema":"https://github.com/citation-style-language/schema/raw/master/csl-citation.json"} </w:instrText>
      </w:r>
      <w:r w:rsidRPr="00A9434B">
        <w:rPr>
          <w:rFonts w:eastAsiaTheme="majorEastAsia"/>
        </w:rPr>
        <w:fldChar w:fldCharType="separate"/>
      </w:r>
      <w:r w:rsidR="00C71E80" w:rsidRPr="00A9434B">
        <w:t>(Bohensky &amp; Maru, 2011; Mulligan &amp; Stoett, 2000)</w:t>
      </w:r>
      <w:r w:rsidRPr="00A9434B">
        <w:rPr>
          <w:rFonts w:eastAsiaTheme="majorEastAsia"/>
        </w:rPr>
        <w:fldChar w:fldCharType="end"/>
      </w:r>
      <w:r w:rsidRPr="00A9434B">
        <w:rPr>
          <w:rFonts w:eastAsiaTheme="majorEastAsia"/>
        </w:rPr>
        <w:t>.</w:t>
      </w:r>
      <w:r w:rsidR="00F50AF9">
        <w:t xml:space="preserve"> </w:t>
      </w:r>
    </w:p>
    <w:p w14:paraId="2948F2AD" w14:textId="591C4EEC" w:rsidR="00017C04" w:rsidRDefault="00F50AF9">
      <w:r>
        <w:t xml:space="preserve">Internationally, the need to ensure equitable distribution of the benefits of knowledge and genetic resources has been recognized in the Nagoya Protocol </w:t>
      </w:r>
      <w:r w:rsidR="4A81D426" w:rsidRPr="003101C3">
        <w:rPr>
          <w:rFonts w:eastAsiaTheme="majorEastAsia"/>
        </w:rPr>
        <w:fldChar w:fldCharType="begin"/>
      </w:r>
      <w:r w:rsidR="002D2756">
        <w:rPr>
          <w:rFonts w:eastAsiaTheme="majorEastAsia"/>
        </w:rPr>
        <w:instrText xml:space="preserve"> ADDIN ZOTERO_ITEM CSL_CITATION {"citationID":"a13qljfnm34","properties":{"formattedCitation":"(Buck &amp; Hamilton, 2011)","plainCitation":"(Buck &amp; Hamilton, 2011)","noteIndex":0},"citationItems":[{"id":30269,"uris":["http://zotero.org/groups/2352922/items/KCSUJG83"],"itemData":{"id":30269,"type":"article-journal","container-title":"Review of European Community &amp; International Environmental Law","DOI":"10.1111/j.1467-9388.2011.00703.x","ISSN":"09628797","issue":"1","language":"en","page":"47-61","source":"DOI.org (Crossref)","title":"The Nagoya Protocol on Access to Genetic Resources and the Fair and Equitable Sharing of Benefits Arising from their Utilization to the Convention on Biological Diversity","title-short":"The Nagoya Protocol on Access to Genetic Resources and the Fair and Equitable Sharing of Benefits Arising from their Utilization to the Convention on Biological Diversity","URL":"https://onlinelibrary.wiley.com/doi/10.1111/j.1467-9388.2011.00703.x","volume":"20","author":[{"family":"Buck","given":"Matthias"},{"family":"Hamilton","given":"Clare"}],"accessed":{"date-parts":[["2021",8,25]]},"issued":{"date-parts":[["2011",4]]}},"label":"page"}],"schema":"https://github.com/citation-style-language/schema/raw/master/csl-citation.json"} </w:instrText>
      </w:r>
      <w:r w:rsidR="4A81D426" w:rsidRPr="003101C3">
        <w:rPr>
          <w:rFonts w:eastAsiaTheme="majorEastAsia"/>
        </w:rPr>
        <w:fldChar w:fldCharType="separate"/>
      </w:r>
      <w:r w:rsidR="00C71E80" w:rsidRPr="003101C3">
        <w:t>(Buck &amp; Hamilton, 2011)</w:t>
      </w:r>
      <w:r w:rsidR="4A81D426" w:rsidRPr="003101C3">
        <w:rPr>
          <w:rFonts w:eastAsiaTheme="majorEastAsia"/>
        </w:rPr>
        <w:fldChar w:fldCharType="end"/>
      </w:r>
      <w:r w:rsidR="4A81D426" w:rsidRPr="003101C3">
        <w:rPr>
          <w:rFonts w:eastAsiaTheme="majorEastAsia"/>
        </w:rPr>
        <w:t>. Though the Nagoya Protocol does improve the situation</w:t>
      </w:r>
      <w:r w:rsidR="00A86232" w:rsidRPr="003101C3">
        <w:rPr>
          <w:rFonts w:eastAsiaTheme="majorEastAsia"/>
        </w:rPr>
        <w:t>,</w:t>
      </w:r>
      <w:r w:rsidR="4A81D426" w:rsidRPr="003101C3">
        <w:rPr>
          <w:rFonts w:eastAsiaTheme="majorEastAsia"/>
        </w:rPr>
        <w:t xml:space="preserve"> it is an intergovernmental </w:t>
      </w:r>
      <w:r w:rsidR="001B6D94" w:rsidRPr="003101C3">
        <w:rPr>
          <w:rFonts w:eastAsiaTheme="majorEastAsia"/>
        </w:rPr>
        <w:t>agreement,</w:t>
      </w:r>
      <w:r w:rsidR="4A81D426" w:rsidRPr="003101C3">
        <w:rPr>
          <w:rFonts w:eastAsiaTheme="majorEastAsia"/>
        </w:rPr>
        <w:t xml:space="preserve"> and its implementation varies with jurisdiction and does not necessarily include the needs, aspiration</w:t>
      </w:r>
      <w:r w:rsidR="00C66C3F" w:rsidRPr="003101C3">
        <w:rPr>
          <w:rFonts w:eastAsiaTheme="majorEastAsia"/>
        </w:rPr>
        <w:t>s</w:t>
      </w:r>
      <w:r w:rsidR="4A81D426" w:rsidRPr="003101C3">
        <w:rPr>
          <w:rFonts w:eastAsiaTheme="majorEastAsia"/>
        </w:rPr>
        <w:t xml:space="preserve"> and wishes of </w:t>
      </w:r>
      <w:r w:rsidR="001E7B2B" w:rsidRPr="003101C3">
        <w:rPr>
          <w:rFonts w:eastAsiaTheme="majorEastAsia"/>
        </w:rPr>
        <w:t>Indigenous Peoples</w:t>
      </w:r>
      <w:r w:rsidR="4A81D426" w:rsidRPr="003101C3">
        <w:rPr>
          <w:rFonts w:eastAsiaTheme="majorEastAsia"/>
        </w:rPr>
        <w:t xml:space="preserve"> and local communities. Furthermore, it is far from clear how knowledge, resources and data on invasive </w:t>
      </w:r>
      <w:r w:rsidR="00C46680">
        <w:t xml:space="preserve">alien </w:t>
      </w:r>
      <w:r w:rsidR="4A81D426" w:rsidRPr="003101C3">
        <w:rPr>
          <w:rFonts w:eastAsiaTheme="majorEastAsia"/>
        </w:rPr>
        <w:t xml:space="preserve">species themselves should be treated under the </w:t>
      </w:r>
      <w:r w:rsidR="4A81D426" w:rsidRPr="003101C3">
        <w:rPr>
          <w:rFonts w:eastAsiaTheme="majorEastAsia"/>
        </w:rPr>
        <w:lastRenderedPageBreak/>
        <w:t xml:space="preserve">Nagoya </w:t>
      </w:r>
      <w:r w:rsidR="00A86232" w:rsidRPr="003101C3">
        <w:rPr>
          <w:rFonts w:eastAsiaTheme="majorEastAsia"/>
        </w:rPr>
        <w:t>P</w:t>
      </w:r>
      <w:r w:rsidR="4A81D426" w:rsidRPr="003101C3">
        <w:rPr>
          <w:rFonts w:eastAsiaTheme="majorEastAsia"/>
        </w:rPr>
        <w:t>roto</w:t>
      </w:r>
      <w:r w:rsidR="00134B6C" w:rsidRPr="003101C3">
        <w:rPr>
          <w:rFonts w:eastAsiaTheme="majorEastAsia"/>
        </w:rPr>
        <w:t>c</w:t>
      </w:r>
      <w:r w:rsidR="4A81D426" w:rsidRPr="003101C3">
        <w:rPr>
          <w:rFonts w:eastAsiaTheme="majorEastAsia"/>
        </w:rPr>
        <w:t xml:space="preserve">ol because </w:t>
      </w:r>
      <w:r w:rsidR="5A5FCD71" w:rsidRPr="003101C3">
        <w:rPr>
          <w:rFonts w:eastAsiaTheme="majorEastAsia"/>
        </w:rPr>
        <w:t xml:space="preserve">the </w:t>
      </w:r>
      <w:r w:rsidR="00A86232" w:rsidRPr="003101C3">
        <w:rPr>
          <w:rFonts w:eastAsiaTheme="majorEastAsia"/>
        </w:rPr>
        <w:t>P</w:t>
      </w:r>
      <w:r w:rsidR="5A5FCD71" w:rsidRPr="003101C3">
        <w:rPr>
          <w:rFonts w:eastAsiaTheme="majorEastAsia"/>
        </w:rPr>
        <w:t xml:space="preserve">rotocol is concerned with the </w:t>
      </w:r>
      <w:r w:rsidR="4A81D426" w:rsidRPr="003101C3">
        <w:rPr>
          <w:rFonts w:eastAsiaTheme="majorEastAsia"/>
        </w:rPr>
        <w:t>benefits of biodiversity</w:t>
      </w:r>
      <w:r w:rsidR="00762ADF" w:rsidRPr="003101C3">
        <w:rPr>
          <w:rFonts w:eastAsiaTheme="majorEastAsia"/>
        </w:rPr>
        <w:t xml:space="preserve"> and</w:t>
      </w:r>
      <w:r w:rsidR="5A5FCD71" w:rsidRPr="003101C3">
        <w:rPr>
          <w:rFonts w:eastAsiaTheme="majorEastAsia"/>
        </w:rPr>
        <w:t xml:space="preserve"> invasive </w:t>
      </w:r>
      <w:r w:rsidR="00762ADF" w:rsidRPr="003101C3">
        <w:rPr>
          <w:rFonts w:eastAsiaTheme="majorEastAsia"/>
        </w:rPr>
        <w:t xml:space="preserve">alien </w:t>
      </w:r>
      <w:r w:rsidR="5A5FCD71" w:rsidRPr="003101C3">
        <w:rPr>
          <w:rFonts w:eastAsiaTheme="majorEastAsia"/>
        </w:rPr>
        <w:t xml:space="preserve">species </w:t>
      </w:r>
      <w:r w:rsidR="4A81D426" w:rsidRPr="003101C3">
        <w:rPr>
          <w:rFonts w:eastAsiaTheme="majorEastAsia"/>
        </w:rPr>
        <w:t>are largely detrimental</w:t>
      </w:r>
      <w:r w:rsidR="5A5FCD71" w:rsidRPr="003101C3">
        <w:rPr>
          <w:rFonts w:eastAsiaTheme="majorEastAsia"/>
        </w:rPr>
        <w:t>.</w:t>
      </w:r>
      <w:r w:rsidR="5A5FCD71" w:rsidRPr="00A9434B">
        <w:rPr>
          <w:rFonts w:eastAsiaTheme="majorEastAsia"/>
        </w:rPr>
        <w:t xml:space="preserve"> </w:t>
      </w:r>
      <w:r w:rsidR="00762ADF" w:rsidRPr="00A9434B">
        <w:rPr>
          <w:rFonts w:eastAsiaTheme="majorEastAsia"/>
        </w:rPr>
        <w:t>T</w:t>
      </w:r>
      <w:r w:rsidR="4A81D426" w:rsidRPr="00A9434B">
        <w:rPr>
          <w:rFonts w:eastAsiaTheme="majorEastAsia"/>
        </w:rPr>
        <w:t xml:space="preserve">he origin of </w:t>
      </w:r>
      <w:r w:rsidR="5A5FCD71" w:rsidRPr="00A9434B">
        <w:rPr>
          <w:rFonts w:eastAsiaTheme="majorEastAsia"/>
        </w:rPr>
        <w:t xml:space="preserve">the </w:t>
      </w:r>
      <w:r w:rsidR="4A81D426" w:rsidRPr="00A9434B">
        <w:rPr>
          <w:rFonts w:eastAsiaTheme="majorEastAsia"/>
        </w:rPr>
        <w:t>knowledge and genetic resources can be obscure</w:t>
      </w:r>
      <w:r w:rsidR="5A5FCD71" w:rsidRPr="00A9434B">
        <w:rPr>
          <w:rFonts w:eastAsiaTheme="majorEastAsia"/>
        </w:rPr>
        <w:t xml:space="preserve">, </w:t>
      </w:r>
      <w:r w:rsidR="001C1880" w:rsidRPr="00A9434B">
        <w:rPr>
          <w:rFonts w:eastAsiaTheme="majorEastAsia"/>
        </w:rPr>
        <w:t xml:space="preserve">and </w:t>
      </w:r>
      <w:r w:rsidR="5A5FCD71" w:rsidRPr="00A9434B">
        <w:rPr>
          <w:rFonts w:eastAsiaTheme="majorEastAsia"/>
        </w:rPr>
        <w:t xml:space="preserve">species used by </w:t>
      </w:r>
      <w:r w:rsidR="001E7B2B" w:rsidRPr="00A9434B">
        <w:rPr>
          <w:rFonts w:eastAsiaTheme="majorEastAsia"/>
        </w:rPr>
        <w:t>Indigenous Peoples</w:t>
      </w:r>
      <w:r w:rsidR="008A68B3" w:rsidRPr="00A9434B">
        <w:rPr>
          <w:rFonts w:eastAsiaTheme="majorEastAsia"/>
        </w:rPr>
        <w:t xml:space="preserve"> and local communities </w:t>
      </w:r>
      <w:r w:rsidR="5A5FCD71" w:rsidRPr="00A9434B">
        <w:rPr>
          <w:rFonts w:eastAsiaTheme="majorEastAsia"/>
        </w:rPr>
        <w:t xml:space="preserve">traditionally are often </w:t>
      </w:r>
      <w:r w:rsidR="008A68B3" w:rsidRPr="00A9434B">
        <w:rPr>
          <w:rFonts w:eastAsiaTheme="majorEastAsia"/>
        </w:rPr>
        <w:t>alien</w:t>
      </w:r>
      <w:r w:rsidR="5A5FCD71" w:rsidRPr="00A9434B">
        <w:rPr>
          <w:rFonts w:eastAsiaTheme="majorEastAsia"/>
        </w:rPr>
        <w:t xml:space="preserve"> species (e</w:t>
      </w:r>
      <w:r w:rsidR="42712309" w:rsidRPr="00A9434B">
        <w:rPr>
          <w:rFonts w:eastAsiaTheme="majorEastAsia"/>
        </w:rPr>
        <w:t>.</w:t>
      </w:r>
      <w:r w:rsidR="5A5FCD71" w:rsidRPr="00A9434B">
        <w:rPr>
          <w:rFonts w:eastAsiaTheme="majorEastAsia"/>
        </w:rPr>
        <w:t>g</w:t>
      </w:r>
      <w:r w:rsidR="4F8A2A64" w:rsidRPr="00A9434B">
        <w:rPr>
          <w:rFonts w:eastAsiaTheme="majorEastAsia"/>
        </w:rPr>
        <w:t>.</w:t>
      </w:r>
      <w:r w:rsidR="5A5FCD71" w:rsidRPr="00A9434B">
        <w:rPr>
          <w:rFonts w:eastAsiaTheme="majorEastAsia"/>
        </w:rPr>
        <w:t xml:space="preserve">, </w:t>
      </w:r>
      <w:r w:rsidR="4A81D426" w:rsidRPr="00A9434B">
        <w:rPr>
          <w:rFonts w:eastAsiaTheme="majorEastAsia"/>
        </w:rPr>
        <w:fldChar w:fldCharType="begin"/>
      </w:r>
      <w:r w:rsidR="002D2756">
        <w:rPr>
          <w:rFonts w:eastAsiaTheme="majorEastAsia"/>
        </w:rPr>
        <w:instrText xml:space="preserve"> ADDIN ZOTERO_ITEM CSL_CITATION {"citationID":"uGFLb1pB","properties":{"formattedCitation":"(de Almeida et al., 2010)","plainCitation":"(de Almeida et al., 2010)","dontUpdate":true,"noteIndex":0},"citationItems":[{"id":53363,"uris":["http://zotero.org/groups/2352922/items/5E4UQKZT"],"itemData":{"id":53363,"type":"article-journal","container-title":"Journal of Ethnopharmacology","DOI":"10.1016/j.jep.2009.12.005","ISSN":"03788741","issue":"3","journalAbbreviation":"Journal of Ethnopharmacology","language":"en","page":"674-684","source":"DOI.org (Crossref)","title":"A comparison of knowledge about medicinal plants for three rural communities in the semi-arid region of northeast of Brazil","URL":"https://linkinghub.elsevier.com/retrieve/pii/S0378874109007454","volume":"127","author":[{"family":"Almeida","given":"Cecília de Fátima Castelo Branco Rangel","non-dropping-particle":"de"},{"family":"Ramos","given":"Marcelo Alves"},{"family":"Amorim","given":"Elba Lúcia Cavalcanti","non-dropping-particle":"de"},{"family":"Albuquerque","given":"Ulysses Paulino","non-dropping-particle":"de"}],"accessed":{"date-parts":[["2022",9,15]]},"issued":{"date-parts":[["2010",2,17]]}},"label":"page"}],"schema":"https://github.com/citation-style-language/schema/raw/master/csl-citation.json"} </w:instrText>
      </w:r>
      <w:r w:rsidR="4A81D426" w:rsidRPr="00A9434B">
        <w:rPr>
          <w:rFonts w:eastAsiaTheme="majorEastAsia"/>
        </w:rPr>
        <w:fldChar w:fldCharType="separate"/>
      </w:r>
      <w:r w:rsidR="00F55BC6" w:rsidRPr="00F55BC6">
        <w:t>de Almeida et al., 2010)</w:t>
      </w:r>
      <w:r w:rsidR="4A81D426" w:rsidRPr="00A9434B">
        <w:rPr>
          <w:rFonts w:eastAsiaTheme="majorEastAsia"/>
        </w:rPr>
        <w:fldChar w:fldCharType="end"/>
      </w:r>
      <w:r w:rsidR="5A5FCD71" w:rsidRPr="00A9434B">
        <w:rPr>
          <w:rFonts w:eastAsiaTheme="majorEastAsia"/>
        </w:rPr>
        <w:t>.</w:t>
      </w:r>
      <w:r w:rsidR="4A81D426" w:rsidRPr="00A9434B">
        <w:rPr>
          <w:rFonts w:eastAsiaTheme="majorEastAsia"/>
        </w:rPr>
        <w:t xml:space="preserve"> In the case of biological control agents best practices have been drawn up for access and benefit sharing </w:t>
      </w:r>
      <w:r w:rsidR="4A81D426" w:rsidRPr="00A9434B">
        <w:rPr>
          <w:rFonts w:eastAsiaTheme="majorEastAsia"/>
        </w:rPr>
        <w:fldChar w:fldCharType="begin"/>
      </w:r>
      <w:r w:rsidR="002D2756">
        <w:rPr>
          <w:rFonts w:eastAsiaTheme="majorEastAsia"/>
        </w:rPr>
        <w:instrText xml:space="preserve"> ADDIN ZOTERO_ITEM CSL_CITATION {"citationID":"a26ieej81e8","properties":{"formattedCitation":"(Mason et al., 2018; D. Smith et al., 2018)","plainCitation":"(Mason et al., 2018; D. Smith et al., 2018)","noteIndex":0},"citationItems":[{"id":30267,"uris":["http://zotero.org/groups/2352922/items/KPY8XPXV"],"itemData":{"id":30267,"type":"article-journal","container-title":"BioControl","DOI":"10.1007/s10526-017-9810-3","ISSN":"1386-6141, 1573-8248","issue":"1","journalAbbreviation":"BioControl","language":"en","page":"149-154","source":"DOI.org (Crossref)","title":"Best practices for the use and exchange of invertebrate biological control genetic resources relevant for food and agriculture","URL":"http://link.springer.com/10.1007/s10526-017-9810-3","volume":"63","author":[{"family":"Mason","given":"P. G."},{"family":"Cock","given":"M. J. W."},{"family":"Barratt","given":"B. I. P."},{"family":"Klapwijk","given":"J. N."},{"family":"Lenteren","given":"J. C.","non-dropping-particle":"van"},{"family":"Brodeur","given":"J."},{"family":"Hoelmer","given":"K. A."},{"family":"Heimpel","given":"G. E."}],"accessed":{"date-parts":[["2021",8,25]]},"issued":{"date-parts":[["2018",2]]}},"label":"page"},{"id":24349,"uris":["http://zotero.org/groups/2352922/items/RNR6T2CW"],"itemData":{"id":24349,"type":"article-journal","abstract":"Biological control agents must be collected and utilised in compliance with the Nagoya Protocol on Access and Benefit Sharing (ABS) which is being implemented independently by each country that is signatory to the Protocol. By March 2018, 50 countries had legislation in place with an additional 54 designing their Legislative, Administrative or Policy Measures having become Party to the Protocol. Apart from the problem of dealing with the many different mechanisms countries are putting in place, it is often difficult to find relevant information on the ABS Clearing House and to access and receive appropriate responses from the National Focal Points or Competent National Authorities. We feel that a lot of time is lost on both sides (National authorities and scientists seeking information), and the process would benefit from streamlining. Also, open questions remain, such as how to deal with the generation digital sequence information and what specific activities are considered utilisation, especially for biological control. CABI has pro-actively developed an ABS policy and best practices for its staff to try and comply with the Nagoya Protocol. In addition, CABI has started negotiations with several provider countries, beginning with its member countries, to have its ABS policy and best practices recognised, considering the non-monetary benefits typically associated with biological control. The Nagoya Protocol was born out of the necessity to guarantee the fair and equitable sharing of benefits arising from the utilisation of genetic resources. However, it should not hinder the development of best practice solutions to protect exactly these genetic resources from threats like invasive species. It is important that research and development that addresses global societal challenges are not impeded and that science and its output are recognised as a way to preserve and use genetic resources in an equitable way. © 2018, © 2018 CABI.","container-title":"Biocontrol Science and Technology","DOI":"10.1080/09583157.2018.1460317","issue":"10","page":"914-926","title":"Biological control and the Nagoya Protocol on access and benefit sharing–a case of effective due diligence","URL":"https://www.scopus.com/inward/record.uri?eid=2-s2.0-85045134352&amp;doi=10.1080%2f09583157.2018.1460317&amp;partnerID=40&amp;md5=c3d2c0d7a448357662d5bd3ba712be21","volume":"28","author":[{"family":"Smith","given":"David"},{"family":"Hinz","given":"H."},{"family":"Mulema","given":"J."},{"family":"Weyl","given":"P."},{"family":"Ryan","given":"M.J."}],"issued":{"date-parts":[["2018"]]}},"label":"page"}],"schema":"https://github.com/citation-style-language/schema/raw/master/csl-citation.json"} </w:instrText>
      </w:r>
      <w:r w:rsidR="4A81D426" w:rsidRPr="00A9434B">
        <w:rPr>
          <w:rFonts w:eastAsiaTheme="majorEastAsia"/>
        </w:rPr>
        <w:fldChar w:fldCharType="separate"/>
      </w:r>
      <w:r w:rsidR="00C71E80" w:rsidRPr="00A9434B">
        <w:t>(Mason et al., 2018; D. Smith et al., 2018)</w:t>
      </w:r>
      <w:r w:rsidR="4A81D426" w:rsidRPr="00A9434B">
        <w:rPr>
          <w:rFonts w:eastAsiaTheme="majorEastAsia"/>
        </w:rPr>
        <w:fldChar w:fldCharType="end"/>
      </w:r>
      <w:r w:rsidR="4A81D426" w:rsidRPr="00A9434B">
        <w:rPr>
          <w:rFonts w:eastAsiaTheme="majorEastAsia"/>
        </w:rPr>
        <w:t>.</w:t>
      </w:r>
      <w:r>
        <w:t xml:space="preserve"> However, little consideration of the interests of Indigenous Peoples and local communities is given in these best practices.</w:t>
      </w:r>
    </w:p>
    <w:p w14:paraId="6E92A140" w14:textId="4F6D691E" w:rsidR="00017C04" w:rsidRDefault="00F50AF9">
      <w:pPr>
        <w:rPr>
          <w:i/>
        </w:rPr>
      </w:pPr>
      <w:r>
        <w:t xml:space="preserve">Knowledge of invasive alien species by Indigenous Peoples and local communities is vital for not only the community itself, but also for policymakers and practitioners for the purpose of implementing control and management options </w:t>
      </w:r>
      <w:r w:rsidR="00C46964" w:rsidRPr="00A9434B">
        <w:fldChar w:fldCharType="begin"/>
      </w:r>
      <w:r w:rsidR="002D2756">
        <w:instrText xml:space="preserve"> ADDIN ZOTERO_ITEM CSL_CITATION {"citationID":"asd1i63bbh","properties":{"formattedCitation":"(Williams &amp; Hardison, 2013)","plainCitation":"(Williams &amp; Hardison, 2013)","noteIndex":0},"citationItems":[{"id":22706,"uris":["http://zotero.org/groups/2352922/items/6AWS7WR3"],"itemData":{"id":22706,"type":"chapter","container-title":"Climate Change and Indigenous Peoples in the United States","event-place":"Cham","note":"DOI: 10.1007/978-3-319-05266-3_3","page":"23-36","publisher":"Springer","publisher-place":"Cham","title":"Culture, law, risk and governance: contexts of traditional knowledge in climate change adaptation","URL":"https://doi.org/10.1007/978-3-319-05266-3_3","author":[{"family":"Williams","given":"T"},{"family":"Hardison","given":"P"}],"editor":[{"family":"Maldonado","given":"J.K."},{"family":"Colombi","given":"B."},{"family":"Pandya","given":"R."}],"issued":{"date-parts":[["2013"]]}},"label":"page"}],"schema":"https://github.com/citation-style-language/schema/raw/master/csl-citation.json"} </w:instrText>
      </w:r>
      <w:r w:rsidR="00C46964" w:rsidRPr="00A9434B">
        <w:fldChar w:fldCharType="separate"/>
      </w:r>
      <w:r w:rsidR="00C71E80" w:rsidRPr="00A9434B">
        <w:t>(Williams &amp; Hardison, 2013)</w:t>
      </w:r>
      <w:r w:rsidR="00C46964" w:rsidRPr="00A9434B">
        <w:fldChar w:fldCharType="end"/>
      </w:r>
      <w:r w:rsidR="00C46964" w:rsidRPr="00A9434B">
        <w:t>.</w:t>
      </w:r>
      <w:r>
        <w:t xml:space="preserve"> An analysis of the sources of invasive alien species knowledge showed that the majority of Indigenous Peoples and local communities obtain their knowledge from self-learning, observation and experimentation. Another large group mentioned a mix of both contemporary and traditional knowledge sources. A smaller percentage relied on scientific knowledge, showing that </w:t>
      </w:r>
      <w:r w:rsidR="00273868">
        <w:t>I</w:t>
      </w:r>
      <w:r>
        <w:t xml:space="preserve">ndigenous and local knowledge plays a big role. This also shows how important it is to incorporate both </w:t>
      </w:r>
      <w:r w:rsidR="002E3571">
        <w:t>I</w:t>
      </w:r>
      <w:r>
        <w:t xml:space="preserve">ndigenous and local knowledge and contemporary science while informing policies </w:t>
      </w:r>
      <w:r w:rsidR="00C46964" w:rsidRPr="00A9434B">
        <w:fldChar w:fldCharType="begin"/>
      </w:r>
      <w:r w:rsidR="002D2756">
        <w:instrText xml:space="preserve"> ADDIN ZOTERO_ITEM CSL_CITATION {"citationID":"a2jalkria8q","properties":{"formattedCitation":"(Bolhassan et al., 2014)","plainCitation":"(Bolhassan et al., 2014)","noteIndex":0},"citationItems":[{"id":30554,"uris":["http://zotero.org/groups/2352922/items/B47ZSHXI"],"itemData":{"id":30554,"type":"paper-conference","container-title":"2014 47th Hawaii International Conference on System Sciences","DOI":"10.1109/HICSS.2014.419","event-place":"Waikoloa, HI, USA","ISBN":"978-1-4799-2504-9","page":"3378–3388","publisher":"IEEE","publisher-place":"Waikoloa, HI, USA","title":"Indigenous Knowledge Sharing in Sarawak: A System-Level View and Its Implications for the Cultural Heritage Sector","URL":"http://ieeexplore.ieee.org/document/6759021/","author":[{"family":"Bolhassan","given":"Rashidah"},{"family":"Cranefield","given":"Jocelyn"},{"family":"Dorner","given":"Dan"}],"issued":{"date-parts":[["2014",1]]}},"label":"page"}],"schema":"https://github.com/citation-style-language/schema/raw/master/csl-citation.json"} </w:instrText>
      </w:r>
      <w:r w:rsidR="00C46964" w:rsidRPr="00A9434B">
        <w:fldChar w:fldCharType="separate"/>
      </w:r>
      <w:r w:rsidR="00C71E80" w:rsidRPr="00A9434B">
        <w:t>(Bolhassan et al., 2014)</w:t>
      </w:r>
      <w:r w:rsidR="00C46964" w:rsidRPr="00A9434B">
        <w:fldChar w:fldCharType="end"/>
      </w:r>
      <w:r w:rsidR="00FE30AD" w:rsidRPr="00A9434B">
        <w:t>.</w:t>
      </w:r>
    </w:p>
    <w:p w14:paraId="0A40FC41" w14:textId="70AEE7FD" w:rsidR="00017C04" w:rsidRDefault="00F50AF9">
      <w:pPr>
        <w:pStyle w:val="Heading5"/>
      </w:pPr>
      <w:r>
        <w:t xml:space="preserve">Communication of information and Indigenous Peoples and local </w:t>
      </w:r>
      <w:r w:rsidR="45D0F144" w:rsidRPr="00A9434B">
        <w:t>communities</w:t>
      </w:r>
      <w:r w:rsidR="00173699" w:rsidRPr="001523EB">
        <w:rPr>
          <w:vertAlign w:val="superscript"/>
        </w:rPr>
        <w:fldChar w:fldCharType="begin"/>
      </w:r>
      <w:r w:rsidR="00173699" w:rsidRPr="001523EB">
        <w:rPr>
          <w:vertAlign w:val="superscript"/>
        </w:rPr>
        <w:instrText xml:space="preserve"> NOTEREF _Ref132039418 \h </w:instrText>
      </w:r>
      <w:r w:rsidR="00173699">
        <w:rPr>
          <w:vertAlign w:val="superscript"/>
        </w:rPr>
        <w:instrText xml:space="preserve"> \* MERGEFORMAT </w:instrText>
      </w:r>
      <w:r w:rsidR="00173699" w:rsidRPr="001523EB">
        <w:rPr>
          <w:vertAlign w:val="superscript"/>
        </w:rPr>
      </w:r>
      <w:r w:rsidR="00173699" w:rsidRPr="001523EB">
        <w:rPr>
          <w:vertAlign w:val="superscript"/>
        </w:rPr>
        <w:fldChar w:fldCharType="separate"/>
      </w:r>
      <w:r w:rsidR="00173699" w:rsidRPr="001523EB">
        <w:rPr>
          <w:vertAlign w:val="superscript"/>
        </w:rPr>
        <w:t>16</w:t>
      </w:r>
      <w:r w:rsidR="00173699" w:rsidRPr="001523EB">
        <w:rPr>
          <w:vertAlign w:val="superscript"/>
        </w:rPr>
        <w:fldChar w:fldCharType="end"/>
      </w:r>
      <w:r>
        <w:rPr>
          <w:vertAlign w:val="superscript"/>
        </w:rPr>
        <w:t xml:space="preserve"> </w:t>
      </w:r>
    </w:p>
    <w:p w14:paraId="7A1A0195" w14:textId="7335C15A" w:rsidR="00017C04" w:rsidRDefault="00F50AF9">
      <w:pPr>
        <w:spacing w:before="0"/>
      </w:pPr>
      <w:r>
        <w:t>A diverse array of stakeholders and institutions can work together to ensure smooth and effective communication of invasive alien species information. This is not only</w:t>
      </w:r>
      <w:r w:rsidR="009A39CE">
        <w:t xml:space="preserve"> relevant</w:t>
      </w:r>
      <w:r>
        <w:t xml:space="preserve"> to Indigenous Peoples and local communities but also to governments, policymakers and to bridge the gap between research and implementation </w:t>
      </w:r>
      <w:r w:rsidR="00C46964" w:rsidRPr="00A9434B">
        <w:fldChar w:fldCharType="begin"/>
      </w:r>
      <w:r w:rsidR="002D2756">
        <w:instrText xml:space="preserve"> ADDIN ZOTERO_ITEM CSL_CITATION {"citationID":"a2ismbilssh","properties":{"formattedCitation":"(Barnard &amp; Waage, 2004; Piria et al., 2017)","plainCitation":"(Barnard &amp; Waage, 2004; Piria et al., 2017)","noteIndex":0},"citationItems":[{"id":54745,"uris":["http://zotero.org/groups/2352922/items/A52QP4PA"],"itemData":{"id":54745,"type":"document","note":"ISBN: 1-919684-43-3","publisher":"Global Invasive Species Programme, Cape Town, South Africa","title":"Tackling species invasions around the world: regional responses to the invasive alien species threat","URL":"https://portals.iucn.org/library/node/28023","author":[{"family":"Barnard","given":"P."},{"family":"Waage","given":"J. K."}],"issued":{"date-parts":[["2004"]]}},"label":"page"},{"id":29919,"uris":["http://zotero.org/groups/2352922/items/D6V7XUYW","http://zotero.org/groups/2352922/items/T4CQIE5T"],"itemData":{"id":29919,"type":"article-journal","container-title":"Management of Biological Invasions","DOI":"10.3391/mbi.2017.8.3.02","ISSN":"19898649","issue":"3","journalAbbreviation":"MBI","page":"273-286","source":"DOI.org (Crossref)","title":"Tackling invasive alien species in Europe II: threats and opportunities until 2020","title-short":"Tackling invasive alien species in Europe II","URL":"http://www.reabic.net/journals/mbi/2017/Issue3.aspx","volume":"8","author":[{"family":"Piria","given":"Marina"},{"family":"Copp","given":"Gordon H."},{"family":"Dick","given":"Jaimie T. A."},{"family":"Duplić","given":"Aljoša"},{"family":"Groom","given":"Quentin"},{"family":"Jelić","given":"Dušan"},{"family":"Lucy","given":"Frances E."},{"family":"Roy","given":"Helen E."},{"family":"Sarat","given":"Emmanuelle"},{"family":"Simonović","given":"Predrag"},{"family":"Tomljanović","given":"Tea"},{"family":"Tricarico","given":"Elena"},{"family":"Weinlander","given":"Martin"},{"family":"Adámek","given":"Zdeněk"},{"literal":"Sarah Bedolfe"},{"family":"Coughlan","given":"Neil E."},{"family":"Davis","given":"Eithne"},{"family":"Dobrzycka-Krahel","given":"Aldona"},{"family":"Grgić","given":"Zoran"},{"family":"Kırankaya","given":"Şerıfe G."},{"family":"Ekmekçi","given":"F. Güler"},{"family":"Lajtner","given":"Jasna"},{"family":"Lukas","given":"Juliane A.Y."},{"family":"Koutsikos","given":"Nicholas"},{"family":"Mennen","given":"Gloria J."},{"family":"Mitić","given":"Božena"},{"family":"Pastorino","given":"Paolo"},{"family":"Ruokonen","given":"Timo J."},{"family":"Skóra","given":"Michał E."},{"family":"Smith","given":"Emily R.C."},{"family":"Šprem","given":"Nikica"},{"family":"Tarkan","given":"Ali Serhan"},{"family":"Treer","given":"Tomislav"},{"family":"Vardakas","given":"Leonidas"},{"family":"Vehanen","given":"Teppo"},{"family":"Vilizzi","given":"Lorenzo"},{"family":"Zanella","given":"Davor"},{"family":"Caffrey","given":"Joe M."}],"accessed":{"date-parts":[["2021",7,13]]},"issued":{"date-parts":[["2017"]]}}}],"schema":"https://github.com/citation-style-language/schema/raw/master/csl-citation.json"} </w:instrText>
      </w:r>
      <w:r w:rsidR="00C46964" w:rsidRPr="00A9434B">
        <w:fldChar w:fldCharType="separate"/>
      </w:r>
      <w:r w:rsidR="00C71E80" w:rsidRPr="00A9434B">
        <w:t>(Barnard &amp; Waage, 2004; Piria et al., 2017)</w:t>
      </w:r>
      <w:r w:rsidR="00C46964" w:rsidRPr="00A9434B">
        <w:fldChar w:fldCharType="end"/>
      </w:r>
      <w:r w:rsidR="7C8F134D" w:rsidRPr="00A9434B">
        <w:t>.</w:t>
      </w:r>
      <w:r>
        <w:t xml:space="preserve"> An analysis done on organizations with effective communication on invasive alien species showed that central governments (39 per cent) often have the financial capacity and resources to effectively communicate on invasive alien species. Thanks to their proximity to Indigenous Peoples and local communities, local governments (36 per cent) are also in a position to effectively communicate on invasive alien species. Person-to-person communication (individually</w:t>
      </w:r>
      <w:r w:rsidR="009A39CE">
        <w:t>;</w:t>
      </w:r>
      <w:r>
        <w:t xml:space="preserve"> 32 per cent) can be effective as well but often faces geographical limitations and language barriers, which could lead to misinformation </w:t>
      </w:r>
      <w:r w:rsidR="00C46964" w:rsidRPr="00A9434B">
        <w:fldChar w:fldCharType="begin"/>
      </w:r>
      <w:r w:rsidR="002D2756">
        <w:instrText xml:space="preserve"> ADDIN ZOTERO_ITEM CSL_CITATION {"citationID":"a2l5sm4a911","properties":{"formattedCitation":"(Wald et al., 2019; Zeng et al., 2021)","plainCitation":"(Wald et al., 2019; Zeng et al., 2021)","noteIndex":0},"citationItems":[{"id":15839,"uris":["http://zotero.org/groups/2352922/items/UB99TUKT"],"itemData":{"id":15839,"type":"article-journal","abstract":"Public attitudes toward invasive alien species management and trust in managers' ability to eﬀectively manage non-native species can determine public support for conservation action. The island of Guam has experienced widespread species loss and ecosystem transformation due to invasive species, most notably, the brown treesnake (Boiga irregularis). Despite Guam's long history with invasives and extensive eﬀorts to eradicate them, we know little about the sociological context of invasive species and drivers of public support or opposition on the island. Using focused group discussions, we explore public attitudes toward invasive species management measures. Respondents were familiar with the common invasive species on Guam and recognized that they were not native. They expressed support for management activities, interest in more eﬀective and frequent management initiatives, and desire to participate directly in conservation actions. Participants also expressed frustration with government institutions and lack of conﬁdence in managers' ability to control invasive species. Perceptions of managers' trustworthiness, communication with managers, and positive personal experiences with managers were related to positive attitudes about management and support for existing initiatives, indicating the important role of trust and engagement for invasive species management.","container-title":"Journal of Environmental Management","DOI":"10.1016/j.jenvman.2018.06.047","ISSN":"03014797","journalAbbreviation":"Journal of Environmental Management","language":"en","page":"133-144","source":"DOI.org (Crossref)","title":"The role of trust in public attitudes toward invasive species management on Guam: A case study","title-short":"The role of trust in public attitudes toward invasive species management on Guam","URL":"https://linkinghub.elsevier.com/retrieve/pii/S0301479718306893","volume":"229","author":[{"family":"Wald","given":"Dara M."},{"family":"Nelson","given":"Kimberly A."},{"family":"Gawel","given":"Ann Marie"},{"family":"Rogers","given":"Haldre S."}],"accessed":{"date-parts":[["2019",11,7]]},"issued":{"date-parts":[["2019",1]]}},"label":"page"},{"id":54747,"uris":["http://zotero.org/groups/2352922/items/6RC73P4G"],"itemData":{"id":54747,"type":"article-journal","container-title":"Environmental Management","DOI":"10.1007/s00267-021-01505-7","note":"ISBN: 0364-152X\npublisher: Springer","page":"340-352","title":"Educational approaches help bridge perception gaps of invasive alien species (&lt;i&gt;Mikania micrantha&lt;/i&gt;) between managers and non-managers","volume":"68","author":[{"family":"Zeng","given":"Huiyun"},{"family":"Liu","given":"Xiaofei"},{"family":"Zhang","given":"Liyun"},{"family":"Li","given":"Yingzhen"},{"family":"Zhu","given":"Min"},{"family":"Chen","given":"Dongming"}],"issued":{"date-parts":[["2021"]]}},"label":"page"}],"schema":"https://github.com/citation-style-language/schema/raw/master/csl-citation.json"} </w:instrText>
      </w:r>
      <w:r w:rsidR="00C46964" w:rsidRPr="00A9434B">
        <w:fldChar w:fldCharType="separate"/>
      </w:r>
      <w:r w:rsidR="00C71E80" w:rsidRPr="00A9434B">
        <w:t>(Wald et al., 2019; Zeng et al., 2021)</w:t>
      </w:r>
      <w:r w:rsidR="00C46964" w:rsidRPr="00A9434B">
        <w:fldChar w:fldCharType="end"/>
      </w:r>
      <w:r w:rsidR="7C8F134D" w:rsidRPr="00A9434B">
        <w:t>.</w:t>
      </w:r>
      <w:r>
        <w:t xml:space="preserve"> Finally, there are cases of effective communication on invasive alien species through community-led organizations (22 per cent), international and non-governmental organizations (16 per cent). </w:t>
      </w:r>
    </w:p>
    <w:p w14:paraId="52BBA544" w14:textId="0106D006" w:rsidR="00017C04" w:rsidRDefault="00F50AF9">
      <w:pPr>
        <w:pStyle w:val="Heading5"/>
      </w:pPr>
      <w:bookmarkStart w:id="547" w:name="_heading=h.3z7bk57" w:colFirst="0" w:colLast="0"/>
      <w:bookmarkEnd w:id="547"/>
      <w:r>
        <w:t>Knowledge and information needs of Indigenous Peoples and local communities</w:t>
      </w:r>
      <w:bookmarkStart w:id="548" w:name="_Ref127464535"/>
      <w:r w:rsidR="00173699" w:rsidRPr="001523EB">
        <w:rPr>
          <w:vertAlign w:val="superscript"/>
        </w:rPr>
        <w:fldChar w:fldCharType="begin"/>
      </w:r>
      <w:r w:rsidR="00173699" w:rsidRPr="001523EB">
        <w:rPr>
          <w:vertAlign w:val="superscript"/>
        </w:rPr>
        <w:instrText xml:space="preserve"> NOTEREF _Ref132039418 \h </w:instrText>
      </w:r>
      <w:r w:rsidR="00173699">
        <w:rPr>
          <w:vertAlign w:val="superscript"/>
        </w:rPr>
        <w:instrText xml:space="preserve"> \* MERGEFORMAT </w:instrText>
      </w:r>
      <w:r w:rsidR="00173699" w:rsidRPr="001523EB">
        <w:rPr>
          <w:vertAlign w:val="superscript"/>
        </w:rPr>
      </w:r>
      <w:r w:rsidR="00173699" w:rsidRPr="001523EB">
        <w:rPr>
          <w:vertAlign w:val="superscript"/>
        </w:rPr>
        <w:fldChar w:fldCharType="separate"/>
      </w:r>
      <w:r w:rsidR="00173699" w:rsidRPr="001523EB">
        <w:rPr>
          <w:vertAlign w:val="superscript"/>
        </w:rPr>
        <w:t>16</w:t>
      </w:r>
      <w:r w:rsidR="00173699" w:rsidRPr="001523EB">
        <w:rPr>
          <w:vertAlign w:val="superscript"/>
        </w:rPr>
        <w:fldChar w:fldCharType="end"/>
      </w:r>
      <w:bookmarkEnd w:id="548"/>
    </w:p>
    <w:p w14:paraId="03C01087" w14:textId="32CAC867" w:rsidR="00017C04" w:rsidRDefault="2F958343">
      <w:pPr>
        <w:spacing w:before="0"/>
      </w:pPr>
      <w:r>
        <w:t xml:space="preserve">For an effective and holistic involvement of Indigenous Peoples and local communities and other stakeholders in the control </w:t>
      </w:r>
      <w:r w:rsidR="10701753">
        <w:t xml:space="preserve">of invasive alien species </w:t>
      </w:r>
      <w:r>
        <w:t xml:space="preserve">and management of </w:t>
      </w:r>
      <w:r w:rsidR="7CB46609">
        <w:t>biological invasions</w:t>
      </w:r>
      <w:r>
        <w:t xml:space="preserve">, knowledge dimensions and improvement are vital </w:t>
      </w:r>
      <w:r w:rsidR="00C46964" w:rsidRPr="00A9434B">
        <w:fldChar w:fldCharType="begin"/>
      </w:r>
      <w:r w:rsidR="002D2756">
        <w:instrText xml:space="preserve"> ADDIN ZOTERO_ITEM CSL_CITATION {"citationID":"a2o6a85o21u","properties":{"formattedCitation":"(IUCN, 2000; Shine, 2003)","plainCitation":"(IUCN, 2000; Shine, 2003)","noteIndex":0},"citationItems":[{"id":54670,"uris":["http://zotero.org/groups/2352922/items/Y5QVJAFJ"],"itemData":{"id":54670,"type":"book","event-place":"Gland Switzerland","language":"en","publisher":"IUCN Species Survival Commission (SSC), Invasive Species Specialist Group","publisher-place":"Gland Switzerland","source":"portals.iucn.org","title":"IUCN guidelines for the prevention of biodiversity loss caused by alien invasive species","URL":"https://portals.iucn.org/library/node/12413","author":[{"literal":"IUCN"}],"accessed":{"date-parts":[["2023",3,7]]},"issued":{"date-parts":[["2000"]]}},"label":"page"},{"id":12564,"uris":["http://zotero.org/groups/2352922/items/Z8NM6WSE"],"itemData":{"id":12564,"type":"paper-conference","container-title":"Prevention and Management of Invasive Alien Species: Proceedings of a Workshop on Forging Cooperation throughout South and Southeast Asia","event-place":"Cape Town, South Africa","page":"19-35","publisher":"Global Invasive Species Programme","publisher-place":"Cape Town, South Africa","title":"Overview of international instruments addressing invasive alien species","URL":"https://www.researchgate.net/publication/303442790_Prevention_and_Management_of_Invasive_Alien_Species_Proceedings_of_a_Workshop_on_Forging_Cooperation_throughout_South_and_Southeast_Asia","author":[{"family":"Shine","given":"C."}],"editor":[{"family":"Pallewatta","given":"N"},{"family":"Reaser","given":"JK"},{"family":"Gutierrez","given":"A"}],"issued":{"date-parts":[["2003"]]}},"label":"page"}],"schema":"https://github.com/citation-style-language/schema/raw/master/csl-citation.json"} </w:instrText>
      </w:r>
      <w:r w:rsidR="00C46964" w:rsidRPr="00A9434B">
        <w:fldChar w:fldCharType="separate"/>
      </w:r>
      <w:r w:rsidR="00FD65B1" w:rsidRPr="00FD65B1">
        <w:t>(IUCN, 2000; Shine, 2003)</w:t>
      </w:r>
      <w:r w:rsidR="00C46964" w:rsidRPr="00A9434B">
        <w:fldChar w:fldCharType="end"/>
      </w:r>
      <w:r w:rsidR="00C46964" w:rsidRPr="00A9434B">
        <w:t xml:space="preserve"> both in science and practice</w:t>
      </w:r>
      <w:r w:rsidR="00C02655" w:rsidRPr="00A9434B">
        <w:t>.</w:t>
      </w:r>
      <w:r>
        <w:t xml:space="preserve"> Many Indigenous Peoples and local communities (43 per cent of the reviewed case studies) are seeking scientific knowledge, through training</w:t>
      </w:r>
      <w:r w:rsidR="009A39CE">
        <w:t>,</w:t>
      </w:r>
      <w:r>
        <w:t xml:space="preserve"> reading and contacting governments and non-governmental organizations, on how to control and manage invasive alien species. Thirty per cent are seeking Indigenous and local knowledge while 17 per cent combined both </w:t>
      </w:r>
      <w:r w:rsidR="009A39CE">
        <w:t>I</w:t>
      </w:r>
      <w:r>
        <w:t xml:space="preserve">ndigenous and local knowledge and scientific knowledge. In only 10 per cent of the reviewed case studies, Indigenous Peoples and local communities seek additional knowledge through self-learning. From these findings, it is important for all players to make their data and information available and useful </w:t>
      </w:r>
      <w:r w:rsidR="00C46964" w:rsidRPr="00A9434B">
        <w:fldChar w:fldCharType="begin"/>
      </w:r>
      <w:r w:rsidR="002D2756">
        <w:instrText xml:space="preserve"> ADDIN ZOTERO_ITEM CSL_CITATION {"citationID":"a9ki1nl9l1","properties":{"formattedCitation":"(Groom et al., 2017)","plainCitation":"(Groom et al., 2017)","noteIndex":0},"citationItems":[{"id":12415,"uris":["http://zotero.org/groups/2352922/items/NAYRFWDU"],"itemData":{"id":12415,"type":"article-journal","abstract":"Science-based strategies to tackle biological invasions depend on recent, accurate, well-documented, standardised and openly accessible information on alien species. Currently and historically, biodiversity data are scattered in numerous disconnected data silos that lack interoperability. The situation is no different for alien species data, and this obstructs efficient retrieval, combination, and use of these kinds of information for research and policy-making. Standardization and interoperability are particularly important as many alien species related research and policy activities require pooling data. We describe seven ways that data on alien species can be made more accessible and useful: 1) Create data management plans; 2) Increase interoperability of information sources; 3) Document data through metadata; 4) Format data using existing standards; 5) Adopt controlled vocabularies; 6) Increase data availability; and 7) Ensure long-term data preservation. We identify four properties specific and integral to alien species data (species status, introduction pathway, degree of establishment, and impact mechanism) that are either missing from existing data standards or lack a recommended controlled vocabulary. Improved access to accurate, real-time and historical data will repay the long-term investment in data management infrastructure, by providing more accurate, timely and realistic analyses. If we improve core biodiversity data standards by developing their relevance to alien species, it will allow the automation of common activities regarding data processing in support of environmental policy. Furthermore, we call for considerable effort to maintain, update, standardise, archive, and aggregate datasets, to ensure proper valorisation of alien species data and information before they become obsolete or lost.","container-title":"Frontiers in Applied Mathematics and Statistics","DOI":"10.3389/fams.2017.00013","ISSN":"2297-4687","journalAbbreviation":"Front. Appl. Math. Stat.","license":"All rights reserved","page":"13","source":"DOI.org (Crossref)","title":"Seven Recommendations to Make Your Invasive Alien Species Data More Useful","URL":"http://journal.frontiersin.org/article/10.3389/fams.2017.00013","volume":"3","author":[{"family":"Groom","given":"Quentin J."},{"family":"Adriaens","given":"Tim"},{"family":"Desmet","given":"Peter"},{"family":"Simpson","given":"Annie"},{"family":"De Wever","given":"Aaike"},{"family":"Bazos","given":"Ioannis"},{"family":"Cardoso","given":"Ana Cristina"},{"family":"Charles","given":"Lucinda"},{"family":"Christopoulou","given":"Anastasia"},{"family":"Gazda","given":"Anna"},{"family":"Helmisaari","given":"Harry"},{"family":"Hobern","given":"Donald"},{"family":"Josefsson","given":"Melanie"},{"family":"Lucy","given":"Frances"},{"family":"Marisavljevic","given":"Dragana"},{"family":"Oszako","given":"Tomasz"},{"family":"Pergl","given":"Jan"},{"family":"Petrovic-Obradovic","given":"Olivera"},{"family":"Prévot","given":"Céline"},{"family":"Ravn","given":"Hans P."},{"family":"Richards","given":"Gareth"},{"family":"Roques","given":"Alain"},{"family":"Roy","given":"Helen E."},{"family":"Rozenberg","given":"Marie-Anne A."},{"family":"Scalera","given":"Riccardo"},{"family":"Tricarico","given":"Elena"},{"family":"Trichkova","given":"Teodora"},{"family":"Vercayie","given":"Diemer"},{"family":"Zenetos","given":"Argyro"},{"family":"Vanderhoeven","given":"Sonia"}],"issued":{"date-parts":[["2017"]]}},"label":"page"}],"schema":"https://github.com/citation-style-language/schema/raw/master/csl-citation.json"} </w:instrText>
      </w:r>
      <w:r w:rsidR="00C46964" w:rsidRPr="00A9434B">
        <w:fldChar w:fldCharType="separate"/>
      </w:r>
      <w:r w:rsidR="00E452E2" w:rsidRPr="00E452E2">
        <w:t>(Groom et al., 2017)</w:t>
      </w:r>
      <w:r w:rsidR="00C46964" w:rsidRPr="00A9434B">
        <w:fldChar w:fldCharType="end"/>
      </w:r>
      <w:r>
        <w:t xml:space="preserve"> to all the stakeholders. The pace towards meaningful participation of Indigenous Peoples and local communities into various sectors of management could be fast-tracked to fill knowledge needs. </w:t>
      </w:r>
    </w:p>
    <w:p w14:paraId="7A46B0F4" w14:textId="4F67ED34" w:rsidR="00017C04" w:rsidRDefault="00F50AF9">
      <w:pPr>
        <w:pStyle w:val="Heading5"/>
      </w:pPr>
      <w:r>
        <w:t xml:space="preserve">Indigenous Peoples and local communities and scientific </w:t>
      </w:r>
      <w:r w:rsidR="00C46964" w:rsidRPr="00A9434B">
        <w:t>knowledge</w:t>
      </w:r>
      <w:r w:rsidR="00C46680" w:rsidRPr="00C46680">
        <w:rPr>
          <w:rStyle w:val="FootnoteReference"/>
        </w:rPr>
        <w:fldChar w:fldCharType="begin"/>
      </w:r>
      <w:r w:rsidR="00C46680" w:rsidRPr="00C46680">
        <w:rPr>
          <w:vertAlign w:val="superscript"/>
        </w:rPr>
        <w:instrText xml:space="preserve"> NOTEREF _Ref132039418 \h </w:instrText>
      </w:r>
      <w:r w:rsidR="00C46680" w:rsidRPr="00C46680">
        <w:rPr>
          <w:rStyle w:val="FootnoteReference"/>
        </w:rPr>
        <w:instrText xml:space="preserve"> \* MERGEFORMAT </w:instrText>
      </w:r>
      <w:r w:rsidR="00C46680" w:rsidRPr="00C46680">
        <w:rPr>
          <w:rStyle w:val="FootnoteReference"/>
        </w:rPr>
      </w:r>
      <w:r w:rsidR="00C46680" w:rsidRPr="00C46680">
        <w:rPr>
          <w:rStyle w:val="FootnoteReference"/>
        </w:rPr>
        <w:fldChar w:fldCharType="separate"/>
      </w:r>
      <w:r w:rsidR="00C46680" w:rsidRPr="00C46680">
        <w:rPr>
          <w:vertAlign w:val="superscript"/>
        </w:rPr>
        <w:t>16</w:t>
      </w:r>
      <w:r w:rsidR="00C46680" w:rsidRPr="00C46680">
        <w:rPr>
          <w:rStyle w:val="FootnoteReference"/>
        </w:rPr>
        <w:fldChar w:fldCharType="end"/>
      </w:r>
    </w:p>
    <w:p w14:paraId="04FF7D66" w14:textId="284EB9CF" w:rsidR="00017C04" w:rsidRDefault="00F50AF9">
      <w:pPr>
        <w:spacing w:before="0"/>
      </w:pPr>
      <w:r>
        <w:t xml:space="preserve">There is significant agreement between Indigenous and local knowledge and science on invasive alien species. There are also some significant divergences, which suggests that continued dialogue will be useful </w:t>
      </w:r>
      <w:r w:rsidR="00C46964" w:rsidRPr="00A9434B">
        <w:fldChar w:fldCharType="begin"/>
      </w:r>
      <w:r w:rsidR="002D2756">
        <w:instrText xml:space="preserve"> ADDIN ZOTERO_ITEM CSL_CITATION {"citationID":"UpYaGZop","properties":{"formattedCitation":"(Byrne et al., 2020; Lopian, 2005)","plainCitation":"(Byrne et al., 2020; Lopian, 2005)","noteIndex":0},"citationItems":[{"id":54748,"uris":["http://zotero.org/groups/2352922/items/B7PMZHMV"],"itemData":{"id":54748,"type":"chapter","collection-title":"Invading Nature - Springer Series in Invasion Ecology","container-title":"Biological Invasions in South Africa","event-place":"Cham","ISBN":"978-3-030-32394-3","note":"DOI: 10.1007/978-3-030-32394-3_25","page":"731-755","publisher":"Springer","publisher-place":"Cham","title":"Education, training and capacity-building in the field of biological invasions in South Africa","volume":"14","author":[{"family":"Byrne","given":"Marcus J."},{"family":"Plessis","given":"Dorette","non-dropping-particle":"du"},{"family":"Ivey","given":"Philip J."},{"family":"Measey","given":"John"},{"family":"Robertson","given":"Mark P."},{"family":"Robinson","given":"Tamara B."},{"family":"Weaver","given":"Kim N."}],"editor":[{"family":"Wilgen","given":"B. W.","non-dropping-particle":"van"},{"family":"Measey","given":"J."},{"family":"Richardson","given":"D. M."},{"family":"Wilson","given":"J. R."},{"family":"Zengeya","given":"T. A."}],"issued":{"date-parts":[["2020"]]}},"label":"page"},{"id":21924,"uris":["http://zotero.org/groups/2352922/items/VSJRVZSD"],"itemData":{"id":21924,"type":"paper-conference","abstract":"The Convention on Biological Diversity (CBD), which was adopted in 1992, incorporates provisions regarding those alien species which threaten ecosystems, habitats or species. The International Plant Protection Convention (IPPC), which has existed since the 1950s, aims to prevent the introduction and spread of plant pests. National plant protection services and the governing body of the IPPC, the Interim Commission on Phytosanitary Measures (ICPM), recognized that the aim of the CBD to prevent the introduction of alien species corresponds in large measure to the aim of the IPPC. Since 1999, the ICPM has been actively engaged in clarifying its role in regard to invasive alien species that are plant pests. In 2001, it determined that such species should be considered quarantine pests and should be subjected to measures according to IPPC provisions. The ICPM also decided that IPPC standards should be reviewed to ensure that they adequately address environmental risks of plant pests. In 2003, the ICPM adopted supplements to two of the international standards for phytosanitary measures (namely Glossary of phytosanitary terms and Pest risk analysis for quarantine pests). These supplements elaborated on environmental considerations. To avoid conflicting developments within the IPPC and the CBD regarding invasive alien species and plant pests, the secretariats of the two conventions have established a Memorandum of Cooperation and developed a joint work plan as was called for by the Conference of Parties to the CBD at its seventh meeting. In 2002, the Conference of Parties to the CBD formalized a set of guiding principles on alien species that threaten ecosystems, habitats or species. A comparison between these guiding principles and provisions of the IPPC shows strong correspondence and considerable overlap. This paper discusses the need for closer cooperation between environmental and phytosanitary authorities on a national and international level as well as future activities in regard to invasive alien species.","collection-title":"Proceedings of a workshop in Braunschweig, Germany 22-26 September 2003","container-title":"Identification of risks and management of invasive alien species using the IPPC framework","event-place":"Rome, Italy","event-title":"The workshop on invasive alien species and the International Plant Protection Convention, Braunschweig, Germany, 22-26 September 2003","language":"en","page":"14","publisher":"Food and Agriculture Organization of the United Nations","publisher-place":"Rome, Italy","source":"Zotero","title":"The International Plant Protection Convention and invasive alien species","URL":"http://www.fao.org/3/y5968e/y5968e05.htm#bm05.5","author":[{"family":"Lopian","given":"Ralf"}],"editor":[{"literal":"IPPC Secretariat"}],"issued":{"date-parts":[["2005"]]}},"label":"page"}],"schema":"https://github.com/citation-style-language/schema/raw/master/csl-citation.json"} </w:instrText>
      </w:r>
      <w:r w:rsidR="00C46964" w:rsidRPr="00A9434B">
        <w:fldChar w:fldCharType="separate"/>
      </w:r>
      <w:r w:rsidR="00F55BC6" w:rsidRPr="00F55BC6">
        <w:t>(Byrne et al., 2020; Lopian, 2005)</w:t>
      </w:r>
      <w:r w:rsidR="00C46964" w:rsidRPr="00A9434B">
        <w:fldChar w:fldCharType="end"/>
      </w:r>
      <w:r w:rsidR="00C46964" w:rsidRPr="00A9434B">
        <w:t xml:space="preserve"> </w:t>
      </w:r>
      <w:r w:rsidR="15C5FD49" w:rsidRPr="00A9434B">
        <w:t xml:space="preserve">including </w:t>
      </w:r>
      <w:r w:rsidR="00C46964" w:rsidRPr="00A9434B">
        <w:t xml:space="preserve">on </w:t>
      </w:r>
      <w:r w:rsidR="468F93BC" w:rsidRPr="00A9434B">
        <w:t xml:space="preserve">species </w:t>
      </w:r>
      <w:r w:rsidR="00C46964" w:rsidRPr="00A9434B">
        <w:t>identification, their impacts</w:t>
      </w:r>
      <w:r w:rsidR="00EB415D">
        <w:t xml:space="preserve"> and</w:t>
      </w:r>
      <w:r w:rsidR="00C46964" w:rsidRPr="00A9434B">
        <w:t xml:space="preserve"> </w:t>
      </w:r>
      <w:r w:rsidR="00CE7BEA" w:rsidRPr="00A9434B">
        <w:t>pathways of spread.</w:t>
      </w:r>
      <w:r>
        <w:t xml:space="preserve"> For example, many Indigenous Peoples and local communities recognize </w:t>
      </w:r>
      <w:r>
        <w:lastRenderedPageBreak/>
        <w:t>invasive plants or animals as foreign in their areas. They were however ready to try different ways to make these useful, for example as food for livestock or food for humans. In other cases, Indigenous Peoples and local communities did not recognize some species as alien, while science would classify them as invasive alien species. This will likely have ramifications for effective communication and control measures, and the involvement of Indigenous Peoples and local communities in decision</w:t>
      </w:r>
      <w:r w:rsidR="00941B41">
        <w:t>-</w:t>
      </w:r>
      <w:r>
        <w:t>making on environmental conservation in different settings. Indigenous Peoples and local communities are using science to supplement and further build on their understandings of invasive alien species. Some report that they supplement the knowledge they acquired from observation and experimentation (self-learning), with science-based training they received.</w:t>
      </w:r>
    </w:p>
    <w:p w14:paraId="587A762A" w14:textId="521F7C0A" w:rsidR="00017C04" w:rsidRDefault="00F50AF9" w:rsidP="007D5DC6">
      <w:pPr>
        <w:pStyle w:val="Heading3"/>
      </w:pPr>
      <w:bookmarkStart w:id="549" w:name="_heading=h.2eclud0" w:colFirst="0" w:colLast="0"/>
      <w:bookmarkStart w:id="550" w:name="_Toc2126034943"/>
      <w:bookmarkStart w:id="551" w:name="_Toc133428352"/>
      <w:bookmarkEnd w:id="549"/>
      <w:r>
        <w:t>Information needed for invasion scenarios and models</w:t>
      </w:r>
      <w:r w:rsidRPr="007D5DC6">
        <w:rPr>
          <w:rStyle w:val="FootnoteReference"/>
        </w:rPr>
        <w:footnoteReference w:id="17"/>
      </w:r>
      <w:bookmarkEnd w:id="550"/>
      <w:bookmarkEnd w:id="551"/>
    </w:p>
    <w:p w14:paraId="6D14075E" w14:textId="77777777" w:rsidR="00017C04" w:rsidRDefault="00F50AF9">
      <w:bookmarkStart w:id="552" w:name="_heading=h.thw4kt" w:colFirst="0" w:colLast="0"/>
      <w:bookmarkStart w:id="553" w:name="__RefHeading___Toc17520_248973425"/>
      <w:bookmarkStart w:id="554" w:name="_Toc48931086"/>
      <w:bookmarkStart w:id="555" w:name="_Toc69383439"/>
      <w:bookmarkEnd w:id="552"/>
      <w:bookmarkEnd w:id="553"/>
      <w:r>
        <w:t>Given the high socioecological relevance of invasive alien species, it is essential to understand how future trends and impacts can be mitigated. There is a strong need to develop scenario narratives, and subsequent quantitative analyses, that assess possible outcomes of various potential trends in alien species distribution, spread and impacts on the environment, economy and society. Here the integration of all information, whether from scientific hypothesis testing or Indigenous and local knowledge, can be vital to developing realistic qualitative baselines to inform subsequent models. Together with robust and relevant targets (e.g., comparable to the 1.5°C target in the climate change discourse), scenarios can underpin decision-making by providing examples of various opportunities and avenues to reach these targets and so inform policy nationally and internationally.</w:t>
      </w:r>
    </w:p>
    <w:p w14:paraId="346B8062" w14:textId="00DAB02D" w:rsidR="00017C04" w:rsidRDefault="00F50AF9">
      <w:r>
        <w:t>Scenarios and model literature on biological invasions reveals several information needs about policy, future research and action on biological invasions. Most (about 70 per cent) of the studies including both scenarios and models were based on alien species distributions, with only 30 per cent of studies focusing on other biodiversity variables. Species abundance or impacts of invasive alien species and life-history information (e.g., growth, survival) are largely absent from scenarios (19 per cent, 9 per cent</w:t>
      </w:r>
      <w:r w:rsidR="00EB415D">
        <w:t xml:space="preserve"> and</w:t>
      </w:r>
      <w:r>
        <w:t xml:space="preserve"> 6 per cent of the publications). The literature is dominated by exploratory scenarios, while target-seeking and policy scenarios are only marginally represented (6 and 7 per cent respectively). Studies using expert-based opinion are practically absent in the available scenarios and models literature (only 1 per cent of papers consider expert opinions). Publications including scenarios and models largely neglect anthropogenic drivers such as demographics, governance, values</w:t>
      </w:r>
      <w:r w:rsidR="00EB415D">
        <w:t xml:space="preserve"> and</w:t>
      </w:r>
      <w:r>
        <w:t xml:space="preserve"> technology (each represented in less than 2 per cent of the publications), as well as interactions among different environmental, socio-economic, or cultural drivers. Finally, most studies do not consider policy and management (4 per cent and 21 per cent respectively). </w:t>
      </w:r>
    </w:p>
    <w:p w14:paraId="1B290459" w14:textId="2A5D2349" w:rsidR="00017C04" w:rsidRPr="007D5DC6" w:rsidRDefault="00F50AF9" w:rsidP="008521D1">
      <w:pPr>
        <w:pStyle w:val="Heading2"/>
        <w:rPr>
          <w:rStyle w:val="Heading2Char"/>
          <w:b/>
        </w:rPr>
      </w:pPr>
      <w:bookmarkStart w:id="556" w:name="_Toc974230256"/>
      <w:bookmarkStart w:id="557" w:name="_Toc133428353"/>
      <w:bookmarkStart w:id="558" w:name="_Toc133428805"/>
      <w:bookmarkStart w:id="559" w:name="_Toc147417600"/>
      <w:r w:rsidRPr="007D5DC6">
        <w:rPr>
          <w:rStyle w:val="Heading2Char"/>
          <w:b/>
        </w:rPr>
        <w:t>Options for strengthening the generation and flow of information relevant for policy and management</w:t>
      </w:r>
      <w:bookmarkEnd w:id="554"/>
      <w:bookmarkEnd w:id="555"/>
      <w:bookmarkEnd w:id="556"/>
      <w:bookmarkEnd w:id="557"/>
      <w:bookmarkEnd w:id="558"/>
      <w:bookmarkEnd w:id="559"/>
    </w:p>
    <w:p w14:paraId="0F988E85" w14:textId="57A131B5" w:rsidR="00017C04" w:rsidRDefault="00F50AF9">
      <w:r>
        <w:t>When facing information gaps during the development of governance and policy for biological invasions, or when planning for their management, understanding the type of information gap provides an effective guide for identifying the most appropriate decision-support tools (</w:t>
      </w:r>
      <w:r w:rsidR="00CE55F4" w:rsidRPr="00673554">
        <w:rPr>
          <w:rFonts w:eastAsia="Calibri Light"/>
          <w:b/>
          <w:iCs/>
        </w:rPr>
        <w:t>Figure</w:t>
      </w:r>
      <w:r>
        <w:rPr>
          <w:b/>
        </w:rPr>
        <w:t xml:space="preserve"> 6.18</w:t>
      </w:r>
      <w:r>
        <w:t>). Using a risk assessment framework, it is possible to identify information gaps on the likelihood of invasion outcomes and use this to construct knowledge response options (</w:t>
      </w:r>
      <w:r w:rsidR="0053093D" w:rsidRPr="00673554">
        <w:rPr>
          <w:rFonts w:eastAsia="Calibri Light"/>
          <w:b/>
          <w:iCs/>
        </w:rPr>
        <w:t>Figure</w:t>
      </w:r>
      <w:r>
        <w:rPr>
          <w:b/>
        </w:rPr>
        <w:t xml:space="preserve"> 6.18</w:t>
      </w:r>
      <w:r>
        <w:t xml:space="preserve">). This is also a mechanism for directly connecting specific management scenarios with </w:t>
      </w:r>
      <w:r>
        <w:lastRenderedPageBreak/>
        <w:t>scientific support tools, including those discussed in the following sections and elsewhere in the assessment (</w:t>
      </w:r>
      <w:r>
        <w:rPr>
          <w:b/>
        </w:rPr>
        <w:t>Chapter 5</w:t>
      </w:r>
      <w:r>
        <w:t>,</w:t>
      </w:r>
      <w:r>
        <w:rPr>
          <w:b/>
        </w:rPr>
        <w:t xml:space="preserve"> section 5.6.3.2</w:t>
      </w:r>
      <w:r>
        <w:t>).</w:t>
      </w:r>
    </w:p>
    <w:p w14:paraId="6AA04307" w14:textId="77777777" w:rsidR="00017C04" w:rsidRDefault="00F50AF9">
      <w:pPr>
        <w:jc w:val="center"/>
      </w:pPr>
      <w:r>
        <w:rPr>
          <w:noProof/>
        </w:rPr>
        <w:drawing>
          <wp:inline distT="0" distB="0" distL="0" distR="0" wp14:anchorId="2F4051E8" wp14:editId="5192EFB2">
            <wp:extent cx="6111240" cy="3996690"/>
            <wp:effectExtent l="0" t="0" r="0" b="0"/>
            <wp:docPr id="1868808440" name="image177.png" descr="A diagram of a type of knowledge g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7.png" descr="A diagram of a type of knowledge gap&#10;&#10;Description automatically generated"/>
                    <pic:cNvPicPr preferRelativeResize="0"/>
                  </pic:nvPicPr>
                  <pic:blipFill>
                    <a:blip r:embed="rId51"/>
                    <a:srcRect/>
                    <a:stretch>
                      <a:fillRect/>
                    </a:stretch>
                  </pic:blipFill>
                  <pic:spPr>
                    <a:xfrm>
                      <a:off x="0" y="0"/>
                      <a:ext cx="6111240" cy="3996690"/>
                    </a:xfrm>
                    <a:prstGeom prst="rect">
                      <a:avLst/>
                    </a:prstGeom>
                    <a:ln/>
                  </pic:spPr>
                </pic:pic>
              </a:graphicData>
            </a:graphic>
          </wp:inline>
        </w:drawing>
      </w:r>
    </w:p>
    <w:p w14:paraId="21386505" w14:textId="6D69CBFB" w:rsidR="00017C04" w:rsidRPr="007D5DC6" w:rsidRDefault="00F50AF9" w:rsidP="007D5DC6">
      <w:pPr>
        <w:keepNext/>
        <w:pBdr>
          <w:top w:val="nil"/>
          <w:left w:val="nil"/>
          <w:bottom w:val="nil"/>
          <w:right w:val="nil"/>
          <w:between w:val="nil"/>
        </w:pBdr>
      </w:pPr>
      <w:bookmarkStart w:id="560" w:name="_heading=h.1smtxgf" w:colFirst="0" w:colLast="0"/>
      <w:bookmarkStart w:id="561" w:name="_Ref104895106"/>
      <w:bookmarkStart w:id="562" w:name="_Toc147418313"/>
      <w:bookmarkStart w:id="563" w:name="_Hlk137726462"/>
      <w:bookmarkEnd w:id="560"/>
      <w:r w:rsidRPr="007D5DC6">
        <w:rPr>
          <w:b/>
          <w:color w:val="000000"/>
        </w:rPr>
        <w:t>Figure 6</w:t>
      </w:r>
      <w:r w:rsidR="001C362F" w:rsidRPr="00A9434B">
        <w:t>.</w:t>
      </w:r>
      <w:r w:rsidR="001C362F" w:rsidRPr="007D5DC6">
        <w:rPr>
          <w:b/>
          <w:bCs/>
        </w:rPr>
        <w:fldChar w:fldCharType="begin"/>
      </w:r>
      <w:r w:rsidR="001C362F" w:rsidRPr="007D5DC6">
        <w:rPr>
          <w:b/>
          <w:bCs/>
        </w:rPr>
        <w:instrText xml:space="preserve"> SEQ Figure_6. \* ARABIC </w:instrText>
      </w:r>
      <w:r w:rsidR="001C362F" w:rsidRPr="007D5DC6">
        <w:rPr>
          <w:b/>
          <w:bCs/>
        </w:rPr>
        <w:fldChar w:fldCharType="separate"/>
      </w:r>
      <w:r w:rsidR="0011368C" w:rsidRPr="007D5DC6">
        <w:rPr>
          <w:b/>
          <w:bCs/>
          <w:noProof/>
        </w:rPr>
        <w:t>18</w:t>
      </w:r>
      <w:r w:rsidR="001C362F" w:rsidRPr="007D5DC6">
        <w:rPr>
          <w:b/>
          <w:bCs/>
        </w:rPr>
        <w:fldChar w:fldCharType="end"/>
      </w:r>
      <w:bookmarkEnd w:id="561"/>
      <w:r w:rsidR="00EC226C" w:rsidRPr="007D5DC6">
        <w:rPr>
          <w:b/>
          <w:bCs/>
        </w:rPr>
        <w:t>.</w:t>
      </w:r>
      <w:r w:rsidRPr="007D5DC6">
        <w:t xml:space="preserve"> </w:t>
      </w:r>
      <w:r w:rsidRPr="007D5DC6">
        <w:rPr>
          <w:color w:val="000000"/>
        </w:rPr>
        <w:t>Governing invasive alien species knowledge. An understanding of the multiple reasons for invasive alien species knowledge being either incomplete or inadequate (left), leading to the identification of appropriate options for strengthening the evidence base for invasive alien species governance (right; position of quadrants in right panel match those on left). The categories show how traditional, linear invasive alien species risk analysis methods (lower left quadrants in each panel) are on their own inadequate tools for governing the knowledge on invasive alien species needed to inform policy. For example, “Assessments” outline the broad suite of policy questions relevant to biological invasion, make it clear that no single solution is adequate and that options can be context dependent (</w:t>
      </w:r>
      <w:r w:rsidRPr="007D5DC6">
        <w:rPr>
          <w:bdr w:val="none" w:sz="0" w:space="0" w:color="auto" w:frame="1"/>
        </w:rPr>
        <w:t xml:space="preserve">Stirling, </w:t>
      </w:r>
      <w:r w:rsidR="00CC5795" w:rsidRPr="00A9434B">
        <w:rPr>
          <w:b/>
          <w:bCs/>
          <w:bdr w:val="none" w:sz="0" w:space="0" w:color="auto" w:frame="1"/>
          <w:lang w:eastAsia="en-AU"/>
        </w:rPr>
        <w:fldChar w:fldCharType="begin"/>
      </w:r>
      <w:r w:rsidR="002D2756">
        <w:rPr>
          <w:bdr w:val="none" w:sz="0" w:space="0" w:color="auto" w:frame="1"/>
          <w:lang w:eastAsia="en-AU"/>
        </w:rPr>
        <w:instrText xml:space="preserve"> ADDIN ZOTERO_ITEM CSL_CITATION {"citationID":"aoafrrs4fr","properties":{"formattedCitation":"(2010)","plainCitation":"(2010)","dontUpdate":true,"noteIndex":0},"citationItems":[{"id":53362,"uris":["http://zotero.org/groups/2352922/items/KKRF52Y3"],"itemData":{"id":53362,"type":"article-journal","abstract":"When knowledge is uncertain, experts should avoid pressures to simplify their advice. Render decision-makers accountable for decisions, says Andy Stirling.","container-title":"Nature","DOI":"10.1038/4681029a","ISSN":"1476-4687","issue":"7327","language":"en","license":"2010 Nature Publishing Group, a division of Macmillan Publishers Limited. All Rights Reserved.","note":"number: 7327\npublisher: Nature Publishing Group","page":"1029-1031","source":"www.nature.com","title":"Keep it complex","URL":"https://doi.org/10.1038/4681029a","volume":"468","author":[{"family":"Stirling","given":"Andy"}],"accessed":{"date-parts":[["2022",9,15]]},"issued":{"date-parts":[["2010",12]]}},"label":"page","suppress-author":true}],"schema":"https://github.com/citation-style-language/schema/raw/master/csl-citation.json"} </w:instrText>
      </w:r>
      <w:r w:rsidR="00CC5795" w:rsidRPr="00A9434B">
        <w:rPr>
          <w:b/>
          <w:bCs/>
          <w:bdr w:val="none" w:sz="0" w:space="0" w:color="auto" w:frame="1"/>
          <w:lang w:eastAsia="en-AU"/>
        </w:rPr>
        <w:fldChar w:fldCharType="separate"/>
      </w:r>
      <w:r w:rsidR="00CC5795" w:rsidRPr="00A9434B">
        <w:t>2010)</w:t>
      </w:r>
      <w:r w:rsidR="00CC5795" w:rsidRPr="00A9434B">
        <w:rPr>
          <w:b/>
          <w:bCs/>
          <w:bdr w:val="none" w:sz="0" w:space="0" w:color="auto" w:frame="1"/>
          <w:lang w:eastAsia="en-AU"/>
        </w:rPr>
        <w:fldChar w:fldCharType="end"/>
      </w:r>
      <w:r w:rsidR="00CC5795" w:rsidRPr="00A9434B">
        <w:rPr>
          <w:bdr w:val="none" w:sz="0" w:space="0" w:color="auto" w:frame="1"/>
          <w:lang w:eastAsia="en-AU"/>
        </w:rPr>
        <w:t>.</w:t>
      </w:r>
      <w:r w:rsidR="00CC5795" w:rsidRPr="00CC5795">
        <w:t xml:space="preserve"> </w:t>
      </w:r>
      <w:r w:rsidR="005C180F" w:rsidRPr="00A9434B">
        <w:rPr>
          <w:bdr w:val="none" w:sz="0" w:space="0" w:color="auto" w:frame="1"/>
          <w:lang w:eastAsia="en-AU"/>
        </w:rPr>
        <w:t>Adapted</w:t>
      </w:r>
      <w:r w:rsidR="001C362F" w:rsidRPr="00A9434B">
        <w:rPr>
          <w:bdr w:val="none" w:sz="0" w:space="0" w:color="auto" w:frame="1"/>
          <w:lang w:eastAsia="en-AU"/>
        </w:rPr>
        <w:t xml:space="preserve"> from </w:t>
      </w:r>
      <w:r w:rsidR="00BF5C7F" w:rsidRPr="00A9434B">
        <w:rPr>
          <w:bdr w:val="none" w:sz="0" w:space="0" w:color="auto" w:frame="1"/>
          <w:lang w:eastAsia="en-AU"/>
        </w:rPr>
        <w:t xml:space="preserve">Linke et al. </w:t>
      </w:r>
      <w:r w:rsidR="005C180F" w:rsidRPr="00A9434B">
        <w:rPr>
          <w:b/>
          <w:bCs/>
          <w:bdr w:val="none" w:sz="0" w:space="0" w:color="auto" w:frame="1"/>
          <w:lang w:eastAsia="en-AU"/>
        </w:rPr>
        <w:fldChar w:fldCharType="begin"/>
      </w:r>
      <w:r w:rsidR="002D2756">
        <w:rPr>
          <w:bdr w:val="none" w:sz="0" w:space="0" w:color="auto" w:frame="1"/>
          <w:lang w:eastAsia="en-AU"/>
        </w:rPr>
        <w:instrText xml:space="preserve"> ADDIN ZOTERO_ITEM CSL_CITATION {"citationID":"a1tn207a8hh","properties":{"formattedCitation":"(2016)","plainCitation":"(2016)","noteIndex":0},"citationItems":[{"id":24019,"uris":["http://zotero.org/groups/2352922/items/XM93LHZS"],"itemData":{"id":24019,"type":"chapter","collection-title":"MARE Publication Series","container-title":"Environmental Governance of the Baltic Sea","event-place":"Cham","ISBN":"978-3-319-27006-7","note":"DOI: 10.1007/978-3-319-27006-7_8","page":"173-203","publisher":"Springer","publisher-place":"Cham","title":"Science-Policy Interfaces in Baltic Sea Environmental Governance: Towards Regional Cooperation and Management of Uncertainty?","URL":"https://link.springer.com/chapter/10.1007/978-3-319-27006-7_8","volume":"10","author":[{"family":"Linke","given":"Sebastian"},{"family":"Gilek","given":"Michael"},{"family":"Karlsson","given":"Mikael"}],"editor":[{"family":"Gilek","given":"M."},{"family":"Karlsson","given":"M."},{"family":"Linke","given":"S."},{"family":"Smolarz","given":"K."}],"issued":{"date-parts":[["2016"]]}},"label":"page","suppress-author":true}],"schema":"https://github.com/citation-style-language/schema/raw/master/csl-citation.json"} </w:instrText>
      </w:r>
      <w:r w:rsidR="005C180F" w:rsidRPr="00A9434B">
        <w:rPr>
          <w:b/>
          <w:bCs/>
          <w:bdr w:val="none" w:sz="0" w:space="0" w:color="auto" w:frame="1"/>
          <w:lang w:eastAsia="en-AU"/>
        </w:rPr>
        <w:fldChar w:fldCharType="separate"/>
      </w:r>
      <w:r w:rsidR="00C71E80" w:rsidRPr="00A9434B">
        <w:t>(2016)</w:t>
      </w:r>
      <w:r w:rsidR="005C180F" w:rsidRPr="00A9434B">
        <w:rPr>
          <w:b/>
          <w:bCs/>
          <w:bdr w:val="none" w:sz="0" w:space="0" w:color="auto" w:frame="1"/>
          <w:lang w:eastAsia="en-AU"/>
        </w:rPr>
        <w:fldChar w:fldCharType="end"/>
      </w:r>
      <w:r w:rsidR="006146B5" w:rsidRPr="006146B5">
        <w:t xml:space="preserve"> </w:t>
      </w:r>
      <w:hyperlink r:id="rId52" w:history="1">
        <w:r w:rsidR="006146B5" w:rsidRPr="006A0CE1">
          <w:rPr>
            <w:rStyle w:val="Hyperlink"/>
            <w:bdr w:val="none" w:sz="0" w:space="0" w:color="auto" w:frame="1"/>
            <w:lang w:eastAsia="en-AU"/>
          </w:rPr>
          <w:t>https://doi.org/10.1007/978-3-319-27006-7_8</w:t>
        </w:r>
      </w:hyperlink>
      <w:r w:rsidR="006146B5">
        <w:rPr>
          <w:bdr w:val="none" w:sz="0" w:space="0" w:color="auto" w:frame="1"/>
          <w:lang w:eastAsia="en-AU"/>
        </w:rPr>
        <w:t>, under license CC BY 4.0</w:t>
      </w:r>
      <w:r w:rsidR="00EB415D">
        <w:rPr>
          <w:bdr w:val="none" w:sz="0" w:space="0" w:color="auto" w:frame="1"/>
          <w:lang w:eastAsia="en-AU"/>
        </w:rPr>
        <w:t xml:space="preserve"> and</w:t>
      </w:r>
      <w:r w:rsidR="00BF5C7F" w:rsidRPr="00A9434B">
        <w:rPr>
          <w:bdr w:val="none" w:sz="0" w:space="0" w:color="auto" w:frame="1"/>
          <w:lang w:eastAsia="en-AU"/>
        </w:rPr>
        <w:t xml:space="preserve"> Stirling </w:t>
      </w:r>
      <w:r w:rsidR="00BF5C7F" w:rsidRPr="00A9434B">
        <w:rPr>
          <w:b/>
          <w:bCs/>
          <w:bdr w:val="none" w:sz="0" w:space="0" w:color="auto" w:frame="1"/>
          <w:lang w:eastAsia="en-AU"/>
        </w:rPr>
        <w:fldChar w:fldCharType="begin"/>
      </w:r>
      <w:r w:rsidR="002D2756">
        <w:rPr>
          <w:bdr w:val="none" w:sz="0" w:space="0" w:color="auto" w:frame="1"/>
          <w:lang w:eastAsia="en-AU"/>
        </w:rPr>
        <w:instrText xml:space="preserve"> ADDIN ZOTERO_ITEM CSL_CITATION {"citationID":"GL6ul7w8","properties":{"formattedCitation":"(2010)","plainCitation":"(2010)","noteIndex":0},"citationItems":[{"id":53362,"uris":["http://zotero.org/groups/2352922/items/KKRF52Y3"],"itemData":{"id":53362,"type":"article-journal","abstract":"When knowledge is uncertain, experts should avoid pressures to simplify their advice. Render decision-makers accountable for decisions, says Andy Stirling.","container-title":"Nature","DOI":"10.1038/4681029a","ISSN":"1476-4687","issue":"7327","language":"en","license":"2010 Nature Publishing Group, a division of Macmillan Publishers Limited. All Rights Reserved.","note":"number: 7327\npublisher: Nature Publishing Group","page":"1029-1031","source":"www.nature.com","title":"Keep it complex","URL":"https://doi.org/10.1038/4681029a","volume":"468","author":[{"family":"Stirling","given":"Andy"}],"accessed":{"date-parts":[["2022",9,15]]},"issued":{"date-parts":[["2010",12]]}},"label":"page","suppress-author":true}],"schema":"https://github.com/citation-style-language/schema/raw/master/csl-citation.json"} </w:instrText>
      </w:r>
      <w:r w:rsidR="00BF5C7F" w:rsidRPr="00A9434B">
        <w:rPr>
          <w:b/>
          <w:bCs/>
          <w:bdr w:val="none" w:sz="0" w:space="0" w:color="auto" w:frame="1"/>
          <w:lang w:eastAsia="en-AU"/>
        </w:rPr>
        <w:fldChar w:fldCharType="separate"/>
      </w:r>
      <w:r w:rsidR="00C71E80" w:rsidRPr="00A9434B">
        <w:t>(2010)</w:t>
      </w:r>
      <w:r w:rsidR="00BF5C7F" w:rsidRPr="00A9434B">
        <w:rPr>
          <w:b/>
          <w:bCs/>
          <w:bdr w:val="none" w:sz="0" w:space="0" w:color="auto" w:frame="1"/>
          <w:lang w:eastAsia="en-AU"/>
        </w:rPr>
        <w:fldChar w:fldCharType="end"/>
      </w:r>
      <w:r w:rsidR="006146B5" w:rsidRPr="006146B5">
        <w:t xml:space="preserve"> </w:t>
      </w:r>
      <w:hyperlink r:id="rId53" w:history="1">
        <w:r w:rsidR="006146B5" w:rsidRPr="006A0CE1">
          <w:rPr>
            <w:rStyle w:val="Hyperlink"/>
            <w:bdr w:val="none" w:sz="0" w:space="0" w:color="auto" w:frame="1"/>
            <w:lang w:eastAsia="en-AU"/>
          </w:rPr>
          <w:t>https://doi.org/10.1038/4681029a</w:t>
        </w:r>
      </w:hyperlink>
      <w:r w:rsidRPr="007D5DC6">
        <w:rPr>
          <w:bdr w:val="none" w:sz="0" w:space="0" w:color="auto" w:frame="1"/>
        </w:rPr>
        <w:t>, under copyright 2010, Springer Nature Limited.</w:t>
      </w:r>
      <w:bookmarkEnd w:id="562"/>
    </w:p>
    <w:p w14:paraId="0B8845DD" w14:textId="32A97793" w:rsidR="00017C04" w:rsidRDefault="00F50AF9" w:rsidP="007D5DC6">
      <w:pPr>
        <w:pStyle w:val="Heading3"/>
      </w:pPr>
      <w:bookmarkStart w:id="564" w:name="_heading=h.4cmhg48" w:colFirst="0" w:colLast="0"/>
      <w:bookmarkStart w:id="565" w:name="_Toc141586467"/>
      <w:bookmarkStart w:id="566" w:name="_Toc133428354"/>
      <w:bookmarkEnd w:id="563"/>
      <w:bookmarkEnd w:id="564"/>
      <w:r>
        <w:t>Citizen science as an option for generating information on invasive alien species</w:t>
      </w:r>
      <w:bookmarkEnd w:id="565"/>
      <w:bookmarkEnd w:id="566"/>
    </w:p>
    <w:p w14:paraId="1323C5F9" w14:textId="1A9E7AA2" w:rsidR="00CC4659" w:rsidRPr="00A9434B" w:rsidRDefault="1E4B2BF8" w:rsidP="006B3143">
      <w:r w:rsidRPr="00A9434B">
        <w:t>Ecological research has long benefited from the voluntary participation of the general public,</w:t>
      </w:r>
      <w:r w:rsidR="003B7FBA">
        <w:t xml:space="preserve"> with participating</w:t>
      </w:r>
      <w:r w:rsidRPr="00A9434B">
        <w:t xml:space="preserve"> </w:t>
      </w:r>
      <w:r w:rsidR="1255E379" w:rsidRPr="00A9434B">
        <w:t>members</w:t>
      </w:r>
      <w:r w:rsidR="349BE874" w:rsidRPr="00A9434B">
        <w:t xml:space="preserve"> often </w:t>
      </w:r>
      <w:r w:rsidR="00724E74">
        <w:t xml:space="preserve">being </w:t>
      </w:r>
      <w:r w:rsidR="349BE874" w:rsidRPr="00A9434B">
        <w:t>referred to as</w:t>
      </w:r>
      <w:r w:rsidRPr="00A9434B">
        <w:t xml:space="preserve"> citizen scientists </w:t>
      </w:r>
      <w:r w:rsidR="00CC4659" w:rsidRPr="00A9434B">
        <w:fldChar w:fldCharType="begin"/>
      </w:r>
      <w:r w:rsidR="00CC4659" w:rsidRPr="00A9434B">
        <w:instrText>ADDIN EN.CITE &lt;EndNote&gt;&lt;Cite&gt;&lt;Author&gt;Dickinson&lt;/Author&gt;&lt;Year&gt;2010&lt;/Year&gt;&lt;RecNum&gt;453&lt;/RecNum&gt;&lt;DisplayText&gt;(Dickinson, Zuckerberg et al. 2010)&lt;/DisplayText&gt;&lt;record&gt;&lt;rec-number&gt;254&lt;/rec-number&gt;&lt;foreign-keys&gt;&lt;key app="EN" db-id="0d55paxdcvwpebe55d1vrz5ne2pattprarta" timestamp="1597992735"&gt;254&lt;/key&gt;&lt;/foreign-keys&gt;&lt;ref-type name="Journal Article"&gt;17&lt;/ref-type&gt;&lt;contributors&gt;&lt;authors&gt;&lt;author&gt;Dickinson, Janis L.&lt;/author&gt;&lt;author&gt;Zuckerberg, Benjamin&lt;/author&gt;&lt;author&gt;Bonter, David N.&lt;/author&gt;&lt;/authors&gt;&lt;/contributors&gt;&lt;titles&gt;&lt;title&gt;Citizen Science as an Ecological Research Tool: Challenges and Benefits&lt;/title&gt;&lt;secondary-title&gt;Annual Review of Ecology, Evolution, and Systematics&lt;/secondary-title&gt;&lt;alt-title&gt;Annu. Rev. Ecol. Evol. Syst.&lt;/alt-title&gt;&lt;short-title&gt;Citizen Science as an Ecological Research Tool&lt;/short-title&gt;&lt;/titles&gt;&lt;periodical&gt;&lt;full-title&gt;Annual Review of Ecology, Evolution, and Systematics&lt;/full-title&gt;&lt;abbr-1&gt;Annu. Rev. Ecol. Evol. Syst.&lt;/abbr-1&gt;&lt;/periodical&gt;&lt;alt-periodical&gt;&lt;full-title&gt;Annual Review of Ecology, Evolution, and Systematics&lt;/full-title&gt;&lt;abbr-1&gt;Annu. Rev. Ecol. Evol. Syst.&lt;/abbr-1&gt;&lt;/alt-periodical&gt;&lt;pages&gt;149-172&lt;/pages&gt;&lt;volume&gt;41&lt;/volume&gt;&lt;number&gt;1&lt;/number&gt;&lt;dates&gt;&lt;year&gt;2010&lt;/year&gt;&lt;pub-dates&gt;&lt;date&gt;2010/12//&lt;/date&gt;&lt;/pub-dates&gt;&lt;/dates&gt;&lt;isbn&gt;1543-592X, 1545-2069&lt;/isbn&gt;&lt;urls&gt;&lt;related-urls&gt;&lt;url&gt;http://www.annualreviews.org/doi/10.1146/annurev-ecolsys-102209-144636&lt;/url&gt;&lt;/related-urls&gt;&lt;/urls&gt;&lt;electronic-resource-num&gt;10.1146/annurev-ecolsys-102209-144636&lt;/electronic-resource-num&gt;&lt;remote-database-provider&gt;DOI.org (Crossref)&lt;/remote-database-provider&gt;&lt;language&gt;en&lt;/language&gt;&lt;access-date&gt;2019/11/04/18:21:12&lt;/access-date&gt;&lt;/record&gt;&lt;/Cite&gt;&lt;/EndNote&gt;</w:instrText>
      </w:r>
      <w:r w:rsidR="00CC4659" w:rsidRPr="00A9434B">
        <w:fldChar w:fldCharType="separate"/>
      </w:r>
      <w:r w:rsidR="00CC4659" w:rsidRPr="00A9434B">
        <w:fldChar w:fldCharType="begin"/>
      </w:r>
      <w:r w:rsidR="002D2756">
        <w:instrText xml:space="preserve"> ADDIN ZOTERO_ITEM CSL_CITATION {"citationID":"dsjtsYvS","properties":{"formattedCitation":"(Dickinson et al., 2010)","plainCitation":"(Dickinson et al., 2010)","dontUpdate":true,"noteIndex":0},"citationItems":[{"id":15698,"uris":["http://zotero.org/groups/2352922/items/LKRAMNF8"],"itemData":{"id":15698,"type":"article-journal","container-title":"Annual Review of Ecology, Evolution, and Systematics","DOI":"10.1146/annurev-ecolsys-102209-144636","ISSN":"1543-592X, 1545-2069","issue":"1","journalAbbreviation":"Annu. Rev. Ecol. Evol. Syst.","language":"en","page":"149-172","source":"DOI.org (Crossref)","title":"Citizen Science as an Ecological Research Tool: Challenges and Benefits","title-short":"Citizen Science as an Ecological Research Tool","URL":"http://www.annualreviews.org/doi/10.1146/annurev-ecolsys-102209-144636","volume":"41","author":[{"family":"Dickinson","given":"Janis L."},{"family":"Zuckerberg","given":"Benjamin"},{"family":"Bonter","given":"David N."}],"accessed":{"date-parts":[["2019",11,5]]},"issued":{"date-parts":[["2010",12]]}},"label":"page"}],"schema":"https://github.com/citation-style-language/schema/raw/master/csl-citation.json"} </w:instrText>
      </w:r>
      <w:r w:rsidR="00CC4659" w:rsidRPr="00A9434B">
        <w:fldChar w:fldCharType="separate"/>
      </w:r>
      <w:r w:rsidR="00F55BC6" w:rsidRPr="00F55BC6">
        <w:t>(Dickinson et al., 2010</w:t>
      </w:r>
      <w:r w:rsidR="00CC4659" w:rsidRPr="00A9434B">
        <w:fldChar w:fldCharType="end"/>
      </w:r>
      <w:r w:rsidR="00CC4659" w:rsidRPr="00A9434B">
        <w:fldChar w:fldCharType="end"/>
      </w:r>
      <w:r w:rsidR="034E104D" w:rsidRPr="00A9434B">
        <w:t xml:space="preserve">; </w:t>
      </w:r>
      <w:r w:rsidR="00EB1D37">
        <w:rPr>
          <w:b/>
          <w:iCs/>
        </w:rPr>
        <w:t>C</w:t>
      </w:r>
      <w:r w:rsidR="034E104D" w:rsidRPr="00673554">
        <w:rPr>
          <w:b/>
          <w:iCs/>
        </w:rPr>
        <w:t>hapter 1</w:t>
      </w:r>
      <w:r w:rsidR="034E104D" w:rsidRPr="00673554">
        <w:rPr>
          <w:iCs/>
        </w:rPr>
        <w:t>,</w:t>
      </w:r>
      <w:r w:rsidR="034E104D" w:rsidRPr="00673554">
        <w:rPr>
          <w:b/>
          <w:iCs/>
        </w:rPr>
        <w:t xml:space="preserve"> Box 1.1</w:t>
      </w:r>
      <w:r w:rsidR="00FF1550" w:rsidRPr="00673554">
        <w:rPr>
          <w:b/>
          <w:iCs/>
        </w:rPr>
        <w:t>5</w:t>
      </w:r>
      <w:r w:rsidR="000B14E6" w:rsidRPr="00EB1D37">
        <w:t>;</w:t>
      </w:r>
      <w:r w:rsidR="034E104D" w:rsidRPr="00673554">
        <w:rPr>
          <w:b/>
          <w:iCs/>
        </w:rPr>
        <w:t xml:space="preserve"> </w:t>
      </w:r>
      <w:r w:rsidR="00EB1D37">
        <w:rPr>
          <w:b/>
          <w:iCs/>
        </w:rPr>
        <w:t>C</w:t>
      </w:r>
      <w:r w:rsidR="034E104D" w:rsidRPr="00673554">
        <w:rPr>
          <w:b/>
          <w:iCs/>
        </w:rPr>
        <w:t>hapter 5</w:t>
      </w:r>
      <w:r w:rsidR="034E104D" w:rsidRPr="00673554">
        <w:rPr>
          <w:iCs/>
        </w:rPr>
        <w:t xml:space="preserve">, </w:t>
      </w:r>
      <w:r w:rsidR="034E104D" w:rsidRPr="00673554">
        <w:rPr>
          <w:b/>
          <w:iCs/>
        </w:rPr>
        <w:t>section 5.4.3.2</w:t>
      </w:r>
      <w:r w:rsidR="00DF6EFC" w:rsidRPr="00673554">
        <w:rPr>
          <w:b/>
          <w:iCs/>
        </w:rPr>
        <w:t>.a</w:t>
      </w:r>
      <w:r w:rsidR="034E104D" w:rsidRPr="00A9434B">
        <w:t>)</w:t>
      </w:r>
      <w:r w:rsidRPr="00A9434B">
        <w:t xml:space="preserve">. In recent decades, citizen science has emerged as an indispensable tool for generating complementary data and </w:t>
      </w:r>
      <w:r w:rsidR="20C11934" w:rsidRPr="00A9434B">
        <w:t>information</w:t>
      </w:r>
      <w:r w:rsidRPr="00A9434B">
        <w:t xml:space="preserve"> relevant to addressing the problems of </w:t>
      </w:r>
      <w:r w:rsidR="007D5DC6">
        <w:t xml:space="preserve">invasive alien species </w:t>
      </w:r>
      <w:r w:rsidRPr="00A9434B">
        <w:t xml:space="preserve">and other global environmental changes </w:t>
      </w:r>
      <w:r w:rsidR="00CC4659" w:rsidRPr="00A9434B">
        <w:fldChar w:fldCharType="begin"/>
      </w:r>
      <w:r w:rsidR="00CC4659" w:rsidRPr="00A9434B">
        <w:instrText>ADDIN EN.CITE &lt;EndNote&gt;&lt;Cite&gt;&lt;Author&gt;Theobald&lt;/Author&gt;&lt;Year&gt;2015&lt;/Year&gt;&lt;RecNum&gt;458&lt;/RecNum&gt;&lt;DisplayText&gt;(Theobald, Ettinger et al. 2015)&lt;/DisplayText&gt;&lt;record&gt;&lt;rec-number&gt;255&lt;/rec-number&gt;&lt;foreign-keys&gt;&lt;key app="EN" db-id="0d55paxdcvwpebe55d1vrz5ne2pattprarta" timestamp="1597992735"&gt;255&lt;/key&gt;&lt;/foreign-keys&gt;&lt;ref-type name="Journal Article"&gt;17&lt;/ref-type&gt;&lt;contributors&gt;&lt;authors&gt;&lt;author&gt;Theobald, E. J.&lt;/author&gt;&lt;author&gt;Ettinger, A. K.&lt;/author&gt;&lt;author&gt;Burgess, H. K.&lt;/author&gt;&lt;author&gt;DeBey, L. B.&lt;/author&gt;&lt;author&gt;Schmidt, N. R.&lt;/author&gt;&lt;author&gt;Froehlich, H. E.&lt;/author&gt;&lt;author&gt;Wagner, C.&lt;/author&gt;&lt;author&gt;HilleRisLambers, J.&lt;/author&gt;&lt;author&gt;Tewksbury, J.&lt;/author&gt;&lt;author&gt;Harsch, M. A.&lt;/author&gt;&lt;author&gt;Parrish, J. K.&lt;/author&gt;&lt;/authors&gt;&lt;/contributors&gt;&lt;titles&gt;&lt;title&gt;Global change and local solutions: Tapping the unrealized potential of citizen science for biodiversity research&lt;/title&gt;&lt;secondary-title&gt;Biological Conservation&lt;/secondary-title&gt;&lt;alt-title&gt;Biological Conservation&lt;/alt-title&gt;&lt;short-title&gt;Global change and local solutions&lt;/short-title&gt;&lt;/titles&gt;&lt;periodical&gt;&lt;full-title&gt;Biological Conservation&lt;/full-title&gt;&lt;abbr-1&gt;Biol Conserv&lt;/abbr-1&gt;&lt;/periodical&gt;&lt;alt-periodical&gt;&lt;full-title&gt;Biological Conservation&lt;/full-title&gt;&lt;abbr-1&gt;Biol Conserv&lt;/abbr-1&gt;&lt;/alt-periodical&gt;&lt;pages&gt;236-244&lt;/pages&gt;&lt;volume&gt;181&lt;/volume&gt;&lt;dates&gt;&lt;year&gt;2015&lt;/year&gt;&lt;pub-dates&gt;&lt;date&gt;2015/01//&lt;/date&gt;&lt;/pub-dates&gt;&lt;/dates&gt;&lt;isbn&gt;00063207&lt;/isbn&gt;&lt;urls&gt;&lt;related-urls&gt;&lt;url&gt;https://linkinghub.elsevier.com/retrieve/pii/S0006320714004029&lt;/url&gt;&lt;/related-urls&gt;&lt;/urls&gt;&lt;electronic-resource-num&gt;10.1016/j.biocon.2014.10.021&lt;/electronic-resource-num&gt;&lt;remote-database-provider&gt;DOI.org (Crossref)&lt;/remote-database-provider&gt;&lt;language&gt;en&lt;/language&gt;&lt;access-date&gt;2019/10/26/07:51:28&lt;/access-date&gt;&lt;/record&gt;&lt;/Cite&gt;&lt;/EndNote&gt;</w:instrText>
      </w:r>
      <w:r w:rsidR="00CC4659" w:rsidRPr="00A9434B">
        <w:fldChar w:fldCharType="separate"/>
      </w:r>
      <w:r w:rsidR="00CC4659" w:rsidRPr="00A9434B">
        <w:fldChar w:fldCharType="begin"/>
      </w:r>
      <w:r w:rsidR="002D2756">
        <w:instrText xml:space="preserve"> ADDIN ZOTERO_ITEM CSL_CITATION {"citationID":"a20nhfjl7tl","properties":{"formattedCitation":"(Theobald et al., 2015)","plainCitation":"(Theobald et al., 2015)","noteIndex":0},"citationItems":[{"id":15547,"uris":["http://zotero.org/groups/2352922/items/DH69QR3M"],"itemData":{"id":15547,"type":"article-journal","container-title":"Biological Conservation","DOI":"10.1016/j.biocon.2014.10.021","ISSN":"00063207","journalAbbreviation":"Biological Conservation","language":"en","page":"236-244","source":"DOI.org (Crossref)","title":"Global change and local solutions: Tapping the unrealized potential of citizen science for biodiversity research","title-short":"Global change and local solutions","URL":"https://linkinghub.elsevier.com/retrieve/pii/S0006320714004029","volume":"181","author":[{"family":"Theobald","given":"E.J."},{"family":"Ettinger","given":"A.K."},{"family":"Burgess","given":"H.K."},{"family":"DeBey","given":"L.B."},{"family":"Schmidt","given":"N.R."},{"family":"Froehlich","given":"H.E."},{"family":"Wagner","given":"C."},{"family":"HilleRisLambers","given":"J."},{"family":"Tewksbury","given":"J."},{"family":"Harsch","given":"M.A."},{"family":"Parrish","given":"J.K."}],"accessed":{"date-parts":[["2019",10,26]]},"issued":{"date-parts":[["2015",1]]}},"label":"page"}],"schema":"https://github.com/citation-style-language/schema/raw/master/csl-citation.json"} </w:instrText>
      </w:r>
      <w:r w:rsidR="00CC4659" w:rsidRPr="00A9434B">
        <w:fldChar w:fldCharType="separate"/>
      </w:r>
      <w:r w:rsidR="00C71E80" w:rsidRPr="00A9434B">
        <w:t>(Theobald et al., 2015)</w:t>
      </w:r>
      <w:r w:rsidR="00CC4659" w:rsidRPr="00A9434B">
        <w:fldChar w:fldCharType="end"/>
      </w:r>
      <w:r w:rsidR="00CC4659" w:rsidRPr="00A9434B">
        <w:fldChar w:fldCharType="end"/>
      </w:r>
      <w:r w:rsidRPr="00A9434B">
        <w:t xml:space="preserve"> by tapping the potential of technologies from websites to smartphones for recording biological and environmental data </w:t>
      </w:r>
      <w:r w:rsidR="00CC4659" w:rsidRPr="00A9434B">
        <w:fldChar w:fldCharType="begin"/>
      </w:r>
      <w:r w:rsidR="002D2756">
        <w:instrText xml:space="preserve"> ADDIN ZOTERO_ITEM CSL_CITATION {"citationID":"ag6h4aeibg","properties":{"formattedCitation":"(August et al., 2015)","plainCitation":"(August et al., 2015)","noteIndex":0},"citationItems":[{"id":11526,"uris":["http://zotero.org/groups/2352922/items/CBDYFWVF"],"itemData":{"id":11526,"type":"article-journal","container-title":"Biological Journal of the Linnean Society","DOI":"10.1111/bij.12534","ISSN":"00244066","issue":"3","journalAbbreviation":"Biol J Linn Soc Lond","language":"en","page":"731-749","source":"DOI.org (Crossref)","title":"Emerging technologies for biological recording","title-short":"Emerging technologies for biological recording","URL":"https://academic.oup.com/biolinnean/article-lookup/doi/10.1111/bij.12534","volume":"115","author":[{"family":"August","given":"Tom"},{"family":"Harvey","given":"Martin"},{"family":"Lightfoot","given":"Paula"},{"family":"Kilbey","given":"David"},{"family":"Papadopoulos","given":"Timos"},{"family":"Jepson","given":"Paul"}],"accessed":{"date-parts":[["2019",10,12]]},"issued":{"date-parts":[["2015",7]]}},"label":"page"}],"schema":"https://github.com/citation-style-language/schema/raw/master/csl-citation.json"} </w:instrText>
      </w:r>
      <w:r w:rsidR="00CC4659" w:rsidRPr="00A9434B">
        <w:fldChar w:fldCharType="separate"/>
      </w:r>
      <w:r w:rsidR="00C71E80" w:rsidRPr="00A9434B">
        <w:t>(August et al., 2015)</w:t>
      </w:r>
      <w:r w:rsidR="00CC4659" w:rsidRPr="00A9434B">
        <w:fldChar w:fldCharType="end"/>
      </w:r>
      <w:r w:rsidRPr="00A9434B">
        <w:t xml:space="preserve">. </w:t>
      </w:r>
      <w:r w:rsidR="42AF4E49" w:rsidRPr="00A9434B">
        <w:t>C</w:t>
      </w:r>
      <w:r w:rsidRPr="00A9434B">
        <w:t>itizen science approach</w:t>
      </w:r>
      <w:r w:rsidR="7410F56E" w:rsidRPr="00A9434B">
        <w:t>es</w:t>
      </w:r>
      <w:r w:rsidRPr="00A9434B">
        <w:t xml:space="preserve"> can cover larger geographic areas and collect data over a longer period of time than professional scientists</w:t>
      </w:r>
      <w:r w:rsidR="12B407D0" w:rsidRPr="00A9434B">
        <w:t xml:space="preserve"> alone</w:t>
      </w:r>
      <w:r w:rsidRPr="00A9434B">
        <w:t xml:space="preserve"> with the investment of comparable resources </w:t>
      </w:r>
      <w:r w:rsidR="00CC4659" w:rsidRPr="00A9434B">
        <w:fldChar w:fldCharType="begin"/>
      </w:r>
      <w:r w:rsidR="002D2756">
        <w:instrText xml:space="preserve"> ADDIN ZOTERO_ITEM CSL_CITATION {"citationID":"a25b10ngihf","properties":{"formattedCitation":"(McKinley et al., 2017)","plainCitation":"(McKinley et al., 2017)","noteIndex":0},"citationItems":[{"id":21543,"uris":["http://zotero.org/groups/2352922/items/NRZ5ZHP4"],"itemData":{"id":21543,"type":"article-journal","abstract":"Citizen science has advanced science for hundreds of years, contributed to many peer-reviewed articles, and informed land management decisions and policies across the United States. Over the last 10years, citizen science has grown immensely in the United States and many other countries. Here, we show how citizen science is a powerful tool for tackling many of the challenges faced in the field of conservation biology. We describe the two interwoven paths by which citizen science can improve conservation efforts, natural resource management, and environmental protection. The first path includes building scientific knowledge, while the other path involves informing policy and encouraging public action. We explore how citizen science is currently used and describe the investments needed to create a citizen science program. We find that:1.Citizen science already contributes substantially to many domains of science, including conservation, natural resource, and environmental science. Citizen science informs natural resource management, environmental protection, and policymaking and fosters public input and engagement.2.Many types of projects can benefit from citizen science, but one must be careful to match the needs for science and public involvement with the right type of citizen science project and the right method of public participation.3.Citizen science is a rigorous process of scientific discovery, indistinguishable from conventional science apart from the participation of volunteers. When properly designed, carried out, and evaluated, citizen science can provide sound science, efficiently generate high-quality data, and help solve problems.","collection-title":"The role of citizen science in biological conservation","container-title":"Biological Conservation","DOI":"10.1016/j.biocon.2016.05.015","ISSN":"0006-3207","journalAbbreviation":"Biological Conservation","language":"en","page":"15-28","source":"ScienceDirect","title":"Citizen science can improve conservation science, natural resource management, and environmental protection","URL":"http://www.sciencedirect.com/science/article/pii/S0006320716301963","volume":"208","author":[{"family":"McKinley","given":"Duncan C."},{"family":"Miller-Rushing","given":"Abe J."},{"family":"Ballard","given":"Heidi L."},{"family":"Bonney","given":"Rick"},{"family":"Brown","given":"Hutch"},{"family":"Cook-Patton","given":"Susan C."},{"family":"Evans","given":"Daniel M."},{"family":"French","given":"Rebecca A."},{"family":"Parrish","given":"Julia K."},{"family":"Phillips","given":"Tina B."},{"family":"Ryan","given":"Sean F."},{"family":"Shanley","given":"Lea A."},{"family":"Shirk","given":"Jennifer L."},{"family":"Stepenuck","given":"Kristine F."},{"family":"Weltzin","given":"Jake F."},{"family":"Wiggins","given":"Andrea"},{"family":"Boyle","given":"Owen D."},{"family":"Briggs","given":"Russell D."},{"family":"Chapin","given":"Stuart F."},{"family":"Hewitt","given":"David A."},{"family":"Preuss","given":"Peter W."},{"family":"Soukup","given":"Michael A."}],"accessed":{"date-parts":[["2020",4,3]]},"issued":{"date-parts":[["2017",4,1]]}},"label":"page"}],"schema":"https://github.com/citation-style-language/schema/raw/master/csl-citation.json"} </w:instrText>
      </w:r>
      <w:r w:rsidR="00CC4659" w:rsidRPr="00A9434B">
        <w:fldChar w:fldCharType="separate"/>
      </w:r>
      <w:r w:rsidR="00C71E80" w:rsidRPr="00A9434B">
        <w:t>(McKinley et al., 2017)</w:t>
      </w:r>
      <w:r w:rsidR="00CC4659" w:rsidRPr="00A9434B">
        <w:fldChar w:fldCharType="end"/>
      </w:r>
      <w:r w:rsidR="1255E379" w:rsidRPr="00A9434B">
        <w:t xml:space="preserve"> and </w:t>
      </w:r>
      <w:r w:rsidRPr="00A9434B">
        <w:t xml:space="preserve">has contributed substantially to monitoring of global biodiversity </w:t>
      </w:r>
      <w:r w:rsidR="00CC4659" w:rsidRPr="00A9434B">
        <w:fldChar w:fldCharType="begin"/>
      </w:r>
      <w:r w:rsidR="00CC4659" w:rsidRPr="00A9434B">
        <w:instrText>ADDIN EN.CITE &lt;EndNote&gt;&lt;Cite&gt;&lt;Author&gt;Chandler&lt;/Author&gt;&lt;Year&gt;2017&lt;/Year&gt;&lt;RecNum&gt;440&lt;/RecNum&gt;&lt;DisplayText&gt;(Chandler, See et al. 2017)&lt;/DisplayText&gt;&lt;record&gt;&lt;rec-number&gt;258&lt;/rec-number&gt;&lt;foreign-keys&gt;&lt;key app="EN" db-id="0d55paxdcvwpebe55d1vrz5ne2pattprarta" timestamp="1597992735"&gt;258&lt;/key&gt;&lt;/foreign-keys&gt;&lt;ref-type name="Journal Article"&gt;17&lt;/ref-type&gt;&lt;contributors&gt;&lt;authors&gt;&lt;author&gt;Chandler, Mark&lt;/author&gt;&lt;author&gt;See, Linda&lt;/author&gt;&lt;author&gt;Copas, Kyle&lt;/author&gt;&lt;author&gt;Bonde, Astrid M. Z.&lt;/author&gt;&lt;author&gt;López, Bernat Claramunt&lt;/author&gt;&lt;author&gt;Danielsen, Finn&lt;/author&gt;&lt;author&gt;Legind, Jan Kristoffer&lt;/author&gt;&lt;author&gt;Masinde, Siro&lt;/author&gt;&lt;author&gt;Miller-Rushing, Abraham J.&lt;/author&gt;&lt;author&gt;Newman, Greg&lt;/author&gt;&lt;author&gt;Rosemartin, Alyssa&lt;/author&gt;&lt;/authors&gt;&lt;/contributors&gt;&lt;titles&gt;&lt;title&gt;Contribution of citizen science towards international biodiversity monitoring&lt;/title&gt;&lt;secondary-title&gt;Biological Conservation&lt;/secondary-title&gt;&lt;alt-title&gt;Biological Conservation&lt;/alt-title&gt;&lt;/titles&gt;&lt;periodical&gt;&lt;full-title&gt;Biological Conservation&lt;/full-title&gt;&lt;abbr-1&gt;Biol Conserv&lt;/abbr-1&gt;&lt;/periodical&gt;&lt;alt-periodical&gt;&lt;full-title&gt;Biological Conservation&lt;/full-title&gt;&lt;abbr-1&gt;Biol Conserv&lt;/abbr-1&gt;&lt;/alt-periodical&gt;&lt;pages&gt;280-294&lt;/pages&gt;&lt;volume&gt;213&lt;/volume&gt;&lt;keywords&gt;&lt;keyword&gt;Citizen science&lt;/keyword&gt;&lt;keyword&gt;Community-based monitoring&lt;/keyword&gt;&lt;keyword&gt;Databases&lt;/keyword&gt;&lt;keyword&gt;Essential biodiversity variables (EBV)&lt;/keyword&gt;&lt;keyword&gt;Global Biodiversity Information Facility (GBIF)&lt;/keyword&gt;&lt;keyword&gt;Group on Earth Observations Biodiversity Observati&lt;/keyword&gt;&lt;keyword&gt;Group on Earth Observations Biodiversity Observation Network (GEO BON)&lt;/keyword&gt;&lt;/keywords&gt;&lt;dates&gt;&lt;year&gt;2017&lt;/year&gt;&lt;pub-dates&gt;&lt;date&gt;2017/09//&lt;/date&gt;&lt;/pub-dates&gt;&lt;/dates&gt;&lt;isbn&gt;0006-3207&lt;/isbn&gt;&lt;urls&gt;&lt;related-urls&gt;&lt;url&gt;https://www.sciencedirect.com/science/article/pii/S0006320716303639?via%3Dihub&lt;/url&gt;&lt;/related-urls&gt;&lt;/urls&gt;&lt;electronic-resource-num&gt;10.1016/J.BIOCON.2016.09.004&lt;/electronic-resource-num&gt;&lt;remote-database-name&gt;Scopus&lt;/remote-database-name&gt;&lt;language&gt;en&lt;/language&gt;&lt;/record&gt;&lt;/Cite&gt;&lt;/EndNote&gt;</w:instrText>
      </w:r>
      <w:r w:rsidR="00CC4659" w:rsidRPr="00A9434B">
        <w:fldChar w:fldCharType="separate"/>
      </w:r>
      <w:r w:rsidR="00CC4659" w:rsidRPr="00A9434B">
        <w:fldChar w:fldCharType="begin"/>
      </w:r>
      <w:r w:rsidR="002D2756">
        <w:instrText xml:space="preserve"> ADDIN ZOTERO_ITEM CSL_CITATION {"citationID":"a5s0uiigvu","properties":{"formattedCitation":"(Chandler et al., 2017)","plainCitation":"(Chandler et al., 2017)","noteIndex":0},"citationItems":[{"id":17047,"uris":["http://zotero.org/groups/2352922/items/2LEEP9SX"],"itemData":{"id":17047,"type":"article-journal","abstract":"To meet collective obligations towards biodiversity conservation and monitoring, it is essential that the world's governments and non-governmental organisations as well as the research community tap all possible sources of data and information, including new, fast-growing sources such as citizen science (CS), in which volunteers participate in some or all aspects of environmental assessments. Through compilation of a database on CS and community-based monitoring (CBM, a subset of CS) programs, we assess where contributions from CS and CBM are significant and where opportunities for growth exist. We use the Essential Biodiversity Variable framework to describe the range of biodiversity data needed to track progress towards global biodiversity targets, and we assess strengths and gaps in geographical and taxonomic coverage. Our results show that existing CS and CBM data particularly provide large-scale data on species distribution and population abundance, species traits such as phenology, and ecosystem function variables such as primary and secondary productivity. Only birds, Lepidoptera and plants are monitored at scale. Most CS schemes are found in Europe, North America, South Africa, India, and Australia. We then explore what can be learned from successful CS/CBM programs that would facilitate the scaling up of current efforts, how existing strengths in data coverage can be better exploited, and the strategies that could maximise the synergies between CS/CBM and other approaches for monitoring biodiversity, in particular from remote sensing. More and better targeted funding will be needed, if CS/CBM programs are to contribute further to international biodiversity monitoring.","container-title":"Biological Conservation","DOI":"10.1016/J.BIOCON.2016.09.004","ISSN":"0006-3207","journalAbbreviation":"Biological Conservation","language":"en","page":"280–294","title":"Contribution of citizen science towards international biodiversity monitoring","URL":"https://www.sciencedirect.com/science/article/pii/S0006320716303639?via%3Dihub","volume":"213","author":[{"family":"Chandler","given":"Mark"},{"family":"See","given":"Linda"},{"family":"Copas","given":"Kyle"},{"family":"Bonde","given":"Astrid M.Z."},{"family":"López","given":"Bernat Claramunt"},{"family":"Danielsen","given":"Finn"},{"family":"Legind","given":"Jan Kristoffer"},{"family":"Masinde","given":"Siro"},{"family":"Miller-Rushing","given":"Abraham J."},{"family":"Newman","given":"Greg"},{"family":"Rosemartin","given":"Alyssa"},{"family":"Turak","given":"Eren"}],"issued":{"date-parts":[["2017",9]]}},"label":"page"}],"schema":"https://github.com/citation-style-language/schema/raw/master/csl-citation.json"} </w:instrText>
      </w:r>
      <w:r w:rsidR="00CC4659" w:rsidRPr="00A9434B">
        <w:fldChar w:fldCharType="separate"/>
      </w:r>
      <w:r w:rsidR="00C71E80" w:rsidRPr="00A9434B">
        <w:t>(Chandler et al., 2017)</w:t>
      </w:r>
      <w:r w:rsidR="00CC4659" w:rsidRPr="00A9434B">
        <w:fldChar w:fldCharType="end"/>
      </w:r>
      <w:r w:rsidR="00CC4659" w:rsidRPr="00A9434B">
        <w:fldChar w:fldCharType="end"/>
      </w:r>
      <w:r w:rsidRPr="00A9434B">
        <w:t>. Some citizen science initiatives have filled geographic gaps for particular taxa</w:t>
      </w:r>
      <w:r w:rsidR="0B715CE9" w:rsidRPr="00A9434B">
        <w:t xml:space="preserve"> </w:t>
      </w:r>
      <w:r w:rsidR="559C0934" w:rsidRPr="00A9434B">
        <w:t>(</w:t>
      </w:r>
      <w:r w:rsidR="775A821C" w:rsidRPr="00A9434B">
        <w:t xml:space="preserve">e.g., </w:t>
      </w:r>
      <w:r w:rsidRPr="00A9434B">
        <w:t xml:space="preserve">eBird; </w:t>
      </w:r>
      <w:r w:rsidR="00CC4659" w:rsidRPr="00A9434B">
        <w:fldChar w:fldCharType="begin"/>
      </w:r>
      <w:r w:rsidR="002D2756">
        <w:instrText xml:space="preserve"> ADDIN ZOTERO_ITEM CSL_CITATION {"citationID":"eSSsTZ7v","properties":{"formattedCitation":"(Amano et al., 2016; B. L. Sullivan et al., 2014)","plainCitation":"(Amano et al., 2016; B. L. Sullivan et al., 2014)","dontUpdate":true,"noteIndex":0},"citationItems":[{"id":16130,"uris":["http://zotero.org/groups/2352922/items/WHLHEUW5"],"itemData":{"id":16130,"type":"article-journal","container-title":"BioScience","DOI":"10.1093/biosci/biw022","ISSN":"1525-3244, 0006-3568","issue":"5","language":"en","page":"393-400","source":"DOI.org (Crossref)","title":"Spatial Gaps in Global Biodiversity Information and the Role of Citizen Science","URL":"http://academic.oup.com/bioscience/article/66/5/393/2468614/Spatial-Gaps-in-Global-Biodiversity-Information","volume":"66","author":[{"family":"Amano","given":"Tatsuya"},{"family":"Lamming","given":"James D. L."},{"family":"Sutherland","given":"William J."}],"accessed":{"date-parts":[["2019",11,23]]},"issued":{"date-parts":[["2016",5,1]]}},"label":"page"},{"id":11116,"uris":["http://zotero.org/groups/2352922/items/EECUYPAW"],"itemData":{"id":11116,"type":"article-journal","container-title":"Biological Conservation","DOI":"https://doi.org/10.1016/j.biocon.2013.11.003","note":"ISBN: 0006-3207\npublisher: Elsevier","page":"31-40","title":"The eBird enterprise: an integrated approach to development and application of citizen science","volume":"169","author":[{"family":"Sullivan","given":"Brian L."},{"family":"Aycrigg","given":"Jocelyn L."},{"family":"Barry","given":"Jessie H."},{"family":"Bonney","given":"Rick E."},{"family":"Bruns","given":"Nicholas"},{"family":"Cooper","given":"Caren B."},{"family":"Damoulas","given":"Theo"},{"family":"Dhondt","given":"André A."},{"family":"Dietterich","given":"Tom"},{"family":"Farnsworth","given":"Andrew"},{"family":"Fink","given":"Daniel"},{"family":"Fitzpatrick","given":"John W."},{"family":"Fredericks","given":"Thomas"},{"family":"Gerbracht","given":"Jeff"},{"family":"Gomes","given":"Carla"},{"family":"Hochachka","given":"Wesley M."},{"family":"Iliff","given":"Marshall J."},{"family":"Lagoze","given":"Carl"},{"family":"La Sorte","given":"Frank A."},{"family":"Merrifield","given":"Matthew"},{"family":"Morris","given":"Will"},{"family":"Phillips","given":"Tina B."},{"family":"Reynolds","given":"Mark"},{"family":"Rodewald","given":"Amanda D."},{"family":"Rosenberg","given":"Kenneth V."},{"family":"Trautmann","given":"Nancy M."},{"family":"Wiggins","given":"Andrea"},{"family":"Winkler","given":"David W."},{"family":"Wong","given":"Weng-Keen"},{"family":"Wood","given":"Christopher L."},{"family":"Yu","given":"Jun"},{"family":"Kelling","given":"Steve"}],"issued":{"date-parts":[["2014"]]}},"label":"page"}],"schema":"https://github.com/citation-style-language/schema/raw/master/csl-citation.json"} </w:instrText>
      </w:r>
      <w:r w:rsidR="00CC4659" w:rsidRPr="00A9434B">
        <w:fldChar w:fldCharType="separate"/>
      </w:r>
      <w:r w:rsidR="00F55BC6" w:rsidRPr="00F55BC6">
        <w:t xml:space="preserve">Amano et al., 2016; B. L. Sullivan et al., </w:t>
      </w:r>
      <w:r w:rsidR="00F55BC6" w:rsidRPr="00F55BC6">
        <w:lastRenderedPageBreak/>
        <w:t>2014)</w:t>
      </w:r>
      <w:r w:rsidR="00CC4659" w:rsidRPr="00A9434B">
        <w:fldChar w:fldCharType="end"/>
      </w:r>
      <w:r w:rsidRPr="00A9434B">
        <w:t>.</w:t>
      </w:r>
      <w:r w:rsidR="744091FD" w:rsidRPr="00A9434B">
        <w:t xml:space="preserve"> The options for citizen science to help fill information gaps on invasive alien species are therefore promising </w:t>
      </w:r>
      <w:r w:rsidR="00F806B6" w:rsidRPr="00A9434B">
        <w:t>(</w:t>
      </w:r>
      <w:r w:rsidR="00EB1D37">
        <w:rPr>
          <w:b/>
          <w:iCs/>
        </w:rPr>
        <w:t>C</w:t>
      </w:r>
      <w:r w:rsidR="744091FD" w:rsidRPr="00673554">
        <w:rPr>
          <w:b/>
          <w:iCs/>
        </w:rPr>
        <w:t>hapter 1</w:t>
      </w:r>
      <w:r w:rsidR="744091FD" w:rsidRPr="00673554">
        <w:rPr>
          <w:iCs/>
        </w:rPr>
        <w:t>,</w:t>
      </w:r>
      <w:r w:rsidR="744091FD" w:rsidRPr="00673554">
        <w:rPr>
          <w:b/>
          <w:iCs/>
        </w:rPr>
        <w:t xml:space="preserve"> Box 1.1</w:t>
      </w:r>
      <w:r w:rsidR="00FF1550" w:rsidRPr="00673554">
        <w:rPr>
          <w:b/>
          <w:iCs/>
        </w:rPr>
        <w:t>5</w:t>
      </w:r>
      <w:r w:rsidR="744091FD" w:rsidRPr="00A9434B">
        <w:t>).</w:t>
      </w:r>
    </w:p>
    <w:p w14:paraId="5E6E8D83" w14:textId="3A06FD80" w:rsidR="00CC4659" w:rsidRPr="00A9434B" w:rsidRDefault="00CC4659" w:rsidP="006B3143">
      <w:r w:rsidRPr="00A9434B">
        <w:t>Commonly recorded parameters in citizen science initiatives are species name, geographic coordinates, photographs, species abundance and habitat description</w:t>
      </w:r>
      <w:r w:rsidR="007A44C8" w:rsidRPr="00A9434B">
        <w:t xml:space="preserve"> </w:t>
      </w:r>
      <w:r w:rsidRPr="00A9434B">
        <w:fldChar w:fldCharType="begin"/>
      </w:r>
      <w:r w:rsidRPr="00A9434B">
        <w:instrText>ADDIN EN.CITE &lt;EndNote&gt;&lt;Cite&gt;&lt;Author&gt;Johnson&lt;/Author&gt;&lt;Year&gt;2020&lt;/Year&gt;&lt;RecNum&gt;460&lt;/RecNum&gt;&lt;DisplayText&gt;(Johnson, Mader et al. 2020)&lt;/DisplayText&gt;&lt;record&gt;&lt;rec-number&gt;260&lt;/rec-number&gt;&lt;foreign-keys&gt;&lt;key app="EN" db-id="0d55paxdcvwpebe55d1vrz5ne2pattprarta" timestamp="1597992735"&gt;260&lt;/key&gt;&lt;/foreign-keys&gt;&lt;ref-type name="Journal Article"&gt;17&lt;/ref-type&gt;&lt;contributors&gt;&lt;authors&gt;&lt;author&gt;Johnson, Brian Alan&lt;/author&gt;&lt;author&gt;Mader, André Derek&lt;/author&gt;&lt;author&gt;Dasgupta, Rajarshi&lt;/author&gt;&lt;author&gt;Kumar, Pankaj&lt;/author&gt;&lt;/authors&gt;&lt;/contributors&gt;&lt;titles&gt;&lt;title&gt;Citizen science and invasive alien species: An analysis of citizen science initiatives using information and communications technology (ICT) to collect invasive alien species observations&lt;/title&gt;&lt;secondary-title&gt;Global Ecology and Conservation&lt;/secondary-title&gt;&lt;alt-title&gt;Global Ecology and Conservation&lt;/alt-title&gt;&lt;short-title&gt;Citizen science and invasive alien species&lt;/short-title&gt;&lt;/titles&gt;&lt;periodical&gt;&lt;full-title&gt;Global Ecology and Conservation&lt;/full-title&gt;&lt;abbr-1&gt;Global Ecology and Conservation&lt;/abbr-1&gt;&lt;/periodical&gt;&lt;alt-periodical&gt;&lt;full-title&gt;Global Ecology and Conservation&lt;/full-title&gt;&lt;abbr-1&gt;Global Ecology and Conservation&lt;/abbr-1&gt;&lt;/alt-periodical&gt;&lt;pages&gt;e00812&lt;/pages&gt;&lt;volume&gt;21&lt;/volume&gt;&lt;dates&gt;&lt;year&gt;2020&lt;/year&gt;&lt;pub-dates&gt;&lt;date&gt;2020/03//&lt;/date&gt;&lt;/pub-dates&gt;&lt;/dates&gt;&lt;isbn&gt;23519894&lt;/isbn&gt;&lt;urls&gt;&lt;related-urls&gt;&lt;url&gt;https://linkinghub.elsevier.com/retrieve/pii/S2351989419304500&lt;/url&gt;&lt;/related-urls&gt;&lt;/urls&gt;&lt;electronic-resource-num&gt;10.1016/j.gecco.2019.e00812&lt;/electronic-resource-num&gt;&lt;remote-database-provider&gt;DOI.org (Crossref)&lt;/remote-database-provider&gt;&lt;language&gt;en&lt;/language&gt;&lt;access-date&gt;2019/10/26/07:50:01&lt;/access-date&gt;&lt;/record&gt;&lt;/Cite&gt;&lt;/EndNote&gt;</w:instrText>
      </w:r>
      <w:r w:rsidRPr="00A9434B">
        <w:fldChar w:fldCharType="separate"/>
      </w:r>
      <w:r w:rsidR="005C180F" w:rsidRPr="00A9434B">
        <w:fldChar w:fldCharType="begin"/>
      </w:r>
      <w:r w:rsidR="002D2756">
        <w:instrText xml:space="preserve"> ADDIN ZOTERO_ITEM CSL_CITATION {"citationID":"abdkkukmct","properties":{"formattedCitation":"(Johnson et al., 2020)","plainCitation":"(Johnson et al., 2020)","noteIndex":0},"citationItems":[{"id":30779,"uris":["http://zotero.org/groups/2352922/items/HZFFISRW"],"itemData":{"id":30779,"type":"article-journal","abstract":"Owing to the huge number of species observations that can be collected by non-professional scientists, “citizen science” has great potential to contribute to scientific knowledge on invasive alien species (IAS). Citizen science has existed for centuries, but the recent adoption of information and communications technology (ICT) in this field (e.g. web- or mobile application-based interfaces for citizen training and data generation) has led to a massive surge in popularity, mainly due to reduced geographic barriers to citizen participation. Several challenges exist, however, to effectively utilize citizen-generated data for monitoring IAS (or other species of interest) at the global scale. Here, we conducted a systematic analysis of citizen science initiatives collecting IAS data using ICT, hoping to better understand their scientific contributions and challenges, their similarities/differences, and their interconnections. Through a search of the Scopus database, we identified 26 initiatives whose data had been used in scientific publications related to IAS, and based our analyses on these initiatives. The most common scientific uses of these citizen science data were to visualize the spatial distribution of IAS, better understand their behaviour/phenology, and elucidate citizen science data quality issues. To alleviate data quality concerns, most initiatives (19/26) had mechanisms for verifying citizen observations, such as user-submitted photographs. While many initiatives collected similar data parameters for each species observation, only 54% of the initiatives had a practice of data sharing. This lack of data sharing causes fragmentation of the citizen-generated IAS data, and is likely inhibiting the wider usage of the data for scientific studies on IAS involving large geographic scales (e.g. regional or global) and/or broad taxonomic scopes. To reduce this fragmentation and better consolidate the collected citizen science data, finally we provide some general data sharing guidelines for citizen science initiatives as well as individual volunteers.","container-title":"Global Ecology and Conservation","DOI":"10.1016/j.gecco.2019.e00812","ISSN":"2351-9894","journalAbbreviation":"Global Ecology and Conservation","language":"en","page":"e00812","title":"Citizen science and invasive alien species: An analysis of citizen science initiatives using information and communications technology (ICT) to collect invasive alien species observations","title-short":"Citizen science and invasive alien species","URL":"https://www.sciencedirect.com/science/article/pii/S2351989419304500","volume":"21","author":[{"family":"Johnson","given":"Brian Alan"},{"family":"Mader","given":"André Derek"},{"family":"Dasgupta","given":"Rajarshi"},{"family":"Kumar","given":"Pankaj"}],"accessed":{"date-parts":[["2021",10,28]]},"issued":{"date-parts":[["2020",3,1]]}},"label":"page"}],"schema":"https://github.com/citation-style-language/schema/raw/master/csl-citation.json"} </w:instrText>
      </w:r>
      <w:r w:rsidR="005C180F" w:rsidRPr="00A9434B">
        <w:fldChar w:fldCharType="separate"/>
      </w:r>
      <w:r w:rsidR="00C71E80" w:rsidRPr="00A9434B">
        <w:t>(Johnson et al., 2020)</w:t>
      </w:r>
      <w:r w:rsidR="005C180F" w:rsidRPr="00A9434B">
        <w:fldChar w:fldCharType="end"/>
      </w:r>
      <w:r w:rsidRPr="00A9434B">
        <w:fldChar w:fldCharType="end"/>
      </w:r>
      <w:r w:rsidRPr="00A9434B">
        <w:t>. From these primary data, several essential biodiversity variables</w:t>
      </w:r>
      <w:r w:rsidR="00052841" w:rsidRPr="00A9434B">
        <w:t xml:space="preserve"> (EBVs)</w:t>
      </w:r>
      <w:r w:rsidRPr="00A9434B">
        <w:t xml:space="preserve"> such as species distribution, population abundance, phenology, demographic traits, migratory behaviours and disturbance regimes have been derived </w:t>
      </w:r>
      <w:r w:rsidR="005C180F" w:rsidRPr="00A9434B">
        <w:fldChar w:fldCharType="begin"/>
      </w:r>
      <w:r w:rsidR="005C180F" w:rsidRPr="00A9434B">
        <w:instrText>ADDIN EN.CITE &lt;EndNote&gt;&lt;Cite&gt;&lt;Author&gt;Chandler&lt;/Author&gt;&lt;Year&gt;2017&lt;/Year&gt;&lt;RecNum&gt;440&lt;/RecNum&gt;&lt;DisplayText&gt;(Chandler, See et al. 2017)&lt;/DisplayText&gt;&lt;record&gt;&lt;rec-number&gt;258&lt;/rec-number&gt;&lt;foreign-keys&gt;&lt;key app="EN" db-id="0d55paxdcvwpebe55d1vrz5ne2pattprarta" timestamp="1597992735"&gt;258&lt;/key&gt;&lt;/foreign-keys&gt;&lt;ref-type name="Journal Article"&gt;17&lt;/ref-type&gt;&lt;contributors&gt;&lt;authors&gt;&lt;author&gt;Chandler, Mark&lt;/author&gt;&lt;author&gt;See, Linda&lt;/author&gt;&lt;author&gt;Copas, Kyle&lt;/author&gt;&lt;author&gt;Bonde, Astrid M. Z.&lt;/author&gt;&lt;author&gt;López, Bernat Claramunt&lt;/author&gt;&lt;author&gt;Danielsen, Finn&lt;/author&gt;&lt;author&gt;Legind, Jan Kristoffer&lt;/author&gt;&lt;author&gt;Masinde, Siro&lt;/author&gt;&lt;author&gt;Miller-Rushing, Abraham J.&lt;/author&gt;&lt;author&gt;Newman, Greg&lt;/author&gt;&lt;author&gt;Rosemartin, Alyssa&lt;/author&gt;&lt;/authors&gt;&lt;/contributors&gt;&lt;titles&gt;&lt;title&gt;Contribution of citizen science towards international biodiversity monitoring&lt;/title&gt;&lt;secondary-title&gt;Biological Conservation&lt;/secondary-title&gt;&lt;alt-title&gt;Biological Conservation&lt;/alt-title&gt;&lt;/titles&gt;&lt;periodical&gt;&lt;full-title&gt;Biological Conservation&lt;/full-title&gt;&lt;abbr-1&gt;Biol Conserv&lt;/abbr-1&gt;&lt;/periodical&gt;&lt;alt-periodical&gt;&lt;full-title&gt;Biological Conservation&lt;/full-title&gt;&lt;abbr-1&gt;Biol Conserv&lt;/abbr-1&gt;&lt;/alt-periodical&gt;&lt;pages&gt;280-294&lt;/pages&gt;&lt;volume&gt;213&lt;/volume&gt;&lt;keywords&gt;&lt;keyword&gt;Citizen science&lt;/keyword&gt;&lt;keyword&gt;Community-based monitoring&lt;/keyword&gt;&lt;keyword&gt;Databases&lt;/keyword&gt;&lt;keyword&gt;Essential biodiversity variables (EBV)&lt;/keyword&gt;&lt;keyword&gt;Global Biodiversity Information Facility (GBIF)&lt;/keyword&gt;&lt;keyword&gt;Group on Earth Observations Biodiversity Observati&lt;/keyword&gt;&lt;keyword&gt;Group on Earth Observations Biodiversity Observation Network (GEO BON)&lt;/keyword&gt;&lt;/keywords&gt;&lt;dates&gt;&lt;year&gt;2017&lt;/year&gt;&lt;pub-dates&gt;&lt;date&gt;2017/09//&lt;/date&gt;&lt;/pub-dates&gt;&lt;/dates&gt;&lt;isbn&gt;0006-3207&lt;/isbn&gt;&lt;urls&gt;&lt;related-urls&gt;&lt;url&gt;https://www.sciencedirect.com/science/article/pii/S0006320716303639?via%3Dihub&lt;/url&gt;&lt;/related-urls&gt;&lt;/urls&gt;&lt;electronic-resource-num&gt;10.1016/J.BIOCON.2016.09.004&lt;/electronic-resource-num&gt;&lt;remote-database-name&gt;Scopus&lt;/remote-database-name&gt;&lt;language&gt;en&lt;/language&gt;&lt;/record&gt;&lt;/Cite&gt;&lt;/EndNote&gt;</w:instrText>
      </w:r>
      <w:r w:rsidR="005C180F" w:rsidRPr="00A9434B">
        <w:fldChar w:fldCharType="separate"/>
      </w:r>
      <w:r w:rsidR="005C180F" w:rsidRPr="00A9434B">
        <w:fldChar w:fldCharType="begin"/>
      </w:r>
      <w:r w:rsidR="002D2756">
        <w:instrText xml:space="preserve"> ADDIN ZOTERO_ITEM CSL_CITATION {"citationID":"a21mcutapk6","properties":{"formattedCitation":"(Chandler et al., 2017)","plainCitation":"(Chandler et al., 2017)","noteIndex":0},"citationItems":[{"id":17047,"uris":["http://zotero.org/groups/2352922/items/2LEEP9SX"],"itemData":{"id":17047,"type":"article-journal","abstract":"To meet collective obligations towards biodiversity conservation and monitoring, it is essential that the world's governments and non-governmental organisations as well as the research community tap all possible sources of data and information, including new, fast-growing sources such as citizen science (CS), in which volunteers participate in some or all aspects of environmental assessments. Through compilation of a database on CS and community-based monitoring (CBM, a subset of CS) programs, we assess where contributions from CS and CBM are significant and where opportunities for growth exist. We use the Essential Biodiversity Variable framework to describe the range of biodiversity data needed to track progress towards global biodiversity targets, and we assess strengths and gaps in geographical and taxonomic coverage. Our results show that existing CS and CBM data particularly provide large-scale data on species distribution and population abundance, species traits such as phenology, and ecosystem function variables such as primary and secondary productivity. Only birds, Lepidoptera and plants are monitored at scale. Most CS schemes are found in Europe, North America, South Africa, India, and Australia. We then explore what can be learned from successful CS/CBM programs that would facilitate the scaling up of current efforts, how existing strengths in data coverage can be better exploited, and the strategies that could maximise the synergies between CS/CBM and other approaches for monitoring biodiversity, in particular from remote sensing. More and better targeted funding will be needed, if CS/CBM programs are to contribute further to international biodiversity monitoring.","container-title":"Biological Conservation","DOI":"10.1016/J.BIOCON.2016.09.004","ISSN":"0006-3207","journalAbbreviation":"Biological Conservation","language":"en","page":"280–294","title":"Contribution of citizen science towards international biodiversity monitoring","URL":"https://www.sciencedirect.com/science/article/pii/S0006320716303639?via%3Dihub","volume":"213","author":[{"family":"Chandler","given":"Mark"},{"family":"See","given":"Linda"},{"family":"Copas","given":"Kyle"},{"family":"Bonde","given":"Astrid M.Z."},{"family":"López","given":"Bernat Claramunt"},{"family":"Danielsen","given":"Finn"},{"family":"Legind","given":"Jan Kristoffer"},{"family":"Masinde","given":"Siro"},{"family":"Miller-Rushing","given":"Abraham J."},{"family":"Newman","given":"Greg"},{"family":"Rosemartin","given":"Alyssa"},{"family":"Turak","given":"Eren"}],"issued":{"date-parts":[["2017",9]]}},"label":"page"}],"schema":"https://github.com/citation-style-language/schema/raw/master/csl-citation.json"} </w:instrText>
      </w:r>
      <w:r w:rsidR="005C180F" w:rsidRPr="00A9434B">
        <w:fldChar w:fldCharType="separate"/>
      </w:r>
      <w:r w:rsidR="00C71E80" w:rsidRPr="00A9434B">
        <w:t>(Chandler et al., 2017)</w:t>
      </w:r>
      <w:r w:rsidR="005C180F" w:rsidRPr="00A9434B">
        <w:fldChar w:fldCharType="end"/>
      </w:r>
      <w:r w:rsidR="005C180F" w:rsidRPr="00A9434B">
        <w:fldChar w:fldCharType="end"/>
      </w:r>
      <w:r w:rsidRPr="00A9434B">
        <w:t xml:space="preserve">. Citizen science has been successfully used in spatio-temporal distribution mapping of invasive alien species </w:t>
      </w:r>
      <w:r w:rsidR="005C180F" w:rsidRPr="00A9434B">
        <w:fldChar w:fldCharType="begin"/>
      </w:r>
      <w:r w:rsidR="002D2756">
        <w:instrText xml:space="preserve"> ADDIN ZOTERO_ITEM CSL_CITATION {"citationID":"a1s2d5s00un","properties":{"formattedCitation":"(Brown et al., 2018; Johnson et al., 2020; Mannino &amp; Balistreri, 2018; Marchante et al., 2017)","plainCitation":"(Brown et al., 2018; Johnson et al., 2020; Mannino &amp; Balistreri, 2018; Marchante et al., 2017)","noteIndex":0},"citationItems":[{"id":15546,"uris":["http://zotero.org/groups/2352922/items/KSN2D5RT"],"itemData":{"id":15546,"type":"article-journal","container-title":"Scientific Data","DOI":"10.1038/sdata.2018.239","ISSN":"2052-4463","issue":"1","journalAbbreviation":"Sci Data","language":"en","page":"180239","source":"DOI.org (Crossref)","title":"Spread of a model invasive alien species, the harlequin ladybird &lt;i&gt;Harmonia axyridis&lt;/i&gt; in Britain and Ireland","URL":"http://www.nature.com/articles/sdata2018239","volume":"5","author":[{"family":"Brown","given":"P. M. J."},{"family":"Roy","given":"D. B."},{"family":"Harrower","given":"C."},{"family":"Dean","given":"H. J."},{"family":"Rorke","given":"S. L."},{"family":"Roy","given":"H. E."}],"accessed":{"date-parts":[["2019",10,26]]},"issued":{"date-parts":[["2018",12]]}},"label":"page"},{"id":30779,"uris":["http://zotero.org/groups/2352922/items/HZFFISRW"],"itemData":{"id":30779,"type":"article-journal","abstract":"Owing to the huge number of species observations that can be collected by non-professional scientists, “citizen science” has great potential to contribute to scientific knowledge on invasive alien species (IAS). Citizen science has existed for centuries, but the recent adoption of information and communications technology (ICT) in this field (e.g. web- or mobile application-based interfaces for citizen training and data generation) has led to a massive surge in popularity, mainly due to reduced geographic barriers to citizen participation. Several challenges exist, however, to effectively utilize citizen-generated data for monitoring IAS (or other species of interest) at the global scale. Here, we conducted a systematic analysis of citizen science initiatives collecting IAS data using ICT, hoping to better understand their scientific contributions and challenges, their similarities/differences, and their interconnections. Through a search of the Scopus database, we identified 26 initiatives whose data had been used in scientific publications related to IAS, and based our analyses on these initiatives. The most common scientific uses of these citizen science data were to visualize the spatial distribution of IAS, better understand their behaviour/phenology, and elucidate citizen science data quality issues. To alleviate data quality concerns, most initiatives (19/26) had mechanisms for verifying citizen observations, such as user-submitted photographs. While many initiatives collected similar data parameters for each species observation, only 54% of the initiatives had a practice of data sharing. This lack of data sharing causes fragmentation of the citizen-generated IAS data, and is likely inhibiting the wider usage of the data for scientific studies on IAS involving large geographic scales (e.g. regional or global) and/or broad taxonomic scopes. To reduce this fragmentation and better consolidate the collected citizen science data, finally we provide some general data sharing guidelines for citizen science initiatives as well as individual volunteers.","container-title":"Global Ecology and Conservation","DOI":"10.1016/j.gecco.2019.e00812","ISSN":"2351-9894","journalAbbreviation":"Global Ecology and Conservation","language":"en","page":"e00812","title":"Citizen science and invasive alien species: An analysis of citizen science initiatives using information and communications technology (ICT) to collect invasive alien species observations","title-short":"Citizen science and invasive alien species","URL":"https://www.sciencedirect.com/science/article/pii/S2351989419304500","volume":"21","author":[{"family":"Johnson","given":"Brian Alan"},{"family":"Mader","given":"André Derek"},{"family":"Dasgupta","given":"Rajarshi"},{"family":"Kumar","given":"Pankaj"}],"accessed":{"date-parts":[["2021",10,28]]},"issued":{"date-parts":[["2020",3,1]]}},"label":"page"},{"id":21551,"uris":["http://zotero.org/groups/2352922/items/5RCEN48A"],"itemData":{"id":21551,"type":"article-journal","abstract":"The chief purpose of Marine Protected Areas (MPAs) is biodiversity conservation. The effects that invasive alien species (IAS) have on MPAs, and vice versa, are not yet fully known, even though assessing them is crucial for MPA planning. Management plans require sound knowledge of the pathways of introduction, the impact and current distribution of IAS. Monitoring plans are essential for preventing and reducing the risk of IAS introduction. In this respect, the involvement of citizen scientists in gathering data (validated by taxonomic experts) on the occurrence of IAS, that would otherwise be impossible to collect, may be crucial. We report on our experience of citizen science in the Egadi Islands MPA with the project ‘Caulerpa cylindracea – Egadi Islands’, aimed at monitoring the spread dynamics of the ‘sea grape’ C. cylindracea. The project registered 156 sightings and also allowed collection of records and information concerning other non-indigenous and cryptogenic species, e.g. the spotted sea hare (Aplysia dactylomela), the harpoon weed (Asparagopsis armata), the red sea plume (Asparagopsis taxiformis), the tube-building sabellid (Branchiomma bairdi), the blue spotted cornet fish (Fistularia commersoni) and the nomad jellyfish (Rhopilema nomadica).","container-title":"Biodiversity","DOI":"10.1080/14888386.2018.1468280","ISSN":"1488-8386","issue":"1-2","page":"42-48","source":"Taylor and Francis+NEJM","title":"Citizen science: a successful tool for monitoring invasive alien species (IAS) in Marine Protected Areas. The case study of the Egadi Islands MPA (Tyrrhenian Sea, Italy)","title-short":"Citizen science","URL":"https://doi.org/10.1080/14888386.2018.1468280","volume":"19","author":[{"family":"Mannino","given":"Anna Maria"},{"family":"Balistreri","given":"Paolo"}],"accessed":{"date-parts":[["2020",4,3]]},"issued":{"date-parts":[["2018",4,3]]}},"label":"page"},{"id":22451,"uris":["http://zotero.org/groups/2352922/items/WLNQZXWN"],"itemData":{"id":22451,"type":"article-journal","abstract":"WebMapping and citizen science are increasing their importance as tools both in science communication and in gathering abundant data. Nevertheless, gathering good and plentiful data from citizens when the scientific theme is unknown to them is a demanding challenge. Invasoras.pt is a science communication endeavor that targets the general public and one of its core elements is a WebMapping platform that intends to engage volunteers to geolocate invasive plants in Portugal. Besides gathering data for scientific research and to support management, the platform raises awareness about invasive plants. The platform has been available since March 2013 and receives data from a smartphone application and a Web application. Validated sightings are shown on an online map. All data is available through a Google Fusion Table and GBIF database (open data logic). Several strategies (interactive contents, printed materials, workshops and social media) were used to overcome the challenges of engaging contributors and making them better skilled to contribute with good data. After two years of steady growth in members (ca. 600) and sightings (&gt;5400) the results are better than expected particularly amongst a population not familiarized with either citizen science or invasive plants. The outcomes of the platform and the efficacy of each strategy are analyzed and the accuracy and usefulness of the data are discussed. © 2016 John Wiley &amp; Sons Ltd","container-title":"Transactions in GIS","DOI":"10.1111/tgis.12198","ISSN":"1467-9671","issue":"2","page":"238-252","title":"Using a WebMapping Platform to Engage Volunteers to Collect Data on Invasive Plants Distribution","URL":"https://www.scopus.com/inward/record.uri?eid=2-s2.0-84962252782&amp;doi=10.1111%2ftgis.12198&amp;partnerID=40&amp;md5=85bd318a8b8cc8d6c0153c961acaf1a7","volume":"21","author":[{"family":"Marchante","given":"H."},{"family":"Morais","given":"M.C."},{"family":"Gamela","given":"A."},{"family":"Marchante","given":"E."}],"issued":{"date-parts":[["2017"]]}},"label":"page"}],"schema":"https://github.com/citation-style-language/schema/raw/master/csl-citation.json"} </w:instrText>
      </w:r>
      <w:r w:rsidR="005C180F" w:rsidRPr="00A9434B">
        <w:fldChar w:fldCharType="separate"/>
      </w:r>
      <w:r w:rsidR="00C71E80" w:rsidRPr="00A9434B">
        <w:t>(Brown et al., 2018; Johnson et al., 2020; Mannino &amp; Balistreri, 2018; Marchante et al., 2017)</w:t>
      </w:r>
      <w:r w:rsidR="005C180F" w:rsidRPr="00A9434B">
        <w:fldChar w:fldCharType="end"/>
      </w:r>
      <w:r w:rsidRPr="00A9434B">
        <w:t xml:space="preserve">, prediction of species’ suitable climatic niches </w:t>
      </w:r>
      <w:r w:rsidR="005C180F" w:rsidRPr="00A9434B">
        <w:fldChar w:fldCharType="begin"/>
      </w:r>
      <w:r w:rsidR="002D2756">
        <w:instrText xml:space="preserve"> ADDIN ZOTERO_ITEM CSL_CITATION {"citationID":"a1hq84c1gr","properties":{"formattedCitation":"(Johnson et al., 2020; Tiago et al., 2017)","plainCitation":"(Johnson et al., 2020; Tiago et al., 2017)","noteIndex":0},"citationItems":[{"id":30779,"uris":["http://zotero.org/groups/2352922/items/HZFFISRW"],"itemData":{"id":30779,"type":"article-journal","abstract":"Owing to the huge number of species observations that can be collected by non-professional scientists, “citizen science” has great potential to contribute to scientific knowledge on invasive alien species (IAS). Citizen science has existed for centuries, but the recent adoption of information and communications technology (ICT) in this field (e.g. web- or mobile application-based interfaces for citizen training and data generation) has led to a massive surge in popularity, mainly due to reduced geographic barriers to citizen participation. Several challenges exist, however, to effectively utilize citizen-generated data for monitoring IAS (or other species of interest) at the global scale. Here, we conducted a systematic analysis of citizen science initiatives collecting IAS data using ICT, hoping to better understand their scientific contributions and challenges, their similarities/differences, and their interconnections. Through a search of the Scopus database, we identified 26 initiatives whose data had been used in scientific publications related to IAS, and based our analyses on these initiatives. The most common scientific uses of these citizen science data were to visualize the spatial distribution of IAS, better understand their behaviour/phenology, and elucidate citizen science data quality issues. To alleviate data quality concerns, most initiatives (19/26) had mechanisms for verifying citizen observations, such as user-submitted photographs. While many initiatives collected similar data parameters for each species observation, only 54% of the initiatives had a practice of data sharing. This lack of data sharing causes fragmentation of the citizen-generated IAS data, and is likely inhibiting the wider usage of the data for scientific studies on IAS involving large geographic scales (e.g. regional or global) and/or broad taxonomic scopes. To reduce this fragmentation and better consolidate the collected citizen science data, finally we provide some general data sharing guidelines for citizen science initiatives as well as individual volunteers.","container-title":"Global Ecology and Conservation","DOI":"10.1016/j.gecco.2019.e00812","ISSN":"2351-9894","journalAbbreviation":"Global Ecology and Conservation","language":"en","page":"e00812","title":"Citizen science and invasive alien species: An analysis of citizen science initiatives using information and communications technology (ICT) to collect invasive alien species observations","title-short":"Citizen science and invasive alien species","URL":"https://www.sciencedirect.com/science/article/pii/S2351989419304500","volume":"21","author":[{"family":"Johnson","given":"Brian Alan"},{"family":"Mader","given":"André Derek"},{"family":"Dasgupta","given":"Rajarshi"},{"family":"Kumar","given":"Pankaj"}],"accessed":{"date-parts":[["2021",10,28]]},"issued":{"date-parts":[["2020",3,1]]}},"label":"page"},{"id":26573,"uris":["http://zotero.org/groups/2352922/items/4PQXI5E3"],"itemData":{"id":26573,"type":"article-journal","abstract":"Opportunistic citizen data documenting species observations – i.e. observations collected by citizens in a non-standardized way – is becoming increasingly available. In the absence of scientific observations, this data may be a viable alternative for a number of research questions. Here we test the ability of opportunistic species records to provide predictions of the realized distribution of species and if species attributes can act as indicators of the reliability and completeness of these data. We use data for 39 reptile and amphibian species across mainland Portugal as a case study. We collected distribution data from two independent sources: a national citizen-science project and a scientific. We measure and compare the climatic niche width of the species as represented by each of the two data sources. Generalized linear mixed models (GLMM) were used to relate a set of response variables describing the species’ morphology, life-history, communication, type of locomotion, habitat and geographic distribution, to observed differences in niche widths. We also performed species distribution models (SDMs) for each of the two types of data using generalized additive models. We found that 12 species had more than 50% of their climate niche covered by citizen science data. Results from GLMMs suggested that the number of grid cells in which a species occurs and its use of forest habitat were positively related to the comprehensiveness of the sampling of climatic niches by citizen science data. Variation in the p of SDMs for both types of data (as measured by the true skill statistic; TSS) was highly similar but SDMs from citizen science data had an overall lower performance. Nevertheless a few species achieved good predictions (TSS&gt;0.6) using these data. We conclude that species observations in citizen science projects can provide accurate predictions of species realized distributions, however, efforts should be made to identify the conditions under which these data are more likely to provide reliable representations of the species niches.","container-title":"Basic and Applied Ecology","DOI":"10.1016/j.baae.2017.04.001","ISSN":"1439-1791","journalAbbreviation":"Basic and Applied Ecology","language":"en","page":"75-85","source":"ScienceDirect","title":"Using citizen science data to estimate climatic niches and species distributions","URL":"http://www.sciencedirect.com/science/article/pii/S143917911630130X","volume":"20","author":[{"family":"Tiago","given":"Patrícia"},{"family":"Pereira","given":"Henrique M."},{"family":"Capinha","given":"César"}],"accessed":{"date-parts":[["2020",4,3]]},"issued":{"date-parts":[["2017",5,1]]}},"label":"page"}],"schema":"https://github.com/citation-style-language/schema/raw/master/csl-citation.json"} </w:instrText>
      </w:r>
      <w:r w:rsidR="005C180F" w:rsidRPr="00A9434B">
        <w:fldChar w:fldCharType="separate"/>
      </w:r>
      <w:r w:rsidR="00C71E80" w:rsidRPr="00A9434B">
        <w:t>(Johnson et al., 2020; Tiago et al., 2017)</w:t>
      </w:r>
      <w:r w:rsidR="005C180F" w:rsidRPr="00A9434B">
        <w:fldChar w:fldCharType="end"/>
      </w:r>
      <w:r w:rsidRPr="00A9434B">
        <w:t xml:space="preserve">, early detection </w:t>
      </w:r>
      <w:r w:rsidRPr="00A9434B">
        <w:fldChar w:fldCharType="begin"/>
      </w:r>
      <w:r w:rsidRPr="00A9434B">
        <w:instrText>ADDIN EN.CITE</w:instrText>
      </w:r>
      <w:r w:rsidRPr="00A9434B">
        <w:fldChar w:fldCharType="begin"/>
      </w:r>
      <w:r w:rsidRPr="00A9434B">
        <w:instrText>ADDIN EN.CITE.DATA</w:instrText>
      </w:r>
      <w:r w:rsidRPr="00A9434B">
        <w:fldChar w:fldCharType="end"/>
      </w:r>
      <w:r w:rsidRPr="00A9434B">
        <w:fldChar w:fldCharType="separate"/>
      </w:r>
      <w:r w:rsidR="005C180F" w:rsidRPr="00A9434B">
        <w:fldChar w:fldCharType="begin"/>
      </w:r>
      <w:r w:rsidR="002D2756">
        <w:instrText xml:space="preserve"> ADDIN ZOTERO_ITEM CSL_CITATION {"citationID":"eJsYjBch","properties":{"formattedCitation":"(Giovos et al., 2019; Hiller &amp; Haelewaters, 2019; Palmer et al., 2017)","plainCitation":"(Giovos et al., 2019; Hiller &amp; Haelewaters, 2019; Palmer et al., 2017)","dontUpdate":true,"noteIndex":0},"citationItems":[{"id":23895,"uris":["http://zotero.org/groups/2352922/items/9JHHXDTK"],"itemData":{"id":23895,"type":"article-journal","abstract":"The distribution of marine life has been alarmingly reshaped lately and the number of non-indigenous species and their impacts are rapidly escalating globally. Timely and accurate information about the occurrence of non-indigenous species are of major importance for the mitigation of the issue. However, still large gaps in knowledge about marine bioinvasion exist. Mediterranean Sea is among the most impacted ecoregions globally. In this work we present a comprehensive overview of the project “Is is Alien to you? Share it!!!” which monitors non-indigenous species in Greece and Cyprus with the help of citizen scientists. The goal of this work is to present this project as a case study in order to demonstrate how citizen science can substantially contribute to the monitoring of biological invasions. We compared the projects database with the databased of ELNAIS and EASIN, for discuss weaknesses and advantages and future steps for advancing the effort. In total 691 records of marine alien and cryptogenic species were collected in these 2 years from Greece and Cyprus, with the density of records reaching 20 observations per km2 in some locations. The project has contributed significantly in the assessment of descriptor D2 “Exotic Species” of the Marine Strategy Framework Directive, with 3 new species for Greece. Future steps should focus on training citizens to report less reported taxa and raising the awareness of all relevant stakeholders. © 2019, Springer Nature Switzerland AG.","container-title":"Biological Invasions","DOI":"10.1007/s10530-019-02083-w","ISSN":"1573-1464","issue":"12","journalAbbreviation":"Biol Invasions","page":"3707-3721","title":"Citizen-science for monitoring marine invasions and stimulating public engagement: a case project from the eastern Mediterranean","title-short":"Citizen-science for monitoring marine invasions and stimulating public engagement","URL":"https://www.scopus.com/inward/record.uri?eid=2-s2.0-85072054725&amp;doi=10.1007%2fs10530-019-02083-w&amp;partnerID=40&amp;md5=d5243d4df4f84ab3d1bc0b8cd0efda52","volume":"21","author":[{"family":"Giovos","given":"I."},{"family":"Kleitou","given":"P."},{"family":"Poursanidis","given":"D."},{"family":"Batjakas","given":"I."},{"family":"Bernardi","given":"G."},{"family":"Crocetta","given":"F."},{"family":"Doumpas","given":"N."},{"family":"Kalogirou","given":"S."},{"family":"Kampouris","given":"T.E."},{"family":"Keramidas","given":"I."},{"family":"Langeneck","given":"J."},{"family":"Maximiadi","given":"M."},{"family":"Mitsou","given":"E."},{"family":"Stoilas","given":"V.-O."},{"family":"Tiralongo","given":"F."},{"family":"Romanidis-Kyriakidis","given":"G."},{"family":"Xentidis","given":"N.-J."},{"family":"Zenetos","given":"A."},{"family":"Katsanevakis","given":"S."}],"issued":{"date-parts":[["2019"]]}},"label":"page"},{"id":21555,"uris":["http://zotero.org/groups/2352922/items/JKJ4TZ6A"],"itemData":{"id":21555,"type":"article-journal","abstract":"Harmonia axyridis (Coleoptera, Coccinellidae) is a globally invasive ladybird. It has been intentionally introduced in many countries as a biological control agent, whereas it has been unintentionally released in many others. Climatic factors are important in limiting the spread of H. axyridis. For example, very few records are known from tropical or desert regions. Currently, no published reports are known from Central America. Here, we report H. axyridis from Costa Rica, Guatemala, Honduras, Panama, and Puerto Rico. Specimens were either observed by the authors, discovered in dried insect collections, or retrieved from searching through online photographs available from the citizen science project iNaturalist and the photo-sharing website Flickr. These new records and the wide distribution of H. axyridis in Latin America suggest several invasion events, which have gone unnoticed until now. We stress the need for further, large-scale monitoring and show the advantage of citizen science to assess the presence of invasive alien species.","container-title":"PLoS ONE","DOI":"10.1371/journal.pone.0220082","ISSN":"1932-6203","issue":"7","journalAbbreviation":"PLOS ONE","language":"en","page":"e0220082","source":"PLoS Journals","title":"A case of silent invasion: Citizen science confirms the presence of &lt;i&gt;Harmonia axyridis&lt;/i&gt; (Coleoptera, Coccinellidae) in Central America","title-short":"A case of silent invasion","URL":"https://journals.plos.org/plosone/article?id=10.1371/journal.pone.0220082","volume":"14","author":[{"family":"Hiller","given":"Thomas"},{"family":"Haelewaters","given":"Danny"}],"accessed":{"date-parts":[["2020",4,3]]},"issued":{"date-parts":[["2019",7,18]]}},"label":"page"},{"id":21545,"uris":["http://zotero.org/groups/2352922/items/DHMZABNP"],"itemData":{"id":21545,"type":"article-journal","abstract":"Monitoring of the spread of invasive mosquitos is important both for preventing and for understanding disease outbreaks. Here the author report that a scalable citizen science system can provide accurate early warning of the invasion process of the Asian tiger mosquito in Spain, with far more scalable coverage than that of traditional surveillance methods.","container-title":"Nature Communications","DOI":"10.1038/s41467-017-00914-9","ISSN":"2041-1723","issue":"1","language":"en","license":"2017 The Author(s)","page":"916","source":"www.nature.com","title":"Citizen science provides a reliable and scalable tool to track disease-carrying mosquitoes","URL":"https://www.nature.com/articles/s41467-017-00914-9","volume":"8","author":[{"family":"Palmer","given":"John R. B."},{"family":"Oltra","given":"Aitana"},{"family":"Collantes","given":"Francisco"},{"family":"Delgado","given":"Juan Antonio"},{"family":"Lucientes","given":"Javier"},{"family":"Delacour","given":"Sarah"},{"family":"Bengoa","given":"Mikel"},{"family":"Eritja","given":"Roger"},{"family":"Bartumeus","given":"Frederic"}],"accessed":{"date-parts":[["2020",4,3]]},"issued":{"date-parts":[["2017",10,24]]}},"label":"page"}],"schema":"https://github.com/citation-style-language/schema/raw/master/csl-citation.json"} </w:instrText>
      </w:r>
      <w:r w:rsidR="005C180F" w:rsidRPr="00A9434B">
        <w:fldChar w:fldCharType="separate"/>
      </w:r>
      <w:r w:rsidR="00F55BC6" w:rsidRPr="00F55BC6">
        <w:t>(Giovos et al., 2019; Hiller &amp; Haelewaters, 2019; Palmer et al., 2017</w:t>
      </w:r>
      <w:r w:rsidR="005C180F" w:rsidRPr="00A9434B">
        <w:fldChar w:fldCharType="end"/>
      </w:r>
      <w:r w:rsidRPr="00A9434B">
        <w:fldChar w:fldCharType="end"/>
      </w:r>
      <w:r w:rsidR="00FB2AD6" w:rsidRPr="00A9434B">
        <w:t xml:space="preserve">; </w:t>
      </w:r>
      <w:r w:rsidR="00FB2AD6" w:rsidRPr="009A39CE">
        <w:rPr>
          <w:b/>
          <w:bCs/>
        </w:rPr>
        <w:t>Box 6.20</w:t>
      </w:r>
      <w:r w:rsidR="00FB2AD6" w:rsidRPr="00A9434B">
        <w:t>)</w:t>
      </w:r>
      <w:r w:rsidRPr="00A9434B">
        <w:t xml:space="preserve">, and understanding animal behaviour and plant phenology </w:t>
      </w:r>
      <w:r w:rsidR="005C180F" w:rsidRPr="00A9434B">
        <w:fldChar w:fldCharType="begin"/>
      </w:r>
      <w:r w:rsidR="002D2756">
        <w:instrText xml:space="preserve"> ADDIN ZOTERO_ITEM CSL_CITATION {"citationID":"ajobdom4ng","properties":{"formattedCitation":"(Johnson et al., 2020)","plainCitation":"(Johnson et al., 2020)","noteIndex":0},"citationItems":[{"id":30779,"uris":["http://zotero.org/groups/2352922/items/HZFFISRW"],"itemData":{"id":30779,"type":"article-journal","abstract":"Owing to the huge number of species observations that can be collected by non-professional scientists, “citizen science” has great potential to contribute to scientific knowledge on invasive alien species (IAS). Citizen science has existed for centuries, but the recent adoption of information and communications technology (ICT) in this field (e.g. web- or mobile application-based interfaces for citizen training and data generation) has led to a massive surge in popularity, mainly due to reduced geographic barriers to citizen participation. Several challenges exist, however, to effectively utilize citizen-generated data for monitoring IAS (or other species of interest) at the global scale. Here, we conducted a systematic analysis of citizen science initiatives collecting IAS data using ICT, hoping to better understand their scientific contributions and challenges, their similarities/differences, and their interconnections. Through a search of the Scopus database, we identified 26 initiatives whose data had been used in scientific publications related to IAS, and based our analyses on these initiatives. The most common scientific uses of these citizen science data were to visualize the spatial distribution of IAS, better understand their behaviour/phenology, and elucidate citizen science data quality issues. To alleviate data quality concerns, most initiatives (19/26) had mechanisms for verifying citizen observations, such as user-submitted photographs. While many initiatives collected similar data parameters for each species observation, only 54% of the initiatives had a practice of data sharing. This lack of data sharing causes fragmentation of the citizen-generated IAS data, and is likely inhibiting the wider usage of the data for scientific studies on IAS involving large geographic scales (e.g. regional or global) and/or broad taxonomic scopes. To reduce this fragmentation and better consolidate the collected citizen science data, finally we provide some general data sharing guidelines for citizen science initiatives as well as individual volunteers.","container-title":"Global Ecology and Conservation","DOI":"10.1016/j.gecco.2019.e00812","ISSN":"2351-9894","journalAbbreviation":"Global Ecology and Conservation","language":"en","page":"e00812","title":"Citizen science and invasive alien species: An analysis of citizen science initiatives using information and communications technology (ICT) to collect invasive alien species observations","title-short":"Citizen science and invasive alien species","URL":"https://www.sciencedirect.com/science/article/pii/S2351989419304500","volume":"21","author":[{"family":"Johnson","given":"Brian Alan"},{"family":"Mader","given":"André Derek"},{"family":"Dasgupta","given":"Rajarshi"},{"family":"Kumar","given":"Pankaj"}],"accessed":{"date-parts":[["2021",10,28]]},"issued":{"date-parts":[["2020",3,1]]}}}],"schema":"https://github.com/citation-style-language/schema/raw/master/csl-citation.json"} </w:instrText>
      </w:r>
      <w:r w:rsidR="005C180F" w:rsidRPr="00A9434B">
        <w:fldChar w:fldCharType="separate"/>
      </w:r>
      <w:r w:rsidR="00C71E80" w:rsidRPr="00A9434B">
        <w:t>(Johnson et al., 2020)</w:t>
      </w:r>
      <w:r w:rsidR="005C180F" w:rsidRPr="00A9434B">
        <w:fldChar w:fldCharType="end"/>
      </w:r>
      <w:r w:rsidR="005C180F" w:rsidRPr="00A9434B">
        <w:t>.</w:t>
      </w:r>
      <w:r w:rsidRPr="00A9434B">
        <w:t xml:space="preserve"> In addition, citizen science can be helpful in spotting elusive in</w:t>
      </w:r>
      <w:r w:rsidR="005C180F" w:rsidRPr="00A9434B">
        <w:t>vasive alien species, such as</w:t>
      </w:r>
      <w:r w:rsidRPr="00A9434B">
        <w:t xml:space="preserve"> </w:t>
      </w:r>
      <w:r w:rsidR="00CC5FCA" w:rsidRPr="00A9434B">
        <w:rPr>
          <w:i/>
          <w:iCs/>
        </w:rPr>
        <w:t xml:space="preserve">Python bivittatus </w:t>
      </w:r>
      <w:r w:rsidRPr="00A9434B">
        <w:t>(</w:t>
      </w:r>
      <w:r w:rsidR="005C180F" w:rsidRPr="00A9434B">
        <w:t>Burmese python</w:t>
      </w:r>
      <w:r w:rsidR="00BE2A81" w:rsidRPr="00A9434B">
        <w:t>;</w:t>
      </w:r>
      <w:r w:rsidRPr="00A9434B">
        <w:t xml:space="preserve"> </w:t>
      </w:r>
      <w:r w:rsidR="0076675A" w:rsidRPr="00A9434B">
        <w:fldChar w:fldCharType="begin"/>
      </w:r>
      <w:r w:rsidR="002D2756">
        <w:instrText xml:space="preserve"> ADDIN ZOTERO_ITEM CSL_CITATION {"citationID":"Kg7Ntj6p","properties":{"formattedCitation":"(Falk et al., 2016)","plainCitation":"(Falk et al., 2016)","dontUpdate":true,"noteIndex":0},"citationItems":[{"id":21538,"uris":["http://zotero.org/groups/2352922/items/LDA2IEA3"],"itemData":{"id":21538,"type":"article-journal","abstract":"Citizen-science programs have the potential to contribute to the management of invasive species, including Python molurus bivittatus (Burmese Python) in Florida. We characterized citizen-science—generated Burmese Python information from Everglades National Park (ENP) to explore how citizen science may be useful in this effort. As an initial step, we compiled and summarized records of Burmese Python observations and removals collected by both professional and citizen scientists in ENP during 2000–2014 and found many patterns of possible significance, including changes in annual observations and in demographic composition after a cold event. These patterns are difficult to confidently interpret because the records lack search-effort information, however, and differences among years may result from differences in search effort. We began collecting search-effort information in 2014 by leveraging an ongoing citizen-science program in ENP. Program participation was generally low, with most authorized participants in 2014 not searching for the snakes at all. We discuss the possible explanations for low participation, especially how the low likelihood of observing pythons weakens incentives to search. The monthly rate of Burmese Python observations for 2014 averaged </w:instrText>
      </w:r>
      <w:r w:rsidR="002D2756">
        <w:rPr>
          <w:rFonts w:ascii="ＭＳ 明朝" w:eastAsia="ＭＳ 明朝" w:hAnsi="ＭＳ 明朝" w:cs="ＭＳ 明朝" w:hint="eastAsia"/>
        </w:rPr>
        <w:instrText>∼</w:instrText>
      </w:r>
      <w:r w:rsidR="002D2756">
        <w:instrText xml:space="preserve">1 observation for every 8 h of searching, but during several months, the rate was 1 python per &gt;40 h of searching. These low observation-rates are a natural outcome of the snakes' low detectability— few Burmese Pythons are likely to be observed even if many are present. The general inaccessibility of the southern Florida landscape also severely limits the effectiveness of using visual searches to find and remove pythons for the purposes of population control. Instead, and despite the difficulties in incentivizing voluntary participation, the value of citizen-science efforts in the management of the Burmese Python population is in collecting search-effort information.","container-title":"Southeastern Naturalist","DOI":"10.1656/058.015.sp806","ISSN":"1528-7092, 1938-5412","issue":"sp8","journalAbbreviation":"sena","page":"89-102","source":"bioone.org","title":"Prospects and Limitations of Citizen Science in Invasive Species Management: A Case Study with Burmese Pythons in Everglades National Park","title-short":"Prospects and Limitations of Citizen Science in Invasive Species Management","URL":"https://bioone.org/journals/Southeastern-Naturalist/volume-15/issue-sp8/058.015.sp806/Prospects-and-Limitations-of-Citizen-Science-in-Invasive-Species-Management/10.1656/058.015.sp806.full","volume":"15","author":[{"family":"Falk","given":"Bryan G."},{"family":"Snow","given":"Ray W."},{"family":"Reed","given":"Robert N."}],"accessed":{"date-parts":[["2020",4,3]]},"issued":{"date-parts":[["2016",12]]}},"label":"page"}],"schema":"https://github.com/citation-style-language/schema/raw/master/csl-citation.json"} </w:instrText>
      </w:r>
      <w:r w:rsidR="0076675A" w:rsidRPr="00A9434B">
        <w:fldChar w:fldCharType="separate"/>
      </w:r>
      <w:r w:rsidR="00F55BC6" w:rsidRPr="00F55BC6">
        <w:t>Falk et al., 2016)</w:t>
      </w:r>
      <w:r w:rsidR="0076675A" w:rsidRPr="00A9434B">
        <w:fldChar w:fldCharType="end"/>
      </w:r>
      <w:r w:rsidRPr="00A9434B">
        <w:t xml:space="preserve">. It increases public awareness and involvement in the management of invasive alien species while generating scientifically valid data at a very low cost </w:t>
      </w:r>
      <w:r w:rsidR="0076675A" w:rsidRPr="00A9434B">
        <w:fldChar w:fldCharType="begin"/>
      </w:r>
      <w:r w:rsidR="002D2756">
        <w:instrText xml:space="preserve"> ADDIN ZOTERO_ITEM CSL_CITATION {"citationID":"a12sodqqcp9","properties":{"formattedCitation":"(McKinley et al., 2017; Palmer et al., 2017)","plainCitation":"(McKinley et al., 2017; Palmer et al., 2017)","noteIndex":0},"citationItems":[{"id":21543,"uris":["http://zotero.org/groups/2352922/items/NRZ5ZHP4"],"itemData":{"id":21543,"type":"article-journal","abstract":"Citizen science has advanced science for hundreds of years, contributed to many peer-reviewed articles, and informed land management decisions and policies across the United States. Over the last 10years, citizen science has grown immensely in the United States and many other countries. Here, we show how citizen science is a powerful tool for tackling many of the challenges faced in the field of conservation biology. We describe the two interwoven paths by which citizen science can improve conservation efforts, natural resource management, and environmental protection. The first path includes building scientific knowledge, while the other path involves informing policy and encouraging public action. We explore how citizen science is currently used and describe the investments needed to create a citizen science program. We find that:1.Citizen science already contributes substantially to many domains of science, including conservation, natural resource, and environmental science. Citizen science informs natural resource management, environmental protection, and policymaking and fosters public input and engagement.2.Many types of projects can benefit from citizen science, but one must be careful to match the needs for science and public involvement with the right type of citizen science project and the right method of public participation.3.Citizen science is a rigorous process of scientific discovery, indistinguishable from conventional science apart from the participation of volunteers. When properly designed, carried out, and evaluated, citizen science can provide sound science, efficiently generate high-quality data, and help solve problems.","collection-title":"The role of citizen science in biological conservation","container-title":"Biological Conservation","DOI":"10.1016/j.biocon.2016.05.015","ISSN":"0006-3207","journalAbbreviation":"Biological Conservation","language":"en","page":"15-28","source":"ScienceDirect","title":"Citizen science can improve conservation science, natural resource management, and environmental protection","URL":"http://www.sciencedirect.com/science/article/pii/S0006320716301963","volume":"208","author":[{"family":"McKinley","given":"Duncan C."},{"family":"Miller-Rushing","given":"Abe J."},{"family":"Ballard","given":"Heidi L."},{"family":"Bonney","given":"Rick"},{"family":"Brown","given":"Hutch"},{"family":"Cook-Patton","given":"Susan C."},{"family":"Evans","given":"Daniel M."},{"family":"French","given":"Rebecca A."},{"family":"Parrish","given":"Julia K."},{"family":"Phillips","given":"Tina B."},{"family":"Ryan","given":"Sean F."},{"family":"Shanley","given":"Lea A."},{"family":"Shirk","given":"Jennifer L."},{"family":"Stepenuck","given":"Kristine F."},{"family":"Weltzin","given":"Jake F."},{"family":"Wiggins","given":"Andrea"},{"family":"Boyle","given":"Owen D."},{"family":"Briggs","given":"Russell D."},{"family":"Chapin","given":"Stuart F."},{"family":"Hewitt","given":"David A."},{"family":"Preuss","given":"Peter W."},{"family":"Soukup","given":"Michael A."}],"accessed":{"date-parts":[["2020",4,3]]},"issued":{"date-parts":[["2017",4,1]]}},"label":"page"},{"id":21545,"uris":["http://zotero.org/groups/2352922/items/DHMZABNP"],"itemData":{"id":21545,"type":"article-journal","abstract":"Monitoring of the spread of invasive mosquitos is important both for preventing and for understanding disease outbreaks. Here the author report that a scalable citizen science system can provide accurate early warning of the invasion process of the Asian tiger mosquito in Spain, with far more scalable coverage than that of traditional surveillance methods.","container-title":"Nature Communications","DOI":"10.1038/s41467-017-00914-9","ISSN":"2041-1723","issue":"1","language":"en","license":"2017 The Author(s)","page":"916","source":"www.nature.com","title":"Citizen science provides a reliable and scalable tool to track disease-carrying mosquitoes","URL":"https://www.nature.com/articles/s41467-017-00914-9","volume":"8","author":[{"family":"Palmer","given":"John R. B."},{"family":"Oltra","given":"Aitana"},{"family":"Collantes","given":"Francisco"},{"family":"Delgado","given":"Juan Antonio"},{"family":"Lucientes","given":"Javier"},{"family":"Delacour","given":"Sarah"},{"family":"Bengoa","given":"Mikel"},{"family":"Eritja","given":"Roger"},{"family":"Bartumeus","given":"Frederic"}],"accessed":{"date-parts":[["2020",4,3]]},"issued":{"date-parts":[["2017",10,24]]}},"label":"page"}],"schema":"https://github.com/citation-style-language/schema/raw/master/csl-citation.json"} </w:instrText>
      </w:r>
      <w:r w:rsidR="0076675A" w:rsidRPr="00A9434B">
        <w:fldChar w:fldCharType="separate"/>
      </w:r>
      <w:r w:rsidR="00C71E80" w:rsidRPr="00A9434B">
        <w:t>(McKinley et al., 2017; Palmer et al., 2017)</w:t>
      </w:r>
      <w:r w:rsidR="0076675A" w:rsidRPr="00A9434B">
        <w:fldChar w:fldCharType="end"/>
      </w:r>
      <w:r w:rsidRPr="00A9434B">
        <w:t xml:space="preserve">. For recording species’ distribution data, citizen science can be more cost-effective, nearly eight times less in case of Mosquito Alert, than the traditional expert-driven approach for data of comparable quality </w:t>
      </w:r>
      <w:r w:rsidR="0076675A" w:rsidRPr="00A9434B">
        <w:fldChar w:fldCharType="begin"/>
      </w:r>
      <w:r w:rsidR="002D2756">
        <w:instrText xml:space="preserve"> ADDIN ZOTERO_ITEM CSL_CITATION {"citationID":"a1kvifnq3fm","properties":{"formattedCitation":"(Palmer et al., 2017)","plainCitation":"(Palmer et al., 2017)","noteIndex":0},"citationItems":[{"id":21545,"uris":["http://zotero.org/groups/2352922/items/DHMZABNP"],"itemData":{"id":21545,"type":"article-journal","abstract":"Monitoring of the spread of invasive mosquitos is important both for preventing and for understanding disease outbreaks. Here the author report that a scalable citizen science system can provide accurate early warning of the invasion process of the Asian tiger mosquito in Spain, with far more scalable coverage than that of traditional surveillance methods.","container-title":"Nature Communications","DOI":"10.1038/s41467-017-00914-9","ISSN":"2041-1723","issue":"1","language":"en","license":"2017 The Author(s)","page":"916","source":"www.nature.com","title":"Citizen science provides a reliable and scalable tool to track disease-carrying mosquitoes","URL":"https://www.nature.com/articles/s41467-017-00914-9","volume":"8","author":[{"family":"Palmer","given":"John R. B."},{"family":"Oltra","given":"Aitana"},{"family":"Collantes","given":"Francisco"},{"family":"Delgado","given":"Juan Antonio"},{"family":"Lucientes","given":"Javier"},{"family":"Delacour","given":"Sarah"},{"family":"Bengoa","given":"Mikel"},{"family":"Eritja","given":"Roger"},{"family":"Bartumeus","given":"Frederic"}],"accessed":{"date-parts":[["2020",4,3]]},"issued":{"date-parts":[["2017",10,24]]}}}],"schema":"https://github.com/citation-style-language/schema/raw/master/csl-citation.json"} </w:instrText>
      </w:r>
      <w:r w:rsidR="0076675A" w:rsidRPr="00A9434B">
        <w:fldChar w:fldCharType="separate"/>
      </w:r>
      <w:r w:rsidR="00C71E80" w:rsidRPr="00A9434B">
        <w:t>(Palmer et al., 2017)</w:t>
      </w:r>
      <w:r w:rsidR="0076675A" w:rsidRPr="00A9434B">
        <w:fldChar w:fldCharType="end"/>
      </w:r>
      <w:r w:rsidRPr="00A9434B">
        <w:fldChar w:fldCharType="begin"/>
      </w:r>
      <w:r w:rsidRPr="00A9434B">
        <w:instrText>ADDIN EN.CITE &lt;EndNote&gt;&lt;Cite&gt;&lt;Author&gt;Palmer&lt;/Author&gt;&lt;Year&gt;2017&lt;/Year&gt;&lt;RecNum&gt;421&lt;/RecNum&gt;&lt;DisplayText&gt;(Palmer, Oltra et al. 2017)&lt;/DisplayText&gt;&lt;record&gt;&lt;rec-number&gt;265&lt;/rec-number&gt;&lt;foreign-keys&gt;&lt;key app="EN" db-id="0d55paxdcvwpebe55d1vrz5ne2pattprarta" timestamp="1597992735"&gt;265&lt;/key&gt;&lt;/foreign-keys&gt;&lt;ref-type name="Journal Article"&gt;17&lt;/ref-type&gt;&lt;contributors&gt;&lt;authors&gt;&lt;author&gt;Palmer, John R. B.&lt;/author&gt;&lt;author&gt;Oltra, Aitana&lt;/author&gt;&lt;author&gt;Collantes, Francisco&lt;/author&gt;&lt;author&gt;Delgado, Juan Antonio&lt;/author&gt;&lt;author&gt;Lucientes, Javier&lt;/author&gt;&lt;author&gt;Delacour, Sarah&lt;/author&gt;&lt;author&gt;Bengoa, Mikel&lt;/author&gt;&lt;author&gt;Eritja, Roger&lt;/author&gt;&lt;author&gt;Bartumeus, Frederic&lt;/author&gt;&lt;/authors&gt;&lt;/contributors&gt;&lt;titles&gt;&lt;title&gt;Citizen science provides a reliable and scalable tool to track disease-carrying mosquitoes&lt;/title&gt;&lt;secondary-title&gt;Nature Communications&lt;/secondary-title&gt;&lt;/titles&gt;&lt;periodical&gt;&lt;full-title&gt;Nature Communications&lt;/full-title&gt;&lt;abbr-1&gt;Nat Commun&lt;/abbr-1&gt;&lt;/periodical&gt;&lt;pages&gt;1-13&lt;/pages&gt;&lt;volume&gt;8&lt;/volume&gt;&lt;number&gt;1&lt;/number&gt;&lt;dates&gt;&lt;year&gt;2017&lt;/year&gt;&lt;pub-dates&gt;&lt;date&gt;2017/10/24/&lt;/date&gt;&lt;/pub-dates&gt;&lt;/dates&gt;&lt;isbn&gt;2041-1723&lt;/isbn&gt;&lt;urls&gt;&lt;related-urls&gt;&lt;url&gt;https://www.nature.com/articles/s41467-017-00914-9&lt;/url&gt;&lt;/related-urls&gt;&lt;/urls&gt;&lt;electronic-resource-num&gt;10.1038/s41467-017-00914-9&lt;/electronic-resource-num&gt;&lt;remote-database-provider&gt;www.nature.com&lt;/remote-database-provider&gt;&lt;language&gt;en&lt;/language&gt;&lt;access-date&gt;2020/04/03/07:50:00&lt;/access-date&gt;&lt;/record&gt;&lt;/Cite&gt;&lt;/EndNote&gt;</w:instrText>
      </w:r>
      <w:r w:rsidRPr="00A9434B">
        <w:fldChar w:fldCharType="end"/>
      </w:r>
      <w:r w:rsidRPr="00A9434B">
        <w:t>. Citizen science data can contribute substantially to existing species information data</w:t>
      </w:r>
      <w:r w:rsidR="00607B50" w:rsidRPr="00A9434B">
        <w:t xml:space="preserve"> </w:t>
      </w:r>
      <w:r w:rsidR="00DE414C" w:rsidRPr="00A9434B">
        <w:t>(</w:t>
      </w:r>
      <w:r w:rsidR="006B607A" w:rsidRPr="00A9434B">
        <w:t xml:space="preserve">e.g., </w:t>
      </w:r>
      <w:r w:rsidRPr="00A9434B">
        <w:t xml:space="preserve">early detection, species distribution range size, regional species pool) collected by professional scientists </w:t>
      </w:r>
      <w:r w:rsidR="0076675A" w:rsidRPr="00A9434B">
        <w:fldChar w:fldCharType="begin"/>
      </w:r>
      <w:r w:rsidR="002D2756">
        <w:instrText xml:space="preserve"> ADDIN ZOTERO_ITEM CSL_CITATION {"citationID":"a1691q7hd2r","properties":{"formattedCitation":"(Crall et al., 2015; Palmer et al., 2017; Soroye et al., 2018)","plainCitation":"(Crall et al., 2015; Palmer et al., 2017; Soroye et al., 2018)","noteIndex":0},"citationItems":[{"id":17098,"uris":["http://zotero.org/groups/2352922/items/QAQGYA65"],"itemData":{"id":17098,"type":"article-journal","container-title":"Biological Invasions","DOI":"10.1007/s10530-015-0885-4","ISSN":"1387-3547, 1573-1464","issue":"8","journalAbbreviation":"Biol Invasions","language":"en","page":"2415-2427","source":"DOI.org (Crossref)","title":"Citizen science contributes to our knowledge of invasive plant species distributions","URL":"http://link.springer.com/10.1007/s10530-015-0885-4","volume":"17","author":[{"family":"Crall","given":"Alycia W."},{"family":"Jarnevich","given":"Catherine S."},{"family":"Young","given":"Nicholas E."},{"family":"Panke","given":"Brendon J."},{"family":"Renz","given":"Mark"},{"family":"Stohlgren","given":"Thomas J."}],"accessed":{"date-parts":[["2019",10,26]]},"issued":{"date-parts":[["2015",8]]}},"label":"page"},{"id":21545,"uris":["http://zotero.org/groups/2352922/items/DHMZABNP"],"itemData":{"id":21545,"type":"article-journal","abstract":"Monitoring of the spread of invasive mosquitos is important both for preventing and for understanding disease outbreaks. Here the author report that a scalable citizen science system can provide accurate early warning of the invasion process of the Asian tiger mosquito in Spain, with far more scalable coverage than that of traditional surveillance methods.","container-title":"Nature Communications","DOI":"10.1038/s41467-017-00914-9","ISSN":"2041-1723","issue":"1","language":"en","license":"2017 The Author(s)","page":"916","source":"www.nature.com","title":"Citizen science provides a reliable and scalable tool to track disease-carrying mosquitoes","URL":"https://www.nature.com/articles/s41467-017-00914-9","volume":"8","author":[{"family":"Palmer","given":"John R. B."},{"family":"Oltra","given":"Aitana"},{"family":"Collantes","given":"Francisco"},{"family":"Delgado","given":"Juan Antonio"},{"family":"Lucientes","given":"Javier"},{"family":"Delacour","given":"Sarah"},{"family":"Bengoa","given":"Mikel"},{"family":"Eritja","given":"Roger"},{"family":"Bartumeus","given":"Frederic"}],"accessed":{"date-parts":[["2020",4,3]]},"issued":{"date-parts":[["2017",10,24]]}},"label":"page"},{"id":16036,"uris":["http://zotero.org/groups/2352922/items/6CI7NH52"],"itemData":{"id":16036,"type":"article-journal","abstract":"Opportunistic citizen science (CS) programs allow volunteers to report species observations from anywhere, at any time, and can assemble large volumes of historic and current data at faster rates than more coordinated programs with standardized data collection. This can quickly provide large amounts of species distributional data, but whether this focus on participation comes at a cost in data quality is not clear. Although automated and expert vetting can increase data reliability, there is no guarantee that opportunistic data will do anything more than confirm information from professional surveys. Here, we use eButterfly, an opportunistic CS program, and a comparable dataset of professionally collected observations, to measure the amount of new distributional species information that opportunistic CS generates. We also test how well opportunistic CS can estimate regional species richness for a large group of taxa (&gt;300 butterfly species) across a broad area. We find that eButterfly contributes new distributional information for &gt;80% of species, and that opportunistically submitting observations allowed volunteers to spot species ~35 days earlier than professionals. Although eButterfly did a relatively poor job at predicting regional species richness by itself (detecting only about 35–57% of species per region), it significantly contributed to regional species richness when used with the professional dataset (adding ~3 species that had gone undetected in professional surveys per region). Overall, we find that the opportunistic CS model can provide substantial complementary species information when used alongside professional survey data. Our results suggest that data from opportunistic CS programs in conjunction with professional datasets can strongly increase the capacity of researchers to estimate species richness, and provide unique information on species distributions and phenologies that are relevant to the detection of the biological consequences of global change. © 2018 John Wiley &amp; Sons Ltd","container-title":"Global Change Biology","DOI":"10.1111/gcb.14358","issue":"11","page":"5281-5291","title":"Opportunistic citizen science data transform understanding of species distributions, phenology, and diversity gradients for global change research","URL":"https://www.scopus.com/inward/record.uri?eid=2-s2.0-85050859086&amp;doi=10.1111%2fgcb.14358&amp;partnerID=40&amp;md5=ab95e5e475f4c32d88964b12042385aa","volume":"24","author":[{"family":"Soroye","given":"P."},{"family":"Ahmed","given":"N."},{"family":"Kerr","given":"J.T."}],"issued":{"date-parts":[["2018"]]}},"label":"page"}],"schema":"https://github.com/citation-style-language/schema/raw/master/csl-citation.json"} </w:instrText>
      </w:r>
      <w:r w:rsidR="0076675A" w:rsidRPr="00A9434B">
        <w:fldChar w:fldCharType="separate"/>
      </w:r>
      <w:r w:rsidR="00C71E80" w:rsidRPr="00A9434B">
        <w:t>(Crall et al., 2015; Palmer et al., 2017; Soroye et al., 2018)</w:t>
      </w:r>
      <w:r w:rsidR="0076675A" w:rsidRPr="00A9434B">
        <w:fldChar w:fldCharType="end"/>
      </w:r>
      <w:r w:rsidRPr="00A9434B">
        <w:t>.</w:t>
      </w:r>
    </w:p>
    <w:p w14:paraId="5237D34C" w14:textId="63CAEC80" w:rsidR="00CC4659" w:rsidRPr="00A9434B" w:rsidRDefault="1E4B2BF8" w:rsidP="006B3143">
      <w:r w:rsidRPr="00A9434B">
        <w:t>Nevertheless, there are limitations to the use of citizen science</w:t>
      </w:r>
      <w:r w:rsidR="511C1350" w:rsidRPr="00A9434B">
        <w:t xml:space="preserve">, as shown by </w:t>
      </w:r>
      <w:r w:rsidR="00FB2AD6" w:rsidRPr="00A9434B">
        <w:t xml:space="preserve">Pocock et al. </w:t>
      </w:r>
      <w:r w:rsidR="00CC4659" w:rsidRPr="00A9434B">
        <w:fldChar w:fldCharType="begin"/>
      </w:r>
      <w:r w:rsidR="002D2756">
        <w:instrText xml:space="preserve"> ADDIN ZOTERO_ITEM CSL_CITATION {"citationID":"a116lisahbm","properties":{"formattedCitation":"(2019)","plainCitation":"(2019)","noteIndex":0},"citationItems":[{"id":32620,"uris":["http://zotero.org/groups/2352922/items/X2YR7XHX"],"itemData":{"id":32620,"type":"article-journal","abstract":"Citizen science is gaining increasing prominence as a tool for science and engagement. However, despite being a potentially valuable tool for sustainable development, citizen science has little visibility in many developing countries. We undertook a collaborative prioritisation process with experts in conservation and the environment to assess the potential of environmental citizen science in East Africa, including its opportunities, benefits and barriers. This provided principles that are applicable across developing countries, particularly for large-scale citizen science. We found that there was great potential for citizen science to add to our scientific knowledge of natural resources and biodiversity trends. Many of the important benefits of citizen science were for people, as well as the environment directly. Major barriers to citizen science were mostly social and institutional, although projects should also consider access to suitable technology and language barriers. Policy implications. Citizen science can provide data to support decision-making and reporting against international targets. Participation can also provide societal benefits, informing and empowering people, thus supporting the United Nations’ Sustainable Development Goals. In developing countries, innovation is needed to further develop culturally relevant citizen science that benefits participants and end users. This should be supported through regional networks of stakeholders for sharing best practice.","container-title":"Journal of Applied Ecology","DOI":"10.1111/1365-2664.13279","ISSN":"1365-2664","issue":"2","language":"en","note":"_eprint: https://onlinelibrary.wiley.com/doi/pdf/10.1111/1365-2664.13279","page":"274-281","source":"Wiley Online Library","title":"Developing the global potential of citizen science: Assessing opportunities that benefit people, society and the environment in East Africa","title-short":"Developing the global potential of citizen science","URL":"https://onlinelibrary.wiley.com/doi/abs/10.1111/1365-2664.13279","volume":"56","author":[{"family":"Pocock","given":"Michael J. O."},{"family":"Roy","given":"Helen E."},{"family":"August","given":"Tom"},{"family":"Kuria","given":"Anthony"},{"family":"Barasa","given":"Fred"},{"family":"Bett","given":"John"},{"family":"Githiru","given":"Mwangi"},{"family":"Kairo","given":"James"},{"family":"Kimani","given":"Julius"},{"family":"Kinuthia","given":"Wanja"},{"family":"Kissui","given":"Bernard"},{"family":"Madindou","given":"Ireene"},{"family":"Mbogo","given":"Kamau"},{"family":"Mirembe","given":"Judith"},{"family":"Mugo","given":"Paul"},{"family":"Muniale","given":"Faith Milkah"},{"family":"Njoroge","given":"Peter"},{"family":"Njuguna","given":"Edwin Gichohi"},{"family":"Olendo","given":"Mike Izava"},{"family":"Opige","given":"Michael"},{"family":"Otieno","given":"Tobias O."},{"family":"Ng'weno","given":"Caroline Chebet"},{"family":"Pallangyo","given":"Elisha"},{"family":"Thenya","given":"Thuita"},{"family":"Wanjiru","given":"Ann"},{"family":"Trevelyan","given":"Rosie"}],"accessed":{"date-parts":[["2021",12,9]]},"issued":{"date-parts":[["2019"]]}},"label":"page","suppress-author":true}],"schema":"https://github.com/citation-style-language/schema/raw/master/csl-citation.json"} </w:instrText>
      </w:r>
      <w:r w:rsidR="00CC4659" w:rsidRPr="00A9434B">
        <w:fldChar w:fldCharType="separate"/>
      </w:r>
      <w:r w:rsidR="00C71E80" w:rsidRPr="00A9434B">
        <w:t>(2019)</w:t>
      </w:r>
      <w:r w:rsidR="00CC4659" w:rsidRPr="00A9434B">
        <w:fldChar w:fldCharType="end"/>
      </w:r>
      <w:r w:rsidRPr="00A9434B">
        <w:t>. There are large taxonomic and geographic gaps in data. For example, eight of the 26 citizen science initiatives</w:t>
      </w:r>
      <w:r w:rsidR="7107E8D7" w:rsidRPr="00A9434B">
        <w:t xml:space="preserve"> with a web/mobile app</w:t>
      </w:r>
      <w:r w:rsidRPr="00A9434B">
        <w:t xml:space="preserve"> evaluated focused on single</w:t>
      </w:r>
      <w:r w:rsidR="0B715CE9" w:rsidRPr="00A9434B">
        <w:t xml:space="preserve"> </w:t>
      </w:r>
      <w:r w:rsidR="559C0934" w:rsidRPr="00A9434B">
        <w:t>(</w:t>
      </w:r>
      <w:r w:rsidR="775A821C" w:rsidRPr="00A9434B">
        <w:t xml:space="preserve">e.g., </w:t>
      </w:r>
      <w:r w:rsidRPr="00A9434B">
        <w:t>Mosquito Alert) or several priority invasive alien species</w:t>
      </w:r>
      <w:r w:rsidR="0B715CE9" w:rsidRPr="00A9434B">
        <w:t xml:space="preserve"> </w:t>
      </w:r>
      <w:r w:rsidR="559C0934" w:rsidRPr="00A9434B">
        <w:t>(</w:t>
      </w:r>
      <w:r w:rsidR="775A821C" w:rsidRPr="00A9434B">
        <w:t xml:space="preserve">e.g., </w:t>
      </w:r>
      <w:r w:rsidRPr="00A9434B">
        <w:t>That’s Invasive!, iMapInvasives) while the remaining initiatives</w:t>
      </w:r>
      <w:r w:rsidR="0B715CE9" w:rsidRPr="00A9434B">
        <w:t xml:space="preserve"> </w:t>
      </w:r>
      <w:r w:rsidR="559C0934" w:rsidRPr="00A9434B">
        <w:t>(</w:t>
      </w:r>
      <w:r w:rsidR="775A821C" w:rsidRPr="00A9434B">
        <w:t xml:space="preserve">e.g., </w:t>
      </w:r>
      <w:r w:rsidRPr="00A9434B">
        <w:t xml:space="preserve">iNaturalist, eBird) include both native and alien species </w:t>
      </w:r>
      <w:r w:rsidR="00CC4659" w:rsidRPr="00A9434B">
        <w:fldChar w:fldCharType="begin"/>
      </w:r>
      <w:r w:rsidR="002D2756">
        <w:instrText xml:space="preserve"> ADDIN ZOTERO_ITEM CSL_CITATION {"citationID":"a2p795pheoi","properties":{"formattedCitation":"(Johnson et al., 2020)","plainCitation":"(Johnson et al., 2020)","noteIndex":0},"citationItems":[{"id":30779,"uris":["http://zotero.org/groups/2352922/items/HZFFISRW"],"itemData":{"id":30779,"type":"article-journal","abstract":"Owing to the huge number of species observations that can be collected by non-professional scientists, “citizen science” has great potential to contribute to scientific knowledge on invasive alien species (IAS). Citizen science has existed for centuries, but the recent adoption of information and communications technology (ICT) in this field (e.g. web- or mobile application-based interfaces for citizen training and data generation) has led to a massive surge in popularity, mainly due to reduced geographic barriers to citizen participation. Several challenges exist, however, to effectively utilize citizen-generated data for monitoring IAS (or other species of interest) at the global scale. Here, we conducted a systematic analysis of citizen science initiatives collecting IAS data using ICT, hoping to better understand their scientific contributions and challenges, their similarities/differences, and their interconnections. Through a search of the Scopus database, we identified 26 initiatives whose data had been used in scientific publications related to IAS, and based our analyses on these initiatives. The most common scientific uses of these citizen science data were to visualize the spatial distribution of IAS, better understand their behaviour/phenology, and elucidate citizen science data quality issues. To alleviate data quality concerns, most initiatives (19/26) had mechanisms for verifying citizen observations, such as user-submitted photographs. While many initiatives collected similar data parameters for each species observation, only 54% of the initiatives had a practice of data sharing. This lack of data sharing causes fragmentation of the citizen-generated IAS data, and is likely inhibiting the wider usage of the data for scientific studies on IAS involving large geographic scales (e.g. regional or global) and/or broad taxonomic scopes. To reduce this fragmentation and better consolidate the collected citizen science data, finally we provide some general data sharing guidelines for citizen science initiatives as well as individual volunteers.","container-title":"Global Ecology and Conservation","DOI":"10.1016/j.gecco.2019.e00812","ISSN":"2351-9894","journalAbbreviation":"Global Ecology and Conservation","language":"en","page":"e00812","title":"Citizen science and invasive alien species: An analysis of citizen science initiatives using information and communications technology (ICT) to collect invasive alien species observations","title-short":"Citizen science and invasive alien species","URL":"https://www.sciencedirect.com/science/article/pii/S2351989419304500","volume":"21","author":[{"family":"Johnson","given":"Brian Alan"},{"family":"Mader","given":"André Derek"},{"family":"Dasgupta","given":"Rajarshi"},{"family":"Kumar","given":"Pankaj"}],"accessed":{"date-parts":[["2021",10,28]]},"issued":{"date-parts":[["2020",3,1]]}},"label":"page"}],"schema":"https://github.com/citation-style-language/schema/raw/master/csl-citation.json"} </w:instrText>
      </w:r>
      <w:r w:rsidR="00CC4659" w:rsidRPr="00A9434B">
        <w:fldChar w:fldCharType="separate"/>
      </w:r>
      <w:r w:rsidR="00C71E80" w:rsidRPr="00A9434B">
        <w:t>(Johnson et al., 2020)</w:t>
      </w:r>
      <w:r w:rsidR="00CC4659" w:rsidRPr="00A9434B">
        <w:fldChar w:fldCharType="end"/>
      </w:r>
      <w:r w:rsidRPr="00A9434B">
        <w:t xml:space="preserve">. Similarly, the number of invasive alien species focused citizen science initiatives leading to scientific publication was higher in Western Europe (11) and North America (10), and there was no such initiative in Asia </w:t>
      </w:r>
      <w:r w:rsidR="00CC4659" w:rsidRPr="00A9434B">
        <w:fldChar w:fldCharType="begin"/>
      </w:r>
      <w:r w:rsidR="002D2756">
        <w:instrText xml:space="preserve"> ADDIN ZOTERO_ITEM CSL_CITATION {"citationID":"ajk3fe9nr5","properties":{"formattedCitation":"(Johnson et al., 2020)","plainCitation":"(Johnson et al., 2020)","noteIndex":0},"citationItems":[{"id":30779,"uris":["http://zotero.org/groups/2352922/items/HZFFISRW"],"itemData":{"id":30779,"type":"article-journal","abstract":"Owing to the huge number of species observations that can be collected by non-professional scientists, “citizen science” has great potential to contribute to scientific knowledge on invasive alien species (IAS). Citizen science has existed for centuries, but the recent adoption of information and communications technology (ICT) in this field (e.g. web- or mobile application-based interfaces for citizen training and data generation) has led to a massive surge in popularity, mainly due to reduced geographic barriers to citizen participation. Several challenges exist, however, to effectively utilize citizen-generated data for monitoring IAS (or other species of interest) at the global scale. Here, we conducted a systematic analysis of citizen science initiatives collecting IAS data using ICT, hoping to better understand their scientific contributions and challenges, their similarities/differences, and their interconnections. Through a search of the Scopus database, we identified 26 initiatives whose data had been used in scientific publications related to IAS, and based our analyses on these initiatives. The most common scientific uses of these citizen science data were to visualize the spatial distribution of IAS, better understand their behaviour/phenology, and elucidate citizen science data quality issues. To alleviate data quality concerns, most initiatives (19/26) had mechanisms for verifying citizen observations, such as user-submitted photographs. While many initiatives collected similar data parameters for each species observation, only 54% of the initiatives had a practice of data sharing. This lack of data sharing causes fragmentation of the citizen-generated IAS data, and is likely inhibiting the wider usage of the data for scientific studies on IAS involving large geographic scales (e.g. regional or global) and/or broad taxonomic scopes. To reduce this fragmentation and better consolidate the collected citizen science data, finally we provide some general data sharing guidelines for citizen science initiatives as well as individual volunteers.","container-title":"Global Ecology and Conservation","DOI":"10.1016/j.gecco.2019.e00812","ISSN":"2351-9894","journalAbbreviation":"Global Ecology and Conservation","language":"en","page":"e00812","title":"Citizen science and invasive alien species: An analysis of citizen science initiatives using information and communications technology (ICT) to collect invasive alien species observations","title-short":"Citizen science and invasive alien species","URL":"https://www.sciencedirect.com/science/article/pii/S2351989419304500","volume":"21","author":[{"family":"Johnson","given":"Brian Alan"},{"family":"Mader","given":"André Derek"},{"family":"Dasgupta","given":"Rajarshi"},{"family":"Kumar","given":"Pankaj"}],"accessed":{"date-parts":[["2021",10,28]]},"issued":{"date-parts":[["2020",3,1]]}}}],"schema":"https://github.com/citation-style-language/schema/raw/master/csl-citation.json"} </w:instrText>
      </w:r>
      <w:r w:rsidR="00CC4659" w:rsidRPr="00A9434B">
        <w:fldChar w:fldCharType="separate"/>
      </w:r>
      <w:r w:rsidR="00C71E80" w:rsidRPr="00A9434B">
        <w:t>(Johnson et al., 2020)</w:t>
      </w:r>
      <w:r w:rsidR="00CC4659" w:rsidRPr="00A9434B">
        <w:fldChar w:fldCharType="end"/>
      </w:r>
      <w:r w:rsidR="7D87873F" w:rsidRPr="00A9434B">
        <w:t xml:space="preserve">. </w:t>
      </w:r>
      <w:r w:rsidRPr="00A9434B">
        <w:t>This is expected because 42</w:t>
      </w:r>
      <w:r w:rsidR="00637BFA" w:rsidRPr="00A9434B">
        <w:t xml:space="preserve"> per cent</w:t>
      </w:r>
      <w:r w:rsidRPr="00A9434B">
        <w:t xml:space="preserve"> and 32</w:t>
      </w:r>
      <w:r w:rsidR="00637BFA" w:rsidRPr="00A9434B">
        <w:t xml:space="preserve"> per cent</w:t>
      </w:r>
      <w:r w:rsidRPr="00A9434B">
        <w:t xml:space="preserve"> of all citizen science program</w:t>
      </w:r>
      <w:r w:rsidR="004654A9" w:rsidRPr="00A9434B">
        <w:t>me</w:t>
      </w:r>
      <w:r w:rsidRPr="00A9434B">
        <w:t xml:space="preserve"> activities (N = 420) linked to biodiversity monitoring have been operating in North America and Europe, respectively </w:t>
      </w:r>
      <w:r w:rsidR="00CC4659" w:rsidRPr="00A9434B">
        <w:fldChar w:fldCharType="begin"/>
      </w:r>
      <w:r w:rsidR="00CC4659" w:rsidRPr="00A9434B">
        <w:instrText>ADDIN EN.CITE &lt;EndNote&gt;&lt;Cite&gt;&lt;Author&gt;Chandler&lt;/Author&gt;&lt;Year&gt;2017&lt;/Year&gt;&lt;RecNum&gt;440&lt;/RecNum&gt;&lt;DisplayText&gt;(Chandler, See et al. 2017)&lt;/DisplayText&gt;&lt;record&gt;&lt;rec-number&gt;258&lt;/rec-number&gt;&lt;foreign-keys&gt;&lt;key app="EN" db-id="0d55paxdcvwpebe55d1vrz5ne2pattprarta" timestamp="1597992735"&gt;258&lt;/key&gt;&lt;/foreign-keys&gt;&lt;ref-type name="Journal Article"&gt;17&lt;/ref-type&gt;&lt;contributors&gt;&lt;authors&gt;&lt;author&gt;Chandler, Mark&lt;/author&gt;&lt;author&gt;See, Linda&lt;/author&gt;&lt;author&gt;Copas, Kyle&lt;/author&gt;&lt;author&gt;Bonde, Astrid M. Z.&lt;/author&gt;&lt;author&gt;López, Bernat Claramunt&lt;/author&gt;&lt;author&gt;Danielsen, Finn&lt;/author&gt;&lt;author&gt;Legind, Jan Kristoffer&lt;/author&gt;&lt;author&gt;Masinde, Siro&lt;/author&gt;&lt;author&gt;Miller-Rushing, Abraham J.&lt;/author&gt;&lt;author&gt;Newman, Greg&lt;/author&gt;&lt;author&gt;Rosemartin, Alyssa&lt;/author&gt;&lt;/authors&gt;&lt;/contributors&gt;&lt;titles&gt;&lt;title&gt;Contribution of citizen science towards international biodiversity monitoring&lt;/title&gt;&lt;secondary-title&gt;Biological Conservation&lt;/secondary-title&gt;&lt;alt-title&gt;Biological Conservation&lt;/alt-title&gt;&lt;/titles&gt;&lt;periodical&gt;&lt;full-title&gt;Biological Conservation&lt;/full-title&gt;&lt;abbr-1&gt;Biol Conserv&lt;/abbr-1&gt;&lt;/periodical&gt;&lt;alt-periodical&gt;&lt;full-title&gt;Biological Conservation&lt;/full-title&gt;&lt;abbr-1&gt;Biol Conserv&lt;/abbr-1&gt;&lt;/alt-periodical&gt;&lt;pages&gt;280-294&lt;/pages&gt;&lt;volume&gt;213&lt;/volume&gt;&lt;keywords&gt;&lt;keyword&gt;Citizen science&lt;/keyword&gt;&lt;keyword&gt;Community-based monitoring&lt;/keyword&gt;&lt;keyword&gt;Databases&lt;/keyword&gt;&lt;keyword&gt;Essential biodiversity variables (EBV)&lt;/keyword&gt;&lt;keyword&gt;Global Biodiversity Information Facility (GBIF)&lt;/keyword&gt;&lt;keyword&gt;Group on Earth Observations Biodiversity Observati&lt;/keyword&gt;&lt;keyword&gt;Group on Earth Observations Biodiversity Observation Network (GEO BON)&lt;/keyword&gt;&lt;/keywords&gt;&lt;dates&gt;&lt;year&gt;2017&lt;/year&gt;&lt;pub-dates&gt;&lt;date&gt;2017/09//&lt;/date&gt;&lt;/pub-dates&gt;&lt;/dates&gt;&lt;isbn&gt;0006-3207&lt;/isbn&gt;&lt;urls&gt;&lt;related-urls&gt;&lt;url&gt;https://www.sciencedirect.com/science/article/pii/S0006320716303639?via%3Dihub&lt;/url&gt;&lt;/related-urls&gt;&lt;/urls&gt;&lt;electronic-resource-num&gt;10.1016/J.BIOCON.2016.09.004&lt;/electronic-resource-num&gt;&lt;remote-database-name&gt;Scopus&lt;/remote-database-name&gt;&lt;language&gt;en&lt;/language&gt;&lt;/record&gt;&lt;/Cite&gt;&lt;/EndNote&gt;</w:instrText>
      </w:r>
      <w:r w:rsidR="00CC4659" w:rsidRPr="00A9434B">
        <w:fldChar w:fldCharType="separate"/>
      </w:r>
      <w:r w:rsidR="00CC4659" w:rsidRPr="00A9434B">
        <w:fldChar w:fldCharType="begin"/>
      </w:r>
      <w:r w:rsidR="002D2756">
        <w:instrText xml:space="preserve"> ADDIN ZOTERO_ITEM CSL_CITATION {"citationID":"a1ealkkvp9s","properties":{"formattedCitation":"(Chandler et al., 2017)","plainCitation":"(Chandler et al., 2017)","noteIndex":0},"citationItems":[{"id":17047,"uris":["http://zotero.org/groups/2352922/items/2LEEP9SX"],"itemData":{"id":17047,"type":"article-journal","abstract":"To meet collective obligations towards biodiversity conservation and monitoring, it is essential that the world's governments and non-governmental organisations as well as the research community tap all possible sources of data and information, including new, fast-growing sources such as citizen science (CS), in which volunteers participate in some or all aspects of environmental assessments. Through compilation of a database on CS and community-based monitoring (CBM, a subset of CS) programs, we assess where contributions from CS and CBM are significant and where opportunities for growth exist. We use the Essential Biodiversity Variable framework to describe the range of biodiversity data needed to track progress towards global biodiversity targets, and we assess strengths and gaps in geographical and taxonomic coverage. Our results show that existing CS and CBM data particularly provide large-scale data on species distribution and population abundance, species traits such as phenology, and ecosystem function variables such as primary and secondary productivity. Only birds, Lepidoptera and plants are monitored at scale. Most CS schemes are found in Europe, North America, South Africa, India, and Australia. We then explore what can be learned from successful CS/CBM programs that would facilitate the scaling up of current efforts, how existing strengths in data coverage can be better exploited, and the strategies that could maximise the synergies between CS/CBM and other approaches for monitoring biodiversity, in particular from remote sensing. More and better targeted funding will be needed, if CS/CBM programs are to contribute further to international biodiversity monitoring.","container-title":"Biological Conservation","DOI":"10.1016/J.BIOCON.2016.09.004","ISSN":"0006-3207","journalAbbreviation":"Biological Conservation","language":"en","page":"280–294","title":"Contribution of citizen science towards international biodiversity monitoring","URL":"https://www.sciencedirect.com/science/article/pii/S0006320716303639?via%3Dihub","volume":"213","author":[{"family":"Chandler","given":"Mark"},{"family":"See","given":"Linda"},{"family":"Copas","given":"Kyle"},{"family":"Bonde","given":"Astrid M.Z."},{"family":"López","given":"Bernat Claramunt"},{"family":"Danielsen","given":"Finn"},{"family":"Legind","given":"Jan Kristoffer"},{"family":"Masinde","given":"Siro"},{"family":"Miller-Rushing","given":"Abraham J."},{"family":"Newman","given":"Greg"},{"family":"Rosemartin","given":"Alyssa"},{"family":"Turak","given":"Eren"}],"issued":{"date-parts":[["2017",9]]}},"label":"page"}],"schema":"https://github.com/citation-style-language/schema/raw/master/csl-citation.json"} </w:instrText>
      </w:r>
      <w:r w:rsidR="00CC4659" w:rsidRPr="00A9434B">
        <w:fldChar w:fldCharType="separate"/>
      </w:r>
      <w:r w:rsidR="00C71E80" w:rsidRPr="00A9434B">
        <w:t>(Chandler et al., 2017)</w:t>
      </w:r>
      <w:r w:rsidR="00CC4659" w:rsidRPr="00A9434B">
        <w:fldChar w:fldCharType="end"/>
      </w:r>
      <w:r w:rsidR="00CC4659" w:rsidRPr="00A9434B">
        <w:fldChar w:fldCharType="end"/>
      </w:r>
      <w:r w:rsidR="7D87873F" w:rsidRPr="00A9434B">
        <w:t>.</w:t>
      </w:r>
      <w:r w:rsidRPr="00A9434B">
        <w:t xml:space="preserve"> Expanding taxonomic and geographic coverage of citizen science initiatives increases the scientific values of the data generated. </w:t>
      </w:r>
      <w:r w:rsidR="7C520905" w:rsidRPr="00A9434B">
        <w:t>Adaptive sampling, whereby volunteers are guided to make observations in locations which will optimally impr</w:t>
      </w:r>
      <w:r w:rsidR="6681D9F7" w:rsidRPr="00A9434B">
        <w:t>ove species maps,</w:t>
      </w:r>
      <w:r w:rsidR="7C520905" w:rsidRPr="00A9434B">
        <w:t xml:space="preserve"> has the potential</w:t>
      </w:r>
      <w:r w:rsidR="740D7814" w:rsidRPr="00A9434B">
        <w:t xml:space="preserve"> to improve the effectiveness of citizen science for early warning of </w:t>
      </w:r>
      <w:r w:rsidR="007D5DC6">
        <w:t>invasive alien species</w:t>
      </w:r>
      <w:r w:rsidR="747FD654" w:rsidRPr="00A9434B">
        <w:t>.</w:t>
      </w:r>
      <w:r w:rsidR="740D7814" w:rsidRPr="00A9434B">
        <w:t xml:space="preserve"> </w:t>
      </w:r>
    </w:p>
    <w:p w14:paraId="42B1FC5A" w14:textId="7E5F99A8" w:rsidR="00CC4659" w:rsidRPr="00A9434B" w:rsidRDefault="00CC4659" w:rsidP="006B3143">
      <w:pPr>
        <w:rPr>
          <w:rFonts w:eastAsia="Calibri Light"/>
        </w:rPr>
      </w:pPr>
      <w:r w:rsidRPr="00A9434B">
        <w:rPr>
          <w:rFonts w:eastAsia="Calibri Light"/>
        </w:rPr>
        <w:t>Citizen science program</w:t>
      </w:r>
      <w:r w:rsidR="004654A9" w:rsidRPr="00A9434B">
        <w:rPr>
          <w:rFonts w:eastAsia="Calibri Light"/>
        </w:rPr>
        <w:t>me</w:t>
      </w:r>
      <w:r w:rsidRPr="00A9434B">
        <w:rPr>
          <w:rFonts w:eastAsia="Calibri Light"/>
        </w:rPr>
        <w:t>s for invasive alien species detection and surveillance have recently expanded to marine systems</w:t>
      </w:r>
      <w:r w:rsidRPr="00A9434B">
        <w:t xml:space="preserve"> </w:t>
      </w:r>
      <w:r w:rsidR="0076675A" w:rsidRPr="00A9434B">
        <w:fldChar w:fldCharType="begin"/>
      </w:r>
      <w:r w:rsidR="002D2756">
        <w:instrText xml:space="preserve"> ADDIN ZOTERO_ITEM CSL_CITATION {"citationID":"lpYRXFai","properties":{"formattedCitation":"(Delaney et al., 2008; Thiel et al., 2014)","plainCitation":"(Delaney et al., 2008; Thiel et al., 2014)","noteIndex":0},"citationItems":[{"id":30783,"uris":["http://zotero.org/groups/2352922/items/DL6SY6B9"],"itemData":{"id":30783,"type":"article-journal","container-title":"Biological Invasions","DOI":"10.1007/s10530-007-9114-0","ISSN":"1387-3547, 1573-1464","issue":"1","journalAbbreviation":"Biol Invasions","language":"en","page":"117-128","source":"DOI.org (Crossref)","title":"Marine invasive species: validation of citizen science and implications for national monitoring networks","title-short":"Marine invasive species","URL":"http://link.springer.com/10.1007/s10530-007-9114-0","volume":"10","author":[{"family":"Delaney","given":"David G."},{"family":"Sperling","given":"Corinne D."},{"family":"Adams","given":"Christiaan S."},{"family":"Leung","given":"Brian"}],"accessed":{"date-parts":[["2021",7,21]]},"issued":{"date-parts":[["2008",1]]}},"label":"page"},{"id":53361,"uris":["http://zotero.org/groups/2352922/items/8TUTJSMS"],"itemData":{"id":53361,"type":"chapter","container-title":"Oceanography and Marine Biology: an annual review","ISBN":"978-0-429-16139-1","page":"52","publisher":"CRC Press","title":"Citizen scientist and marine research: volunteers participatns, their contribbutions, and projection for the future","URL":"http://dx.doi.org/10.1201/b17143-6","volume":"52","author":[{"family":"Thiel","given":"Martin"},{"family":"Penna-Díaz","given":"Miguel Angel"},{"family":"Luna-Jorquera","given":"Guillermo"},{"family":"Salas","given":"Sonia"},{"family":"Sellanes","given":"Javier"},{"family":"Stotz","given":"Wolfgang"}],"editor":[{"family":"Hughes","given":"R.N."},{"family":"Hughes","given":"D.J."},{"family":"Smith","given":"I.P."}],"issued":{"date-parts":[["2014"]]}},"label":"page"}],"schema":"https://github.com/citation-style-language/schema/raw/master/csl-citation.json"} </w:instrText>
      </w:r>
      <w:r w:rsidR="0076675A" w:rsidRPr="00A9434B">
        <w:fldChar w:fldCharType="separate"/>
      </w:r>
      <w:r w:rsidR="00D13761" w:rsidRPr="00D13761">
        <w:t>(Delaney et al., 2008; Thiel et al., 2014)</w:t>
      </w:r>
      <w:r w:rsidR="0076675A" w:rsidRPr="00A9434B">
        <w:fldChar w:fldCharType="end"/>
      </w:r>
      <w:r w:rsidRPr="00A9434B">
        <w:rPr>
          <w:rFonts w:eastAsia="Calibri Light"/>
        </w:rPr>
        <w:t>, with active involvement of fishers, divers</w:t>
      </w:r>
      <w:r w:rsidR="00EB415D">
        <w:rPr>
          <w:rFonts w:eastAsia="Calibri Light"/>
        </w:rPr>
        <w:t xml:space="preserve"> and</w:t>
      </w:r>
      <w:r w:rsidRPr="00A9434B">
        <w:rPr>
          <w:rFonts w:eastAsia="Calibri Light"/>
        </w:rPr>
        <w:t xml:space="preserve"> the public at large.</w:t>
      </w:r>
      <w:r w:rsidRPr="00A9434B">
        <w:t xml:space="preserve"> The contribution of citizen science is expected </w:t>
      </w:r>
      <w:r w:rsidRPr="00A9434B">
        <w:rPr>
          <w:rFonts w:eastAsia="Calibri Light"/>
        </w:rPr>
        <w:t>to expand over time, helping to address the limited funding and spatial/temporal coverage available with current program</w:t>
      </w:r>
      <w:r w:rsidR="004654A9" w:rsidRPr="00A9434B">
        <w:rPr>
          <w:rFonts w:eastAsia="Calibri Light"/>
        </w:rPr>
        <w:t>me</w:t>
      </w:r>
      <w:r w:rsidRPr="00A9434B">
        <w:rPr>
          <w:rFonts w:eastAsia="Calibri Light"/>
        </w:rPr>
        <w:t>s</w:t>
      </w:r>
      <w:r w:rsidR="00AC2AFC" w:rsidRPr="00A9434B">
        <w:rPr>
          <w:rFonts w:eastAsia="Calibri Light"/>
        </w:rPr>
        <w:t xml:space="preserve"> </w:t>
      </w:r>
      <w:r w:rsidR="00AC2AFC" w:rsidRPr="00A9434B">
        <w:rPr>
          <w:rFonts w:eastAsia="Calibri Light"/>
        </w:rPr>
        <w:fldChar w:fldCharType="begin"/>
      </w:r>
      <w:r w:rsidR="002D2756">
        <w:rPr>
          <w:rFonts w:eastAsia="Calibri Light"/>
        </w:rPr>
        <w:instrText xml:space="preserve"> ADDIN ZOTERO_ITEM CSL_CITATION {"citationID":"a24apnkmr1d","properties":{"formattedCitation":"(Pocock et al., 2018, 2019)","plainCitation":"(Pocock et al., 2018, 2019)","noteIndex":0},"citationItems":[{"id":52468,"uris":["http://zotero.org/groups/2352922/items/XKKAU2IV"],"itemData":{"id":52468,"type":"chapter","abstract":"Global biodiversity monitoring is urgently needed across the world to assess the impacts of environmental change on biodiversity. One way to increase monitoring is through citizen science. ‘Citizen science’ is a term that we use in this chapter to describe the diverse approaches that involve people in monitoring in a voluntary capacity, thus including participatory monitoring in which people work collaboratively with scientists in developing monitoring. There is great unrealised potential for citizen science, especially in Asia and Africa. However, to fulfil this potential citizen science will need to meet local needs (for participants, communities and decision makers, including people's own use of the data and their motivations to participate) and support global needs for biodiversity monitoring (including the United Nations’ Sustainable Development Goals and the Aichi Biodiversity Targets). Activities should be feasible (for participants to provide scientifically rigorous data) and useful (for data users, from local to global scales). We use examples from across the world to demonstrate how monitoring can engage different types of participants, through different technologies, to record different variables according to different sampling approaches. Overall, these examples show how citizen science has the potential to provide a step change in our ability to monitor biodiversity—and hence respond to threats at all scales from local to global.","collection-title":"Next Generation Biomonitoring: Part 2","container-title":"Advances in Ecological Research","language":"en","note":"DOI: 10.1016/bs.aecr.2018.06.003","page":"169-223","publisher":"Academic Press","source":"ScienceDirect","title":"Chapter Six - A Vision for Global Biodiversity Monitoring With Citizen Science","URL":"https://www.sciencedirect.com/science/article/pii/S0065250418300230","volume":"59","author":[{"family":"Pocock","given":"Michael J. O."},{"family":"Chandler","given":"Mark"},{"family":"Bonney","given":"Rick"},{"family":"Thornhill","given":"Ian"},{"family":"Albin","given":"Anna"},{"family":"August","given":"Tom"},{"family":"Bachman","given":"Steven"},{"family":"Brown","given":"Peter M. J."},{"family":"Cunha","given":"Davi Gasparini Fernandes"},{"family":"Grez","given":"Audrey"},{"family":"Jackson","given":"Colin"},{"family":"Peters","given":"Monica"},{"family":"Rabarijaon","given":"Narindra Romer"},{"family":"Roy","given":"Helen E."},{"family":"Zaviezo","given":"Tania"},{"family":"Danielsen","given":"Finn"}],"editor":[{"family":"Bohan","given":"David A."},{"family":"Dumbrell","given":"Alex J."},{"family":"Woodward","given":"Guy"},{"family":"Jackson","given":"Michelle"}],"accessed":{"date-parts":[["2022",6,21]]},"issued":{"date-parts":[["2018",1,1]]}},"label":"page"},{"id":32620,"uris":["http://zotero.org/groups/2352922/items/X2YR7XHX"],"itemData":{"id":32620,"type":"article-journal","abstract":"Citizen science is gaining increasing prominence as a tool for science and engagement. However, despite being a potentially valuable tool for sustainable development, citizen science has little visibility in many developing countries. We undertook a collaborative prioritisation process with experts in conservation and the environment to assess the potential of environmental citizen science in East Africa, including its opportunities, benefits and barriers. This provided principles that are applicable across developing countries, particularly for large-scale citizen science. We found that there was great potential for citizen science to add to our scientific knowledge of natural resources and biodiversity trends. Many of the important benefits of citizen science were for people, as well as the environment directly. Major barriers to citizen science were mostly social and institutional, although projects should also consider access to suitable technology and language barriers. Policy implications. Citizen science can provide data to support decision-making and reporting against international targets. Participation can also provide societal benefits, informing and empowering people, thus supporting the United Nations’ Sustainable Development Goals. In developing countries, innovation is needed to further develop culturally relevant citizen science that benefits participants and end users. This should be supported through regional networks of stakeholders for sharing best practice.","container-title":"Journal of Applied Ecology","DOI":"10.1111/1365-2664.13279","ISSN":"1365-2664","issue":"2","language":"en","note":"_eprint: https://onlinelibrary.wiley.com/doi/pdf/10.1111/1365-2664.13279","page":"274-281","source":"Wiley Online Library","title":"Developing the global potential of citizen science: Assessing opportunities that benefit people, society and the environment in East Africa","title-short":"Developing the global potential of citizen science","URL":"https://onlinelibrary.wiley.com/doi/abs/10.1111/1365-2664.13279","volume":"56","author":[{"family":"Pocock","given":"Michael J. O."},{"family":"Roy","given":"Helen E."},{"family":"August","given":"Tom"},{"family":"Kuria","given":"Anthony"},{"family":"Barasa","given":"Fred"},{"family":"Bett","given":"John"},{"family":"Githiru","given":"Mwangi"},{"family":"Kairo","given":"James"},{"family":"Kimani","given":"Julius"},{"family":"Kinuthia","given":"Wanja"},{"family":"Kissui","given":"Bernard"},{"family":"Madindou","given":"Ireene"},{"family":"Mbogo","given":"Kamau"},{"family":"Mirembe","given":"Judith"},{"family":"Mugo","given":"Paul"},{"family":"Muniale","given":"Faith Milkah"},{"family":"Njoroge","given":"Peter"},{"family":"Njuguna","given":"Edwin Gichohi"},{"family":"Olendo","given":"Mike Izava"},{"family":"Opige","given":"Michael"},{"family":"Otieno","given":"Tobias O."},{"family":"Ng'weno","given":"Caroline Chebet"},{"family":"Pallangyo","given":"Elisha"},{"family":"Thenya","given":"Thuita"},{"family":"Wanjiru","given":"Ann"},{"family":"Trevelyan","given":"Rosie"}],"accessed":{"date-parts":[["2021",12,9]]},"issued":{"date-parts":[["2019"]]}},"label":"page"}],"schema":"https://github.com/citation-style-language/schema/raw/master/csl-citation.json"} </w:instrText>
      </w:r>
      <w:r w:rsidR="00AC2AFC" w:rsidRPr="00A9434B">
        <w:rPr>
          <w:rFonts w:eastAsia="Calibri Light"/>
        </w:rPr>
        <w:fldChar w:fldCharType="separate"/>
      </w:r>
      <w:r w:rsidR="00C71E80" w:rsidRPr="00A9434B">
        <w:t>(Pocock et al., 2018, 2019)</w:t>
      </w:r>
      <w:r w:rsidR="00AC2AFC" w:rsidRPr="00A9434B">
        <w:rPr>
          <w:rFonts w:eastAsia="Calibri Light"/>
        </w:rPr>
        <w:fldChar w:fldCharType="end"/>
      </w:r>
      <w:r w:rsidRPr="00A9434B">
        <w:fldChar w:fldCharType="begin"/>
      </w:r>
      <w:r w:rsidRPr="00A9434B">
        <w:instrText>ADDIN EN.CITE &lt;EndNote&gt;&lt;Cite&gt;&lt;Author&gt;Ricciardi&lt;/Author&gt;&lt;Year&gt;2000&lt;/Year&gt;&lt;RecNum&gt;232&lt;/RecNum&gt;&lt;DisplayText&gt;(Ricciardi, Steiner et al. 2000)&lt;/DisplayText&gt;&lt;record&gt;&lt;rec-number&gt;215&lt;/rec-number&gt;&lt;foreign-keys&gt;&lt;key app="EN" db-id="0d55paxdcvwpebe55d1vrz5ne2pattprarta" timestamp="1597992734"&gt;215&lt;/key&gt;&lt;/foreign-keys&gt;&lt;ref-type name="Journal Article"&gt;17&lt;/ref-type&gt;&lt;contributors&gt;&lt;authors&gt;&lt;author&gt;Ricciardi, Anthony&lt;/author&gt;&lt;author&gt;Steiner, William W. M.&lt;/author&gt;&lt;author&gt;Mack, Richard N.&lt;/author&gt;&lt;author&gt;Simberloff, Daniel&lt;/author&gt;&lt;/authors&gt;&lt;/contributors&gt;&lt;titles&gt;&lt;title&gt;Toward a Global Information System for Invasive Species&lt;/title&gt;&lt;secondary-title&gt;BioScience&lt;/secondary-title&gt;&lt;alt-title&gt;BioScience&lt;/alt-title&gt;&lt;/titles&gt;&lt;periodical&gt;&lt;full-title&gt;BioScience&lt;/full-title&gt;&lt;/periodical&gt;&lt;alt-periodical&gt;&lt;full-title&gt;BioScience&lt;/full-title&gt;&lt;/alt-periodical&gt;&lt;pages&gt;239&lt;/pages&gt;&lt;volume&gt;50&lt;/volume&gt;&lt;number&gt;3&lt;/number&gt;&lt;dates&gt;&lt;year&gt;2000&lt;/year&gt;&lt;pub-dates&gt;&lt;date&gt;2000&lt;/date&gt;&lt;/pub-dates&gt;&lt;/dates&gt;&lt;isbn&gt;0006-3568&lt;/isbn&gt;&lt;urls&gt;&lt;related-urls&gt;&lt;url&gt;https://academic.oup.com/bioscience/article/50/3/239-244/241482&lt;/url&gt;&lt;/related-urls&gt;&lt;/urls&gt;&lt;electronic-resource-num&gt;10.1641/0006-3568(2000)050[0239:TAGISF]2.3.CO;2&lt;/electronic-resource-num&gt;&lt;remote-database-provider&gt;DOI.org (Crossref)&lt;/remote-database-provider&gt;&lt;language&gt;en&lt;/language&gt;&lt;access-date&gt;2020/06/15/07:03:14&lt;/access-date&gt;&lt;/record&gt;&lt;/Cite&gt;&lt;/EndNote&gt;</w:instrText>
      </w:r>
      <w:r w:rsidRPr="00A9434B">
        <w:fldChar w:fldCharType="end"/>
      </w:r>
      <w:r w:rsidRPr="00A9434B">
        <w:rPr>
          <w:rFonts w:eastAsia="Calibri Light"/>
        </w:rPr>
        <w:t xml:space="preserve">. However, some constraints </w:t>
      </w:r>
      <w:r w:rsidR="000837E8">
        <w:rPr>
          <w:rFonts w:eastAsia="Calibri Light"/>
        </w:rPr>
        <w:t>could</w:t>
      </w:r>
      <w:r w:rsidRPr="00A9434B">
        <w:rPr>
          <w:rFonts w:eastAsia="Calibri Light"/>
        </w:rPr>
        <w:t xml:space="preserve"> be considered in program</w:t>
      </w:r>
      <w:r w:rsidR="00B2331F" w:rsidRPr="00A9434B">
        <w:rPr>
          <w:rFonts w:eastAsia="Calibri Light"/>
        </w:rPr>
        <w:t>me</w:t>
      </w:r>
      <w:r w:rsidRPr="00A9434B">
        <w:rPr>
          <w:rFonts w:eastAsia="Calibri Light"/>
        </w:rPr>
        <w:t xml:space="preserve"> design and expectations, including selecting large-bodied, conspicuous taxa with easy-to-recognize diagnostic characteristics. In the future, genetic tools may be also adopted by citizen science program</w:t>
      </w:r>
      <w:r w:rsidR="00B2331F" w:rsidRPr="00A9434B">
        <w:rPr>
          <w:rFonts w:eastAsia="Calibri Light"/>
        </w:rPr>
        <w:t>me</w:t>
      </w:r>
      <w:r w:rsidRPr="00A9434B">
        <w:rPr>
          <w:rFonts w:eastAsia="Calibri Light"/>
        </w:rPr>
        <w:t xml:space="preserve">s to enhance the potential taxonomic scope and for validation purposes </w:t>
      </w:r>
      <w:r w:rsidRPr="00A9434B">
        <w:rPr>
          <w:rFonts w:eastAsia="Times New Roman"/>
        </w:rPr>
        <w:fldChar w:fldCharType="begin"/>
      </w:r>
      <w:r w:rsidR="002D2756">
        <w:rPr>
          <w:rFonts w:eastAsia="Calibri Light"/>
        </w:rPr>
        <w:instrText xml:space="preserve"> ADDIN ZOTERO_ITEM CSL_CITATION {"citationID":"a1044blba9b","properties":{"formattedCitation":"(Ojaveer et al., 2018)","plainCitation":"(Ojaveer et al., 2018)","noteIndex":0},"citationItems":[{"id":32731,"uris":["http://zotero.org/groups/2352922/items/FGQS5W9X"],"itemData":{"id":32731,"type":"article-journal","abstract":"The human-mediated introduction of marine non-indigenous species is a centuries- if not millennia-old phenomenon, but was only recently acknowledged as a potent driver of change in the sea. We provide a synopsis of key historical milestones for marine bioinvasions, including timelines of (a) discovery and understanding of the invasion process, focusing on transfer mechanisms and outcomes, (b) methodologies used for detection and monitoring, (c) approaches to ecological impacts research, and (d) management and policy responses. Early (until the mid-1900s) marine bioinvasions were given little attention, and in a number of cases actively and routinely facilitated. Beginning in the second half of the 20th century, several conspicuous non-indigenous species outbreaks with strong environmental, economic, and public health impacts raised widespread concerns and initiated shifts in public and scientific perceptions. These high-profile invasions led to policy documents and strategies to reduce the introduction and spread of non-indigenous species, although with significant time lags and limited success and focused on only a subset of transfer mechanisms. Integrated, multi-vector management within an ecosystem-based marine management context is urgently needed to address the complex interactions of natural and human pressures that drive invasions in marine ecosystems.","container-title":"PLoS ONE","DOI":"10.1371/journal.pone.0202383","ISSN":"1932-6203","issue":"8","journalAbbreviation":"PLoS ONE","language":"en","page":"e0202383","source":"DOI.org (Crossref)","title":"Historical baselines in marine bioinvasions: Implications for policy and management","title-short":"Historical baselines in marine bioinvasions","URL":"https://dx.plos.org/10.1371/journal.pone.0202383","volume":"13","author":[{"family":"Ojaveer","given":"Henn"},{"family":"Galil","given":"Bella S."},{"family":"Carlton","given":"James T."},{"family":"Alleway","given":"Heidi"},{"family":"Goulletquer","given":"Philippe"},{"family":"Lehtiniemi","given":"Maiju"},{"family":"Marchini","given":"Agnese"},{"family":"Miller","given":"Whitman"},{"family":"Occhipinti-Ambrogi","given":"Anna"},{"family":"Peharda","given":"Melita"},{"family":"Ruiz","given":"Gregory M."},{"family":"Williams","given":"Susan L."},{"family":"Zaiko","given":"Anastasija"}],"editor":[{"family":"Bianchi","given":"Carlo Nike"}],"accessed":{"date-parts":[["2020",3,24]]},"issued":{"date-parts":[["2018",8,16]]}},"label":"page"}],"schema":"https://github.com/citation-style-language/schema/raw/master/csl-citation.json"} </w:instrText>
      </w:r>
      <w:r w:rsidRPr="00A9434B">
        <w:rPr>
          <w:rFonts w:eastAsia="Calibri Light"/>
        </w:rPr>
        <w:fldChar w:fldCharType="separate"/>
      </w:r>
      <w:r w:rsidR="00C71E80" w:rsidRPr="00A9434B">
        <w:t>(Ojaveer et al., 2018)</w:t>
      </w:r>
      <w:r w:rsidRPr="00A9434B">
        <w:rPr>
          <w:rFonts w:eastAsia="Calibri Light"/>
        </w:rPr>
        <w:fldChar w:fldCharType="end"/>
      </w:r>
      <w:r w:rsidRPr="00A9434B">
        <w:rPr>
          <w:rFonts w:eastAsia="Calibri Light"/>
        </w:rPr>
        <w:t>.</w:t>
      </w:r>
    </w:p>
    <w:p w14:paraId="412AD832" w14:textId="7C1708E8" w:rsidR="00CC4659" w:rsidRPr="00A9434B" w:rsidRDefault="1E4B2BF8" w:rsidP="006B3143">
      <w:r w:rsidRPr="00A9434B">
        <w:t xml:space="preserve">Data from citizen science can contribute significantly towards a better understanding of biological invasions and other global environmental changes, provided that these data are adequately used in peer-reviewed publications </w:t>
      </w:r>
      <w:r w:rsidR="00CC4659" w:rsidRPr="00A9434B">
        <w:fldChar w:fldCharType="begin"/>
      </w:r>
      <w:r w:rsidR="00CC4659" w:rsidRPr="00A9434B">
        <w:instrText>ADDIN EN.CITE &lt;EndNote&gt;&lt;Cite&gt;&lt;Author&gt;Theobald&lt;/Author&gt;&lt;Year&gt;2015&lt;/Year&gt;&lt;RecNum&gt;458&lt;/RecNum&gt;&lt;DisplayText&gt;(Theobald, Ettinger et al. 2015)&lt;/DisplayText&gt;&lt;record&gt;&lt;rec-number&gt;255&lt;/rec-number&gt;&lt;foreign-keys&gt;&lt;key app="EN" db-id="0d55paxdcvwpebe55d1vrz5ne2pattprarta" timestamp="1597992735"&gt;255&lt;/key&gt;&lt;/foreign-keys&gt;&lt;ref-type name="Journal Article"&gt;17&lt;/ref-type&gt;&lt;contributors&gt;&lt;authors&gt;&lt;author&gt;Theobald, E. J.&lt;/author&gt;&lt;author&gt;Ettinger, A. K.&lt;/author&gt;&lt;author&gt;Burgess, H. K.&lt;/author&gt;&lt;author&gt;DeBey, L. B.&lt;/author&gt;&lt;author&gt;Schmidt, N. R.&lt;/author&gt;&lt;author&gt;Froehlich, H. E.&lt;/author&gt;&lt;author&gt;Wagner, C.&lt;/author&gt;&lt;author&gt;HilleRisLambers, J.&lt;/author&gt;&lt;author&gt;Tewksbury, J.&lt;/author&gt;&lt;author&gt;Harsch, M. A.&lt;/author&gt;&lt;author&gt;Parrish, J. K.&lt;/author&gt;&lt;/authors&gt;&lt;/contributors&gt;&lt;titles&gt;&lt;title&gt;Global change and local solutions: Tapping the unrealized potential of citizen science for biodiversity research&lt;/title&gt;&lt;secondary-title&gt;Biological Conservation&lt;/secondary-title&gt;&lt;alt-title&gt;Biological Conservation&lt;/alt-title&gt;&lt;short-title&gt;Global change and local solutions&lt;/short-title&gt;&lt;/titles&gt;&lt;periodical&gt;&lt;full-title&gt;Biological Conservation&lt;/full-title&gt;&lt;abbr-1&gt;Biol Conserv&lt;/abbr-1&gt;&lt;/periodical&gt;&lt;alt-periodical&gt;&lt;full-title&gt;Biological Conservation&lt;/full-title&gt;&lt;abbr-1&gt;Biol Conserv&lt;/abbr-1&gt;&lt;/alt-periodical&gt;&lt;pages&gt;236-244&lt;/pages&gt;&lt;volume&gt;181&lt;/volume&gt;&lt;dates&gt;&lt;year&gt;2015&lt;/year&gt;&lt;pub-dates&gt;&lt;date&gt;2015/01//&lt;/date&gt;&lt;/pub-dates&gt;&lt;/dates&gt;&lt;isbn&gt;00063207&lt;/isbn&gt;&lt;urls&gt;&lt;related-urls&gt;&lt;url&gt;https://linkinghub.elsevier.com/retrieve/pii/S0006320714004029&lt;/url&gt;&lt;/related-urls&gt;&lt;/urls&gt;&lt;electronic-resource-num&gt;10.1016/j.biocon.2014.10.021&lt;/electronic-resource-num&gt;&lt;remote-database-provider&gt;DOI.org (Crossref)&lt;/remote-database-provider&gt;&lt;language&gt;en&lt;/language&gt;&lt;access-date&gt;2019/10/26/07:51:28&lt;/access-date&gt;&lt;/record&gt;&lt;/Cite&gt;&lt;/EndNote&gt;</w:instrText>
      </w:r>
      <w:r w:rsidR="00CC4659" w:rsidRPr="00A9434B">
        <w:fldChar w:fldCharType="separate"/>
      </w:r>
      <w:r w:rsidR="00CC4659" w:rsidRPr="00A9434B">
        <w:fldChar w:fldCharType="begin"/>
      </w:r>
      <w:r w:rsidR="002D2756">
        <w:instrText xml:space="preserve"> ADDIN ZOTERO_ITEM CSL_CITATION {"citationID":"a1j5oguafo3","properties":{"formattedCitation":"(Theobald et al., 2015)","plainCitation":"(Theobald et al., 2015)","noteIndex":0},"citationItems":[{"id":15547,"uris":["http://zotero.org/groups/2352922/items/DH69QR3M"],"itemData":{"id":15547,"type":"article-journal","container-title":"Biological Conservation","DOI":"10.1016/j.biocon.2014.10.021","ISSN":"00063207","journalAbbreviation":"Biological Conservation","language":"en","page":"236-244","source":"DOI.org (Crossref)","title":"Global change and local solutions: Tapping the unrealized potential of citizen science for biodiversity research","title-short":"Global change and local solutions","URL":"https://linkinghub.elsevier.com/retrieve/pii/S0006320714004029","volume":"181","author":[{"family":"Theobald","given":"E.J."},{"family":"Ettinger","given":"A.K."},{"family":"Burgess","given":"H.K."},{"family":"DeBey","given":"L.B."},{"family":"Schmidt","given":"N.R."},{"family":"Froehlich","given":"H.E."},{"family":"Wagner","given":"C."},{"family":"HilleRisLambers","given":"J."},{"family":"Tewksbury","given":"J."},{"family":"Harsch","given":"M.A."},{"family":"Parrish","given":"J.K."}],"accessed":{"date-parts":[["2019",10,26]]},"issued":{"date-parts":[["2015",1]]}},"label":"page"}],"schema":"https://github.com/citation-style-language/schema/raw/master/csl-citation.json"} </w:instrText>
      </w:r>
      <w:r w:rsidR="00CC4659" w:rsidRPr="00A9434B">
        <w:fldChar w:fldCharType="separate"/>
      </w:r>
      <w:r w:rsidR="00C71E80" w:rsidRPr="00A9434B">
        <w:t>(Theobald et al., 2015)</w:t>
      </w:r>
      <w:r w:rsidR="00CC4659" w:rsidRPr="00A9434B">
        <w:fldChar w:fldCharType="end"/>
      </w:r>
      <w:r w:rsidR="00CC4659" w:rsidRPr="00A9434B">
        <w:fldChar w:fldCharType="end"/>
      </w:r>
      <w:r w:rsidR="7D87873F" w:rsidRPr="00A9434B">
        <w:t>.</w:t>
      </w:r>
      <w:r w:rsidRPr="00A9434B">
        <w:t xml:space="preserve"> Some scientists are reluctant to use citizen science data, though relevant to their objectives, due to uncertainties related to data collection </w:t>
      </w:r>
      <w:r w:rsidRPr="00A9434B">
        <w:lastRenderedPageBreak/>
        <w:t xml:space="preserve">methods and data attributes </w:t>
      </w:r>
      <w:r w:rsidR="00CC4659" w:rsidRPr="00A9434B">
        <w:fldChar w:fldCharType="begin"/>
      </w:r>
      <w:r w:rsidR="002D2756">
        <w:instrText xml:space="preserve"> ADDIN ZOTERO_ITEM CSL_CITATION {"citationID":"a1pn5qlgnra","properties":{"formattedCitation":"(Burgess et al., 2017)","plainCitation":"(Burgess et al., 2017)","noteIndex":0},"citationItems":[{"id":21542,"uris":["http://zotero.org/groups/2352922/items/822RE9SG"],"itemData":{"id":21542,"type":"article-journal","abstract":"Biodiversity citizen science projects are growing in number, size, and scope, and are gaining recognition as valuable data sources that build public engagement. Yet publication rates indicate that citizen science is still infrequently used as a primary tool for conservation research and the causes of this apparent disconnect have not been quantitatively evaluated. To uncover the barriers to the use of citizen science as a research tool, we surveyed professional biodiversity scientists (n=423) and citizen science project managers (n=125). We conducted three analyses using non-parametric recursive modeling (random forest), using questions that addressed: scientists' perceptions and preferences regarding citizen science, scientists' requirements for their own data, and the actual practices of citizen science projects. For all three analyses we identified the most important factors that influence the probability of publication using citizen science data. Four general barriers emerged: a narrow awareness among scientists of citizen science projects that match their needs; the fact that not all biodiversity science is well-suited for citizen science; inconsistency in data quality across citizen science projects; and bias among scientists for certain data sources (institutions and ages/education levels of data collectors). Notably, we find limited evidence to suggest a relationship between citizen science projects that satisfy scientists' biases and data quality or probability of publication. These results illuminate the need for greater visibility of citizen science practices with respect to the requirements of biodiversity science and show that addressing bias among scientists could improve application of citizen science in conservation.","collection-title":"The role of citizen science in biological conservation","container-title":"Biological Conservation","DOI":"10.1016/j.biocon.2016.05.014","ISSN":"0006-3207","journalAbbreviation":"Biological Conservation","language":"en","page":"113-120","source":"ScienceDirect","title":"The science of citizen science: Exploring barriers to use as a primary research tool","title-short":"The science of citizen science","URL":"http://www.sciencedirect.com/science/article/pii/S0006320716301951","volume":"208","author":[{"family":"Burgess","given":"H. K."},{"family":"DeBey","given":"L. B."},{"family":"Froehlich","given":"H. E."},{"family":"Schmidt","given":"N."},{"family":"Theobald","given":"E. J."},{"family":"Ettinger","given":"A. K."},{"family":"HilleRisLambers","given":"J."},{"family":"Tewksbury","given":"J."},{"family":"Parrish","given":"J. K."}],"accessed":{"date-parts":[["2020",4,3]]},"issued":{"date-parts":[["2017",4,1]]}},"label":"page"}],"schema":"https://github.com/citation-style-language/schema/raw/master/csl-citation.json"} </w:instrText>
      </w:r>
      <w:r w:rsidR="00CC4659" w:rsidRPr="00A9434B">
        <w:fldChar w:fldCharType="separate"/>
      </w:r>
      <w:r w:rsidR="00C71E80" w:rsidRPr="00A9434B">
        <w:t>(Burgess et al., 2017)</w:t>
      </w:r>
      <w:r w:rsidR="00CC4659" w:rsidRPr="00A9434B">
        <w:fldChar w:fldCharType="end"/>
      </w:r>
      <w:r w:rsidRPr="00A9434B">
        <w:t xml:space="preserve">. Accompanying citizen science data with metadata describing data </w:t>
      </w:r>
      <w:r w:rsidR="30F9226A" w:rsidRPr="00A9434B">
        <w:t xml:space="preserve">quality, </w:t>
      </w:r>
      <w:r w:rsidRPr="00A9434B">
        <w:t>availability, conservation issues being addressed, study taxon and system, spatial and temporal scales of measurement, sampling intervals</w:t>
      </w:r>
      <w:r w:rsidR="00EB415D">
        <w:t xml:space="preserve"> and</w:t>
      </w:r>
      <w:r w:rsidRPr="00A9434B">
        <w:t xml:space="preserve"> data standardization protocols improves transparency and encourage</w:t>
      </w:r>
      <w:r w:rsidR="00581DAF">
        <w:t>s</w:t>
      </w:r>
      <w:r w:rsidRPr="00A9434B">
        <w:t xml:space="preserve"> scientists to use citizen science data </w:t>
      </w:r>
      <w:r w:rsidR="00CC4659" w:rsidRPr="00A9434B">
        <w:fldChar w:fldCharType="begin"/>
      </w:r>
      <w:r w:rsidR="002D2756">
        <w:instrText xml:space="preserve"> ADDIN ZOTERO_ITEM CSL_CITATION {"citationID":"as3gor2obd","properties":{"formattedCitation":"(Burgess et al., 2017)","plainCitation":"(Burgess et al., 2017)","noteIndex":0},"citationItems":[{"id":21542,"uris":["http://zotero.org/groups/2352922/items/822RE9SG"],"itemData":{"id":21542,"type":"article-journal","abstract":"Biodiversity citizen science projects are growing in number, size, and scope, and are gaining recognition as valuable data sources that build public engagement. Yet publication rates indicate that citizen science is still infrequently used as a primary tool for conservation research and the causes of this apparent disconnect have not been quantitatively evaluated. To uncover the barriers to the use of citizen science as a research tool, we surveyed professional biodiversity scientists (n=423) and citizen science project managers (n=125). We conducted three analyses using non-parametric recursive modeling (random forest), using questions that addressed: scientists' perceptions and preferences regarding citizen science, scientists' requirements for their own data, and the actual practices of citizen science projects. For all three analyses we identified the most important factors that influence the probability of publication using citizen science data. Four general barriers emerged: a narrow awareness among scientists of citizen science projects that match their needs; the fact that not all biodiversity science is well-suited for citizen science; inconsistency in data quality across citizen science projects; and bias among scientists for certain data sources (institutions and ages/education levels of data collectors). Notably, we find limited evidence to suggest a relationship between citizen science projects that satisfy scientists' biases and data quality or probability of publication. These results illuminate the need for greater visibility of citizen science practices with respect to the requirements of biodiversity science and show that addressing bias among scientists could improve application of citizen science in conservation.","collection-title":"The role of citizen science in biological conservation","container-title":"Biological Conservation","DOI":"10.1016/j.biocon.2016.05.014","ISSN":"0006-3207","journalAbbreviation":"Biological Conservation","language":"en","page":"113-120","source":"ScienceDirect","title":"The science of citizen science: Exploring barriers to use as a primary research tool","title-short":"The science of citizen science","URL":"http://www.sciencedirect.com/science/article/pii/S0006320716301951","volume":"208","author":[{"family":"Burgess","given":"H. K."},{"family":"DeBey","given":"L. B."},{"family":"Froehlich","given":"H. E."},{"family":"Schmidt","given":"N."},{"family":"Theobald","given":"E. J."},{"family":"Ettinger","given":"A. K."},{"family":"HilleRisLambers","given":"J."},{"family":"Tewksbury","given":"J."},{"family":"Parrish","given":"J. K."}],"accessed":{"date-parts":[["2020",4,3]]},"issued":{"date-parts":[["2017",4,1]]}}}],"schema":"https://github.com/citation-style-language/schema/raw/master/csl-citation.json"} </w:instrText>
      </w:r>
      <w:r w:rsidR="00CC4659" w:rsidRPr="00A9434B">
        <w:fldChar w:fldCharType="separate"/>
      </w:r>
      <w:r w:rsidR="00C71E80" w:rsidRPr="00A9434B">
        <w:t>(Burgess et al., 2017)</w:t>
      </w:r>
      <w:r w:rsidR="00CC4659" w:rsidRPr="00A9434B">
        <w:fldChar w:fldCharType="end"/>
      </w:r>
      <w:r w:rsidR="7D87873F" w:rsidRPr="00A9434B">
        <w:t>.</w:t>
      </w:r>
    </w:p>
    <w:p w14:paraId="23B4C54A" w14:textId="29F4034C" w:rsidR="00E95356" w:rsidRPr="00A9434B" w:rsidRDefault="00CC4659" w:rsidP="006B3143">
      <w:r w:rsidRPr="00A9434B">
        <w:t xml:space="preserve">In spite of </w:t>
      </w:r>
      <w:r w:rsidR="76AA9584" w:rsidRPr="00A9434B">
        <w:t xml:space="preserve">the </w:t>
      </w:r>
      <w:r w:rsidR="2757FB86" w:rsidRPr="00A9434B">
        <w:t>voluntary</w:t>
      </w:r>
      <w:r w:rsidRPr="00A9434B">
        <w:t xml:space="preserve"> contribution of participants, citizen science data are not always openly shared </w:t>
      </w:r>
      <w:r w:rsidRPr="00A9434B">
        <w:fldChar w:fldCharType="begin"/>
      </w:r>
      <w:r w:rsidR="002D2756">
        <w:instrText xml:space="preserve"> ADDIN ZOTERO_ITEM CSL_CITATION {"citationID":"a12eneiecpq","properties":{"formattedCitation":"(Groom et al., 2017)","plainCitation":"(Groom et al., 2017)","noteIndex":0},"citationItems":[{"id":12415,"uris":["http://zotero.org/groups/2352922/items/NAYRFWDU"],"itemData":{"id":12415,"type":"article-journal","abstract":"Science-based strategies to tackle biological invasions depend on recent, accurate, well-documented, standardised and openly accessible information on alien species. Currently and historically, biodiversity data are scattered in numerous disconnected data silos that lack interoperability. The situation is no different for alien species data, and this obstructs efficient retrieval, combination, and use of these kinds of information for research and policy-making. Standardization and interoperability are particularly important as many alien species related research and policy activities require pooling data. We describe seven ways that data on alien species can be made more accessible and useful: 1) Create data management plans; 2) Increase interoperability of information sources; 3) Document data through metadata; 4) Format data using existing standards; 5) Adopt controlled vocabularies; 6) Increase data availability; and 7) Ensure long-term data preservation. We identify four properties specific and integral to alien species data (species status, introduction pathway, degree of establishment, and impact mechanism) that are either missing from existing data standards or lack a recommended controlled vocabulary. Improved access to accurate, real-time and historical data will repay the long-term investment in data management infrastructure, by providing more accurate, timely and realistic analyses. If we improve core biodiversity data standards by developing their relevance to alien species, it will allow the automation of common activities regarding data processing in support of environmental policy. Furthermore, we call for considerable effort to maintain, update, standardise, archive, and aggregate datasets, to ensure proper valorisation of alien species data and information before they become obsolete or lost.","container-title":"Frontiers in Applied Mathematics and Statistics","DOI":"10.3389/fams.2017.00013","ISSN":"2297-4687","journalAbbreviation":"Front. Appl. Math. Stat.","license":"All rights reserved","page":"13","source":"DOI.org (Crossref)","title":"Seven Recommendations to Make Your Invasive Alien Species Data More Useful","URL":"http://journal.frontiersin.org/article/10.3389/fams.2017.00013","volume":"3","author":[{"family":"Groom","given":"Quentin J."},{"family":"Adriaens","given":"Tim"},{"family":"Desmet","given":"Peter"},{"family":"Simpson","given":"Annie"},{"family":"De Wever","given":"Aaike"},{"family":"Bazos","given":"Ioannis"},{"family":"Cardoso","given":"Ana Cristina"},{"family":"Charles","given":"Lucinda"},{"family":"Christopoulou","given":"Anastasia"},{"family":"Gazda","given":"Anna"},{"family":"Helmisaari","given":"Harry"},{"family":"Hobern","given":"Donald"},{"family":"Josefsson","given":"Melanie"},{"family":"Lucy","given":"Frances"},{"family":"Marisavljevic","given":"Dragana"},{"family":"Oszako","given":"Tomasz"},{"family":"Pergl","given":"Jan"},{"family":"Petrovic-Obradovic","given":"Olivera"},{"family":"Prévot","given":"Céline"},{"family":"Ravn","given":"Hans P."},{"family":"Richards","given":"Gareth"},{"family":"Roques","given":"Alain"},{"family":"Roy","given":"Helen E."},{"family":"Rozenberg","given":"Marie-Anne A."},{"family":"Scalera","given":"Riccardo"},{"family":"Tricarico","given":"Elena"},{"family":"Trichkova","given":"Teodora"},{"family":"Vercayie","given":"Diemer"},{"family":"Zenetos","given":"Argyro"},{"family":"Vanderhoeven","given":"Sonia"}],"issued":{"date-parts":[["2017"]]}},"label":"page"}],"schema":"https://github.com/citation-style-language/schema/raw/master/csl-citation.json"} </w:instrText>
      </w:r>
      <w:r w:rsidRPr="00A9434B">
        <w:fldChar w:fldCharType="separate"/>
      </w:r>
      <w:r w:rsidR="00E452E2" w:rsidRPr="00E452E2">
        <w:t>(Groom et al., 2017)</w:t>
      </w:r>
      <w:r w:rsidRPr="00A9434B">
        <w:fldChar w:fldCharType="end"/>
      </w:r>
      <w:r w:rsidRPr="00A9434B">
        <w:t>.</w:t>
      </w:r>
      <w:r w:rsidR="009D4056" w:rsidRPr="00A9434B">
        <w:t xml:space="preserve"> </w:t>
      </w:r>
      <w:r w:rsidR="001C1880" w:rsidRPr="00A9434B">
        <w:t>In a recent study, n</w:t>
      </w:r>
      <w:r w:rsidRPr="00A9434B">
        <w:t>early half (54</w:t>
      </w:r>
      <w:r w:rsidR="00637BFA" w:rsidRPr="00A9434B">
        <w:t xml:space="preserve"> per cent</w:t>
      </w:r>
      <w:r w:rsidRPr="00A9434B">
        <w:t>) of the 26 invasive alien species-relevant citizen science initiatives evaluated d</w:t>
      </w:r>
      <w:r w:rsidR="001C1880" w:rsidRPr="00A9434B">
        <w:t>id</w:t>
      </w:r>
      <w:r w:rsidRPr="00A9434B">
        <w:t xml:space="preserve"> not share data with other similar initiatives or other biodiversity data-sharing facilities </w:t>
      </w:r>
      <w:r w:rsidRPr="00A9434B">
        <w:fldChar w:fldCharType="begin"/>
      </w:r>
      <w:r w:rsidR="002D2756">
        <w:instrText xml:space="preserve"> ADDIN ZOTERO_ITEM CSL_CITATION {"citationID":"afhbbjgntk","properties":{"formattedCitation":"(Johnson et al., 2020)","plainCitation":"(Johnson et al., 2020)","noteIndex":0},"citationItems":[{"id":30779,"uris":["http://zotero.org/groups/2352922/items/HZFFISRW"],"itemData":{"id":30779,"type":"article-journal","abstract":"Owing to the huge number of species observations that can be collected by non-professional scientists, “citizen science” has great potential to contribute to scientific knowledge on invasive alien species (IAS). Citizen science has existed for centuries, but the recent adoption of information and communications technology (ICT) in this field (e.g. web- or mobile application-based interfaces for citizen training and data generation) has led to a massive surge in popularity, mainly due to reduced geographic barriers to citizen participation. Several challenges exist, however, to effectively utilize citizen-generated data for monitoring IAS (or other species of interest) at the global scale. Here, we conducted a systematic analysis of citizen science initiatives collecting IAS data using ICT, hoping to better understand their scientific contributions and challenges, their similarities/differences, and their interconnections. Through a search of the Scopus database, we identified 26 initiatives whose data had been used in scientific publications related to IAS, and based our analyses on these initiatives. The most common scientific uses of these citizen science data were to visualize the spatial distribution of IAS, better understand their behaviour/phenology, and elucidate citizen science data quality issues. To alleviate data quality concerns, most initiatives (19/26) had mechanisms for verifying citizen observations, such as user-submitted photographs. While many initiatives collected similar data parameters for each species observation, only 54% of the initiatives had a practice of data sharing. This lack of data sharing causes fragmentation of the citizen-generated IAS data, and is likely inhibiting the wider usage of the data for scientific studies on IAS involving large geographic scales (e.g. regional or global) and/or broad taxonomic scopes. To reduce this fragmentation and better consolidate the collected citizen science data, finally we provide some general data sharing guidelines for citizen science initiatives as well as individual volunteers.","container-title":"Global Ecology and Conservation","DOI":"10.1016/j.gecco.2019.e00812","ISSN":"2351-9894","journalAbbreviation":"Global Ecology and Conservation","language":"en","page":"e00812","title":"Citizen science and invasive alien species: An analysis of citizen science initiatives using information and communications technology (ICT) to collect invasive alien species observations","title-short":"Citizen science and invasive alien species","URL":"https://www.sciencedirect.com/science/article/pii/S2351989419304500","volume":"21","author":[{"family":"Johnson","given":"Brian Alan"},{"family":"Mader","given":"André Derek"},{"family":"Dasgupta","given":"Rajarshi"},{"family":"Kumar","given":"Pankaj"}],"accessed":{"date-parts":[["2021",10,28]]},"issued":{"date-parts":[["2020",3,1]]}},"label":"page"}],"schema":"https://github.com/citation-style-language/schema/raw/master/csl-citation.json"} </w:instrText>
      </w:r>
      <w:r w:rsidRPr="00A9434B">
        <w:fldChar w:fldCharType="separate"/>
      </w:r>
      <w:r w:rsidR="00C71E80" w:rsidRPr="00A9434B">
        <w:t>(Johnson et al., 2020)</w:t>
      </w:r>
      <w:r w:rsidRPr="00A9434B">
        <w:fldChar w:fldCharType="end"/>
      </w:r>
      <w:r w:rsidRPr="00A9434B">
        <w:t xml:space="preserve">. Sharing data among other citizen science initiatives working in similar geographic regions/scales and taxa, and consolidating </w:t>
      </w:r>
      <w:r w:rsidR="001C1880" w:rsidRPr="00A9434B">
        <w:t>results in shared</w:t>
      </w:r>
      <w:r w:rsidRPr="00A9434B">
        <w:t xml:space="preserve"> database</w:t>
      </w:r>
      <w:r w:rsidR="001C1880" w:rsidRPr="00A9434B">
        <w:t>s, would</w:t>
      </w:r>
      <w:r w:rsidR="009D4056" w:rsidRPr="00A9434B">
        <w:t xml:space="preserve"> </w:t>
      </w:r>
      <w:r w:rsidRPr="00A9434B">
        <w:t xml:space="preserve">increase use values of citizen science data in scientific research, and policy and management decisions </w:t>
      </w:r>
      <w:r w:rsidRPr="00A9434B">
        <w:fldChar w:fldCharType="begin"/>
      </w:r>
      <w:r w:rsidR="002D2756">
        <w:instrText xml:space="preserve"> ADDIN ZOTERO_ITEM CSL_CITATION {"citationID":"asqg20b39v","properties":{"formattedCitation":"(Johnson et al., 2020)","plainCitation":"(Johnson et al., 2020)","noteIndex":0},"citationItems":[{"id":30779,"uris":["http://zotero.org/groups/2352922/items/HZFFISRW"],"itemData":{"id":30779,"type":"article-journal","abstract":"Owing to the huge number of species observations that can be collected by non-professional scientists, “citizen science” has great potential to contribute to scientific knowledge on invasive alien species (IAS). Citizen science has existed for centuries, but the recent adoption of information and communications technology (ICT) in this field (e.g. web- or mobile application-based interfaces for citizen training and data generation) has led to a massive surge in popularity, mainly due to reduced geographic barriers to citizen participation. Several challenges exist, however, to effectively utilize citizen-generated data for monitoring IAS (or other species of interest) at the global scale. Here, we conducted a systematic analysis of citizen science initiatives collecting IAS data using ICT, hoping to better understand their scientific contributions and challenges, their similarities/differences, and their interconnections. Through a search of the Scopus database, we identified 26 initiatives whose data had been used in scientific publications related to IAS, and based our analyses on these initiatives. The most common scientific uses of these citizen science data were to visualize the spatial distribution of IAS, better understand their behaviour/phenology, and elucidate citizen science data quality issues. To alleviate data quality concerns, most initiatives (19/26) had mechanisms for verifying citizen observations, such as user-submitted photographs. While many initiatives collected similar data parameters for each species observation, only 54% of the initiatives had a practice of data sharing. This lack of data sharing causes fragmentation of the citizen-generated IAS data, and is likely inhibiting the wider usage of the data for scientific studies on IAS involving large geographic scales (e.g. regional or global) and/or broad taxonomic scopes. To reduce this fragmentation and better consolidate the collected citizen science data, finally we provide some general data sharing guidelines for citizen science initiatives as well as individual volunteers.","container-title":"Global Ecology and Conservation","DOI":"10.1016/j.gecco.2019.e00812","ISSN":"2351-9894","journalAbbreviation":"Global Ecology and Conservation","language":"en","page":"e00812","title":"Citizen science and invasive alien species: An analysis of citizen science initiatives using information and communications technology (ICT) to collect invasive alien species observations","title-short":"Citizen science and invasive alien species","URL":"https://www.sciencedirect.com/science/article/pii/S2351989419304500","volume":"21","author":[{"family":"Johnson","given":"Brian Alan"},{"family":"Mader","given":"André Derek"},{"family":"Dasgupta","given":"Rajarshi"},{"family":"Kumar","given":"Pankaj"}],"accessed":{"date-parts":[["2021",10,28]]},"issued":{"date-parts":[["2020",3,1]]}}}],"schema":"https://github.com/citation-style-language/schema/raw/master/csl-citation.json"} </w:instrText>
      </w:r>
      <w:r w:rsidRPr="00A9434B">
        <w:fldChar w:fldCharType="separate"/>
      </w:r>
      <w:r w:rsidR="00C71E80" w:rsidRPr="00A9434B">
        <w:t>(Johnson et al., 2020)</w:t>
      </w:r>
      <w:r w:rsidRPr="00A9434B">
        <w:fldChar w:fldCharType="end"/>
      </w:r>
      <w:r w:rsidRPr="00A9434B">
        <w:t>.</w:t>
      </w:r>
    </w:p>
    <w:p w14:paraId="533CEA2F" w14:textId="54E348E5" w:rsidR="00017C04" w:rsidRPr="007D5DC6" w:rsidRDefault="008A2287" w:rsidP="007D5DC6">
      <w:pPr>
        <w:keepNext/>
        <w:pBdr>
          <w:top w:val="single" w:sz="4" w:space="1" w:color="000000"/>
          <w:left w:val="single" w:sz="4" w:space="4" w:color="000000"/>
          <w:bottom w:val="single" w:sz="4" w:space="1" w:color="000000"/>
          <w:right w:val="single" w:sz="4" w:space="4" w:color="000000"/>
          <w:between w:val="nil"/>
        </w:pBdr>
        <w:shd w:val="clear" w:color="auto" w:fill="E7E6E6"/>
        <w:rPr>
          <w:b/>
          <w:color w:val="000000"/>
        </w:rPr>
      </w:pPr>
      <w:bookmarkStart w:id="567" w:name="_Toc69379690"/>
      <w:bookmarkStart w:id="568" w:name="_Toc147418629"/>
      <w:r w:rsidRPr="007D5DC6">
        <w:rPr>
          <w:b/>
          <w:bCs/>
        </w:rPr>
        <w:t>Box 6.</w:t>
      </w:r>
      <w:r w:rsidRPr="007D5DC6">
        <w:rPr>
          <w:b/>
          <w:bCs/>
        </w:rPr>
        <w:fldChar w:fldCharType="begin"/>
      </w:r>
      <w:r w:rsidRPr="007D5DC6">
        <w:rPr>
          <w:b/>
          <w:bCs/>
        </w:rPr>
        <w:instrText xml:space="preserve"> SEQ Box_6. \* ARABIC </w:instrText>
      </w:r>
      <w:r w:rsidRPr="007D5DC6">
        <w:rPr>
          <w:b/>
          <w:bCs/>
        </w:rPr>
        <w:fldChar w:fldCharType="separate"/>
      </w:r>
      <w:r w:rsidR="0011368C" w:rsidRPr="007D5DC6">
        <w:rPr>
          <w:b/>
          <w:bCs/>
          <w:noProof/>
        </w:rPr>
        <w:t>20</w:t>
      </w:r>
      <w:r w:rsidRPr="007D5DC6">
        <w:rPr>
          <w:b/>
          <w:bCs/>
        </w:rPr>
        <w:fldChar w:fldCharType="end"/>
      </w:r>
      <w:r w:rsidR="00FF59A9" w:rsidRPr="007D5DC6">
        <w:rPr>
          <w:b/>
          <w:bCs/>
        </w:rPr>
        <w:t>.</w:t>
      </w:r>
      <w:bookmarkStart w:id="569" w:name="_heading=h.2rrrqc1" w:colFirst="0" w:colLast="0"/>
      <w:bookmarkEnd w:id="569"/>
      <w:r w:rsidR="00F50AF9" w:rsidRPr="007D5DC6">
        <w:rPr>
          <w:b/>
          <w:color w:val="000000"/>
        </w:rPr>
        <w:t xml:space="preserve"> Citizen science for early detection and rapid response</w:t>
      </w:r>
      <w:bookmarkEnd w:id="567"/>
      <w:bookmarkEnd w:id="568"/>
    </w:p>
    <w:p w14:paraId="62F0E4F7" w14:textId="1E6D54AC" w:rsidR="00017C04" w:rsidRDefault="00F50AF9" w:rsidP="007D5DC6">
      <w:pPr>
        <w:pBdr>
          <w:top w:val="single" w:sz="4" w:space="1" w:color="000000"/>
          <w:left w:val="single" w:sz="4" w:space="4" w:color="000000"/>
          <w:bottom w:val="single" w:sz="4" w:space="1" w:color="000000"/>
          <w:right w:val="single" w:sz="4" w:space="4" w:color="000000"/>
        </w:pBdr>
        <w:shd w:val="clear" w:color="auto" w:fill="E7E6E6"/>
      </w:pPr>
      <w:r>
        <w:t xml:space="preserve">After prevention, early detection and rapid response (EDRR) is the most effective and least costly way to manage invasions. The main hitch is the inability to generate enough resources to support a sufficiently large professional staff to survey with adequate frequency the vast amount of land and water that can house recently arrived invaders. Yet a well-informed, educated public can vastly increase the number of </w:t>
      </w:r>
      <w:r w:rsidR="009A39CE">
        <w:t>“</w:t>
      </w:r>
      <w:r>
        <w:t>eyes</w:t>
      </w:r>
      <w:r w:rsidR="009A39CE">
        <w:t>”</w:t>
      </w:r>
      <w:r>
        <w:t xml:space="preserve"> on the lookout for incipient invasions; and individual citizens in the course of other activities have spotted hugely damaging invasive alien species in time to permit complete eradication before the species had spread widely. Such was the case of an individual sawing off an overhanging tree branch in Chicago and noting signs of </w:t>
      </w:r>
      <w:r>
        <w:rPr>
          <w:i/>
        </w:rPr>
        <w:t>Anoplophora glabripennis</w:t>
      </w:r>
      <w:r>
        <w:t xml:space="preserve"> (Asian longhorned beetle; </w:t>
      </w:r>
      <w:r w:rsidR="003F62B9" w:rsidRPr="00A9434B">
        <w:rPr>
          <w:highlight w:val="yellow"/>
        </w:rPr>
        <w:fldChar w:fldCharType="begin"/>
      </w:r>
      <w:r w:rsidR="002D2756">
        <w:rPr>
          <w:highlight w:val="yellow"/>
        </w:rPr>
        <w:instrText xml:space="preserve"> ADDIN ZOTERO_ITEM CSL_CITATION {"citationID":"IaD4DmF8","properties":{"formattedCitation":"(Kridel, 2008; Manier &amp; Martin, 1998)","plainCitation":"(Kridel, 2008; Manier &amp; Martin, 1998)","dontUpdate":true,"noteIndex":0},"citationItems":[{"id":54749,"uris":["http://zotero.org/groups/2352922/items/LUZ3E9WM"],"itemData":{"id":54749,"type":"webpage","title":"Park worker found beetle ID on web – Chicago Tribune","URL":"https://www.chicagotribune.com/news/ct-xpm-1998-07-17-9807170143-story.html","author":[{"family":"Manier","given":"Jeremy"},{"family":"Martin","given":"Andrew"}],"accessed":{"date-parts":[["2023",3,9]]},"issued":{"date-parts":[["1998"]]}},"label":"page"},{"id":54750,"uris":["http://zotero.org/groups/2352922/items/E9ZSZ84E"],"itemData":{"id":54750,"type":"webpage","container-title":"Chicago Tribune","language":"English (United States), en-US","title":"State says goodbye to tree-killing pest","URL":"https://www.chicagotribune.com/news/ct-xpm-2008-04-18-0804170845-story.html","author":[{"family":"Kridel","given":"Kristen"}],"accessed":{"date-parts":[["2023",3,9]]},"issued":{"date-parts":[["2008"]]}},"label":"page"}],"schema":"https://github.com/citation-style-language/schema/raw/master/csl-citation.json"} </w:instrText>
      </w:r>
      <w:r w:rsidR="003F62B9" w:rsidRPr="00A9434B">
        <w:rPr>
          <w:highlight w:val="yellow"/>
        </w:rPr>
        <w:fldChar w:fldCharType="separate"/>
      </w:r>
      <w:r w:rsidR="00F55BC6" w:rsidRPr="00F55BC6">
        <w:t>Kridel, 2008; Manier &amp; Martin, 1998)</w:t>
      </w:r>
      <w:r w:rsidR="003F62B9" w:rsidRPr="00A9434B">
        <w:rPr>
          <w:highlight w:val="yellow"/>
        </w:rPr>
        <w:fldChar w:fldCharType="end"/>
      </w:r>
      <w:r>
        <w:t xml:space="preserve"> and a recreational diver finding the famed </w:t>
      </w:r>
      <w:r>
        <w:rPr>
          <w:i/>
        </w:rPr>
        <w:t xml:space="preserve">Caulerpa taxifolia </w:t>
      </w:r>
      <w:r>
        <w:t xml:space="preserve">(killer algae) in a California lagoon </w:t>
      </w:r>
      <w:r w:rsidR="003F62B9" w:rsidRPr="00A9434B">
        <w:fldChar w:fldCharType="begin"/>
      </w:r>
      <w:r w:rsidR="002D2756">
        <w:instrText xml:space="preserve"> ADDIN ZOTERO_ITEM CSL_CITATION {"citationID":"a20cj1ucb73","properties":{"formattedCitation":"(Mu\\uc0\\u241{}oz, 2016)","plainCitation":"(Muñoz, 2016)","noteIndex":0},"citationItems":[{"id":54751,"uris":["http://zotero.org/groups/2352922/items/829FA6NE"],"itemData":{"id":54751,"type":"book","ISBN":"1-941799-32-9","publisher":"Open Books Press","title":"Caulerpa Conquest: A Biological Eradication on the California Coast","author":[{"family":"Muñoz","given":"Eric Noel"}],"issued":{"date-parts":[["2016"]]}}}],"schema":"https://github.com/citation-style-language/schema/raw/master/csl-citation.json"} </w:instrText>
      </w:r>
      <w:r w:rsidR="003F62B9" w:rsidRPr="00A9434B">
        <w:fldChar w:fldCharType="separate"/>
      </w:r>
      <w:r w:rsidR="00C71E80" w:rsidRPr="00A9434B">
        <w:t>(Muñoz, 2016)</w:t>
      </w:r>
      <w:r w:rsidR="003F62B9" w:rsidRPr="00A9434B">
        <w:fldChar w:fldCharType="end"/>
      </w:r>
      <w:r w:rsidR="003F62B9" w:rsidRPr="00A9434B">
        <w:t>.</w:t>
      </w:r>
    </w:p>
    <w:p w14:paraId="4E8CB40B" w14:textId="51B41101" w:rsidR="00017C04" w:rsidRDefault="00F50AF9" w:rsidP="007D5DC6">
      <w:pPr>
        <w:pBdr>
          <w:top w:val="single" w:sz="4" w:space="1" w:color="000000"/>
          <w:left w:val="single" w:sz="4" w:space="4" w:color="000000"/>
          <w:bottom w:val="single" w:sz="4" w:space="1" w:color="000000"/>
          <w:right w:val="single" w:sz="4" w:space="4" w:color="000000"/>
        </w:pBdr>
        <w:shd w:val="clear" w:color="auto" w:fill="E7E6E6"/>
      </w:pPr>
      <w:r>
        <w:t xml:space="preserve">Rather than simply relying on publicity about invasions and the hope that an alert citizen will happen to observe a recently arrived invader and know how to report it, several organizations have trained citizen volunteers and organized their search activities to maximize the probability of detecting recently arrived and potentially invasive plants. In the Australian state of Victoria, the Victorian Weed Spotters program, initiated in 2008, trains citizens to find and report state-prohibited weeds, and these reports are viewed as valuable components of the state programme to prevent weed establishment </w:t>
      </w:r>
      <w:r w:rsidR="003F62B9" w:rsidRPr="00A9434B">
        <w:fldChar w:fldCharType="begin"/>
      </w:r>
      <w:r w:rsidR="002D2756">
        <w:instrText xml:space="preserve"> ADDIN ZOTERO_ITEM CSL_CITATION {"citationID":"a218resgrmp","properties":{"formattedCitation":"(Munakamwe et al., 2018)","plainCitation":"(Munakamwe et al., 2018)","noteIndex":0},"citationItems":[{"id":54752,"uris":["http://zotero.org/groups/2352922/items/42BL9PE9"],"itemData":{"id":54752,"type":"paper-conference","container-title":"Proceedings of the 21st Australasian Weeds Conference","event-place":"Sydney, New South Wales, Australia","event-title":"21st Australasian Weeds Conference, \"Weed Biosecurity - Protecting our Future\"","ISBN":"978-0-9954159-1-1","page":"9-13","publisher-place":"Sydney, New South Wales, Australia","title":"The Victorian weed spotters: Recruitment and training of citizen scientists","URL":"https://caws.org.nz/old-site/awc/2018/awc201811931.pdf","author":[{"family":"Munakamwe","given":"Zachariah"},{"family":"Constantine","given":"Angela"},{"family":"McInerney","given":"Catherine"}],"issued":{"date-parts":[["2018"]]}}}],"schema":"https://github.com/citation-style-language/schema/raw/master/csl-citation.json"} </w:instrText>
      </w:r>
      <w:r w:rsidR="003F62B9" w:rsidRPr="00A9434B">
        <w:fldChar w:fldCharType="separate"/>
      </w:r>
      <w:r w:rsidR="00C71E80" w:rsidRPr="00A9434B">
        <w:t>(Munakamwe et al., 2018)</w:t>
      </w:r>
      <w:r w:rsidR="003F62B9" w:rsidRPr="00A9434B">
        <w:fldChar w:fldCharType="end"/>
      </w:r>
      <w:r w:rsidR="003F62B9" w:rsidRPr="00A9434B">
        <w:t>.</w:t>
      </w:r>
      <w:r>
        <w:t xml:space="preserve"> In 2012 in the state of Washington, </w:t>
      </w:r>
      <w:r w:rsidR="009A39CE">
        <w:t>United States</w:t>
      </w:r>
      <w:r>
        <w:t>, the Pacific Northwest Invasive Plant Council organized an EDDR Citizen Science Invasive Plant Program to train volunteers to support county, state</w:t>
      </w:r>
      <w:r w:rsidR="00EB415D">
        <w:t xml:space="preserve"> and</w:t>
      </w:r>
      <w:r>
        <w:t xml:space="preserve"> federal management agencies to locate and eradicate invasive plants, a programme that has now expanded to the state of Oregon </w:t>
      </w:r>
      <w:r w:rsidR="004D03C4" w:rsidRPr="00A9434B">
        <w:fldChar w:fldCharType="begin"/>
      </w:r>
      <w:r w:rsidR="002D2756">
        <w:instrText xml:space="preserve"> ADDIN ZOTERO_ITEM CSL_CITATION {"citationID":"tCXsNHrd","properties":{"formattedCitation":"(PNW-IPC, 2018)","plainCitation":"(PNW-IPC, 2018)","noteIndex":0},"citationItems":[{"id":54753,"uris":["http://zotero.org/groups/2352922/items/AQNS23DJ"],"itemData":{"id":54753,"type":"webpage","container-title":"Pacific Northwest Invasive Plant Council","language":"en","title":"Home","URL":"https://www.pnw-ipc.org","author":[{"literal":"PNW-IPC"}],"accessed":{"date-parts":[["2020",1,1]]},"issued":{"date-parts":[["2018"]]}},"label":"page"}],"schema":"https://github.com/citation-style-language/schema/raw/master/csl-citation.json"} </w:instrText>
      </w:r>
      <w:r w:rsidR="004D03C4" w:rsidRPr="00A9434B">
        <w:fldChar w:fldCharType="separate"/>
      </w:r>
      <w:r w:rsidR="00065870" w:rsidRPr="00065870">
        <w:t>(PNW-IPC, 2018)</w:t>
      </w:r>
      <w:r w:rsidR="004D03C4" w:rsidRPr="00A9434B">
        <w:fldChar w:fldCharType="end"/>
      </w:r>
      <w:r w:rsidR="00E95356" w:rsidRPr="00A9434B">
        <w:t>.</w:t>
      </w:r>
      <w:r>
        <w:t xml:space="preserve"> Perhaps the most expansive such programme was organized by the Invasive Plants Atlas of New England (IPANE) in 2001 to integrate independent efforts of the six New England States. The programme, associated with an atlas of invasive plants in this region, trains volunteers both to find and to identify invasive plants, assigning particular monitoring routes. </w:t>
      </w:r>
      <w:r w:rsidR="00E95356" w:rsidRPr="00A9434B">
        <w:t>The program</w:t>
      </w:r>
      <w:r w:rsidR="001F4B62" w:rsidRPr="00A9434B">
        <w:t>me</w:t>
      </w:r>
      <w:r w:rsidR="00E95356" w:rsidRPr="00A9434B">
        <w:t xml:space="preserve"> is associated with EDDMapS </w:t>
      </w:r>
      <w:r w:rsidR="004D03C4" w:rsidRPr="00A9434B">
        <w:fldChar w:fldCharType="begin"/>
      </w:r>
      <w:r w:rsidR="002D2756">
        <w:instrText xml:space="preserve"> ADDIN ZOTERO_ITEM CSL_CITATION {"citationID":"a1beve4tohu","properties":{"formattedCitation":"(EDDMapS, 2019)","plainCitation":"(EDDMapS, 2019)","noteIndex":0},"citationItems":[{"id":54754,"uris":["http://zotero.org/groups/2352922/items/WMVPQ4BB"],"itemData":{"id":54754,"type":"webpage","container-title":"University of Georgia - Center for Invasive Species and Ecosystem Health","title":"EDDMapS","URL":"https://www.eddmaps.org/index.cfm","author":[{"literal":"EDDMapS"}],"accessed":{"date-parts":[["2023",3,9]]},"issued":{"date-parts":[["2019"]]}},"label":"page"}],"schema":"https://github.com/citation-style-language/schema/raw/master/csl-citation.json"} </w:instrText>
      </w:r>
      <w:r w:rsidR="004D03C4" w:rsidRPr="00A9434B">
        <w:fldChar w:fldCharType="separate"/>
      </w:r>
      <w:r w:rsidR="00C71E80" w:rsidRPr="00A9434B">
        <w:t>(EDDMapS, 2019)</w:t>
      </w:r>
      <w:r w:rsidR="004D03C4" w:rsidRPr="00A9434B">
        <w:fldChar w:fldCharType="end"/>
      </w:r>
      <w:r w:rsidR="00E95356" w:rsidRPr="00A9434B">
        <w:t xml:space="preserve">, a system of reporting and mapping </w:t>
      </w:r>
      <w:r w:rsidR="008A68B3" w:rsidRPr="00A9434B">
        <w:t>alien</w:t>
      </w:r>
      <w:r w:rsidR="00E95356" w:rsidRPr="00A9434B">
        <w:t xml:space="preserve"> species in the United States.</w:t>
      </w:r>
      <w:r>
        <w:t xml:space="preserve"> However, the death in 2010 of the key innovator of the IPANE programme has led to a dearth of funds for training volunteers, and the programme itself has lapsed.</w:t>
      </w:r>
    </w:p>
    <w:p w14:paraId="06E3DB72" w14:textId="6A445ED4" w:rsidR="00017C04" w:rsidRDefault="00F50AF9" w:rsidP="007D5DC6">
      <w:pPr>
        <w:pBdr>
          <w:top w:val="single" w:sz="4" w:space="1" w:color="000000"/>
          <w:left w:val="single" w:sz="4" w:space="4" w:color="000000"/>
          <w:bottom w:val="single" w:sz="4" w:space="1" w:color="000000"/>
          <w:right w:val="single" w:sz="4" w:space="4" w:color="000000"/>
        </w:pBdr>
        <w:shd w:val="clear" w:color="auto" w:fill="E7E6E6"/>
      </w:pPr>
      <w:r>
        <w:t xml:space="preserve">Aceves-Bueno et al. </w:t>
      </w:r>
      <w:r w:rsidR="00C24E49" w:rsidRPr="00A9434B">
        <w:rPr>
          <w:highlight w:val="yellow"/>
        </w:rPr>
        <w:fldChar w:fldCharType="begin"/>
      </w:r>
      <w:r w:rsidR="002D2756">
        <w:rPr>
          <w:highlight w:val="yellow"/>
        </w:rPr>
        <w:instrText xml:space="preserve"> ADDIN ZOTERO_ITEM CSL_CITATION {"citationID":"a26ep3centp","properties":{"formattedCitation":"(2015)","plainCitation":"(2015)","noteIndex":0},"citationItems":[{"id":22342,"uris":["http://zotero.org/groups/2352922/items/AJCTCC8E","http://zotero.org/groups/2352922/items/QR72FWGB"],"itemData":{"id":22342,"type":"article-journal","container-title":"Ecosystems","DOI":"10.1007/s10021-015-9842-4","ISSN":"1432-9840, 1435-0629","issue":"3","journalAbbreviation":"Ecosystems","language":"en","page":"493-506","source":"DOI.org (Crossref)","title":"Citizen Science as an Approach for Overcoming Insufficient Monitoring and Inadequate Stakeholder Buy-in in Adaptive Management: Criteria and Evidence","title-short":"Citizen Science as an Approach for Overcoming Insufficient Monitoring and Inadequate Stakeholder Buy-in in Adaptive Management","URL":"http://link.springer.com/10.1007/s10021-015-9842-4","volume":"18","author":[{"family":"Aceves-Bueno","given":"Eréndira"},{"family":"Adeleye","given":"Adeyemi S."},{"family":"Bradley","given":"Darcy"},{"family":"Tyler Brandt","given":"W."},{"family":"Callery","given":"Patrick"},{"family":"Feraud","given":"Marina"},{"family":"Garner","given":"Kendra L."},{"family":"Gentry","given":"Rebecca"},{"family":"Huang","given":"Yuxiong"},{"family":"McCullough","given":"Ian"},{"family":"Pearlman","given":"Isaac"},{"family":"Sutherland","given":"Sara A."},{"family":"Wilkinson","given":"Whitney"},{"family":"Yang","given":"Yi"},{"family":"Zink","given":"Trevor"},{"family":"Anderson","given":"Sarah E."},{"family":"Tague","given":"Christina"}],"accessed":{"date-parts":[["2020",5,24]]},"issued":{"date-parts":[["2015",4]]}},"label":"page","suppress-author":true}],"schema":"https://github.com/citation-style-language/schema/raw/master/csl-citation.json"} </w:instrText>
      </w:r>
      <w:r w:rsidR="00C24E49" w:rsidRPr="00A9434B">
        <w:rPr>
          <w:highlight w:val="yellow"/>
        </w:rPr>
        <w:fldChar w:fldCharType="separate"/>
      </w:r>
      <w:r w:rsidR="00C71E80" w:rsidRPr="00A9434B">
        <w:t>(2015)</w:t>
      </w:r>
      <w:r w:rsidR="00C24E49" w:rsidRPr="00A9434B">
        <w:rPr>
          <w:highlight w:val="yellow"/>
        </w:rPr>
        <w:fldChar w:fldCharType="end"/>
      </w:r>
      <w:r>
        <w:t xml:space="preserve"> examined 83 citizen science programmes that entailed monitoring, of which five (including IPANE) targeted invasive alien species. In addition to substantial contributions to various resource management activities (including managing invasions), this study pointed to the important benefit of engaging a wide swathe of the public in recognizing and dealing with environmental issues, whether or not they associate themselves with formal programmes such as those described above. An important consideration, however, is the accuracy of monitoring records reported by citizen scientists, as noted by Crall et al. </w:t>
      </w:r>
      <w:r w:rsidR="00E95356" w:rsidRPr="00A9434B">
        <w:fldChar w:fldCharType="begin"/>
      </w:r>
      <w:r w:rsidR="00E95356" w:rsidRPr="00A9434B">
        <w:instrText>ADDIN EN.CITE &lt;EndNote&gt;&lt;Cite&gt;&lt;Author&gt;Crall&lt;/Author&gt;&lt;Year&gt;2011&lt;/Year&gt;&lt;RecNum&gt;427&lt;/RecNum&gt;&lt;DisplayText&gt;(Crall, Newman et al. 2011)&lt;/DisplayText&gt;&lt;record&gt;&lt;rec-number&gt;276&lt;/rec-number&gt;&lt;foreign-keys&gt;&lt;key app="EN" db-id="0d55paxdcvwpebe55d1vrz5ne2pattprarta" timestamp="1597992735"&gt;276&lt;/key&gt;&lt;/foreign-keys&gt;&lt;ref-type name="Journal Article"&gt;17&lt;/ref-type&gt;&lt;contributors&gt;&lt;authors&gt;&lt;author&gt;Crall, Alycia W.&lt;/author&gt;&lt;author&gt;Newman, Gregory J.&lt;/author&gt;&lt;author&gt;Stohlgren, Thomas J.&lt;/author&gt;&lt;author&gt;Holfelder, Kirstin A.&lt;/author&gt;&lt;author&gt;Graham, Jim&lt;/author&gt;&lt;author&gt;Waller, Donald M.&lt;/author&gt;&lt;/authors&gt;&lt;/contributors&gt;&lt;titles&gt;&lt;title&gt;Assessing citizen science data quality: an invasive species case study&lt;/title&gt;&lt;secondary-title&gt;Conservation Letters&lt;/secondary-title&gt;&lt;short-title&gt;Assessing citizen science data quality&lt;/short-title&gt;&lt;/titles&gt;&lt;periodical&gt;&lt;full-title&gt;Conservation Letters&lt;/full-title&gt;&lt;/periodical&gt;&lt;pages&gt;433-442&lt;/pages&gt;&lt;volume&gt;4&lt;/volume&gt;&lt;number&gt;6&lt;/number&gt;&lt;keywords&gt;&lt;keyword&gt;Citizen science&lt;/keyword&gt;&lt;keyword&gt;data quality&lt;/keyword&gt;&lt;keyword&gt;invasive species&lt;/keyword&gt;&lt;keyword&gt;non-native species&lt;/keyword&gt;&lt;keyword&gt;vegetation monitoring&lt;/keyword&gt;&lt;keyword&gt;volunteer monitoring protocols&lt;/keyword&gt;&lt;/keywords&gt;&lt;dates&gt;&lt;year&gt;2011&lt;/year&gt;&lt;pub-dates&gt;&lt;date&gt;2011&lt;/date&gt;&lt;/pub-dates&gt;&lt;/dates&gt;&lt;isbn&gt;1755-263X&lt;/isbn&gt;&lt;urls&gt;&lt;related-urls&gt;&lt;url&gt;https://conbio.onlinelibrary.wiley.com/doi/abs/10.1111/j.1755-263X.2011.00196.x&lt;/url&gt;&lt;/related-urls&gt;&lt;/urls&gt;&lt;electronic-resource-num&gt;10.1111/j.1755-263X.2011.00196.x&lt;/electronic-resource-num&gt;&lt;remote-database-provider&gt;Wiley Online Library&lt;/remote-database-provider&gt;&lt;language&gt;en&lt;/language&gt;&lt;access-date&gt;2020/04/03/07:06:04&lt;/access-date&gt;&lt;/record&gt;&lt;/Cite&gt;&lt;/EndNote&gt;</w:instrText>
      </w:r>
      <w:r w:rsidR="00E95356" w:rsidRPr="00A9434B">
        <w:fldChar w:fldCharType="separate"/>
      </w:r>
      <w:r w:rsidR="007A6999" w:rsidRPr="00A9434B">
        <w:fldChar w:fldCharType="begin"/>
      </w:r>
      <w:r w:rsidR="002D2756">
        <w:instrText xml:space="preserve"> ADDIN ZOTERO_ITEM CSL_CITATION {"citationID":"LQKAocmy","properties":{"formattedCitation":"(2011)","plainCitation":"(2011)","noteIndex":0},"citationItems":[{"id":30784,"uris":["http://zotero.org/groups/2352922/items/J7ZHW74A"],"itemData":{"id":30784,"type":"article-journal","abstract":"An increase in the number of citizen science programs has prompted an examination of their ability to provide data of sufficient quality. We tested the ability of volunteers relative to professionals in identifying invasive plant species, mapping their distributions, and estimating their abundance within plots. We generally found that volunteers perform almost as well as professionals in some areas, but that we should be cautious about data quality in both groups. We analyzed predictors of volunteer success (age, education, experience, science literacy, attitudes) in training-related skills, but these proved to be poor predictors of performance and could not be used as effective eligibility criteria. However, volunteer success with species identification increased with their self-identified comfort level. Based on our case study results, we offer lessons learned and their application to other programs and provide recommendations for future research in this area.","container-title":"Conservation Letters","DOI":"10.1111/j.1755-263X.2011.00196.x","ISSN":"1755-263X","issue":"6","language":"en","license":"©2011 Wiley Periodicals, Inc.","page":"433-442","source":"Wiley Online Library","title":"Assessing citizen science data quality: an invasive species case study","title-short":"Assessing citizen science data quality","URL":"https://conbio.onlinelibrary.wiley.com/doi/abs/10.1111/j.1755-263X.2011.00196.x","volume":"4","author":[{"family":"Crall","given":"Alycia W."},{"family":"Newman","given":"Gregory J."},{"family":"Stohlgren","given":"Thomas J."},{"family":"Holfelder","given":"Kirstin A."},{"family":"Graham","given":"Jim"},{"family":"Waller","given":"Donald M."}],"accessed":{"date-parts":[["2020",4,3]]},"issued":{"date-parts":[["2011"]]}},"label":"page","suppress-author":true}],"schema":"https://github.com/citation-style-language/schema/raw/master/csl-citation.json"} </w:instrText>
      </w:r>
      <w:r w:rsidR="007A6999" w:rsidRPr="00A9434B">
        <w:fldChar w:fldCharType="separate"/>
      </w:r>
      <w:r w:rsidR="00EB1D37" w:rsidRPr="00EB1D37">
        <w:t>(2011)</w:t>
      </w:r>
      <w:r w:rsidR="007A6999" w:rsidRPr="00A9434B">
        <w:fldChar w:fldCharType="end"/>
      </w:r>
      <w:r w:rsidR="00E95356" w:rsidRPr="00A9434B">
        <w:fldChar w:fldCharType="end"/>
      </w:r>
      <w:r w:rsidR="00E95356" w:rsidRPr="00A9434B">
        <w:t xml:space="preserve"> for an organized effort to monitor for invasive plants.</w:t>
      </w:r>
      <w:r>
        <w:t xml:space="preserve"> This consideration supports the importance of substantial training for </w:t>
      </w:r>
      <w:r>
        <w:lastRenderedPageBreak/>
        <w:t>citizen volunteers, which bears a non-negligible cost. Another important step is to implement validations of citizen science invasive alien species data by experts (e.g., taxonomists) or through automated machine learning approaches (e.g., computer vision) or even by Artificial Intelligence.</w:t>
      </w:r>
    </w:p>
    <w:p w14:paraId="6E6668E5" w14:textId="77777777" w:rsidR="00017C04" w:rsidRDefault="00F50AF9" w:rsidP="007D5DC6">
      <w:pPr>
        <w:pStyle w:val="Heading3"/>
      </w:pPr>
      <w:bookmarkStart w:id="570" w:name="_heading=h.16x20ju" w:colFirst="0" w:colLast="0"/>
      <w:bookmarkStart w:id="571" w:name="_Toc70001257"/>
      <w:bookmarkStart w:id="572" w:name="_Toc133428355"/>
      <w:bookmarkEnd w:id="570"/>
      <w:r>
        <w:t>Professional networks and platforms for coordination and information exchange</w:t>
      </w:r>
      <w:bookmarkEnd w:id="571"/>
      <w:bookmarkEnd w:id="572"/>
    </w:p>
    <w:p w14:paraId="69D31A24" w14:textId="2CB3A5E8" w:rsidR="00017C04" w:rsidRDefault="00F50AF9" w:rsidP="56C59A3A">
      <w:r>
        <w:t xml:space="preserve">It is important to understand patterns and processes of biological invasions at varying spatial scales for effective management. </w:t>
      </w:r>
      <w:r w:rsidR="006938C4" w:rsidRPr="00A9434B">
        <w:t>Several information systems and approaches are available at national, regional</w:t>
      </w:r>
      <w:r w:rsidR="001C1880" w:rsidRPr="00A9434B">
        <w:t xml:space="preserve">, </w:t>
      </w:r>
      <w:r w:rsidR="006938C4" w:rsidRPr="00A9434B">
        <w:t>continental</w:t>
      </w:r>
      <w:r w:rsidR="00EB415D">
        <w:t xml:space="preserve"> and</w:t>
      </w:r>
      <w:r w:rsidR="00C1192B">
        <w:t xml:space="preserve"> </w:t>
      </w:r>
      <w:r w:rsidR="006938C4" w:rsidRPr="00A9434B">
        <w:t xml:space="preserve">global scales to support information flow across jurisdictions </w:t>
      </w:r>
      <w:r w:rsidR="00465432" w:rsidRPr="00A9434B">
        <w:fldChar w:fldCharType="begin"/>
      </w:r>
      <w:r w:rsidR="002D2756">
        <w:instrText xml:space="preserve"> ADDIN ZOTERO_ITEM CSL_CITATION {"citationID":"So1scDLn","properties":{"formattedCitation":"(Katsanevakis &amp; Roy, 2015; Mulligan &amp; Stoett, 2000)","plainCitation":"(Katsanevakis &amp; Roy, 2015; Mulligan &amp; Stoett, 2000)","noteIndex":0},"citationItems":[{"id":31349,"uris":["http://zotero.org/groups/2352922/items/FDQFR5A4"],"itemData":{"id":31349,"type":"article-journal","container-title":"Management of Biological Invasions","DOI":"10.3391/mbi.2015.6.2.01","ISSN":"19898649","issue":"2","journalAbbreviation":"MBI","page":"115-117","source":"DOI.org (Crossref)","title":"Alien species related information systems and information management","URL":"http://www.reabic.net/journals/mbi/2015/Issue2.aspx","volume":"6","author":[{"family":"Katsanevakis","given":"Stelios"},{"family":"Roy","given":"Helen E."}],"accessed":{"date-parts":[["2021",11,18]]},"issued":{"date-parts":[["2015",6]]}},"label":"page"},{"id":54744,"uris":["http://zotero.org/groups/2352922/items/33P9295H"],"itemData":{"id":54744,"type":"article-journal","container-title":"International Journal","DOI":"https://doi.org/10.2307/40203478","issue":"2","note":"ISBN: 0020-7020\npublisher: SAGE Publications Sage UK: London, England","page":"224-246","title":"A Global Bio-Prospecting Regime: Partnership or Piracy?","volume":"55","author":[{"family":"Mulligan","given":"Shane"},{"family":"Stoett","given":"Peter"}],"issued":{"date-parts":[["2000"]]}},"label":"page"}],"schema":"https://github.com/citation-style-language/schema/raw/master/csl-citation.json"} </w:instrText>
      </w:r>
      <w:r w:rsidR="00465432" w:rsidRPr="00A9434B">
        <w:fldChar w:fldCharType="separate"/>
      </w:r>
      <w:r w:rsidR="00CC523A" w:rsidRPr="00CC523A">
        <w:t>(Katsanevakis &amp; Roy, 2015; Mulligan &amp; Stoett, 2000)</w:t>
      </w:r>
      <w:r w:rsidR="00465432" w:rsidRPr="00A9434B">
        <w:fldChar w:fldCharType="end"/>
      </w:r>
      <w:r w:rsidR="006938C4" w:rsidRPr="00A9434B">
        <w:t xml:space="preserve">. </w:t>
      </w:r>
      <w:r w:rsidR="003A4F1D" w:rsidRPr="00A9434B">
        <w:t>G</w:t>
      </w:r>
      <w:r w:rsidR="639933B3" w:rsidRPr="00A9434B">
        <w:t>lobal analyses</w:t>
      </w:r>
      <w:r w:rsidR="006938C4" w:rsidRPr="00A9434B">
        <w:t>, for example,</w:t>
      </w:r>
      <w:r w:rsidR="639933B3" w:rsidRPr="00A9434B">
        <w:t xml:space="preserve"> </w:t>
      </w:r>
      <w:r w:rsidR="006938C4" w:rsidRPr="00A9434B">
        <w:t xml:space="preserve">are essential for </w:t>
      </w:r>
      <w:r w:rsidR="639933B3" w:rsidRPr="00A9434B">
        <w:t>inform</w:t>
      </w:r>
      <w:r w:rsidR="006938C4" w:rsidRPr="00A9434B">
        <w:t>ing</w:t>
      </w:r>
      <w:r w:rsidR="639933B3" w:rsidRPr="00A9434B">
        <w:t xml:space="preserve"> </w:t>
      </w:r>
      <w:r w:rsidR="003A4F1D" w:rsidRPr="00A9434B">
        <w:t>inte</w:t>
      </w:r>
      <w:r w:rsidR="006938C4" w:rsidRPr="00A9434B">
        <w:t>r</w:t>
      </w:r>
      <w:r w:rsidR="003A4F1D" w:rsidRPr="00A9434B">
        <w:t>national</w:t>
      </w:r>
      <w:r w:rsidR="639933B3" w:rsidRPr="00A9434B">
        <w:t xml:space="preserve"> policy to address the problems of </w:t>
      </w:r>
      <w:r w:rsidR="007D5DC6">
        <w:t>invasive alien species</w:t>
      </w:r>
      <w:r w:rsidR="003A4F1D" w:rsidRPr="00A9434B">
        <w:t>, including those focussed on particular habitats and ecosystems</w:t>
      </w:r>
      <w:r w:rsidR="639933B3" w:rsidRPr="00A9434B">
        <w:t xml:space="preserve">. </w:t>
      </w:r>
      <w:r w:rsidR="003A4F1D" w:rsidRPr="00A9434B">
        <w:t>C</w:t>
      </w:r>
      <w:r w:rsidR="639933B3" w:rsidRPr="00A9434B">
        <w:t xml:space="preserve">ollecting empirical data from diverse geographic areas </w:t>
      </w:r>
      <w:r w:rsidR="007B4EBE" w:rsidRPr="00A9434B">
        <w:t>will be improved by</w:t>
      </w:r>
      <w:r w:rsidR="003A4F1D" w:rsidRPr="00A9434B">
        <w:t xml:space="preserve"> </w:t>
      </w:r>
      <w:r w:rsidR="006938C4" w:rsidRPr="00A9434B">
        <w:t xml:space="preserve">collaboration across strong </w:t>
      </w:r>
      <w:r w:rsidR="639933B3" w:rsidRPr="00A9434B">
        <w:t>networks of researchers, managers</w:t>
      </w:r>
      <w:r w:rsidR="006938C4" w:rsidRPr="00A9434B">
        <w:t xml:space="preserve">, </w:t>
      </w:r>
      <w:r w:rsidR="639933B3" w:rsidRPr="00A9434B">
        <w:t>practitioners</w:t>
      </w:r>
      <w:r w:rsidR="006938C4" w:rsidRPr="00A9434B">
        <w:t xml:space="preserve"> and </w:t>
      </w:r>
      <w:r w:rsidR="7ECD5779" w:rsidRPr="00A9434B">
        <w:t>informaticians</w:t>
      </w:r>
      <w:r w:rsidR="639933B3" w:rsidRPr="00A9434B">
        <w:t xml:space="preserve"> </w:t>
      </w:r>
      <w:r w:rsidR="00465432" w:rsidRPr="00A9434B">
        <w:fldChar w:fldCharType="begin"/>
      </w:r>
      <w:r w:rsidR="002D2756">
        <w:instrText xml:space="preserve"> ADDIN ZOTERO_ITEM CSL_CITATION {"citationID":"arpg2i0mnb","properties":{"formattedCitation":"(Packer et al., 2017)","plainCitation":"(Packer et al., 2017)","noteIndex":0},"citationItems":[{"id":10028,"uris":["http://zotero.org/groups/2352922/items/S8VF498J"],"itemData":{"id":10028,"type":"article-journal","abstract":"Much has been done to address the challenges of biological invasions, but fundamental questions (e.g., which species invade? Which habitats are invaded? How can invasions be effectively managed?) still need to be answered before the spread and impact of alien taxa can be effectively managed. Questions on the role of biogeography (e.g., how does biogeography influence ecosystem susceptibility, resistance and resilience against invasion?) have the greatest potential to address this goal by increasing our capacity to understand and accurately predict invasions at local, continental and global scales. This paper proposes a framework for the development of ‘Global Networks for Invasion Science’ to help generate approaches to address these critical and fundamentally biogeographic questions. We define global networks on the basis of their focus on research questions at the global scale, collection of primary data, use of standardized protocols and metrics, and commitment to long-term global data. Global networks are critical for the future of invasion science because of their potential to extend beyond the capacity of individual partners to identify global priorities for research agendas and coordinate data collection over space and time, assess risks and emerging trends, understand the complex influences of biogeography on mechanisms of invasion, predict the future of invasion dynamics, and use these new insights to improve the efficiency and effectiveness of evidence-based management techniques. While the pace and scale of global change continues to escalate, strategic and collaborative global networks offer a powerful approach to inform responses to the threats posed by biological invasions.","container-title":"Biological Invasions","DOI":"10.1007/s10530-016-1302-3","ISSN":"1387-3547, 1573-1464","issue":"4","journalAbbreviation":"Biol Invasions","language":"en","page":"1081-1096","source":"DOI.org (Crossref)","title":"Global networks for invasion science: benefits, challenges and guidelines","title-short":"Global networks for invasion science","URL":"http://link.springer.com/10.1007/s10530-016-1302-3","volume":"19","author":[{"family":"Packer","given":"Jasmin G."},{"family":"Meyerson","given":"Laura A."},{"family":"Richardson","given":"David M."},{"family":"Brundu","given":"Giuseppe"},{"family":"Allen","given":"Warwick J."},{"family":"Bhattarai","given":"Ganesh P."},{"family":"Brix","given":"Hans"},{"family":"Canavan","given":"Susan"},{"family":"Castiglione","given":"Stefano"},{"family":"Cicatelli","given":"Angela"},{"family":"Čuda","given":"Jan"},{"family":"Cronin","given":"James T."},{"family":"Eller","given":"Franziska"},{"family":"Guarino","given":"Francesco"},{"family":"Guo","given":"Wei-Hua"},{"family":"Guo","given":"Wen-Yong"},{"family":"Guo","given":"Xiao"},{"family":"Hierro","given":"José L."},{"family":"Lambertini","given":"Carla"},{"family":"Liu","given":"Jian"},{"family":"Lozano","given":"Vanessa"},{"family":"Mozdzer","given":"Thomas J."},{"family":"Skálová","given":"Hana"},{"family":"Villarreal","given":"Diego"},{"family":"Wang","given":"Ren-Qing"},{"family":"Pyšek","given":"Petr"}],"accessed":{"date-parts":[["2019",11,9]]},"issued":{"date-parts":[["2017",4]]}},"label":"page"}],"schema":"https://github.com/citation-style-language/schema/raw/master/csl-citation.json"} </w:instrText>
      </w:r>
      <w:r w:rsidR="00465432" w:rsidRPr="00A9434B">
        <w:fldChar w:fldCharType="separate"/>
      </w:r>
      <w:r w:rsidR="00C71E80" w:rsidRPr="00A9434B">
        <w:t>(Packer et al., 2017)</w:t>
      </w:r>
      <w:r w:rsidR="00465432" w:rsidRPr="00A9434B">
        <w:fldChar w:fldCharType="end"/>
      </w:r>
      <w:r w:rsidR="639933B3" w:rsidRPr="00A9434B">
        <w:t xml:space="preserve">. </w:t>
      </w:r>
      <w:r w:rsidR="007D5DC6">
        <w:t xml:space="preserve">Previous and current examples </w:t>
      </w:r>
      <w:r w:rsidR="008C531C" w:rsidRPr="00A9434B">
        <w:t xml:space="preserve">of such collaborative networks include the Mountain Invasive Research Network (MIREN); European Information and Research Network on Aquatic Invasive Species (ERNAIS); Global Invader Impact Network (GIIN); Global Invasions Research Coordination Network; </w:t>
      </w:r>
      <w:r w:rsidR="008C531C" w:rsidRPr="00A9434B">
        <w:rPr>
          <w:i/>
          <w:iCs/>
        </w:rPr>
        <w:t>Phragmites</w:t>
      </w:r>
      <w:r w:rsidR="008C531C" w:rsidRPr="00A9434B">
        <w:t xml:space="preserve"> Network (PhragNet); the Southern Hemisphere Network on Conifer Invasions </w:t>
      </w:r>
      <w:r w:rsidR="00465432" w:rsidRPr="00A9434B">
        <w:fldChar w:fldCharType="begin"/>
      </w:r>
      <w:r w:rsidR="002D2756">
        <w:instrText xml:space="preserve"> ADDIN ZOTERO_ITEM CSL_CITATION {"citationID":"aleq55n22d","properties":{"formattedCitation":"(Packer et al., 2017)","plainCitation":"(Packer et al., 2017)","noteIndex":0},"citationItems":[{"id":10028,"uris":["http://zotero.org/groups/2352922/items/S8VF498J"],"itemData":{"id":10028,"type":"article-journal","abstract":"Much has been done to address the challenges of biological invasions, but fundamental questions (e.g., which species invade? Which habitats are invaded? How can invasions be effectively managed?) still need to be answered before the spread and impact of alien taxa can be effectively managed. Questions on the role of biogeography (e.g., how does biogeography influence ecosystem susceptibility, resistance and resilience against invasion?) have the greatest potential to address this goal by increasing our capacity to understand and accurately predict invasions at local, continental and global scales. This paper proposes a framework for the development of ‘Global Networks for Invasion Science’ to help generate approaches to address these critical and fundamentally biogeographic questions. We define global networks on the basis of their focus on research questions at the global scale, collection of primary data, use of standardized protocols and metrics, and commitment to long-term global data. Global networks are critical for the future of invasion science because of their potential to extend beyond the capacity of individual partners to identify global priorities for research agendas and coordinate data collection over space and time, assess risks and emerging trends, understand the complex influences of biogeography on mechanisms of invasion, predict the future of invasion dynamics, and use these new insights to improve the efficiency and effectiveness of evidence-based management techniques. While the pace and scale of global change continues to escalate, strategic and collaborative global networks offer a powerful approach to inform responses to the threats posed by biological invasions.","container-title":"Biological Invasions","DOI":"10.1007/s10530-016-1302-3","ISSN":"1387-3547, 1573-1464","issue":"4","journalAbbreviation":"Biol Invasions","language":"en","page":"1081-1096","source":"DOI.org (Crossref)","title":"Global networks for invasion science: benefits, challenges and guidelines","title-short":"Global networks for invasion science","URL":"http://link.springer.com/10.1007/s10530-016-1302-3","volume":"19","author":[{"family":"Packer","given":"Jasmin G."},{"family":"Meyerson","given":"Laura A."},{"family":"Richardson","given":"David M."},{"family":"Brundu","given":"Giuseppe"},{"family":"Allen","given":"Warwick J."},{"family":"Bhattarai","given":"Ganesh P."},{"family":"Brix","given":"Hans"},{"family":"Canavan","given":"Susan"},{"family":"Castiglione","given":"Stefano"},{"family":"Cicatelli","given":"Angela"},{"family":"Čuda","given":"Jan"},{"family":"Cronin","given":"James T."},{"family":"Eller","given":"Franziska"},{"family":"Guarino","given":"Francesco"},{"family":"Guo","given":"Wei-Hua"},{"family":"Guo","given":"Wen-Yong"},{"family":"Guo","given":"Xiao"},{"family":"Hierro","given":"José L."},{"family":"Lambertini","given":"Carla"},{"family":"Liu","given":"Jian"},{"family":"Lozano","given":"Vanessa"},{"family":"Mozdzer","given":"Thomas J."},{"family":"Skálová","given":"Hana"},{"family":"Villarreal","given":"Diego"},{"family":"Wang","given":"Ren-Qing"},{"family":"Pyšek","given":"Petr"}],"accessed":{"date-parts":[["2019",11,9]]},"issued":{"date-parts":[["2017",4]]}}}],"schema":"https://github.com/citation-style-language/schema/raw/master/csl-citation.json"} </w:instrText>
      </w:r>
      <w:r w:rsidR="00465432" w:rsidRPr="00A9434B">
        <w:fldChar w:fldCharType="separate"/>
      </w:r>
      <w:r w:rsidR="00C71E80" w:rsidRPr="00A9434B">
        <w:t>(Packer et al., 2017)</w:t>
      </w:r>
      <w:r w:rsidR="00465432" w:rsidRPr="00A9434B">
        <w:fldChar w:fldCharType="end"/>
      </w:r>
      <w:r>
        <w:t xml:space="preserve"> and the Pacific Invasives Partnership, that is part of the Secretariat of the Pacific Regional Environment Programme (SPREP; for additional examples see </w:t>
      </w:r>
      <w:r w:rsidR="006260F1">
        <w:rPr>
          <w:b/>
          <w:bCs/>
        </w:rPr>
        <w:t>S</w:t>
      </w:r>
      <w:r w:rsidRPr="56C59A3A">
        <w:rPr>
          <w:b/>
          <w:bCs/>
        </w:rPr>
        <w:t>upplementary material 6.3</w:t>
      </w:r>
      <w:r>
        <w:t>).</w:t>
      </w:r>
    </w:p>
    <w:p w14:paraId="3F42B0CC" w14:textId="77777777" w:rsidR="00EC226C" w:rsidRPr="00A9434B" w:rsidRDefault="008C531C" w:rsidP="00EC226C">
      <w:pPr>
        <w:pStyle w:val="Heading5"/>
      </w:pPr>
      <w:r w:rsidRPr="00A9434B">
        <w:t>International networks</w:t>
      </w:r>
    </w:p>
    <w:p w14:paraId="7C856A2E" w14:textId="271E3290" w:rsidR="008B6C69" w:rsidRPr="00A9434B" w:rsidRDefault="00D94E41" w:rsidP="00EC226C">
      <w:pPr>
        <w:spacing w:before="0"/>
      </w:pPr>
      <w:r w:rsidRPr="00A9434B">
        <w:t xml:space="preserve">GRIIS is supported by a broad collaboration of agencies and country experts. GRIIS provides open country checklists as well as a collated compendium of invasive alien species across countries </w:t>
      </w:r>
      <w:r w:rsidR="00C24E49" w:rsidRPr="00A9434B">
        <w:fldChar w:fldCharType="begin"/>
      </w:r>
      <w:r w:rsidR="002D2756">
        <w:instrText xml:space="preserve"> ADDIN ZOTERO_ITEM CSL_CITATION {"citationID":"au0ddkb7n6","properties":{"formattedCitation":"(Pagad et al., 2018, 2022)","plainCitation":"(Pagad et al., 2018, 2022)","noteIndex":0},"citationItems":[{"id":29146,"uris":["http://zotero.org/groups/2352922/items/BZA84ANL"],"itemData":{"id":29146,"type":"article-journal","abstract":"Harmonised, representative data on the state of biological invasions remain inadequate at country and global scales, particularly for taxa that affect biodiversity and ecosystems. Information is not readily available in a form suitable for policy and reporting. The Global Register of Introduced and Invasive Species (GRIIS) provides the first country-wise checklists of introduced (naturalised) and invasive species. GRIIS was conceived to provide a sustainable platform for information delivery to support national governments. We outline the rationale and methods underpinning GRIIS, to facilitate transparent, repeatable analysis and reporting. Twenty country checklists are presented as exemplars; GRIIS Checklists for close to all countries globally will be submitted through the same process shortly. Over 11000 species records are currently in the 20 country exemplars alone, with environmental impact evidence for just over 20% of these. GRIIS provides significant support for countries to identify and prioritise invasive alien species, and establishes national and global baselines. In future this will enable a global system for sustainable monitoring of trends in biological invasions that affect the environment.","container-title":"Scientific Data","DOI":"10.1038/sdata.2017.202","ISSN":"2052-4463","issue":"1","language":"en","license":"2018 The Author(s)","page":"170202","source":"www.nature.com","title":"Introducing the Global Register of Introduced and Invasive Species","URL":"https://www.nature.com/articles/sdata2017202","volume":"5","author":[{"family":"Pagad","given":"Shyama"},{"family":"Genovesi","given":"Piero"},{"family":"Carnevali","given":"Lucilla"},{"family":"Schigel","given":"Dmitry"},{"family":"McGeoch","given":"Melodie A."}],"accessed":{"date-parts":[["2020",6,12]]},"issued":{"date-parts":[["2018",1,23]]}},"label":"page"},{"id":52617,"uris":["http://zotero.org/groups/2352922/items/XKWUAWB5","http://zotero.org/groups/2352922/items/GAJN9YAZ"],"itemData":{"id":52617,"type":"article-journal","abstract":"The Country Compendium of the Global Register of Introduced and Invasive Species (GRIIS) is a collation of data across 196 individual country checklists of alien species, along with a designation of those species with evidence of impact at a country level. The Compendium provides a baseline for monitoring the distribution and invasion status of all major taxonomic groups, and can be used for the purpose of global analyses of introduced (alien, non-native, exotic) and invasive species (invasive alien species), including regional, single and multi-species taxon assessments and comparisons. It enables exploration of gaps and inferred absences of species across countries, and also provides one means for updating individual GRIIS Checklists. The Country Compendium is, for example, instrumental, along with data on first records of introduction, for assessing and reporting on invasive alien species targets, including for the Convention on Biological Diversity and Sustainable Development Goals. The GRIIS Country Compendium provides a baseline and mechanism for tracking the spread of introduced and invasive alien species across countries globally.Design Type(s)Data integration objective</w:instrText>
      </w:r>
      <w:r w:rsidR="002D2756">
        <w:rPr>
          <w:rFonts w:hint="eastAsia"/>
        </w:rPr>
        <w:instrText xml:space="preserve"> </w:instrText>
      </w:r>
      <w:r w:rsidR="002D2756">
        <w:rPr>
          <w:rFonts w:hint="eastAsia"/>
        </w:rPr>
        <w:instrText>●</w:instrText>
      </w:r>
      <w:r w:rsidR="002D2756">
        <w:rPr>
          <w:rFonts w:hint="eastAsia"/>
        </w:rPr>
        <w:instrText xml:space="preserve"> Observation designMeasurement Type(s)Alien species occurrence </w:instrText>
      </w:r>
      <w:r w:rsidR="002D2756">
        <w:rPr>
          <w:rFonts w:hint="eastAsia"/>
        </w:rPr>
        <w:instrText>●</w:instrText>
      </w:r>
      <w:r w:rsidR="002D2756">
        <w:rPr>
          <w:rFonts w:hint="eastAsia"/>
        </w:rPr>
        <w:instrText xml:space="preserve"> Evidence of impact invasive alien species assessment objectiveTechnology Type(s)Agent expert </w:instrText>
      </w:r>
      <w:r w:rsidR="002D2756">
        <w:rPr>
          <w:rFonts w:hint="eastAsia"/>
        </w:rPr>
        <w:instrText>●</w:instrText>
      </w:r>
      <w:r w:rsidR="002D2756">
        <w:rPr>
          <w:rFonts w:hint="eastAsia"/>
        </w:rPr>
        <w:instrText xml:space="preserve"> Data collationFactor Type(s)Geographic location </w:instrText>
      </w:r>
      <w:r w:rsidR="002D2756">
        <w:rPr>
          <w:rFonts w:hint="eastAsia"/>
        </w:rPr>
        <w:instrText>●</w:instrText>
      </w:r>
      <w:r w:rsidR="002D2756">
        <w:rPr>
          <w:rFonts w:hint="eastAsia"/>
        </w:rPr>
        <w:instrText xml:space="preserve"> Origin / provenance </w:instrText>
      </w:r>
      <w:r w:rsidR="002D2756">
        <w:rPr>
          <w:rFonts w:hint="eastAsia"/>
        </w:rPr>
        <w:instrText>●</w:instrText>
      </w:r>
      <w:r w:rsidR="002D2756">
        <w:rPr>
          <w:rFonts w:hint="eastAsia"/>
        </w:rPr>
        <w:instrText xml:space="preserve"> HabitatSample Characteristics - OrganismAnimalia </w:instrText>
      </w:r>
      <w:r w:rsidR="002D2756">
        <w:rPr>
          <w:rFonts w:hint="eastAsia"/>
        </w:rPr>
        <w:instrText>●</w:instrText>
      </w:r>
      <w:r w:rsidR="002D2756">
        <w:rPr>
          <w:rFonts w:hint="eastAsia"/>
        </w:rPr>
        <w:instrText xml:space="preserve"> Bacteria </w:instrText>
      </w:r>
      <w:r w:rsidR="002D2756">
        <w:rPr>
          <w:rFonts w:hint="eastAsia"/>
        </w:rPr>
        <w:instrText>●</w:instrText>
      </w:r>
      <w:r w:rsidR="002D2756">
        <w:rPr>
          <w:rFonts w:hint="eastAsia"/>
        </w:rPr>
        <w:instrText xml:space="preserve"> Chromista </w:instrText>
      </w:r>
      <w:r w:rsidR="002D2756">
        <w:rPr>
          <w:rFonts w:hint="eastAsia"/>
        </w:rPr>
        <w:instrText>●</w:instrText>
      </w:r>
      <w:r w:rsidR="002D2756">
        <w:rPr>
          <w:rFonts w:hint="eastAsia"/>
        </w:rPr>
        <w:instrText xml:space="preserve"> Fungi </w:instrText>
      </w:r>
      <w:r w:rsidR="002D2756">
        <w:rPr>
          <w:rFonts w:hint="eastAsia"/>
        </w:rPr>
        <w:instrText>●</w:instrText>
      </w:r>
      <w:r w:rsidR="002D2756">
        <w:rPr>
          <w:rFonts w:hint="eastAsia"/>
        </w:rPr>
        <w:instrText xml:space="preserve"> Plantae </w:instrText>
      </w:r>
      <w:r w:rsidR="002D2756">
        <w:rPr>
          <w:rFonts w:hint="eastAsia"/>
        </w:rPr>
        <w:instrText>●</w:instrText>
      </w:r>
      <w:r w:rsidR="002D2756">
        <w:rPr>
          <w:rFonts w:hint="eastAsia"/>
        </w:rPr>
        <w:instrText xml:space="preserve"> Protista (Protozoa) </w:instrText>
      </w:r>
      <w:r w:rsidR="002D2756">
        <w:rPr>
          <w:rFonts w:hint="eastAsia"/>
        </w:rPr>
        <w:instrText>●</w:instrText>
      </w:r>
      <w:r w:rsidR="002D2756">
        <w:rPr>
          <w:rFonts w:hint="eastAsia"/>
        </w:rPr>
        <w:instrText xml:space="preserve"> VirusesSample Characteristics - LocationGlobal countries","container-title":"Scientific Data","DOI":"10.1038/s41597-022-01514-z","ISSN":"2052-4463","issue":"1","j</w:instrText>
      </w:r>
      <w:r w:rsidR="002D2756">
        <w:instrText xml:space="preserve">ournalAbbreviation":"Sci Data","language":"en","license":"2022 The Author(s)","page":"391","source":"www.nature.com","title":"Country Compendium of the Global Register of Introduced and Invasive Species","URL":"https://www.nature.com/articles/s41597-022-01514-z","volume":"9","author":[{"family":"Pagad","given":"Shyama"},{"family":"Bisset","given":"Stewart"},{"family":"Genovesi","given":"Piero"},{"family":"Groom","given":"Quentin"},{"family":"Hirsch","given":"Tim"},{"family":"Jetz","given":"Walter"},{"family":"Ranipeta","given":"Ajay"},{"family":"Schigel","given":"Dmitry"},{"family":"Sica","given":"Yanina V."},{"family":"McGeoch","given":"Melodie A."}],"accessed":{"date-parts":[["2022",7,25]]},"issued":{"date-parts":[["2022",7,9]]}},"label":"page"}],"schema":"https://github.com/citation-style-language/schema/raw/master/csl-citation.json"} </w:instrText>
      </w:r>
      <w:r w:rsidR="00C24E49" w:rsidRPr="00A9434B">
        <w:fldChar w:fldCharType="separate"/>
      </w:r>
      <w:r w:rsidR="00D13761" w:rsidRPr="00D13761">
        <w:t>(Pagad et al., 2018, 2022)</w:t>
      </w:r>
      <w:r w:rsidR="00C24E49" w:rsidRPr="00A9434B">
        <w:fldChar w:fldCharType="end"/>
      </w:r>
      <w:r w:rsidR="00C24E49" w:rsidRPr="00A9434B">
        <w:t xml:space="preserve">. </w:t>
      </w:r>
      <w:r w:rsidRPr="00A9434B">
        <w:t xml:space="preserve">GRIIS data are openly available </w:t>
      </w:r>
      <w:r w:rsidR="001C1880" w:rsidRPr="00A9434B">
        <w:t xml:space="preserve">through </w:t>
      </w:r>
      <w:r w:rsidRPr="00A9434B">
        <w:t>an online repository, through the Global Biodiversity Information Facility (GBIF)</w:t>
      </w:r>
      <w:r w:rsidR="001C1880" w:rsidRPr="00A9434B">
        <w:t>,</w:t>
      </w:r>
      <w:r w:rsidRPr="00A9434B">
        <w:t xml:space="preserve"> and via country pages of the </w:t>
      </w:r>
      <w:r w:rsidR="00B030DA" w:rsidRPr="00A9434B">
        <w:t>CBD</w:t>
      </w:r>
      <w:r w:rsidRPr="00A9434B">
        <w:t xml:space="preserve"> </w:t>
      </w:r>
      <w:r w:rsidR="005201B4">
        <w:t xml:space="preserve">Access and Benefit-sharing </w:t>
      </w:r>
      <w:r w:rsidRPr="00A9434B">
        <w:t>Clearing</w:t>
      </w:r>
      <w:r w:rsidR="005201B4">
        <w:t>-</w:t>
      </w:r>
      <w:r w:rsidRPr="00A9434B">
        <w:t>House. GRIIS is founded on a transparent set of methods and biodiversity information standards (</w:t>
      </w:r>
      <w:r w:rsidRPr="00673554">
        <w:rPr>
          <w:b/>
          <w:iCs/>
        </w:rPr>
        <w:t>section 6.6</w:t>
      </w:r>
      <w:r w:rsidR="00BC7EF4" w:rsidRPr="00A9434B">
        <w:t>) and</w:t>
      </w:r>
      <w:r w:rsidRPr="00A9434B">
        <w:t xml:space="preserve"> provides both a baseline information source and mechanism for </w:t>
      </w:r>
      <w:r w:rsidR="008C531C" w:rsidRPr="00A9434B">
        <w:t xml:space="preserve">supporting an international information platform for invasive alien species </w:t>
      </w:r>
      <w:r w:rsidR="00C24E49" w:rsidRPr="00A9434B">
        <w:fldChar w:fldCharType="begin"/>
      </w:r>
      <w:r w:rsidR="002D2756">
        <w:instrText xml:space="preserve"> ADDIN ZOTERO_ITEM CSL_CITATION {"citationID":"SS3ZVJOP","properties":{"formattedCitation":"(Pagad et al., 2018, 2022)","plainCitation":"(Pagad et al., 2018, 2022)","noteIndex":0},"citationItems":[{"id":29146,"uris":["http://zotero.org/groups/2352922/items/BZA84ANL"],"itemData":{"id":29146,"type":"article-journal","abstract":"Harmonised, representative data on the state of biological invasions remain inadequate at country and global scales, particularly for taxa that affect biodiversity and ecosystems. Information is not readily available in a form suitable for policy and reporting. The Global Register of Introduced and Invasive Species (GRIIS) provides the first country-wise checklists of introduced (naturalised) and invasive species. GRIIS was conceived to provide a sustainable platform for information delivery to support national governments. We outline the rationale and methods underpinning GRIIS, to facilitate transparent, repeatable analysis and reporting. Twenty country checklists are presented as exemplars; GRIIS Checklists for close to all countries globally will be submitted through the same process shortly. Over 11000 species records are currently in the 20 country exemplars alone, with environmental impact evidence for just over 20% of these. GRIIS provides significant support for countries to identify and prioritise invasive alien species, and establishes national and global baselines. In future this will enable a global system for sustainable monitoring of trends in biological invasions that affect the environment.","container-title":"Scientific Data","DOI":"10.1038/sdata.2017.202","ISSN":"2052-4463","issue":"1","language":"en","license":"2018 The Author(s)","page":"170202","source":"www.nature.com","title":"Introducing the Global Register of Introduced and Invasive Species","URL":"https://www.nature.com/articles/sdata2017202","volume":"5","author":[{"family":"Pagad","given":"Shyama"},{"family":"Genovesi","given":"Piero"},{"family":"Carnevali","given":"Lucilla"},{"family":"Schigel","given":"Dmitry"},{"family":"McGeoch","given":"Melodie A."}],"accessed":{"date-parts":[["2020",6,12]]},"issued":{"date-parts":[["2018",1,23]]}},"label":"page"},{"id":52617,"uris":["http://zotero.org/groups/2352922/items/XKWUAWB5","http://zotero.org/groups/2352922/items/GAJN9YAZ"],"itemData":{"id":52617,"type":"article-journal","abstract":"The Country Compendium of the Global Register of Introduced and Invasive Species (GRIIS) is a collation of data across 196 individual country checklists of alien species, along with a designation of those species with evidence of impact at a country level. The Compendium provides a baseline for monitoring the distribution and invasion status of all major taxonomic groups, and can be used for the purpose of global analyses of introduced (alien, non-native, exotic) and invasive species (invasive alien species), including regional, single and multi-species taxon assessments and comparisons. It enables exploration of gaps and inferred absences of species across countries, and also provides one means for updating individual GRIIS Checklists. The Country Compendium is, for example, instrumental, along with data on first records of introduction, for assessing and reporting on invasive alien species targets, including for the Convention </w:instrText>
      </w:r>
      <w:r w:rsidR="002D2756">
        <w:rPr>
          <w:rFonts w:hint="eastAsia"/>
        </w:rPr>
        <w:instrText xml:space="preserve">on Biological Diversity and Sustainable Development Goals. The GRIIS Country Compendium provides a baseline and mechanism for tracking the spread of introduced and invasive alien species across countries globally.Design Type(s)Data integration objective </w:instrText>
      </w:r>
      <w:r w:rsidR="002D2756">
        <w:rPr>
          <w:rFonts w:hint="eastAsia"/>
        </w:rPr>
        <w:instrText>●</w:instrText>
      </w:r>
      <w:r w:rsidR="002D2756">
        <w:rPr>
          <w:rFonts w:hint="eastAsia"/>
        </w:rPr>
        <w:instrText xml:space="preserve"> Observation designMeasurement Type(s)Alien species occurrence </w:instrText>
      </w:r>
      <w:r w:rsidR="002D2756">
        <w:rPr>
          <w:rFonts w:hint="eastAsia"/>
        </w:rPr>
        <w:instrText>●</w:instrText>
      </w:r>
      <w:r w:rsidR="002D2756">
        <w:rPr>
          <w:rFonts w:hint="eastAsia"/>
        </w:rPr>
        <w:instrText xml:space="preserve"> Evidence of impact invasive alien species assessment objectiveTechnology Type(s)Agent expert </w:instrText>
      </w:r>
      <w:r w:rsidR="002D2756">
        <w:rPr>
          <w:rFonts w:hint="eastAsia"/>
        </w:rPr>
        <w:instrText>●</w:instrText>
      </w:r>
      <w:r w:rsidR="002D2756">
        <w:rPr>
          <w:rFonts w:hint="eastAsia"/>
        </w:rPr>
        <w:instrText xml:space="preserve"> Data collationFactor Type(s)Geographic location </w:instrText>
      </w:r>
      <w:r w:rsidR="002D2756">
        <w:rPr>
          <w:rFonts w:hint="eastAsia"/>
        </w:rPr>
        <w:instrText>●</w:instrText>
      </w:r>
      <w:r w:rsidR="002D2756">
        <w:rPr>
          <w:rFonts w:hint="eastAsia"/>
        </w:rPr>
        <w:instrText xml:space="preserve"> Origin / provenance </w:instrText>
      </w:r>
      <w:r w:rsidR="002D2756">
        <w:rPr>
          <w:rFonts w:hint="eastAsia"/>
        </w:rPr>
        <w:instrText>●</w:instrText>
      </w:r>
      <w:r w:rsidR="002D2756">
        <w:rPr>
          <w:rFonts w:hint="eastAsia"/>
        </w:rPr>
        <w:instrText xml:space="preserve"> HabitatSample Characteristics - OrganismAnimalia </w:instrText>
      </w:r>
      <w:r w:rsidR="002D2756">
        <w:rPr>
          <w:rFonts w:hint="eastAsia"/>
        </w:rPr>
        <w:instrText>●</w:instrText>
      </w:r>
      <w:r w:rsidR="002D2756">
        <w:rPr>
          <w:rFonts w:hint="eastAsia"/>
        </w:rPr>
        <w:instrText xml:space="preserve"> Bacteria </w:instrText>
      </w:r>
      <w:r w:rsidR="002D2756">
        <w:rPr>
          <w:rFonts w:hint="eastAsia"/>
        </w:rPr>
        <w:instrText>●</w:instrText>
      </w:r>
      <w:r w:rsidR="002D2756">
        <w:rPr>
          <w:rFonts w:hint="eastAsia"/>
        </w:rPr>
        <w:instrText xml:space="preserve"> Chromista </w:instrText>
      </w:r>
      <w:r w:rsidR="002D2756">
        <w:rPr>
          <w:rFonts w:hint="eastAsia"/>
        </w:rPr>
        <w:instrText>●</w:instrText>
      </w:r>
      <w:r w:rsidR="002D2756">
        <w:rPr>
          <w:rFonts w:hint="eastAsia"/>
        </w:rPr>
        <w:instrText xml:space="preserve"> Fungi </w:instrText>
      </w:r>
      <w:r w:rsidR="002D2756">
        <w:rPr>
          <w:rFonts w:hint="eastAsia"/>
        </w:rPr>
        <w:instrText>●</w:instrText>
      </w:r>
      <w:r w:rsidR="002D2756">
        <w:rPr>
          <w:rFonts w:hint="eastAsia"/>
        </w:rPr>
        <w:instrText xml:space="preserve"> Plantae </w:instrText>
      </w:r>
      <w:r w:rsidR="002D2756">
        <w:rPr>
          <w:rFonts w:hint="eastAsia"/>
        </w:rPr>
        <w:instrText>●</w:instrText>
      </w:r>
      <w:r w:rsidR="002D2756">
        <w:rPr>
          <w:rFonts w:hint="eastAsia"/>
        </w:rPr>
        <w:instrText xml:space="preserve"> Protista (Protozoa) </w:instrText>
      </w:r>
      <w:r w:rsidR="002D2756">
        <w:rPr>
          <w:rFonts w:hint="eastAsia"/>
        </w:rPr>
        <w:instrText>●</w:instrText>
      </w:r>
      <w:r w:rsidR="002D2756">
        <w:rPr>
          <w:rFonts w:hint="eastAsia"/>
        </w:rPr>
        <w:instrText xml:space="preserve"> VirusesSample Characteristics - LocationGlobal countries","container-title":"Scientific Data","DOI":"10.1038/s41597-022-01514-z","ISSN":"2052-4463","issue":"1","jou</w:instrText>
      </w:r>
      <w:r w:rsidR="002D2756">
        <w:instrText xml:space="preserve">rnalAbbreviation":"Sci Data","language":"en","license":"2022 The Author(s)","page":"391","source":"www.nature.com","title":"Country Compendium of the Global Register of Introduced and Invasive Species","URL":"https://www.nature.com/articles/s41597-022-01514-z","volume":"9","author":[{"family":"Pagad","given":"Shyama"},{"family":"Bisset","given":"Stewart"},{"family":"Genovesi","given":"Piero"},{"family":"Groom","given":"Quentin"},{"family":"Hirsch","given":"Tim"},{"family":"Jetz","given":"Walter"},{"family":"Ranipeta","given":"Ajay"},{"family":"Schigel","given":"Dmitry"},{"family":"Sica","given":"Yanina V."},{"family":"McGeoch","given":"Melodie A."}],"accessed":{"date-parts":[["2022",7,25]]},"issued":{"date-parts":[["2022",7,9]]}},"label":"page"}],"schema":"https://github.com/citation-style-language/schema/raw/master/csl-citation.json"} </w:instrText>
      </w:r>
      <w:r w:rsidR="00C24E49" w:rsidRPr="00A9434B">
        <w:fldChar w:fldCharType="separate"/>
      </w:r>
      <w:r w:rsidR="00D13761" w:rsidRPr="00D13761">
        <w:t>(Pagad et al., 2018, 2022)</w:t>
      </w:r>
      <w:r w:rsidR="00C24E49" w:rsidRPr="00A9434B">
        <w:fldChar w:fldCharType="end"/>
      </w:r>
      <w:r w:rsidR="00C24E49" w:rsidRPr="00A9434B">
        <w:t>.</w:t>
      </w:r>
    </w:p>
    <w:p w14:paraId="0CA42E7F" w14:textId="6D350F5E" w:rsidR="00017C04" w:rsidRDefault="00F50AF9" w:rsidP="56C59A3A">
      <w:r>
        <w:t>At its 15</w:t>
      </w:r>
      <w:r w:rsidRPr="56C59A3A">
        <w:rPr>
          <w:vertAlign w:val="superscript"/>
        </w:rPr>
        <w:t>th</w:t>
      </w:r>
      <w:r>
        <w:t xml:space="preserve"> meeting, </w:t>
      </w:r>
      <w:r w:rsidR="00533974">
        <w:t>the</w:t>
      </w:r>
      <w:r>
        <w:t xml:space="preserve"> CBD COP called for multiple international networks to continue supporting the implementation and monitoring of the Kunming-Montreal Global Biodiversity Framework (including Target 6 for </w:t>
      </w:r>
      <w:r w:rsidR="54EEA339">
        <w:t>invasive alien species</w:t>
      </w:r>
      <w:r>
        <w:t>), most notably the Statistical Commission, the Group on Earth Observations Biodiversity Observation Network (GEO BON), the Intergovernmental Science-Policy Platform on Biodiversity and Ecosystem and Services (IPBES)</w:t>
      </w:r>
      <w:r w:rsidR="00EB415D">
        <w:t xml:space="preserve"> and</w:t>
      </w:r>
      <w:r>
        <w:t xml:space="preserve"> the Biodiversity Indicators Partnership (BIP) </w:t>
      </w:r>
      <w:r w:rsidR="00495F1F">
        <w:fldChar w:fldCharType="begin"/>
      </w:r>
      <w:r w:rsidR="002D2756">
        <w:instrText xml:space="preserve"> ADDIN ZOTERO_ITEM CSL_CITATION {"citationID":"QA8mlZ8w","properties":{"formattedCitation":"(CBD, 2022b)","plainCitation":"(CBD, 2022b)","noteIndex":0},"citationItems":[{"id":54875,"uris":["http://zotero.org/groups/2352922/items/TKT37422"],"itemData":{"id":54875,"type":"paper-conference","collection-title":"CBD/COP/DEC/15/5","container-title":"Decision adopted by the conference of the parties to the convention on biological diversity","event-place":"Montreal, Canada","event-title":"Fifteenth meeting (Part II) of Conference of the parties to the Convention on Biological Diversity","language":"en","publisher":"Convention on Biodiversity, United Nations Environment Programme","publisher-place":"Montreal, Canada","source":"Zotero","title":"15/5. Monitoring framework for the Kunming-Montreal Global Biodiversity Framework","URL":"https://www.cbd.int/doc/decisions/cop-15/cop-15-dec-05-en.pdf","author":[{"literal":"CBD"}],"issued":{"date-parts":[["2022"]]}}}],"schema":"https://github.com/citation-style-language/schema/raw/master/csl-citation.json"} </w:instrText>
      </w:r>
      <w:r w:rsidR="00495F1F">
        <w:fldChar w:fldCharType="separate"/>
      </w:r>
      <w:r w:rsidR="00495F1F" w:rsidRPr="00495F1F">
        <w:t>(CBD, 2022b)</w:t>
      </w:r>
      <w:r w:rsidR="00495F1F">
        <w:fldChar w:fldCharType="end"/>
      </w:r>
      <w:r w:rsidR="6774E4EC" w:rsidRPr="003101C3">
        <w:t>, as well as the ISSG, GBIF and CABI</w:t>
      </w:r>
      <w:r w:rsidR="2559BCB1" w:rsidRPr="003101C3">
        <w:t xml:space="preserve"> </w:t>
      </w:r>
      <w:r w:rsidR="00CC523A">
        <w:fldChar w:fldCharType="begin"/>
      </w:r>
      <w:r w:rsidR="002D2756">
        <w:instrText xml:space="preserve"> ADDIN ZOTERO_ITEM CSL_CITATION {"citationID":"h8Fv0e0G","properties":{"formattedCitation":"(CBD, 2022c)","plainCitation":"(CBD, 2022c)","noteIndex":0},"citationItems":[{"id":54823,"uris":["http://zotero.org/groups/2352922/items/ALQHAEC3"],"itemData":{"id":54823,"type":"paper-conference","collection-title":"CBD/COP/DEC/15/27","container-title":"Decision adopted by the conference of the parties to the convention on biological diversity","event-place":"Montreal, Canada","event-title":"Fifteenth meeting of Conference of the parties to the Convention on Biological Diversity","language":"en","publisher":"Convention on Biodiversity, United Nations Environment Programme","publisher-place":"Montreal, Canada","source":"Zotero","title":"15/27. Invasive alien species","URL":"https://www.cbd.int/doc/decisions/cop-15/cop-15-dec-27-en.pdf","author":[{"literal":"CBD"}],"issued":{"date-parts":[["2022"]]}}}],"schema":"https://github.com/citation-style-language/schema/raw/master/csl-citation.json"} </w:instrText>
      </w:r>
      <w:r w:rsidR="00CC523A">
        <w:fldChar w:fldCharType="separate"/>
      </w:r>
      <w:r w:rsidR="00CC523A" w:rsidRPr="00CC523A">
        <w:t>(CBD, 2022c)</w:t>
      </w:r>
      <w:r w:rsidR="00CC523A">
        <w:fldChar w:fldCharType="end"/>
      </w:r>
      <w:r w:rsidR="28A7526B" w:rsidRPr="003101C3">
        <w:t>.</w:t>
      </w:r>
      <w:r>
        <w:t xml:space="preserve"> </w:t>
      </w:r>
    </w:p>
    <w:p w14:paraId="1198670D" w14:textId="55113FD6" w:rsidR="00017C04" w:rsidRDefault="009A39CE">
      <w:r>
        <w:t>P</w:t>
      </w:r>
      <w:r w:rsidR="00F27F4C">
        <w:t xml:space="preserve">revious and current </w:t>
      </w:r>
      <w:r w:rsidR="00F50AF9">
        <w:t xml:space="preserve">international networks on invasive alien species that promote data sharing and collaboration include the ISSG, The Inter-American Biodiversity Information Network (IABIN), the Asia-Pacific Forest Invasive Species Network (APFISN), the European Network on Invasive Alien Species (NOBANIS) and CABI (which produces the Invasive Species Compendium). </w:t>
      </w:r>
      <w:r>
        <w:t xml:space="preserve">The </w:t>
      </w:r>
      <w:r w:rsidR="00F50AF9">
        <w:t xml:space="preserve">European Alien Species Information Network (EASIN) provides opportunities for pan-European cooperation for sharing of information and assists implementation of European policies on biological invasions </w:t>
      </w:r>
      <w:r w:rsidR="00A03B3F" w:rsidRPr="003101C3">
        <w:fldChar w:fldCharType="begin"/>
      </w:r>
      <w:r w:rsidR="002D2756">
        <w:instrText xml:space="preserve"> ADDIN ZOTERO_ITEM CSL_CITATION {"citationID":"a1oe5or3irc","properties":{"formattedCitation":"(Katsanevakis et al., 2013)","plainCitation":"(Katsanevakis et al., 2013)","noteIndex":0},"citationItems":[{"id":53357,"uris":["http://zotero.org/groups/2352922/items/TVMCNE82","http://zotero.org/groups/2352922/items/LBS9PBN9"],"itemData":{"id":53357,"type":"article-journal","container-title":"Management of Biological Invasions","DOI":"10.3391/mbi.2013.4.1.02","ISSN":"19898649","issue":"1","journalAbbreviation":"MBI","page":"3-6","source":"DOI.org (Crossref)","title":"Implementing the European policies for alien species – networking, science, and partnership in a complex environment","URL":"http://www.reabic.net/journals/mbi/2013/Issue1.aspx","volume":"4","author":[{"family":"Katsanevakis","given":"Stelios"},{"family":"Genovesi","given":"Piero"},{"family":"Gaiji","given":"Samy"},{"family":"Hvid","given":"Helene Nyegaard"},{"family":"Roy","given":"Helen E."},{"family":"Nunes","given":"Ana Luisa"},{"family":"Aguado","given":"Francisco Sanchez"},{"family":"Bogucarskis","given":"Konstantins"},{"family":"Debusscher","given":"Bos"},{"family":"Deriu","given":"Ivan"},{"family":"Harrower","given":"Colin"},{"family":"Josefsson","given":"Melanie"},{"family":"Lucy","given":"Frances"},{"family":"Marchini","given":"Agnese"},{"family":"Richards","given":"Gareth"},{"family":"Trichkova","given":"Teodora"},{"family":"Vanderhoeven","given":"Sonia"},{"family":"Zenetos","given":"Argyro"},{"family":"Cardoso","given":"Ana Cristina"}],"accessed":{"date-parts":[["2022",9,15]]},"issued":{"date-parts":[["2013",2]]}},"label":"page"}],"schema":"https://github.com/citation-style-language/schema/raw/master/csl-citation.json"} </w:instrText>
      </w:r>
      <w:r w:rsidR="00A03B3F" w:rsidRPr="003101C3">
        <w:fldChar w:fldCharType="separate"/>
      </w:r>
      <w:r w:rsidR="00C71E80" w:rsidRPr="003101C3">
        <w:t>(Katsanevakis et al., 2013)</w:t>
      </w:r>
      <w:r w:rsidR="00A03B3F" w:rsidRPr="003101C3">
        <w:fldChar w:fldCharType="end"/>
      </w:r>
      <w:r w:rsidR="00A03B3F" w:rsidRPr="003101C3">
        <w:t>. Also, a European Co-operation in Science and Technology (COST) action was launched to establish a</w:t>
      </w:r>
      <w:r>
        <w:t>n alien species</w:t>
      </w:r>
      <w:r w:rsidR="00A03B3F" w:rsidRPr="003101C3">
        <w:t xml:space="preserve"> and</w:t>
      </w:r>
      <w:r>
        <w:t xml:space="preserve"> </w:t>
      </w:r>
      <w:r w:rsidR="00A03B3F" w:rsidRPr="003101C3">
        <w:t xml:space="preserve">citizen </w:t>
      </w:r>
      <w:r>
        <w:t xml:space="preserve">science </w:t>
      </w:r>
      <w:r w:rsidR="00A03B3F" w:rsidRPr="003101C3">
        <w:t xml:space="preserve">network to develop and support citizen science initiatives </w:t>
      </w:r>
      <w:r w:rsidR="00A03B3F" w:rsidRPr="003101C3">
        <w:fldChar w:fldCharType="begin"/>
      </w:r>
      <w:r w:rsidR="002D2756">
        <w:instrText xml:space="preserve"> ADDIN ZOTERO_ITEM CSL_CITATION {"citationID":"a1mtlsj6vr3","properties":{"formattedCitation":"(Roy et al., 2018)","plainCitation":"(Roy et al., 2018)","noteIndex":0},"citationItems":[{"id":53356,"uris":["http://zotero.org/groups/2352922/items/FRY4ZKJC","http://zotero.org/groups/2352922/items/47BFDST4"],"itemData":{"id":53356,"type":"article-journal","abstract":"There is no sign of saturation in accumulation of alien species (AS) introductions worldwide, additionally the rate of spread for some species has also been shown to be increasing. However, the challenges of gathering information on AS are recognized. Recent developments in citizen science (CS) provide an opportunity to improve data flow and knowledge on AS while ensuring effective and high quality societal engagement with the issue of IAS (Invasive Alien Species). Advances in technology, particularly on-line recording and smartphone apps, along with the development of social media, have revolutionized CS and increased connectivity while new and innovative analysis techniques are emerging to ensure appropriate management, visualization, interpretation and use and sharing of the data. In early July 2018 we launched a European CO-operation in Science and Technology (COST) Action to address multidisciplinary research questions in relation to developing and implementing CS, advancing scientific understanding of AS dynamics while informing decision-making specifically implementation of technical requirements of relevant legislation such as the EU Regulation 1143/2014 on IAS. It will also support the EU biodiversity goals and embedding science within society. The Action will explore and document approaches to establishing a European-wide CS AS network. It will embrace relevant innovations for data gathering and reporting to support the implementation of monitoring and surveillance measures, while ensuring benefits for society and citizens, through an AS CS European network. The Action will, therefore, increase levels of participation and quality of engagement with current CS initiatives, ensuring and evaluating educational value, and improve the value outcomes for potential users including citizens, scientists, alien species managers, policy-makers, local authorities, industry and other stakeholders.","container-title":"Research Ideas and Outcomes","DOI":"10.3897/rio.4.e31412","ISSN":"2367-7163","journalAbbreviation":"RIO","page":"e31412","source":"DOI.org (Crossref)","title":"Increasing understanding of alien species through citizen science (Alien-CSI)","URL":"https://riojournal.com/article/31412/","volume":"4","author":[{"family":"Roy","given":"Helen E"},{"family":"Groom","given":"Quentin"},{"family":"Adriaens","given":"Tim"},{"family":"Agnello","given":"Gaia"},{"family":"Antic","given":"Marina"},{"family":"Archambeau","given":"Anne-Sophie"},{"family":"Bacher","given":"Sven"},{"family":"Bonn","given":"Aletta"},{"family":"Brown","given":"Peter"},{"family":"Brundu","given":"Giuseppe"},{"family":"López","given":"Bernat C"},{"family":"Cleary","given":"Michelle"},{"family":"Cogălniceanu","given":"Dan"},{"family":"Groot","given":"Maarten","non-dropping-particle":"de"},{"family":"De Sousa","given":"Tiago"},{"family":"Deidun","given":"Alan"},{"family":"Essl","given":"Franz"},{"family":"Fišer Pečnikar","given":"Živa"},{"family":"Gazda","given":"Anna"},{"family":"Gervasini","given":"Eugenio"},{"family":"Glavendekic","given":"Milka"},{"family":"Gigot","given":"Guillaume"},{"family":"Jelaska","given":"Sven"},{"family":"Jeschke","given":"Jonathan"},{"family":"Kaminski","given":"Dariusz"},{"family":"Karachle","given":"Paraskevi"},{"family":"Komives","given":"Tamas"},{"family":"Lapin","given":"Katharina"},{"family":"Lucy","given":"Frances"},{"family":"Marchante","given":"Elizabete"},{"family":"Marisavljevic","given":"Dragana"},{"family":"Marja","given":"Riho"},{"family":"Martín Torrijos","given":"Laura"},{"family":"Martinou","given":"Angeliki"},{"family":"Matosevic","given":"Dinka"},{"family":"Mifsud","given":"Clare"},{"family":"Motiejūnaitė","given":"Jurga"},{"family":"Ojaveer","given":"Henn"},{"family":"Pasalic","given":"Nataša"},{"family":"Pekárik","given":"Ladislav"},{"family":"Per","given":"Esra"},{"family":"Pergl","given":"Jan"},{"family":"Pesic","given":"Vladimir"},{"family":"Pocock","given":"Michael"},{"family":"Reino","given":"Luís"},{"family":"Ries","given":"Christian"},{"family":"Rozylowicz","given":"Laurentiu"},{"family":"Schade","given":"Sven"},{"family":"Sigurdsson","given":"Snorri"},{"family":"Steinitz","given":"Ofer"},{"family":"Stern","given":"Nir"},{"family":"Teofilovski","given":"Aco"},{"family":"Thorsson","given":"Johann"},{"family":"Tomov","given":"Rumen"},{"family":"Tricarico","given":"Elena"},{"family":"Trichkova","given":"Teodora"},{"family":"Tsiamis","given":"Konstantinos"},{"family":"Valkenburg","given":"Johan","non-dropping-particle":"van"},{"family":"Vella","given":"Noel"},{"family":"Verbrugge","given":"Laura"},{"family":"Vétek","given":"Gábor"},{"family":"Villaverde","given":"Cristina"},{"family":"Witzell","given":"Johanna"},{"family":"Zenetos","given":"Argyro"},{"family":"Cardoso","given":"Ana Cristina"}],"accessed":{"date-parts":[["2022",9,15]]},"issued":{"date-parts":[["2018",11,7]]}},"label":"page"}],"schema":"https://github.com/citation-style-language/schema/raw/master/csl-citation.json"} </w:instrText>
      </w:r>
      <w:r w:rsidR="00A03B3F" w:rsidRPr="003101C3">
        <w:fldChar w:fldCharType="separate"/>
      </w:r>
      <w:r w:rsidR="00065870" w:rsidRPr="00065870">
        <w:t>(Roy et al., 2018)</w:t>
      </w:r>
      <w:r w:rsidR="00A03B3F" w:rsidRPr="003101C3">
        <w:fldChar w:fldCharType="end"/>
      </w:r>
      <w:r w:rsidR="00A03B3F" w:rsidRPr="003101C3">
        <w:t>.</w:t>
      </w:r>
    </w:p>
    <w:p w14:paraId="1EB62372" w14:textId="77777777" w:rsidR="00017C04" w:rsidRDefault="00F50AF9">
      <w:pPr>
        <w:pStyle w:val="Heading5"/>
      </w:pPr>
      <w:r>
        <w:t>National and subnational networks</w:t>
      </w:r>
    </w:p>
    <w:p w14:paraId="02683133" w14:textId="2198C1CC" w:rsidR="008C531C" w:rsidRPr="00A9434B" w:rsidRDefault="008C531C" w:rsidP="00EC226C">
      <w:pPr>
        <w:spacing w:before="0"/>
      </w:pPr>
      <w:r w:rsidRPr="00A9434B">
        <w:t>Examples of national or subnational initiatives, in this case from Europe are:</w:t>
      </w:r>
      <w:r w:rsidR="009D4056" w:rsidRPr="00A9434B">
        <w:t xml:space="preserve"> </w:t>
      </w:r>
      <w:r w:rsidRPr="00A9434B">
        <w:t xml:space="preserve">a) a French working group on biological invasions in aquatic environments which aims at promoting expert knowledge, </w:t>
      </w:r>
      <w:r w:rsidRPr="00A9434B">
        <w:lastRenderedPageBreak/>
        <w:t>providing access to scientific information and guidance to decision</w:t>
      </w:r>
      <w:r w:rsidR="00941B41">
        <w:t>-</w:t>
      </w:r>
      <w:r w:rsidRPr="00A9434B">
        <w:t>making for capacity</w:t>
      </w:r>
      <w:r w:rsidR="006F2BE1">
        <w:t>-</w:t>
      </w:r>
      <w:r w:rsidRPr="00A9434B">
        <w:t xml:space="preserve">building to manage </w:t>
      </w:r>
      <w:r w:rsidR="007D5DC6">
        <w:t xml:space="preserve">biological invasions </w:t>
      </w:r>
      <w:r w:rsidRPr="00A9434B">
        <w:fldChar w:fldCharType="begin"/>
      </w:r>
      <w:r w:rsidR="002D2756">
        <w:instrText xml:space="preserve"> ADDIN ZOTERO_ITEM CSL_CITATION {"citationID":"artnpphn31","properties":{"formattedCitation":"(Sarat et al., 2017)","plainCitation":"(Sarat et al., 2017)","noteIndex":0},"citationItems":[{"id":53359,"uris":["http://zotero.org/groups/2352922/items/B7GL4YSY"],"itemData":{"id":53359,"type":"article-journal","container-title":"Management of Biological Invasions","DOI":"10.3391/mbi.2017.8.3.15","ISSN":"19898649","issue":"3","journalAbbreviation":"MBI","page":"415-424","source":"DOI.org (Crossref)","title":"A French working group on biological invasions in aquatic environments: towards an improvement of knowledge and management of freshwater invasive alien species","title-short":"A French working group on biological invasions in aquatic environments","URL":"http://www.reabic.net/journals/mbi/2017/Issue3.aspx","volume":"8","author":[{"family":"Sarat","given":"Emmanuelle"},{"family":"Dutartre","given":"Alain"},{"family":"Soubeyran","given":"Yohann"},{"family":"Poulet","given":"Nicolas"}],"accessed":{"date-parts":[["2022",9,15]]},"issued":{"date-parts":[["2017"]]}},"label":"page"}],"schema":"https://github.com/citation-style-language/schema/raw/master/csl-citation.json"} </w:instrText>
      </w:r>
      <w:r w:rsidRPr="00A9434B">
        <w:fldChar w:fldCharType="separate"/>
      </w:r>
      <w:r w:rsidR="00C71E80" w:rsidRPr="00A9434B">
        <w:t>(Sarat et al., 2017)</w:t>
      </w:r>
      <w:r w:rsidRPr="00A9434B">
        <w:fldChar w:fldCharType="end"/>
      </w:r>
      <w:r w:rsidRPr="00A9434B">
        <w:t xml:space="preserve"> and b) a national code of conduct to prevent the introduction and spread of aquatic invasive plant species in the Netherlands </w:t>
      </w:r>
      <w:r w:rsidRPr="00A9434B">
        <w:fldChar w:fldCharType="begin"/>
      </w:r>
      <w:r w:rsidR="002D2756">
        <w:instrText xml:space="preserve"> ADDIN ZOTERO_ITEM CSL_CITATION {"citationID":"a1lqo11ch1t","properties":{"formattedCitation":"(Verbrugge et al., 2014)","plainCitation":"(Verbrugge et al., 2014)","noteIndex":0},"citationItems":[{"id":25007,"uris":["http://zotero.org/groups/2352922/items/9HJC44DB"],"itemData":{"id":25007,"type":"article-journal","abstract":"In 2010, Dutch stakeholders signed a code of conduct to prevent the introduction and spread of aquatic invasive plant species. This voluntary agreement between the government and horticulture sector (i.e. plant nurseries and retailers) has the objective to ban the sale of invasive species and to increase public awareness and stakeholder involvement in measures to prevent new introductions of potential invaders. Public outreach campaigns included flyers and posters displayed in stores and labelling of non-native plant species with warning logos and messages on harmful effects and appropriate disposal. We evaluated several measures issued in the Dutch code of conduct by performing ex ante a n d ex posterior surveys and interviews with relevant stakeholder groups. Compliance of retailers and producers concerning species on sale and proper labelling was monitored annually by the Netherlands Food and Consumer Product Safety Authority. Interviews with aquarists and water gardeners provided the first quantitative evidence in the Netherlands that 2–3% of these hobbyists deliberately introduced non-native aquatic plants in surface water. A survey of retail professionals identified limited availability of information and lack of salesman’s knowledge on the species lists issued in the code of conduct as major impediments for their engagement. Furthermore, low frequency of meetings and lack of guidance were major obstacles identified by the partners assembled in the code of conduct. Overall, compliance to species bans showed promising results, however, problems were identified with correct labelling of species. We conclude by listing opportunities to improve voluntary regulations for preventing non-native species introductions.","container-title":"Aquatic Invasions","DOI":"10.3391/ai.2014.9.3.11","ISSN":"18185487","issue":"3","journalAbbreviation":"AI","language":"en","page":"369-381","source":"DOI.org (Crossref)","title":"Evaluating stakeholder awareness and involvement in risk prevention of aquatic invasive plant species by a national code of conduct","URL":"http://www.aquaticinvasions.net/2014/issue3.html","volume":"9","author":[{"family":"Verbrugge","given":"Laura N. H."},{"family":"Leuven","given":"Rob S E W"},{"family":"Valkenburg","given":"Johan L C H","non-dropping-particle":"van"},{"family":"Born","given":"Riyan J G","non-dropping-particle":"van den"}],"accessed":{"date-parts":[["2020",2,22]]},"issued":{"date-parts":[["2014",9]]}},"label":"page"}],"schema":"https://github.com/citation-style-language/schema/raw/master/csl-citation.json"} </w:instrText>
      </w:r>
      <w:r w:rsidRPr="00A9434B">
        <w:fldChar w:fldCharType="separate"/>
      </w:r>
      <w:r w:rsidR="00C71E80" w:rsidRPr="00A9434B">
        <w:t>(Verbrugge et al., 2014)</w:t>
      </w:r>
      <w:r w:rsidRPr="00A9434B">
        <w:fldChar w:fldCharType="end"/>
      </w:r>
      <w:r w:rsidRPr="00A9434B">
        <w:t xml:space="preserve">. </w:t>
      </w:r>
    </w:p>
    <w:p w14:paraId="72341052" w14:textId="77777777" w:rsidR="00EC226C" w:rsidRPr="00A9434B" w:rsidRDefault="008C531C" w:rsidP="00EC226C">
      <w:pPr>
        <w:pStyle w:val="Heading5"/>
      </w:pPr>
      <w:r w:rsidRPr="00A9434B">
        <w:t>Aquatic</w:t>
      </w:r>
      <w:r w:rsidR="005A4004" w:rsidRPr="00A9434B">
        <w:t xml:space="preserve"> </w:t>
      </w:r>
      <w:r w:rsidRPr="00A9434B">
        <w:t>networks and information systems</w:t>
      </w:r>
    </w:p>
    <w:p w14:paraId="214AB302" w14:textId="43AA7C1B" w:rsidR="00017C04" w:rsidRDefault="00F50AF9">
      <w:pPr>
        <w:spacing w:before="0"/>
      </w:pPr>
      <w:r>
        <w:t>An online information system on aquatic non-indigenous species and cryptogenic species (AquaNIS)</w:t>
      </w:r>
      <w:r w:rsidR="009A39CE">
        <w:t>,</w:t>
      </w:r>
      <w:r w:rsidRPr="007D5DC6">
        <w:rPr>
          <w:rStyle w:val="FootnoteReference"/>
        </w:rPr>
        <w:footnoteReference w:id="18"/>
      </w:r>
      <w:r>
        <w:t xml:space="preserve"> or species that might be considered to be invasive alien species, stores and disseminates information on invasive alien species introduction histories, recipient regions, taxonomy, biological traits, impacts</w:t>
      </w:r>
      <w:r w:rsidR="00EB415D">
        <w:t xml:space="preserve"> and</w:t>
      </w:r>
      <w:r>
        <w:t xml:space="preserve"> other relevant documented data </w:t>
      </w:r>
      <w:r w:rsidR="008C531C" w:rsidRPr="00A9434B">
        <w:fldChar w:fldCharType="begin"/>
      </w:r>
      <w:r w:rsidR="002D2756">
        <w:instrText xml:space="preserve"> ADDIN ZOTERO_ITEM CSL_CITATION {"citationID":"a1dq2i28tj2","properties":{"formattedCitation":"(Olenin et al., 2014)","plainCitation":"(Olenin et al., 2014)","noteIndex":0},"citationItems":[{"id":21420,"uris":["http://zotero.org/groups/2352922/items/SCVQS5E8"],"itemData":{"id":21420,"type":"article-journal","abstract":"Biological invasions attract increasing attention from scientists, policy makers and various management authorities. Consequently, the knowledge-base on non-indigenous species (NIS) continuously expands and so the number and availability of web resources on NIS rises. Currently there are more than 250 websites on NIS, ranging from global to regional and national. Many of these databases began as inventories of NIS, but evolved to include information on NIS origin, introduction history, pathways, vectors, and more. The databases have been used increasingly for scientific analyzes, though key information needs for bioinvasion management and research are only partially met. In this account we describe an advanced information system dealing with aquatic NIS introduced to marine, brackish and coastal freshwater environments of Europe and adjacent regions (AquaNIS). AquaNIS differs substantially from existing NIS information sources in its organizational principles, structure, functionality, and output potential for end-users, e.g., managing aquaculture or ship’s ballast water. The system is designed to assemble, store and disseminate comprehensive data on NIS, and assist the evaluation of the progress made towards achieving management goals. With the coming into force of the EU Marine Strategy Framework Directive and similar legislation addressing the problem of biological invasions, the availability of advanced, scientifically validated and up-to-date information support on NIS is essential for aquatic ecosystem assessment and management. Key issues related to electronic information systems, such as data management principles and long-term database maintenance, are discussed.","container-title":"Biological Conservation","DOI":"10.1016/j.biocon.2013.07.040","ISSN":"0006-3207","journalAbbreviation":"Biological Conservation","page":"98-107","source":"ScienceDirect","title":"Making non-indigenous species information systems practical for management and useful for research: An aquatic perspective","title-short":"Making non-indigenous species information systems practical for management and useful for research","URL":"http://www.sciencedirect.com/science/article/pii/S0006320713002723","volume":"173","author":[{"family":"Olenin","given":"Sergej"},{"family":"Narščius","given":"Aleksas"},{"family":"Minchin","given":"Dan"},{"family":"David","given":"Matej"},{"family":"Galil","given":"Bella S."},{"family":"Gollasch","given":"Stephan"},{"family":"Marchini","given":"Agnese"},{"family":"Occhipinti-Ambrogi","given":"Anna"},{"family":"Ojaveer","given":"Henn"},{"family":"Zaiko","given":"Anastasija"}],"accessed":{"date-parts":[["2019",6,12]]},"issued":{"date-parts":[["2014",5,1]]}},"label":"page"}],"schema":"https://github.com/citation-style-language/schema/raw/master/csl-citation.json"} </w:instrText>
      </w:r>
      <w:r w:rsidR="008C531C" w:rsidRPr="00A9434B">
        <w:fldChar w:fldCharType="separate"/>
      </w:r>
      <w:r w:rsidR="00C71E80" w:rsidRPr="00A9434B">
        <w:t>(Olenin et al., 2014)</w:t>
      </w:r>
      <w:r w:rsidR="008C531C" w:rsidRPr="00A9434B">
        <w:fldChar w:fldCharType="end"/>
      </w:r>
      <w:r w:rsidR="008C531C" w:rsidRPr="00A9434B">
        <w:t>.</w:t>
      </w:r>
      <w:r>
        <w:t xml:space="preserve"> AquaNIS is being routinely updated by the supporting network (including by the members of the Working Group on Introductions and Transfers of Marine Organisms of the International Council for the Exploration of the Sea, ICES WGITMO) and contains information from various parts of the world.</w:t>
      </w:r>
    </w:p>
    <w:p w14:paraId="49C2289F" w14:textId="77777777" w:rsidR="00017C04" w:rsidRDefault="00F50AF9">
      <w:pPr>
        <w:pStyle w:val="Heading5"/>
      </w:pPr>
      <w:bookmarkStart w:id="573" w:name="_heading=h.3qwpj7n" w:colFirst="0" w:colLast="0"/>
      <w:bookmarkStart w:id="574" w:name="_Hlk129684550"/>
      <w:bookmarkEnd w:id="573"/>
      <w:r>
        <w:t>Standard protocols</w:t>
      </w:r>
    </w:p>
    <w:p w14:paraId="389D2DE2" w14:textId="149B0A04" w:rsidR="00017C04" w:rsidRDefault="00F50AF9">
      <w:pPr>
        <w:spacing w:before="0"/>
      </w:pPr>
      <w:bookmarkStart w:id="575" w:name="_heading=h.261ztfg" w:colFirst="0" w:colLast="0"/>
      <w:bookmarkEnd w:id="574"/>
      <w:bookmarkEnd w:id="575"/>
      <w:r>
        <w:t xml:space="preserve">The Mountain Invasive Research Network was established in July 2005 during an international workshop on plant invasions into mountain regions in order to generate and share information of biological invasions in mountain regions of the world </w:t>
      </w:r>
      <w:r w:rsidR="007A6999" w:rsidRPr="00A9434B">
        <w:fldChar w:fldCharType="begin"/>
      </w:r>
      <w:r w:rsidR="002D2756">
        <w:instrText xml:space="preserve"> ADDIN ZOTERO_ITEM CSL_CITATION {"citationID":"a23k6cgr3e9","properties":{"formattedCitation":"(Dietz et al., 2006)","plainCitation":"(Dietz et al., 2006)","noteIndex":0},"citationItems":[{"id":16441,"uris":["http://zotero.org/groups/2352922/items/8TEITQDU"],"itemData":{"id":16441,"type":"article-journal","abstract":"As a result of global change, mountain areas are increasingly threatened by invasive alien plants. The Mountain Invasion Research Network (MIREN) initiates and integrates surveys, monitoring, experimental research, and management of plant invasions into mountains at a global scale.","container-title":"Mountain Research and Development","DOI":"10.1659/0276-4741(2006)026[0080:MANRNC]2.0.CO;2","ISSN":"0276-4741, 1994-7151","issue":"1","journalAbbreviation":"mred","page":"80-81","source":"bioone.org","title":"MIREN: A New Research Network Concerned With Plant Invasion into Mountain Areas","title-short":"MIREN","URL":"https://bioone.org/journals/Mountain-Research-and-Development/volume-26/issue-1/0276-4741(2006)026[0080:MANRNC]2.0.CO;2/MIREN--A-New-Research-Network-Concerned-With-Plant-Invasion/10.1659/0276-4741(2006)026[0080:MANRNC]2.0.CO;2.full","volume":"26","author":[{"family":"Dietz","given":"Hansjörg"},{"family":"Kueffer","given":"Christoph"},{"family":"Parks","given":"Catherine G."}],"accessed":{"date-parts":[["2019",11,28]]},"issued":{"date-parts":[["2006",2]]}},"label":"page"}],"schema":"https://github.com/citation-style-language/schema/raw/master/csl-citation.json"} </w:instrText>
      </w:r>
      <w:r w:rsidR="007A6999" w:rsidRPr="00A9434B">
        <w:fldChar w:fldCharType="separate"/>
      </w:r>
      <w:r w:rsidR="00C71E80" w:rsidRPr="00A9434B">
        <w:t>(Dietz et al., 2006)</w:t>
      </w:r>
      <w:r w:rsidR="007A6999" w:rsidRPr="00A9434B">
        <w:fldChar w:fldCharType="end"/>
      </w:r>
      <w:r w:rsidR="00CC4659" w:rsidRPr="00A9434B">
        <w:t>. The network has developed standardized protocols for data collection</w:t>
      </w:r>
      <w:r w:rsidR="006938C4" w:rsidRPr="00A9434B">
        <w:t>. P</w:t>
      </w:r>
      <w:r w:rsidR="00CC4659" w:rsidRPr="00A9434B">
        <w:t>articipating researchers use the same protocol while collecting data in mountain regions around the world. Use of empirical data collected from different parts of the mountain regions through this network has provided broad understanding of plant invasion patterns in mou</w:t>
      </w:r>
      <w:r w:rsidR="00C212F1" w:rsidRPr="00A9434B">
        <w:t>ntain regions</w:t>
      </w:r>
      <w:r w:rsidR="00DE414C" w:rsidRPr="00A9434B">
        <w:t xml:space="preserve"> (</w:t>
      </w:r>
      <w:r w:rsidR="006B607A" w:rsidRPr="00A9434B">
        <w:t xml:space="preserve">e.g., </w:t>
      </w:r>
      <w:r w:rsidR="007A6999" w:rsidRPr="00A9434B">
        <w:fldChar w:fldCharType="begin"/>
      </w:r>
      <w:r w:rsidR="002D2756">
        <w:instrText xml:space="preserve"> ADDIN ZOTERO_ITEM CSL_CITATION {"citationID":"ujuRtR9V","properties":{"formattedCitation":"(J. M. Alexander et al., 2011; Liedtke et al., 2020; Seipel et al., 2012)","plainCitation":"(J. M. Alexander et al., 2011; Liedtke et al., 2020; Seipel et al., 2012)","dontUpdate":true,"noteIndex":0},"citationItems":[{"id":28805,"uris":["http://zotero.org/groups/2352922/items/IIGPG8W2"],"itemData":{"id":28805,"type":"article-journal","container-title":"Proceedings of the National Academy of Sciences","DOI":"10.1073/pnas.1013136108","ISSN":"0027-8424, 1091-6490","issue":"2","journalAbbreviation":"Proceedings of the National Academy of Sciences","language":"en","page":"656-661","source":"DOI.org (Crossref)","title":"Assembly of nonnative floras along elevational gradients explained by directional ecological filtering","URL":"http://www.pnas.org/cgi/doi/10.1073/pnas.1013136108","volume":"108","author":[{"family":"Alexander","given":"Jake M."},{"family":"Kueffer","given":"Christoph"},{"family":"Daehler","given":"Curtis C"},{"family":"Edwards","given":"Peter J"},{"family":"Pauchard","given":"Aníbal"},{"family":"Seipel","given":"Tim"},{"literal":"MIREN Consortium"}],"contributor":[{"family":"Arevalo","given":"J."},{"family":"Cavieres","given":"L."},{"family":"Dietz","given":"H."},{"family":"Jakobs","given":"G."},{"family":"McDougall","given":"K."},{"family":"Naylor","given":"B."},{"family":"Otto","given":"R."},{"family":"Parks","given":"C. G."},{"family":"Rew","given":"L."},{"family":"Walsh","given":"N."}],"accessed":{"date-parts":[["2020",4,8]]},"issued":{"date-parts":[["2011",1,11]]}},"label":"page"},{"id":26895,"uris":["http://zotero.org/groups/2352922/items/B7VZHG2Y"],"itemData":{"id":26895,"type":"article-journal","abstract":"Roadsides are major pathways of plant invasions in mountain regions. However, the increasing importance of tourism may also turn hiking trails into conduits of non-native plant spread to remote mountain landscapes. Here, we evaluated the importance of such trails for plant invasion in five protected mountain areas of southern central Chile. We therefore sampled native and non-native species along 17 trails and in the adjacent undisturbed vegetation. We analyzed whether the number and cover of non-native species in local plant assemblages is related to distance to trail and a number of additional variables that characterize the abiotic and biotic environment as well as the usage of the trail. We found that non-native species at higher elevations are a subset of the lowland source pool and that their number and cover decreases with increasing elevation and with distance to trails, although this latter variable only explained 4–8% of the variation in the data. In addition, non-native richness and cover were positively correlated with signs of livestock presence but negatively with the presence of intact forest vegetation. These results suggest that, at least in the region studied, hiking trails have indeed fostered non-native species spread to higher elevations, although less efficiently than roadsides. As a corollary, appropriate planning and management of trails could become increasingly important to control plant invasions into mountains in a world which is warming and where visitation and recreational use of mountainous areas is expected to increase.","container-title":"Biological Invasions","DOI":"10.1007/s10530-019-02165-9","ISSN":"1573-1464","issue":"3","journalAbbreviation":"Biol Invasions","language":"en","page":"1121-1134","source":"Springer Link","title":"Hiking trails as conduits for the spread of non-native species in mountain areas","URL":"https://doi.org/10.1007/s10530-019-02165-9","volume":"22","author":[{"family":"Liedtke","given":"Rebecca"},{"family":"Barros","given":"Agustina"},{"family":"Essl","given":"Franz"},{"family":"Lembrechts","given":"Jonas J."},{"family":"Wedegärtner","given":"Ronja E. M."},{"family":"Pauchard","given":"Aníbal"},{"family":"Dullinger","given":"Stefan"}],"accessed":{"date-parts":[["2021",6,8]]},"issued":{"date-parts":[["2020",3,1]]}},"label":"page"},{"id":10468,"uris":["http://zotero.org/groups/2352922/items/9NSJ9JFD"],"itemData":{"id":10468,"type":"article-journal","container-title":"Global Ecology and Biogeography","DOI":"10.1111/j.1466-8238.2011.00664.x","ISSN":"1466822X","issue":"2","language":"en","page":"236-246","source":"CrossRef","title":"Processes at multiple scales affect richness and similarity of non-native plant species in mountains around the world","title-short":"Processes at multiple scales affect richness and similarity of non-native plant species in mountains around the world","URL":"http://doi.wiley.com/10.1111/j.1466-8238.2011.00664.x","volume":"21","author":[{"family":"Seipel","given":"Tim"},{"family":"Kueffer","given":"Christoph"},{"family":"Rew","given":"Lisa J."},{"family":"Daehler","given":"Curtis C."},{"family":"Pauchard","given":"Aníbal"},{"family":"Naylor","given":"Bridgett J."},{"family":"Alexander","given":"Jake M."},{"family":"Edwards","given":"Peter J."},{"family":"Parks","given":"Catherine G."},{"family":"Arevalo","given":"José Ramon"},{"family":"Cavieres","given":"Lohengrin A."},{"family":"Dietz","given":"Hansjörg"},{"family":"Jakobs","given":"Gabi"},{"family":"McDougall","given":"Keith"},{"family":"Otto","given":"Rüdiger"},{"family":"Walsh","given":"Neville"}],"accessed":{"date-parts":[["2017",7,25]]},"issued":{"date-parts":[["2012",2]]}},"label":"page"}],"schema":"https://github.com/citation-style-language/schema/raw/master/csl-citation.json"} </w:instrText>
      </w:r>
      <w:r w:rsidR="007A6999" w:rsidRPr="00A9434B">
        <w:fldChar w:fldCharType="separate"/>
      </w:r>
      <w:r w:rsidR="00F55BC6" w:rsidRPr="00F27FC5">
        <w:rPr>
          <w:lang w:val="de-DE"/>
        </w:rPr>
        <w:t>J. M. Alexander et al., 2011; Liedtke et al., 2020; Seipel et al., 2012)</w:t>
      </w:r>
      <w:r w:rsidR="007A6999" w:rsidRPr="00A9434B">
        <w:fldChar w:fldCharType="end"/>
      </w:r>
      <w:r w:rsidR="00CC4659" w:rsidRPr="00F27FC5">
        <w:rPr>
          <w:lang w:val="de-DE"/>
        </w:rPr>
        <w:t xml:space="preserve">. </w:t>
      </w:r>
      <w:bookmarkStart w:id="576" w:name="_Hlk129684779"/>
      <w:r w:rsidR="00CC4659" w:rsidRPr="00A9434B">
        <w:t xml:space="preserve">Similarly, the Global Invader Impact Network (GIIN) has developed </w:t>
      </w:r>
      <w:r w:rsidR="009A39CE">
        <w:t xml:space="preserve">a </w:t>
      </w:r>
      <w:r w:rsidR="00CC4659" w:rsidRPr="00A9434B">
        <w:t xml:space="preserve">standard protocol for quantifying baseline ecological impacts </w:t>
      </w:r>
      <w:r w:rsidR="008F44A6" w:rsidRPr="00A9434B">
        <w:fldChar w:fldCharType="begin"/>
      </w:r>
      <w:r w:rsidR="002D2756">
        <w:instrText xml:space="preserve"> ADDIN ZOTERO_ITEM CSL_CITATION {"citationID":"aefo2c50n7","properties":{"formattedCitation":"(Barney et al., 2015)","plainCitation":"(Barney et al., 2015)","noteIndex":0},"citationItems":[{"id":54793,"uris":["http://zotero.org/groups/2352922/items/8HUL675R"],"itemData":{"id":54793,"type":"article-journal","abstract":"Terrestrial invasive plants are a global problem and are becoming ubiquitous components of most ecosystems. They are implicated in altering disturbance regimes, reducing biodiversity, and changing ecosystem function, sometimes in profound and irreversible ways. However, the ecological impacts of most invasive plants have not been studied experimentally, and most research to date focuses on few types of impacts, which can vary greatly among studies. Thus, our knowledge of existing ecological impacts ascribed to invasive plants is surprisingly limited in both breadth and depth. Our aim was to propose a standard methodology for quantifying baseline ecological impact that, in theory, is scalable to any terrestrial plant invader (e.g., annual grasses to trees) and any invaded system (e.g., grassland to forest). The Global Invader Impact Network (GIIN) is a coordinated distributed experiment composed of an observational and manipulative methodology. The protocol consists of a series of plots located in (1) an invaded area; (2) an adjacent removal treatment within the invaded area; and (3) a spatially separate uninvaded area thought to be similar to pre-invasion conditions of the invaded area. A standardized and inexpensive suite of community, soil, and ecosystem metrics are collected allowing broad comparisons among measurements, populations, and species. The method allows for one-time comparisons and for long-term monitoring enabling one to derive information about change due to invasion over time. Invader removal plots will also allow for quantification of legacy effects and their return rates, which will be monitored for several years. GIIN uses a nested hierarchical scale approach encompassing multiple sites, regions, and continents. Currently, GIIN has network members in six countries, with new members encouraged. To date, study species include representatives of annual and perennial grasses; annual and perennial forbs; shrubs; and trees. The goal of the GIIN framework is to create a standard yet flexible platform for understanding the ecological impacts of invasive plants, allowing both individual and synthetic analyses across a range of taxa and ecosystems. If broadly adopted, this standard approach will offer unique insight into the ecological impacts of invasive plants at local, regional, and global scales.","container-title":"Ecology and Evolution","DOI":"10.1002/ece3.1551","ISSN":"2045-7758","issue":"14","language":"en","note":"_eprint: https://onlinelibrary.wiley.com/doi/pdf/10.1002/ece3.1551","page":"2878-2889","source":"Wiley Online Library","title":"Global Invader Impact Network (GIIN): toward standardized evaluation of the ecological impacts of invasive plants","title-short":"Global Invader Impact Network (GIIN)","URL":"https://onlinelibrary.wiley.com/doi/abs/10.1002/ece3.1551","volume":"5","author":[{"family":"Barney","given":"Jacob N."},{"family":"Tekiela","given":"Daniel R."},{"family":"Barrios-Garcia","given":"Maria Noelia"},{"family":"Dimarco","given":"Romina D."},{"family":"Hufbauer","given":"Ruth A."},{"family":"Leipzig-Scott","given":"Peter"},{"family":"Nuñez","given":"Martin A."},{"family":"Pauchard","given":"Aníbal"},{"family":"Pyšek","given":"Petr"},{"family":"Vítková","given":"Michaela"},{"family":"Maxwell","given":"Bruce D."}],"accessed":{"date-parts":[["2023",3,14]]},"issued":{"date-parts":[["2015"]]}}}],"schema":"https://github.com/citation-style-language/schema/raw/master/csl-citation.json"} </w:instrText>
      </w:r>
      <w:r w:rsidR="008F44A6" w:rsidRPr="00A9434B">
        <w:fldChar w:fldCharType="separate"/>
      </w:r>
      <w:r w:rsidR="00C71E80" w:rsidRPr="00A9434B">
        <w:t>(Barney et al., 2015)</w:t>
      </w:r>
      <w:r w:rsidR="008F44A6" w:rsidRPr="00A9434B">
        <w:fldChar w:fldCharType="end"/>
      </w:r>
      <w:r w:rsidR="008F44A6" w:rsidRPr="00A9434B">
        <w:t xml:space="preserve"> </w:t>
      </w:r>
      <w:r w:rsidR="00CC4659" w:rsidRPr="00A9434B">
        <w:t xml:space="preserve">and the methods have been already used to study impacts of species like </w:t>
      </w:r>
      <w:r w:rsidR="00CC4659" w:rsidRPr="00A9434B">
        <w:rPr>
          <w:i/>
          <w:iCs/>
        </w:rPr>
        <w:t>Impatiens glandulifera</w:t>
      </w:r>
      <w:r w:rsidR="00CC4659" w:rsidRPr="00A9434B">
        <w:t xml:space="preserve"> </w:t>
      </w:r>
      <w:r w:rsidR="00C91606" w:rsidRPr="00A9434B">
        <w:t xml:space="preserve">(Himalayan balsam, </w:t>
      </w:r>
      <w:r w:rsidR="008F44A6" w:rsidRPr="00A9434B">
        <w:fldChar w:fldCharType="begin"/>
      </w:r>
      <w:r w:rsidR="002D2756">
        <w:instrText xml:space="preserve"> ADDIN ZOTERO_ITEM CSL_CITATION {"citationID":"a2e3e574v6f","properties":{"formattedCitation":"(\\uc0\\u268{}uda et al., 2017)","plainCitation":"(Čuda et al., 2017)","dontUpdate":true,"noteIndex":0},"citationItems":[{"id":22059,"uris":["http://zotero.org/groups/2352922/items/J8LRLINM","http://zotero.org/groups/2352922/items/UNX22G2K"],"itemData":{"id":22059,"type":"article-journal","container-title":"Biological Invasions","DOI":"10.1007/s10530-017-1508-z","ISSN":"1387-3547, 1573-1464","issue":"10","journalAbbreviation":"Biol Invasions","language":"en","page":"3051-3066","source":"DOI.org (Crossref)","title":"Invasive herb Impatiens glandulifera has minimal impact on multiple components of temperate forest ecosystem function","URL":"http://link.springer.com/10.1007/s10530-017-1508-z","volume":"19","author":[{"family":"Čuda","given":"Jan"},{"family":"Vítková","given":"Michaela"},{"family":"Albrechtová","given":"Marie"},{"family":"Guo","given":"Wen-Yong"},{"family":"Barney","given":"Jacob N."},{"family":"Pyšek","given":"Petr"}],"accessed":{"date-parts":[["2020",5,12]]},"issued":{"date-parts":[["2017",10]]}}}],"schema":"https://github.com/citation-style-language/schema/raw/master/csl-citation.json"} </w:instrText>
      </w:r>
      <w:r w:rsidR="008F44A6" w:rsidRPr="00A9434B">
        <w:fldChar w:fldCharType="separate"/>
      </w:r>
      <w:r w:rsidR="00C71E80" w:rsidRPr="00A9434B">
        <w:t>Čuda et al., 2017)</w:t>
      </w:r>
      <w:r w:rsidR="008F44A6" w:rsidRPr="00A9434B">
        <w:fldChar w:fldCharType="end"/>
      </w:r>
      <w:r w:rsidR="008F44A6" w:rsidRPr="00A9434B">
        <w:t xml:space="preserve"> </w:t>
      </w:r>
      <w:r w:rsidR="00CC4659" w:rsidRPr="00A9434B">
        <w:t xml:space="preserve">and </w:t>
      </w:r>
      <w:r w:rsidR="00CC4659" w:rsidRPr="00A9434B">
        <w:rPr>
          <w:i/>
          <w:iCs/>
        </w:rPr>
        <w:t>Microstegium vimineum</w:t>
      </w:r>
      <w:r w:rsidR="00CC4659" w:rsidRPr="00A9434B">
        <w:t xml:space="preserve"> </w:t>
      </w:r>
      <w:bookmarkEnd w:id="576"/>
      <w:r w:rsidR="00C91606" w:rsidRPr="00A9434B">
        <w:t>(Nepalese browntop</w:t>
      </w:r>
      <w:r w:rsidR="00C1192B">
        <w:t>;</w:t>
      </w:r>
      <w:r w:rsidR="00C91606" w:rsidRPr="00A9434B">
        <w:t xml:space="preserve"> </w:t>
      </w:r>
      <w:r w:rsidR="00C1192B" w:rsidRPr="009C0CC9">
        <w:fldChar w:fldCharType="begin"/>
      </w:r>
      <w:r w:rsidR="002D2756">
        <w:instrText xml:space="preserve"> ADDIN ZOTERO_ITEM CSL_CITATION {"citationID":"fjQuUK6U","properties":{"formattedCitation":"(Tekiela &amp; Barney, 2017)","plainCitation":"(Tekiela &amp; Barney, 2017)","dontUpdate":true,"noteIndex":0},"citationItems":[{"id":15980,"uris":["http://zotero.org/groups/2352922/items/9UU56GJ4"],"itemData":{"id":15980,"type":"article-journal","abstract":"Ecological impacts from invasive plants that have been identified include reductions in biodiversity, changes in resource cycling, and disruptions of ecosystem function. To mitigate these negative ecological impacts, managers work to remove invasive plants. However, removal does not necessarily immediately lead to a return to the uninvaded ecological state. Similarly, the accumulation rate of ecological impacts following invader establishment is almost entirely unknown for most species, hindering identification of optimal management times. The accumulation and loss (so-called legacy effects) of impacts following invader establishment and removal represent an “invasion shadow.” To begin to understand invasion shadows, we measured the changes in biotic and abiotic ecological impacts during establishment and following removal of the forest understory invader Japanese stiltgrass. We found that when the abiotic metrics were considered, seeded areas became more functionally similar to the invaded landscape and removed areas became more similar to the uninvaded landscape. However, while the plant community did not change in a 3-yr period during a new invasion, following invader removal, it became less similar to both the invaded and uninvaded landscape altogether, suggesting legacies. Surprisingly, all changes occurred almost immediately and persisted following invader establishment and removal. Our results show, at least in a 3-yr period, that ecosystems can respond to changes in invader abundance, and in some cases simply removing the invader could result in long-term changes to the resident plant community.","container-title":"Invasive Plant Science and Management","DOI":"10.1017/inp.2017.3","ISSN":"1939-7291, 1939-747X","issue":"1","journalAbbreviation":"Invasive plant sci. manag.","language":"en","page":"1-8","source":"DOI.org (Crossref)","title":"Invasion Shadows: The Accumulation and Loss of Ecological Impacts from an Invasive Plant","title-short":"Invasion Shadows","URL":"https://www.cambridge.org/core/product/identifier/S1939729117000037/type/journal_article","volume":"10","author":[{"family":"Tekiela","given":"Daniel R."},{"family":"Barney","given":"Jacob N."}],"accessed":{"date-parts":[["2019",11,4]]},"issued":{"date-parts":[["2017",3]]}}}],"schema":"https://github.com/citation-style-language/schema/raw/master/csl-citation.json"} </w:instrText>
      </w:r>
      <w:r w:rsidR="00C1192B" w:rsidRPr="009C0CC9">
        <w:fldChar w:fldCharType="separate"/>
      </w:r>
      <w:r w:rsidR="00C1192B" w:rsidRPr="004B431A">
        <w:t>Tekiela &amp; Barney, 2017)</w:t>
      </w:r>
      <w:r w:rsidR="00C1192B" w:rsidRPr="009C0CC9">
        <w:fldChar w:fldCharType="end"/>
      </w:r>
      <w:r w:rsidR="00C1192B" w:rsidRPr="009C0CC9">
        <w:t xml:space="preserve">. </w:t>
      </w:r>
      <w:r w:rsidR="00CC4659" w:rsidRPr="00A9434B">
        <w:fldChar w:fldCharType="begin"/>
      </w:r>
      <w:r w:rsidR="002D2756">
        <w:instrText xml:space="preserve"> ADDIN ZOTERO_ITEM CSL_CITATION {"citationID":"m2tyhRyo","properties":{"formattedCitation":"(Tekiela &amp; Barney, 2017)","plainCitation":"(Tekiela &amp; Barney, 2017)","dontUpdate":true,"noteIndex":0},"citationItems":[{"id":15980,"uris":["http://zotero.org/groups/2352922/items/9UU56GJ4"],"itemData":{"id":15980,"type":"article-journal","abstract":"Ecological impacts from invasive plants that have been identified include reductions in biodiversity, changes in resource cycling, and disruptions of ecosystem function. To mitigate these negative ecological impacts, managers work to remove invasive plants. However, removal does not necessarily immediately lead to a return to the uninvaded ecological state. Similarly, the accumulation rate of ecological impacts following invader establishment is almost entirely unknown for most species, hindering identification of optimal management times. The accumulation and loss (so-called legacy effects) of impacts following invader establishment and removal represent an “invasion shadow.” To begin to understand invasion shadows, we measured the changes in biotic and abiotic ecological impacts during establishment and following removal of the forest understory invader Japanese stiltgrass. We found that when the abiotic metrics were considered, seeded areas became more functionally similar to the invaded landscape and removed areas became more similar to the uninvaded landscape. However, while the plant community did not change in a 3-yr period during a new invasion, following invader removal, it became less similar to both the invaded and uninvaded landscape altogether, suggesting legacies. Surprisingly, all changes occurred almost immediately and persisted following invader establishment and removal. Our results show, at least in a 3-yr period, that ecosystems can respond to changes in invader abundance, and in some cases simply removing the invader could result in long-term changes to the resident plant community.","container-title":"Invasive Plant Science and Management","DOI":"10.1017/inp.2017.3","ISSN":"1939-7291, 1939-747X","issue":"1","journalAbbreviation":"Invasive plant sci. manag.","language":"en","page":"1-8","source":"DOI.org (Crossref)","title":"Invasion Shadows: The Accumulation and Loss of Ecological Impacts from an Invasive Plant","title-short":"Invasion Shadows","URL":"https://www.cambridge.org/core/product/identifier/S1939729117000037/type/journal_article","volume":"10","author":[{"family":"Tekiela","given":"Daniel R."},{"family":"Barney","given":"Jacob N."}],"accessed":{"date-parts":[["2019",11,4]]},"issued":{"date-parts":[["2017",3]]}}}],"schema":"https://github.com/citation-style-language/schema/raw/master/csl-citation.json"} </w:instrText>
      </w:r>
      <w:r w:rsidR="00CC4659" w:rsidRPr="00A9434B">
        <w:fldChar w:fldCharType="end"/>
      </w:r>
      <w:r>
        <w:t xml:space="preserve">Some networks have become inactive and no longer collect data or update online resources. </w:t>
      </w:r>
    </w:p>
    <w:p w14:paraId="00F613F1" w14:textId="77777777" w:rsidR="00017C04" w:rsidRDefault="00F50AF9">
      <w:r>
        <w:t xml:space="preserve">Supporting active networks and platforms, re-activating previously established networks and developing new networks focusing on relatively less studied (e.g., wetlands) and difficult to quantify (e.g., marine) ecosystems creates opportunities for collecting and collating data using standardized protocols to improve knowledge of biological invasions. </w:t>
      </w:r>
    </w:p>
    <w:p w14:paraId="7B67BA0C" w14:textId="77777777" w:rsidR="00017C04" w:rsidRDefault="00F50AF9" w:rsidP="007D5DC6">
      <w:pPr>
        <w:pStyle w:val="Heading3"/>
      </w:pPr>
      <w:bookmarkStart w:id="577" w:name="_heading=h.l7a3n9" w:colFirst="0" w:colLast="0"/>
      <w:bookmarkStart w:id="578" w:name="_Toc1959071909"/>
      <w:bookmarkStart w:id="579" w:name="_Toc133428356"/>
      <w:bookmarkEnd w:id="577"/>
      <w:r>
        <w:t>Integration of information</w:t>
      </w:r>
      <w:bookmarkEnd w:id="578"/>
      <w:bookmarkEnd w:id="579"/>
    </w:p>
    <w:p w14:paraId="555952B9" w14:textId="77777777" w:rsidR="00017C04" w:rsidRDefault="00F50AF9">
      <w:pPr>
        <w:pStyle w:val="Heading5"/>
      </w:pPr>
      <w:r>
        <w:t>Invasive alien species data in a biodiversity data context</w:t>
      </w:r>
    </w:p>
    <w:p w14:paraId="5EC76C08" w14:textId="767FAE28" w:rsidR="00017C04" w:rsidRDefault="00F50AF9">
      <w:pPr>
        <w:spacing w:before="0"/>
      </w:pPr>
      <w:r>
        <w:t>The concept of essential biodiversity variables (EBVs) has been proposed to harmonize and unify efforts towards being able to provide regular, reliable and up-to-date information on key measurement</w:t>
      </w:r>
      <w:r w:rsidR="009A39CE">
        <w:t>s</w:t>
      </w:r>
      <w:r>
        <w:t xml:space="preserve"> of biodiversity change </w:t>
      </w:r>
      <w:r w:rsidR="00CC4659" w:rsidRPr="00A9434B">
        <w:rPr>
          <w:rFonts w:eastAsia="Times New Roman"/>
        </w:rPr>
        <w:fldChar w:fldCharType="begin"/>
      </w:r>
      <w:r w:rsidR="002D2756">
        <w:rPr>
          <w:rFonts w:eastAsia="Calibri Light"/>
        </w:rPr>
        <w:instrText xml:space="preserve"> ADDIN ZOTERO_ITEM CSL_CITATION {"citationID":"a183tmckfgs","properties":{"formattedCitation":"(Pereira et al., 2013)","plainCitation":"(Pereira et al., 2013)","noteIndex":0},"citationItems":[{"id":28884,"uris":["http://zotero.org/groups/2352922/items/W57NJ29R"],"itemData":{"id":28884,"type":"article-journal","container-title":"Science","DOI":"10.1126/science.1229931","ISSN":"0036-8075, 1095-9203","issue":"6117","journalAbbreviation":"Science","language":"en","page":"277-278","source":"DOI.org (Crossref)","title":"Essential Biodiversity Variables","URL":"https://www.sciencemag.org/lookup/doi/10.1126/science.1229931","volume":"339","author":[{"family":"Pereira","given":"H. M."},{"family":"Ferrier","given":"S."},{"family":"Walters","given":"M."},{"family":"Geller","given":"G. N."},{"family":"Jongman","given":"R. H. G."},{"family":"Scholes","given":"R. J."},{"family":"Bruford","given":"M. W."},{"family":"Brummitt","given":"N."},{"family":"Butchart","given":"S. H. M."},{"family":"Cardoso","given":"A. C."},{"family":"Coops","given":"N. C."},{"family":"Dulloo","given":"E."},{"family":"Faith","given":"D. P."},{"family":"Freyhof","given":"J."},{"family":"Gregory","given":"R. D."},{"family":"Heip","given":"C."},{"family":"Hoft","given":"R."},{"family":"Hurtt","given":"G."},{"family":"Jetz","given":"W."},{"family":"Karp","given":"D. S."},{"family":"McGeoch","given":"Melodie A."},{"family":"Obura","given":"D."},{"family":"Onoda","given":"Y."},{"family":"Pettorelli","given":"N."},{"family":"Reyers","given":"B."},{"family":"Sayre","given":"R."},{"family":"Scharlemann","given":"J. P. W."},{"family":"Stuart","given":"S. N."},{"family":"Turak","given":"E."},{"family":"Walpole","given":"M."},{"family":"Wegmann","given":"M."}],"accessed":{"date-parts":[["2020",6,15]]},"issued":{"date-parts":[["2013",1,18]]}},"label":"page"}],"schema":"https://github.com/citation-style-language/schema/raw/master/csl-citation.json"} </w:instrText>
      </w:r>
      <w:r w:rsidR="00CC4659" w:rsidRPr="00A9434B">
        <w:rPr>
          <w:rFonts w:eastAsia="Calibri Light"/>
        </w:rPr>
        <w:fldChar w:fldCharType="separate"/>
      </w:r>
      <w:r w:rsidR="00C71E80" w:rsidRPr="00A9434B">
        <w:t>(Pereira et al., 2013)</w:t>
      </w:r>
      <w:r w:rsidR="00CC4659" w:rsidRPr="00A9434B">
        <w:rPr>
          <w:rFonts w:eastAsia="Calibri Light"/>
        </w:rPr>
        <w:fldChar w:fldCharType="end"/>
      </w:r>
      <w:r w:rsidR="07F8E895" w:rsidRPr="00A9434B">
        <w:rPr>
          <w:rFonts w:eastAsia="Calibri Light"/>
        </w:rPr>
        <w:t xml:space="preserve">. </w:t>
      </w:r>
      <w:r w:rsidR="3DF117B7" w:rsidRPr="00A9434B">
        <w:rPr>
          <w:rFonts w:eastAsia="Calibri Light"/>
        </w:rPr>
        <w:t>Key elements of the EBV approach include aggregating and integrating biodiversity information (including on genes, species populations, traits, communities and ecosystems) across multiple sources, advancing the biodiversity information standards needed to achieve this, and state of the art modelling to deal with data gaps and provide estimates of uncertainty around projections. G</w:t>
      </w:r>
      <w:r w:rsidR="07F8E895" w:rsidRPr="00A9434B">
        <w:rPr>
          <w:rFonts w:eastAsia="Calibri Light"/>
        </w:rPr>
        <w:t xml:space="preserve">enerating such data products at a global scale </w:t>
      </w:r>
      <w:r w:rsidR="3DF117B7" w:rsidRPr="00A9434B">
        <w:rPr>
          <w:rFonts w:eastAsia="Calibri Light"/>
        </w:rPr>
        <w:t xml:space="preserve">has been </w:t>
      </w:r>
      <w:r w:rsidR="283FC186" w:rsidRPr="00A9434B">
        <w:rPr>
          <w:rFonts w:eastAsia="Calibri Light"/>
        </w:rPr>
        <w:t>challenged by</w:t>
      </w:r>
      <w:r w:rsidR="07F8E895" w:rsidRPr="00A9434B">
        <w:rPr>
          <w:rFonts w:eastAsia="Calibri Light"/>
        </w:rPr>
        <w:t xml:space="preserve"> the slow mobilization of data, inconsistent use of standards, a lack of standards</w:t>
      </w:r>
      <w:r w:rsidR="009A39CE">
        <w:rPr>
          <w:rFonts w:eastAsia="Calibri Light"/>
        </w:rPr>
        <w:t xml:space="preserve"> and</w:t>
      </w:r>
      <w:r w:rsidR="07F8E895" w:rsidRPr="00A9434B">
        <w:rPr>
          <w:rFonts w:eastAsia="Calibri Light"/>
        </w:rPr>
        <w:t xml:space="preserve"> unevenness of data availability</w:t>
      </w:r>
      <w:r w:rsidR="009A39CE">
        <w:rPr>
          <w:rFonts w:eastAsia="Calibri Light"/>
        </w:rPr>
        <w:t>;</w:t>
      </w:r>
      <w:r w:rsidR="07F8E895" w:rsidRPr="00A9434B">
        <w:rPr>
          <w:rFonts w:eastAsia="Calibri Light"/>
        </w:rPr>
        <w:t xml:space="preserve"> </w:t>
      </w:r>
      <w:r w:rsidR="007D2197" w:rsidRPr="00A9434B">
        <w:rPr>
          <w:rFonts w:eastAsia="Calibri Light"/>
        </w:rPr>
        <w:t xml:space="preserve">problems which </w:t>
      </w:r>
      <w:r w:rsidR="6CAD124C" w:rsidRPr="00A9434B">
        <w:rPr>
          <w:rFonts w:eastAsia="Calibri Light"/>
        </w:rPr>
        <w:t xml:space="preserve">are now being overcome </w:t>
      </w:r>
      <w:r w:rsidR="001156AE" w:rsidRPr="00A9434B">
        <w:rPr>
          <w:rFonts w:eastAsia="Calibri Light"/>
        </w:rPr>
        <w:fldChar w:fldCharType="begin"/>
      </w:r>
      <w:r w:rsidR="002D2756">
        <w:rPr>
          <w:rFonts w:eastAsia="Calibri Light"/>
        </w:rPr>
        <w:instrText xml:space="preserve"> ADDIN ZOTERO_ITEM CSL_CITATION {"citationID":"a3iddbk4ep","properties":{"formattedCitation":"(Jetz et al., 2019; Kissling et al., 2015)","plainCitation":"(Jetz et al., 2019; Kissling et al., 2015)","noteIndex":0},"citationItems":[{"id":28883,"uris":["http://zotero.org/groups/2352922/items/Y9B3XFJ9"],"itemData":{"id":28883,"type":"article-journal","container-title":"Nature Ecology &amp; Evolution","DOI":"10.1038/s41559-019-0826-1","issue":"4","note":"number: 4","page":"539-551","title":"Essential biodiversity variables for mapping and monitoring species populations","URL":"http://www.nature.com/articles/s41559-019-0826-1","volume":"3","author":[{"family":"Jetz","given":"Walter"},{"family":"McGeoch","given":"Melodie A."},{"family":"Guralnick","given":"Robert"},{"family":"Ferrier","given":"Simon"},{"family":"Beck","given":"Jan"},{"family":"Costello","given":"Mark J."},{"family":"Fernandez","given":"Miguel"},{"family":"Geller","given":"Gary N."},{"family":"Keil","given":"Petr"},{"family":"Merow","given":"Cory"},{"family":"Meyer","given":"Carsten"},{"family":"Muller-Karger","given":"Frank E."},{"family":"Pereira","given":"Henrique M."},{"family":"Regan","given":"Eugenie C."},{"family":"Schmeller","given":"Dirk S."},{"family":"Turak","given":"Eren"}],"issued":{"date-parts":[["2019",4]]}}},{"id":22637,"uris":["http://zotero.org/groups/2352922/items/QGPH9F9K"],"itemData":{"id":22637,"type":"article-journal","container-title":"Biodiversity","DOI":"10.1080/14888386.2015.1068709","ISSN":"1488-8386, 2160-0651","issue":"2-3","journalAbbreviation":"Biodiversity","language":"en","page":"99-107","source":"DOI.org (Crossref)","title":"Towards global interoperability for supporting biodiversity research on essential biodiversity variables (EBVs)","URL":"http://www.tandfonline.com/doi/full/10.1080/14888386.2015.1068709","volume":"16","author":[{"family":"Kissling","given":"W. Daniel"},{"family":"Hardisty","given":"Alex"},{"family":"García","given":"Enrique Alonso"},{"family":"Santamaria","given":"Monica"},{"family":"De Leo","given":"Francesca"},{"family":"Pesole","given":"Graziano"},{"family":"Freyhof","given":"Jörg"},{"family":"Manset","given":"David"},{"family":"Wissel","given":"Silvia"},{"family":"Konijn","given":"Jacco"},{"family":"Los","given":"Wouter"}],"accessed":{"date-parts":[["2020",6,15]]},"issued":{"date-parts":[["2015",7,3]]}},"label":"page"}],"schema":"https://github.com/citation-style-language/schema/raw/master/csl-citation.json"} </w:instrText>
      </w:r>
      <w:r w:rsidR="001156AE" w:rsidRPr="00A9434B">
        <w:rPr>
          <w:rFonts w:eastAsia="Calibri Light"/>
        </w:rPr>
        <w:fldChar w:fldCharType="separate"/>
      </w:r>
      <w:r w:rsidR="00C71E80" w:rsidRPr="00A9434B">
        <w:t>(Jetz et al., 2019; Kissling et al., 2015)</w:t>
      </w:r>
      <w:r w:rsidR="001156AE" w:rsidRPr="00A9434B">
        <w:rPr>
          <w:rFonts w:eastAsia="Calibri Light"/>
        </w:rPr>
        <w:fldChar w:fldCharType="end"/>
      </w:r>
      <w:r w:rsidR="07F8E895" w:rsidRPr="00A9434B">
        <w:rPr>
          <w:rFonts w:eastAsia="Calibri Light"/>
        </w:rPr>
        <w:t xml:space="preserve">. Indeed, one of the </w:t>
      </w:r>
      <w:r w:rsidR="00055238" w:rsidRPr="00A9434B">
        <w:rPr>
          <w:rFonts w:eastAsia="Calibri Light"/>
        </w:rPr>
        <w:t xml:space="preserve">goals </w:t>
      </w:r>
      <w:r w:rsidR="07F8E895" w:rsidRPr="00A9434B">
        <w:rPr>
          <w:rFonts w:eastAsia="Calibri Light"/>
        </w:rPr>
        <w:t xml:space="preserve">of defining essential biodiversity variables </w:t>
      </w:r>
      <w:r w:rsidR="00052841" w:rsidRPr="00A9434B">
        <w:rPr>
          <w:rFonts w:eastAsia="Calibri Light"/>
        </w:rPr>
        <w:t xml:space="preserve">(EBVs) </w:t>
      </w:r>
      <w:r w:rsidR="3DF117B7" w:rsidRPr="00A9434B">
        <w:rPr>
          <w:rFonts w:eastAsia="Calibri Light"/>
        </w:rPr>
        <w:t xml:space="preserve">is intended to be supporting the collections of up to date and </w:t>
      </w:r>
      <w:r w:rsidR="07F8E895" w:rsidRPr="00A9434B">
        <w:rPr>
          <w:rFonts w:eastAsia="Calibri Light"/>
        </w:rPr>
        <w:t xml:space="preserve">higher quality raw </w:t>
      </w:r>
      <w:r w:rsidR="3DF117B7" w:rsidRPr="00A9434B">
        <w:rPr>
          <w:rFonts w:eastAsia="Calibri Light"/>
        </w:rPr>
        <w:t>observations of</w:t>
      </w:r>
      <w:r w:rsidR="07F8E895" w:rsidRPr="00A9434B">
        <w:rPr>
          <w:rFonts w:eastAsia="Calibri Light"/>
        </w:rPr>
        <w:t xml:space="preserve"> biodiversity (</w:t>
      </w:r>
      <w:r w:rsidR="00B9562C" w:rsidRPr="00673554">
        <w:rPr>
          <w:rFonts w:eastAsia="Calibri Light"/>
          <w:b/>
          <w:iCs/>
        </w:rPr>
        <w:fldChar w:fldCharType="begin"/>
      </w:r>
      <w:r w:rsidR="00B9562C" w:rsidRPr="00673554">
        <w:rPr>
          <w:rFonts w:eastAsia="Calibri Light"/>
          <w:b/>
          <w:iCs/>
        </w:rPr>
        <w:instrText xml:space="preserve"> REF _Ref104898934 \h  \* MERGEFORMAT </w:instrText>
      </w:r>
      <w:r w:rsidR="00B9562C" w:rsidRPr="00673554">
        <w:rPr>
          <w:rFonts w:eastAsia="Calibri Light"/>
          <w:b/>
          <w:iCs/>
        </w:rPr>
      </w:r>
      <w:r w:rsidR="00B9562C" w:rsidRPr="00673554">
        <w:rPr>
          <w:rFonts w:eastAsia="Calibri Light"/>
          <w:b/>
          <w:iCs/>
        </w:rPr>
        <w:fldChar w:fldCharType="separate"/>
      </w:r>
      <w:r w:rsidR="0011368C" w:rsidRPr="00673554">
        <w:rPr>
          <w:b/>
          <w:iCs/>
        </w:rPr>
        <w:t>Box 6.21</w:t>
      </w:r>
      <w:r w:rsidR="00B9562C" w:rsidRPr="00673554">
        <w:rPr>
          <w:rFonts w:eastAsia="Calibri Light"/>
          <w:b/>
          <w:iCs/>
        </w:rPr>
        <w:fldChar w:fldCharType="end"/>
      </w:r>
      <w:r w:rsidR="07F8E895" w:rsidRPr="00A9434B">
        <w:rPr>
          <w:rFonts w:eastAsia="Calibri Light"/>
        </w:rPr>
        <w:t>).</w:t>
      </w:r>
      <w:r w:rsidR="3DF117B7" w:rsidRPr="00A9434B">
        <w:rPr>
          <w:rFonts w:eastAsia="Calibri Light"/>
        </w:rPr>
        <w:t xml:space="preserve"> To create such essential biodiversity variables</w:t>
      </w:r>
      <w:r w:rsidR="00052841" w:rsidRPr="00A9434B">
        <w:rPr>
          <w:rFonts w:eastAsia="Calibri Light"/>
        </w:rPr>
        <w:t xml:space="preserve"> (EBVs)</w:t>
      </w:r>
      <w:r w:rsidR="3DF117B7" w:rsidRPr="00A9434B">
        <w:rPr>
          <w:rFonts w:eastAsia="Calibri Light"/>
        </w:rPr>
        <w:t xml:space="preserve"> and </w:t>
      </w:r>
      <w:r w:rsidR="3DF117B7" w:rsidRPr="00A9434B">
        <w:rPr>
          <w:rFonts w:eastAsia="Calibri Light"/>
        </w:rPr>
        <w:lastRenderedPageBreak/>
        <w:t xml:space="preserve">tackle the underlying difficulties, automated workflows could make it feasible to repeat the process regularly and in a timely way </w:t>
      </w:r>
      <w:r w:rsidR="00342C31" w:rsidRPr="00A9434B">
        <w:rPr>
          <w:rFonts w:eastAsia="Calibri Light"/>
        </w:rPr>
        <w:fldChar w:fldCharType="begin"/>
      </w:r>
      <w:r w:rsidR="002D2756">
        <w:rPr>
          <w:rFonts w:eastAsia="Calibri Light"/>
        </w:rPr>
        <w:instrText xml:space="preserve"> ADDIN ZOTERO_ITEM CSL_CITATION {"citationID":"a1rqrh59ddi","properties":{"formattedCitation":"(Best et al., 2007; Kissling et al., 2018)","plainCitation":"(Best et al., 2007; Kissling et al., 2018)","noteIndex":0},"citationItems":[{"id":22636,"uris":["http://zotero.org/groups/2352922/items/2C6TB6ZP"],"itemData":{"id":22636,"type":"article-journal","container-title":"Ecological Informatics","DOI":"10.1016/j.ecoinf.2007.07.007","ISSN":"15749541","issue":"3","journalAbbreviation":"Ecological Informatics","language":"en","page":"210-223","source":"DOI.org (Crossref)","title":"Geospatial web services within a scientific workflow: Predicting marine mammal habitats in a dynamic environment","title-short":"Geospatial web services within a scientific workflow","URL":"https://linkinghub.elsevier.com/retrieve/pii/S1574954107000477","volume":"2","author":[{"family":"Best","given":"Benjamin D."},{"family":"Halpin","given":"Patrick N."},{"family":"Fujioka","given":"Ei"},{"family":"Read","given":"Andrew J."},{"family":"Qian","given":"Song S."},{"family":"Hazen","given":"Lucie J."},{"family":"Schick","given":"Robert S."}],"accessed":{"date-parts":[["2020",6,15]]},"issued":{"date-parts":[["2007",10]]}},"label":"page"},{"id":29088,"uris":["http://zotero.org/groups/2352922/items/TXWKXXIY"],"itemData":{"id":29088,"type":"article-journal","container-title":"Biological Reviews","DOI":"10.1111/brv.12359","ISSN":"14647931","issue":"1","journalAbbreviation":"Biol Rev","language":"en","page":"600-625","source":"DOI.org (Crossref)","title":"Building essential biodiversity variables (EBVs) of species distribution and abundance at a global scale","title-short":"Building essential biodiversity variables (EBVs) of species distribution and abundance at a global scale","URL":"http://doi.wiley.com/10.1111/brv.12359","volume":"93","author":[{"family":"Kissling","given":"W. Daniel"},{"family":"Ahumada","given":"Jorge A."},{"family":"Bowser","given":"Anne"},{"family":"Fernandez","given":"Miguel"},{"family":"Fernández","given":"Néstor"},{"family":"García","given":"Enrique Alonso"},{"family":"Guralnick","given":"Robert P."},{"family":"Isaac","given":"Nick J. B."},{"family":"Kelling","given":"Steve"},{"family":"Los","given":"Wouter"},{"family":"McRae","given":"Louise"},{"family":"Mihoub","given":"Jean-Baptiste"},{"family":"Obst","given":"Matthias"},{"family":"Santamaria","given":"Monica"},{"family":"Skidmore","given":"Andrew K."},{"family":"Williams","given":"Kristen J."},{"family":"Agosti","given":"Donat"},{"family":"Amariles","given":"Daniel"},{"family":"Arvanitidis","given":"Christos"},{"family":"Bastin","given":"Lucy"},{"family":"De Leo","given":"Francesca"},{"family":"Egloff","given":"Willi"},{"family":"Elith","given":"Jane"},{"family":"Hobern","given":"Donald"},{"family":"Martin","given":"David"},{"family":"Pereira","given":"Henrique M."},{"family":"Pesole","given":"Graziano"},{"family":"Peterseil","given":"Johannes"},{"family":"Saarenmaa","given":"Hannu"},{"family":"Schigel","given":"Dmitry"},{"family":"Schmeller","given":"Dirk S."},{"family":"Segata","given":"Nicola"},{"family":"Turak","given":"Eren"},{"family":"Uhlir","given":"Paul F."},{"family":"Wee","given":"Brian"},{"family":"Hardisty","given":"Alex R."}],"accessed":{"date-parts":[["2020",6,15]]},"issued":{"date-parts":[["2018",2]]}},"label":"page"}],"schema":"https://github.com/citation-style-language/schema/raw/master/csl-citation.json"} </w:instrText>
      </w:r>
      <w:r w:rsidR="00342C31" w:rsidRPr="00A9434B">
        <w:rPr>
          <w:rFonts w:eastAsia="Calibri Light"/>
        </w:rPr>
        <w:fldChar w:fldCharType="separate"/>
      </w:r>
      <w:r w:rsidR="00C71E80" w:rsidRPr="00A9434B">
        <w:t>(Best et al., 2007; Kissling et al., 2018)</w:t>
      </w:r>
      <w:r w:rsidR="00342C31" w:rsidRPr="00A9434B">
        <w:rPr>
          <w:rFonts w:eastAsia="Calibri Light"/>
        </w:rPr>
        <w:fldChar w:fldCharType="end"/>
      </w:r>
      <w:r w:rsidR="3DF117B7" w:rsidRPr="00A9434B">
        <w:rPr>
          <w:rFonts w:eastAsia="Calibri Light"/>
        </w:rPr>
        <w:t xml:space="preserve">. Workflows would output information that can be easily digested by policymakers and other stakeholders, who do not necessarily understand all the details of the workflow, but who need an appreciation of the data’s limitations </w:t>
      </w:r>
      <w:r w:rsidR="000326D2" w:rsidRPr="00A9434B">
        <w:rPr>
          <w:rFonts w:eastAsia="Calibri Light"/>
        </w:rPr>
        <w:fldChar w:fldCharType="begin"/>
      </w:r>
      <w:r w:rsidR="002D2756">
        <w:rPr>
          <w:rFonts w:eastAsia="Calibri Light"/>
        </w:rPr>
        <w:instrText xml:space="preserve"> ADDIN ZOTERO_ITEM CSL_CITATION {"citationID":"aahnn6t1h1","properties":{"formattedCitation":"(Jetz et al., 2019)","plainCitation":"(Jetz et al., 2019)","noteIndex":0},"citationItems":[{"id":28883,"uris":["http://zotero.org/groups/2352922/items/Y9B3XFJ9"],"itemData":{"id":28883,"type":"article-journal","container-title":"Nature Ecology &amp; Evolution","DOI":"10.1038/s41559-019-0826-1","issue":"4","note":"number: 4","page":"539-551","title":"Essential biodiversity variables for mapping and monitoring species populations","URL":"http://www.nature.com/articles/s41559-019-0826-1","volume":"3","author":[{"family":"Jetz","given":"Walter"},{"family":"McGeoch","given":"Melodie A."},{"family":"Guralnick","given":"Robert"},{"family":"Ferrier","given":"Simon"},{"family":"Beck","given":"Jan"},{"family":"Costello","given":"Mark J."},{"family":"Fernandez","given":"Miguel"},{"family":"Geller","given":"Gary N."},{"family":"Keil","given":"Petr"},{"family":"Merow","given":"Cory"},{"family":"Meyer","given":"Carsten"},{"family":"Muller-Karger","given":"Frank E."},{"family":"Pereira","given":"Henrique M."},{"family":"Regan","given":"Eugenie C."},{"family":"Schmeller","given":"Dirk S."},{"family":"Turak","given":"Eren"}],"issued":{"date-parts":[["2019",4]]}},"label":"page"}],"schema":"https://github.com/citation-style-language/schema/raw/master/csl-citation.json"} </w:instrText>
      </w:r>
      <w:r w:rsidR="000326D2" w:rsidRPr="00A9434B">
        <w:rPr>
          <w:rFonts w:eastAsia="Calibri Light"/>
        </w:rPr>
        <w:fldChar w:fldCharType="separate"/>
      </w:r>
      <w:r w:rsidR="00C71E80" w:rsidRPr="00A9434B">
        <w:t>(Jetz et al., 2019)</w:t>
      </w:r>
      <w:r w:rsidR="000326D2" w:rsidRPr="00A9434B">
        <w:rPr>
          <w:rFonts w:eastAsia="Calibri Light"/>
        </w:rPr>
        <w:fldChar w:fldCharType="end"/>
      </w:r>
    </w:p>
    <w:p w14:paraId="23884D2B" w14:textId="193AB00A" w:rsidR="00017C04" w:rsidRPr="007D5DC6" w:rsidRDefault="00F50AF9" w:rsidP="00A67310">
      <w:pPr>
        <w:pStyle w:val="Caption"/>
        <w:pBdr>
          <w:top w:val="single" w:sz="4" w:space="1" w:color="auto"/>
          <w:left w:val="single" w:sz="4" w:space="1" w:color="auto"/>
          <w:bottom w:val="single" w:sz="4" w:space="1" w:color="auto"/>
          <w:right w:val="single" w:sz="4" w:space="1" w:color="auto"/>
        </w:pBdr>
        <w:shd w:val="clear" w:color="auto" w:fill="E7E6E6" w:themeFill="background2"/>
      </w:pPr>
      <w:bookmarkStart w:id="580" w:name="_heading=h.356xmb2" w:colFirst="0" w:colLast="0"/>
      <w:bookmarkStart w:id="581" w:name="_Ref104898934"/>
      <w:bookmarkStart w:id="582" w:name="_Toc69379691"/>
      <w:bookmarkStart w:id="583" w:name="_Toc147418630"/>
      <w:bookmarkEnd w:id="580"/>
      <w:r w:rsidRPr="007D5DC6">
        <w:rPr>
          <w:bCs w:val="0"/>
        </w:rPr>
        <w:t>Box 6</w:t>
      </w:r>
      <w:r w:rsidR="00912303" w:rsidRPr="00A9434B">
        <w:t>.</w:t>
      </w:r>
      <w:r w:rsidR="007C7AC3">
        <w:fldChar w:fldCharType="begin"/>
      </w:r>
      <w:r w:rsidR="007C7AC3">
        <w:instrText xml:space="preserve"> SEQ Box_6. \* ARABIC </w:instrText>
      </w:r>
      <w:r w:rsidR="007C7AC3">
        <w:fldChar w:fldCharType="separate"/>
      </w:r>
      <w:r w:rsidR="0011368C">
        <w:rPr>
          <w:noProof/>
        </w:rPr>
        <w:t>21</w:t>
      </w:r>
      <w:r w:rsidR="007C7AC3">
        <w:rPr>
          <w:noProof/>
        </w:rPr>
        <w:fldChar w:fldCharType="end"/>
      </w:r>
      <w:bookmarkEnd w:id="581"/>
      <w:r w:rsidR="00912303" w:rsidRPr="00A9434B">
        <w:t>.</w:t>
      </w:r>
      <w:r w:rsidRPr="007D5DC6">
        <w:t xml:space="preserve"> Institutionalizing invasive alien species monitoring: a case study from India</w:t>
      </w:r>
      <w:bookmarkEnd w:id="582"/>
      <w:bookmarkEnd w:id="583"/>
    </w:p>
    <w:p w14:paraId="3F05316E" w14:textId="77777777" w:rsidR="00017C04" w:rsidRDefault="00F50AF9" w:rsidP="00A67310">
      <w:pPr>
        <w:pBdr>
          <w:top w:val="single" w:sz="4" w:space="1" w:color="auto"/>
          <w:left w:val="single" w:sz="4" w:space="1" w:color="auto"/>
          <w:bottom w:val="single" w:sz="4" w:space="1" w:color="auto"/>
          <w:right w:val="single" w:sz="4" w:space="1" w:color="auto"/>
        </w:pBdr>
        <w:shd w:val="clear" w:color="auto" w:fill="E7E6E6" w:themeFill="background2"/>
        <w:spacing w:after="0"/>
      </w:pPr>
      <w:r>
        <w:rPr>
          <w:b/>
        </w:rPr>
        <w:t>Purpose</w:t>
      </w:r>
    </w:p>
    <w:p w14:paraId="45461563" w14:textId="306EF3BB" w:rsidR="00017C04" w:rsidRDefault="00F50AF9" w:rsidP="00A67310">
      <w:pPr>
        <w:pBdr>
          <w:top w:val="single" w:sz="4" w:space="1" w:color="auto"/>
          <w:left w:val="single" w:sz="4" w:space="1" w:color="auto"/>
          <w:bottom w:val="single" w:sz="4" w:space="1" w:color="auto"/>
          <w:right w:val="single" w:sz="4" w:space="1" w:color="auto"/>
        </w:pBdr>
        <w:shd w:val="clear" w:color="auto" w:fill="E7E6E6" w:themeFill="background2"/>
        <w:spacing w:before="0"/>
      </w:pPr>
      <w:r>
        <w:t xml:space="preserve">An example of how invasive alien species monitoring can be mainstreamed into government mandates is that of India’s </w:t>
      </w:r>
      <w:r>
        <w:rPr>
          <w:i/>
        </w:rPr>
        <w:t>National Tiger Estimation Program</w:t>
      </w:r>
      <w:r>
        <w:t xml:space="preserve">. The government of India uses this </w:t>
      </w:r>
      <w:r w:rsidR="00A67310">
        <w:t>program to estimate tiger populations at a national scale every fourth year and the program</w:t>
      </w:r>
      <w:r>
        <w:t xml:space="preserve"> has been running since 2006. This monitoring not only produces an account of tiger numbers at a national scale, but also uses this charismatic species to garner resources and public support for protecting natural systems and their functions </w:t>
      </w:r>
      <w:r w:rsidR="000326D2" w:rsidRPr="00A9434B">
        <w:fldChar w:fldCharType="begin"/>
      </w:r>
      <w:r w:rsidR="002D2756">
        <w:instrText xml:space="preserve"> ADDIN ZOTERO_ITEM CSL_CITATION {"citationID":"a21f66qisar","properties":{"formattedCitation":"(Jhala et al., 2021)","plainCitation":"(Jhala et al., 2021)","noteIndex":0},"citationItems":[{"id":54756,"uris":["http://zotero.org/groups/2352922/items/6LG2HMBL"],"itemData":{"id":54756,"type":"article-journal","container-title":"People and Nature","DOI":"10.1002/pan3.10177","issue":"2","note":"ISBN: 2575-8314\npublisher: Wiley Online Library","page":"281-293","title":"Recovery of tigers in India: Critical introspection and potential lessons","volume":"3","author":[{"family":"Jhala","given":"Yadvendradev"},{"family":"Gopal","given":"Rajesh"},{"family":"Mathur","given":"Vaibhav"},{"family":"Ghosh","given":"Prodipto"},{"family":"Negi","given":"Himmat Singh"},{"family":"Narain","given":"Sunita"},{"family":"Yadav","given":"Satya Prakash"},{"family":"Malik","given":"Amit"},{"family":"Garawad","given":"Rajendra"},{"family":"Qureshi","given":"Qamar"}],"issued":{"date-parts":[["2021"]]}}}],"schema":"https://github.com/citation-style-language/schema/raw/master/csl-citation.json"} </w:instrText>
      </w:r>
      <w:r w:rsidR="000326D2" w:rsidRPr="00A9434B">
        <w:fldChar w:fldCharType="separate"/>
      </w:r>
      <w:r w:rsidR="00C71E80" w:rsidRPr="00A9434B">
        <w:t>(Jhala et al., 2021)</w:t>
      </w:r>
      <w:r w:rsidR="000326D2" w:rsidRPr="00A9434B">
        <w:fldChar w:fldCharType="end"/>
      </w:r>
      <w:r w:rsidR="00912303" w:rsidRPr="00A9434B">
        <w:t>.</w:t>
      </w:r>
      <w:r>
        <w:t xml:space="preserve"> </w:t>
      </w:r>
    </w:p>
    <w:p w14:paraId="2CAF5B4C" w14:textId="77777777" w:rsidR="00017C04" w:rsidRDefault="00F50AF9" w:rsidP="00A67310">
      <w:pPr>
        <w:pBdr>
          <w:top w:val="single" w:sz="4" w:space="1" w:color="auto"/>
          <w:left w:val="single" w:sz="4" w:space="1" w:color="auto"/>
          <w:bottom w:val="single" w:sz="4" w:space="1" w:color="auto"/>
          <w:right w:val="single" w:sz="4" w:space="1" w:color="auto"/>
        </w:pBdr>
        <w:shd w:val="clear" w:color="auto" w:fill="E7E6E6" w:themeFill="background2"/>
        <w:spacing w:after="0"/>
      </w:pPr>
      <w:r>
        <w:rPr>
          <w:b/>
        </w:rPr>
        <w:t>Approach</w:t>
      </w:r>
    </w:p>
    <w:p w14:paraId="5E4E2E67" w14:textId="77777777" w:rsidR="00017C04" w:rsidRDefault="00F50AF9" w:rsidP="00A67310">
      <w:pPr>
        <w:pBdr>
          <w:top w:val="single" w:sz="4" w:space="1" w:color="auto"/>
          <w:left w:val="single" w:sz="4" w:space="1" w:color="auto"/>
          <w:bottom w:val="single" w:sz="4" w:space="1" w:color="auto"/>
          <w:right w:val="single" w:sz="4" w:space="1" w:color="auto"/>
        </w:pBdr>
        <w:shd w:val="clear" w:color="auto" w:fill="E7E6E6" w:themeFill="background2"/>
        <w:spacing w:before="0"/>
      </w:pPr>
      <w:r>
        <w:t>The National Tiger Estimation Program sampling protocol is developed to collect information on the distribution of important carnivore and herbivore animals, as well as their habitat quality. The protocol for assessing habitat quality is used for collecting information on invasive plants and native weeds. The primary objective of monitoring is tiger conservation, whereas weed monitoring is a conservation objective in its own right. The case demonstrates how, with appropriately well-integrated strategy and planning at national and sub-national scales, multiple biodiversity monitoring objectives can be simultaneously met – including invasion monitoring.</w:t>
      </w:r>
    </w:p>
    <w:p w14:paraId="7856FD4E" w14:textId="6F399BBA" w:rsidR="00017C04" w:rsidRDefault="00F50AF9" w:rsidP="00A67310">
      <w:pPr>
        <w:pBdr>
          <w:top w:val="single" w:sz="4" w:space="1" w:color="auto"/>
          <w:left w:val="single" w:sz="4" w:space="1" w:color="auto"/>
          <w:bottom w:val="single" w:sz="4" w:space="1" w:color="auto"/>
          <w:right w:val="single" w:sz="4" w:space="1" w:color="auto"/>
        </w:pBdr>
        <w:shd w:val="clear" w:color="auto" w:fill="E7E6E6" w:themeFill="background2"/>
      </w:pPr>
      <w:r>
        <w:t xml:space="preserve">India has a large human resource with a mandate to monitor and protect forest ecosystems </w:t>
      </w:r>
      <w:r w:rsidR="00F806B6" w:rsidRPr="00A9434B">
        <w:t>(</w:t>
      </w:r>
      <w:r w:rsidR="00912303" w:rsidRPr="00673554">
        <w:rPr>
          <w:b/>
          <w:bCs/>
          <w:iCs/>
        </w:rPr>
        <w:fldChar w:fldCharType="begin"/>
      </w:r>
      <w:r w:rsidR="00912303" w:rsidRPr="00673554">
        <w:rPr>
          <w:b/>
          <w:bCs/>
          <w:iCs/>
        </w:rPr>
        <w:instrText xml:space="preserve"> REF _Ref104897695 \h  \* MERGEFORMAT </w:instrText>
      </w:r>
      <w:r w:rsidR="00912303" w:rsidRPr="00673554">
        <w:rPr>
          <w:b/>
          <w:bCs/>
          <w:iCs/>
        </w:rPr>
      </w:r>
      <w:r w:rsidR="00912303" w:rsidRPr="00673554">
        <w:rPr>
          <w:b/>
          <w:bCs/>
          <w:iCs/>
        </w:rPr>
        <w:fldChar w:fldCharType="separate"/>
      </w:r>
      <w:r w:rsidR="0011368C" w:rsidRPr="00673554">
        <w:rPr>
          <w:b/>
          <w:bCs/>
          <w:iCs/>
        </w:rPr>
        <w:t>Figure 6.19</w:t>
      </w:r>
      <w:r w:rsidR="00912303" w:rsidRPr="00673554">
        <w:rPr>
          <w:b/>
          <w:bCs/>
          <w:iCs/>
        </w:rPr>
        <w:fldChar w:fldCharType="end"/>
      </w:r>
      <w:r w:rsidR="00912303" w:rsidRPr="00A9434B">
        <w:t>).</w:t>
      </w:r>
      <w:r>
        <w:t xml:space="preserve"> The National Tiger Estimation Program uses this trained capacity in collaboration with scientific institutions to sample forested areas at a 10×10 km resolution. Within every cell of 100 km</w:t>
      </w:r>
      <w:r>
        <w:rPr>
          <w:vertAlign w:val="superscript"/>
        </w:rPr>
        <w:t>2</w:t>
      </w:r>
      <w:r>
        <w:t xml:space="preserve">, 20-40 plots of 10-30 m diameter are sampled to record the abundance of available plants. Since 2018, the data are recorded through an open-access mobile app (MSTrIPES) that stores this information in native language, along with geotagged photographs of the plot. These data are transferred to a cloud server, where existing algorithms compute trends in invasion of different species at a desired scale (e.g., </w:t>
      </w:r>
      <w:r w:rsidR="000326D2" w:rsidRPr="00A9434B">
        <w:fldChar w:fldCharType="begin"/>
      </w:r>
      <w:r w:rsidR="002D2756">
        <w:instrText xml:space="preserve"> ADDIN ZOTERO_ITEM CSL_CITATION {"citationID":"gaIMm6Jx","properties":{"formattedCitation":"(Mungi et al., 2020)","plainCitation":"(Mungi et al., 2020)","dontUpdate":true,"noteIndex":0},"citationItems":[{"id":54757,"uris":["http://zotero.org/groups/2352922/items/VR7RJBFJ"],"itemData":{"id":54757,"type":"article-journal","container-title":"Global Ecology and Conservation","DOI":"https://doi.org/10.1016/j.gecco.2020.e01080","note":"ISBN: 2351-9894\npublisher: Elsevier","page":"e01080","title":"Expanding niche and degrading forests: Key to the successful global invasion of &lt;i&gt;Lantana camara&lt;/i&gt; (sensu lato)","volume":"23","author":[{"family":"Mungi","given":"Ninad Avinash"},{"family":"Qureshi","given":"Qamar"},{"family":"Jhala","given":"Yadvendradev V."}],"issued":{"date-parts":[["2020"]]}}}],"schema":"https://github.com/citation-style-language/schema/raw/master/csl-citation.json"} </w:instrText>
      </w:r>
      <w:r w:rsidR="000326D2" w:rsidRPr="00A9434B">
        <w:fldChar w:fldCharType="separate"/>
      </w:r>
      <w:r w:rsidR="00F55BC6" w:rsidRPr="00F55BC6">
        <w:t>Mungi et al., 2020)</w:t>
      </w:r>
      <w:r w:rsidR="000326D2" w:rsidRPr="00A9434B">
        <w:fldChar w:fldCharType="end"/>
      </w:r>
      <w:r w:rsidR="000326D2" w:rsidRPr="00A9434B">
        <w:t>.</w:t>
      </w:r>
      <w:r>
        <w:t xml:space="preserve"> The system can be further used to relate invasive alien species presence to herbivore and carnivore distribution. These analyses are reported back to the data collectors and managers, who can use them to prioritize evidence-based invasive alien species management and research (e.g., </w:t>
      </w:r>
      <w:r w:rsidR="0029024D" w:rsidRPr="00A9434B">
        <w:fldChar w:fldCharType="begin"/>
      </w:r>
      <w:r w:rsidR="002D2756">
        <w:instrText xml:space="preserve"> ADDIN ZOTERO_ITEM CSL_CITATION {"citationID":"S8Visks0","properties":{"formattedCitation":"(Mungi et al., 2021)","plainCitation":"(Mungi et al., 2021)","dontUpdate":true,"noteIndex":0},"citationItems":[{"id":54758,"uris":["http://zotero.org/groups/2352922/items/CUENV55T"],"itemData":{"id":54758,"type":"article-journal","container-title":"Journal of Ecology","DOI":"10.1111/1365-2745.13751","issue":"9","note":"ISBN: 0022-0477\npublisher: Wiley Online Library","page":"3308-3321","title":"Role of species richness and human impacts in resisting invasive species in tropical forests","volume":"109","author":[{"family":"Mungi","given":"Ninad Avinash"},{"family":"Qureshi","given":"Qamar"},{"family":"Jhala","given":"Yadvendradev V."}],"issued":{"date-parts":[["2021"]]}}}],"schema":"https://github.com/citation-style-language/schema/raw/master/csl-citation.json"} </w:instrText>
      </w:r>
      <w:r w:rsidR="0029024D" w:rsidRPr="00A9434B">
        <w:fldChar w:fldCharType="separate"/>
      </w:r>
      <w:r w:rsidR="00F55BC6" w:rsidRPr="00F55BC6">
        <w:t>Mungi et al., 2021)</w:t>
      </w:r>
      <w:r w:rsidR="0029024D" w:rsidRPr="00A9434B">
        <w:fldChar w:fldCharType="end"/>
      </w:r>
      <w:r w:rsidR="0029024D" w:rsidRPr="00A9434B">
        <w:t>.</w:t>
      </w:r>
    </w:p>
    <w:p w14:paraId="1E3B9745" w14:textId="6423BD72" w:rsidR="00912303" w:rsidRPr="00A9434B" w:rsidRDefault="00912303" w:rsidP="00A67310">
      <w:pPr>
        <w:pBdr>
          <w:top w:val="single" w:sz="4" w:space="1" w:color="auto"/>
          <w:left w:val="single" w:sz="4" w:space="1" w:color="auto"/>
          <w:bottom w:val="single" w:sz="4" w:space="1" w:color="auto"/>
          <w:right w:val="single" w:sz="4" w:space="1" w:color="auto"/>
        </w:pBdr>
        <w:shd w:val="clear" w:color="auto" w:fill="E7E6E6" w:themeFill="background2"/>
      </w:pPr>
    </w:p>
    <w:p w14:paraId="3C409C03" w14:textId="77777777" w:rsidR="00017C04" w:rsidRDefault="00F50AF9" w:rsidP="00A67310">
      <w:pPr>
        <w:pBdr>
          <w:top w:val="single" w:sz="4" w:space="1" w:color="auto"/>
          <w:left w:val="single" w:sz="4" w:space="1" w:color="auto"/>
          <w:bottom w:val="single" w:sz="4" w:space="1" w:color="auto"/>
          <w:right w:val="single" w:sz="4" w:space="1" w:color="auto"/>
        </w:pBdr>
        <w:shd w:val="clear" w:color="auto" w:fill="E7E6E6"/>
      </w:pPr>
      <w:r>
        <w:rPr>
          <w:noProof/>
        </w:rPr>
        <w:lastRenderedPageBreak/>
        <w:drawing>
          <wp:inline distT="0" distB="0" distL="0" distR="0" wp14:anchorId="0D0270C6" wp14:editId="31AD0358">
            <wp:extent cx="6111240" cy="3735705"/>
            <wp:effectExtent l="0" t="0" r="0" b="0"/>
            <wp:docPr id="1868808441" name="image182.png" descr="Diagram of a diagram showing a diagram of a tree and a person walk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82.png" descr="Diagram of a diagram showing a diagram of a tree and a person walking&#10;&#10;Description automatically generated"/>
                    <pic:cNvPicPr preferRelativeResize="0"/>
                  </pic:nvPicPr>
                  <pic:blipFill>
                    <a:blip r:embed="rId54"/>
                    <a:srcRect/>
                    <a:stretch>
                      <a:fillRect/>
                    </a:stretch>
                  </pic:blipFill>
                  <pic:spPr>
                    <a:xfrm>
                      <a:off x="0" y="0"/>
                      <a:ext cx="6111240" cy="3735705"/>
                    </a:xfrm>
                    <a:prstGeom prst="rect">
                      <a:avLst/>
                    </a:prstGeom>
                    <a:ln/>
                  </pic:spPr>
                </pic:pic>
              </a:graphicData>
            </a:graphic>
          </wp:inline>
        </w:drawing>
      </w:r>
    </w:p>
    <w:p w14:paraId="15ADF08A" w14:textId="5537ADAE" w:rsidR="00017C04" w:rsidRPr="007D5DC6" w:rsidRDefault="00F50AF9" w:rsidP="00A67310">
      <w:pPr>
        <w:pStyle w:val="Caption"/>
        <w:pBdr>
          <w:top w:val="single" w:sz="4" w:space="1" w:color="auto"/>
          <w:left w:val="single" w:sz="4" w:space="1" w:color="auto"/>
          <w:bottom w:val="single" w:sz="4" w:space="1" w:color="auto"/>
          <w:right w:val="single" w:sz="4" w:space="1" w:color="auto"/>
        </w:pBdr>
        <w:shd w:val="clear" w:color="auto" w:fill="E7E6E6" w:themeFill="background2"/>
      </w:pPr>
      <w:bookmarkStart w:id="584" w:name="_heading=h.1kc7wiv" w:colFirst="0" w:colLast="0"/>
      <w:bookmarkStart w:id="585" w:name="_Ref104897695"/>
      <w:bookmarkStart w:id="586" w:name="_Toc69383513"/>
      <w:bookmarkStart w:id="587" w:name="_Toc147418314"/>
      <w:bookmarkEnd w:id="584"/>
      <w:r w:rsidRPr="007D5DC6">
        <w:rPr>
          <w:bCs w:val="0"/>
        </w:rPr>
        <w:t>Figure 6</w:t>
      </w:r>
      <w:r w:rsidR="00912303" w:rsidRPr="00A9434B">
        <w:t>.</w:t>
      </w:r>
      <w:r w:rsidR="007C7AC3">
        <w:fldChar w:fldCharType="begin"/>
      </w:r>
      <w:r w:rsidR="007C7AC3">
        <w:instrText xml:space="preserve"> SEQ Figure_6. \* ARABIC </w:instrText>
      </w:r>
      <w:r w:rsidR="007C7AC3">
        <w:fldChar w:fldCharType="separate"/>
      </w:r>
      <w:r w:rsidR="0011368C">
        <w:rPr>
          <w:noProof/>
        </w:rPr>
        <w:t>19</w:t>
      </w:r>
      <w:r w:rsidR="007C7AC3">
        <w:rPr>
          <w:noProof/>
        </w:rPr>
        <w:fldChar w:fldCharType="end"/>
      </w:r>
      <w:bookmarkEnd w:id="585"/>
      <w:r w:rsidR="00912303" w:rsidRPr="00A9434B">
        <w:t>.</w:t>
      </w:r>
      <w:r w:rsidRPr="007D5DC6">
        <w:t xml:space="preserve"> </w:t>
      </w:r>
      <w:r w:rsidRPr="007D5DC6">
        <w:rPr>
          <w:b w:val="0"/>
        </w:rPr>
        <w:t>Systematic monitoring scheme for invasive plants in Indian forests.</w:t>
      </w:r>
      <w:bookmarkEnd w:id="586"/>
      <w:r w:rsidRPr="007D5DC6">
        <w:t xml:space="preserve"> </w:t>
      </w:r>
      <w:r w:rsidRPr="007D5DC6">
        <w:rPr>
          <w:b w:val="0"/>
        </w:rPr>
        <w:t>The research team records abundance of invasive plants in sampling plots of every 100 km</w:t>
      </w:r>
      <w:r w:rsidRPr="007D5DC6">
        <w:rPr>
          <w:b w:val="0"/>
          <w:vertAlign w:val="superscript"/>
        </w:rPr>
        <w:t>2</w:t>
      </w:r>
      <w:r w:rsidRPr="007D5DC6">
        <w:rPr>
          <w:b w:val="0"/>
        </w:rPr>
        <w:t xml:space="preserve"> cell across tropical India. The information is recorded on mobile apps that transfer field data to a regional workstation and cloud server, where spatial analyses are done to map and prioritize invasive plant management. The process is repeated at a national scale every four years. Recent monitoring in 2018 was the most extensive with more than 150,000 habitat plots sampled, revealing that 76 per cent of Indian forests invaded by different invasive plants at an alarming rate.</w:t>
      </w:r>
      <w:bookmarkEnd w:id="587"/>
      <w:r w:rsidRPr="007D5DC6">
        <w:rPr>
          <w:b w:val="0"/>
        </w:rPr>
        <w:t xml:space="preserve"> </w:t>
      </w:r>
    </w:p>
    <w:p w14:paraId="4CF1A29E" w14:textId="3682A88D" w:rsidR="00017C04" w:rsidRDefault="00F50AF9" w:rsidP="00A67310">
      <w:pPr>
        <w:pBdr>
          <w:top w:val="single" w:sz="4" w:space="1" w:color="auto"/>
          <w:left w:val="single" w:sz="4" w:space="1" w:color="auto"/>
          <w:bottom w:val="single" w:sz="4" w:space="1" w:color="auto"/>
          <w:right w:val="single" w:sz="4" w:space="1" w:color="auto"/>
        </w:pBdr>
        <w:shd w:val="clear" w:color="auto" w:fill="E7E6E6" w:themeFill="background2"/>
      </w:pPr>
      <w:r>
        <w:rPr>
          <w:b/>
        </w:rPr>
        <w:t>Combining monitoring and management</w:t>
      </w:r>
      <w:r>
        <w:t>: Importantly, the present monitoring protocol not only generates data, but it is also proactive. The sampling team</w:t>
      </w:r>
      <w:r w:rsidR="00A67310">
        <w:t>s</w:t>
      </w:r>
      <w:r>
        <w:t xml:space="preserve"> are equally involved in habitat management. In addition to evidence-based science, the present sampling protocol convinced the stakeholders to monitor invasive plants for conserving forest habitat that will help increase herbivore densities. This in turn will ensure sustenance of top predators, including the tiger. Serving as a unique platform to host scientific and management priorities, the present monitoring protocol is mandated by government agencies for continual application in India. This case </w:t>
      </w:r>
      <w:r w:rsidR="00A67310">
        <w:t xml:space="preserve">can </w:t>
      </w:r>
      <w:r>
        <w:t>serve as an exempl</w:t>
      </w:r>
      <w:r w:rsidR="00A67310">
        <w:t>e</w:t>
      </w:r>
      <w:r>
        <w:t xml:space="preserve"> for other countries who wish to mainstream and institutionalize invasive alien species monitoring with the limited resources availed for conserving iconic species.</w:t>
      </w:r>
    </w:p>
    <w:p w14:paraId="6CF861FC" w14:textId="718BDF47" w:rsidR="00017C04" w:rsidRDefault="00F50AF9">
      <w:pPr>
        <w:pStyle w:val="Heading5"/>
      </w:pPr>
      <w:r>
        <w:t xml:space="preserve">Integration of invasive alien species data through </w:t>
      </w:r>
      <w:r w:rsidR="00A67310">
        <w:t>essential biodiversity variables</w:t>
      </w:r>
    </w:p>
    <w:p w14:paraId="0FD3F18B" w14:textId="1820B2EB" w:rsidR="00017C04" w:rsidRDefault="00F50AF9">
      <w:pPr>
        <w:spacing w:before="0"/>
      </w:pPr>
      <w:r>
        <w:t>Three essential biodiversity variables (EBVs) have been identified as critical for measuring change in invasive alien species and underpinning invasive alien species indicators: alien species occurrence, the status of an individual or species as native or alien</w:t>
      </w:r>
      <w:r w:rsidR="00EB415D">
        <w:t xml:space="preserve"> and</w:t>
      </w:r>
      <w:r>
        <w:t xml:space="preserve"> invasive alien species impact </w:t>
      </w:r>
      <w:r w:rsidR="00342C31" w:rsidRPr="00A9434B">
        <w:rPr>
          <w:rFonts w:eastAsia="Calibri Light"/>
        </w:rPr>
        <w:fldChar w:fldCharType="begin"/>
      </w:r>
      <w:r w:rsidR="002D2756">
        <w:rPr>
          <w:rFonts w:eastAsia="Calibri Light"/>
        </w:rPr>
        <w:instrText xml:space="preserve"> ADDIN ZOTERO_ITEM CSL_CITATION {"citationID":"a1e6ati744j","properties":{"formattedCitation":"(Latombe et al., 2017; McGeoch &amp; Jetz, 2019)","plainCitation":"(Latombe et al., 2017; McGeoch &amp; Jetz, 2019)","noteIndex":0},"citationItems":[{"id":28759,"uris":["http://zotero.org/groups/2352922/items/RDKZXX6M"],"itemData":{"id":28759,"type":"article-journal","abstract":"Managing biological invasions relies on good global coverage of species distributions. Accurate information on alien species distributions, obtained from international policy and cross-border co-operation, is required to evaluate trans-boundary and trading partnership risks. However, a standardized approach for systematically monitoring alien species and tracking biological invasions is still lacking. This Perspective presents a vision for global observation and monitoring of biological invasions. We show how the architecture for tracking biological invasions is provided by a minimum information set of Essential Variables, global collaboration on data sharing and infrastructure, and strategic contributions by countries. We show how this novel, synthetic approach to an observation system for alien species provides a tangible and attainable solution to delivering the information needed to slow the rate of new incursions and reduce the impacts of invaders. We identify three Essential Variables for Invasion Monitoring; alien species occurrence, species alien status and alien species impact. We outline how delivery of this minimum information set by joint, complementary contributions from countries and global community initiatives is possible. Country contributions are made feasible using a modular approach where all countries are able to participate and strategically build their contributions to a global information set over time. The vision we outline will deliver wide-ranging benefits to countries and international efforts to slow the rate of biological invasions and minimize their environmental impacts. These benefits will accrue over time as global coverage and information on alien species increases.","container-title":"Biological Conservation","DOI":"10.1016/j.biocon.2016.06.013","ISSN":"00063207","journalAbbreviation":"Biological Conservation","language":"en","page":"295-308","source":"DOI.org (Crossref)","title":"A vision for global monitoring of biological invasions","URL":"https://linkinghub.elsevier.com/retrieve/pii/S0006320716302373","volume":"213","author":[{"family":"Latombe","given":"Guillaume"},{"family":"Pyšek","given":"Petr"},{"family":"Jeschke","given":"Jonathan M."},{"family":"Blackburn","given":"Tim M."},{"family":"Bacher","given":"Sven"},{"family":"Capinha","given":"César"},{"family":"Costello","given":"Mark J."},{"family":"Fernández","given":"Miguel"},{"family":"Gregory","given":"Richard D."},{"family":"Hobern","given":"Donald"},{"family":"Hui","given":"Cang"},{"family":"Jetz","given":"Walter"},{"family":"Kumschick","given":"Sabrina"},{"family":"McGrannachan","given":"Chris"},{"family":"Pergl","given":"Jan"},{"family":"Roy","given":"Helen E."},{"family":"Scalera","given":"Riccardo"},{"family":"Squires","given":"Zoe E."},{"family":"Wilson","given":"John R.U."},{"family":"Winter","given":"Marten"},{"family":"Genovesi","given":"Piero"},{"family":"McGeoch","given":"Melodie A."}],"issued":{"date-parts":[["2017",9]]}},"label":"page"},{"id":56520,"uris":["http://zotero.org/groups/2352922/items/5XG8ELME","http://zotero.org/groups/2352922/items/6DDLUR5R"],"itemData":{"id":56520,"type":"article-journal","container-title":"One Earth","DOI":"10.1016/j.oneear.2019.10.003","ISSN":"25903322","issue":"2","journalAbbreviation":"One Earth","language":"en","page":"171-174","source":"DOI.org (Crossref)","title":"Measure and Reduce the Harm Caused by Biological Invasions","URL":"https://doi.org/10.1016/j.oneear.2019.10.003","volume":"1","author":[{"family":"McGeoch","given":"Melodie A."},{"family":"Jetz","given":"Walter"}],"accessed":{"date-parts":[["2023",6,8]]},"issued":{"date-parts":[["2019",10]]}},"label":"page"}],"schema":"https://github.com/citation-style-language/schema/raw/master/csl-citation.json"} </w:instrText>
      </w:r>
      <w:r w:rsidR="00342C31" w:rsidRPr="00A9434B">
        <w:rPr>
          <w:rFonts w:eastAsia="Calibri Light"/>
        </w:rPr>
        <w:fldChar w:fldCharType="separate"/>
      </w:r>
      <w:r w:rsidR="00065870" w:rsidRPr="00065870">
        <w:t>(Latombe et al., 2017; McGeoch &amp; Jetz, 2019)</w:t>
      </w:r>
      <w:r w:rsidR="00342C31" w:rsidRPr="00A9434B">
        <w:rPr>
          <w:rFonts w:eastAsia="Calibri Light"/>
        </w:rPr>
        <w:fldChar w:fldCharType="end"/>
      </w:r>
      <w:r w:rsidR="00342C31" w:rsidRPr="00A9434B">
        <w:rPr>
          <w:rFonts w:eastAsia="Calibri Light"/>
          <w:shd w:val="clear" w:color="auto" w:fill="FFFFFF"/>
        </w:rPr>
        <w:t xml:space="preserve">. </w:t>
      </w:r>
      <w:r w:rsidR="4A54CEE4" w:rsidRPr="00A9434B">
        <w:rPr>
          <w:rFonts w:eastAsia="Calibri Light"/>
        </w:rPr>
        <w:t xml:space="preserve">To generate </w:t>
      </w:r>
      <w:r w:rsidR="00052841" w:rsidRPr="00A9434B">
        <w:rPr>
          <w:rFonts w:eastAsia="Calibri Light"/>
        </w:rPr>
        <w:t xml:space="preserve">EBVs </w:t>
      </w:r>
      <w:r w:rsidR="4A54CEE4" w:rsidRPr="00A9434B">
        <w:rPr>
          <w:rFonts w:eastAsia="Calibri Light"/>
        </w:rPr>
        <w:t>adaptable automated workflows are envisaged that can harvest raw data, aggregate them</w:t>
      </w:r>
      <w:r w:rsidR="00EB415D">
        <w:rPr>
          <w:rFonts w:eastAsia="Calibri Light"/>
        </w:rPr>
        <w:t xml:space="preserve"> and</w:t>
      </w:r>
      <w:r w:rsidR="4A54CEE4" w:rsidRPr="00A9434B">
        <w:rPr>
          <w:rFonts w:eastAsia="Calibri Light"/>
        </w:rPr>
        <w:t xml:space="preserve"> standardize them to output the final </w:t>
      </w:r>
      <w:r w:rsidR="00052841" w:rsidRPr="00A9434B">
        <w:rPr>
          <w:rFonts w:eastAsia="Calibri Light"/>
        </w:rPr>
        <w:t xml:space="preserve">EBVs </w:t>
      </w:r>
      <w:r w:rsidR="4A54CEE4" w:rsidRPr="00A9434B">
        <w:rPr>
          <w:rFonts w:eastAsia="Calibri Light"/>
        </w:rPr>
        <w:t xml:space="preserve">product </w:t>
      </w:r>
      <w:r w:rsidR="001156AE" w:rsidRPr="00A9434B">
        <w:rPr>
          <w:rFonts w:eastAsia="Calibri Light"/>
        </w:rPr>
        <w:fldChar w:fldCharType="begin"/>
      </w:r>
      <w:r w:rsidR="002D2756">
        <w:rPr>
          <w:rFonts w:eastAsia="Calibri Light"/>
        </w:rPr>
        <w:instrText xml:space="preserve"> ADDIN ZOTERO_ITEM CSL_CITATION {"citationID":"a15lo48j3qm","properties":{"formattedCitation":"(Hardisty et al., 2019)","plainCitation":"(Hardisty et al., 2019)","noteIndex":0},"citationItems":[{"id":10450,"uris":["http://zotero.org/groups/2352922/items/83KKFJI6"],"itemData":{"id":10450,"type":"article-journal","container-title":"Environmental Research Letters","DOI":"10.1088/1748-9326/aaf5db","ISSN":"1748-9326","issue":"2","journalAbbreviation":"Environ. Res. Lett.","page":"025005","source":"DOI.org (Crossref)","title":"Research infrastructure challenges in preparing essential biodiversity variables data products for alien invasive species","URL":"https://iopscience.iop.org/article/10.1088/1748-9326/aaf5db","volume":"14","author":[{"family":"Hardisty","given":"Alex R"},{"family":"Belbin","given":"Lee"},{"family":"Hobern","given":"Donald"},{"family":"McGeoch","given":"Melodie A."},{"family":"Pirzl","given":"Rebecca"},{"family":"Williams","given":"Kristen J"},{"family":"Kissling","given":"W Daniel"}],"accessed":{"date-parts":[["2020",6,15]]},"issued":{"date-parts":[["2019",2,1]]}},"label":"page"}],"schema":"https://github.com/citation-style-language/schema/raw/master/csl-citation.json"} </w:instrText>
      </w:r>
      <w:r w:rsidR="001156AE" w:rsidRPr="00A9434B">
        <w:rPr>
          <w:rFonts w:eastAsia="Calibri Light"/>
        </w:rPr>
        <w:fldChar w:fldCharType="separate"/>
      </w:r>
      <w:r w:rsidR="00C71E80" w:rsidRPr="00A9434B">
        <w:t>(Hardisty et al., 2019)</w:t>
      </w:r>
      <w:r w:rsidR="001156AE" w:rsidRPr="00A9434B">
        <w:rPr>
          <w:rFonts w:eastAsia="Calibri Light"/>
        </w:rPr>
        <w:fldChar w:fldCharType="end"/>
      </w:r>
      <w:r w:rsidR="4A54CEE4" w:rsidRPr="00A9434B">
        <w:rPr>
          <w:rFonts w:eastAsia="Calibri Light"/>
        </w:rPr>
        <w:t>.</w:t>
      </w:r>
      <w:r>
        <w:t xml:space="preserve"> </w:t>
      </w:r>
    </w:p>
    <w:p w14:paraId="61FE0025" w14:textId="499C054C" w:rsidR="00CC4659" w:rsidRPr="00A9434B" w:rsidRDefault="4A54CEE4" w:rsidP="006B3143">
      <w:pPr>
        <w:rPr>
          <w:rFonts w:eastAsia="Calibri Light"/>
          <w:color w:val="751D20"/>
        </w:rPr>
      </w:pPr>
      <w:r w:rsidRPr="00A9434B">
        <w:rPr>
          <w:rFonts w:eastAsia="Calibri Light"/>
        </w:rPr>
        <w:t xml:space="preserve">Automated workflows </w:t>
      </w:r>
      <w:r w:rsidR="00855BD7" w:rsidRPr="00A9434B">
        <w:rPr>
          <w:rFonts w:eastAsia="Calibri Light"/>
        </w:rPr>
        <w:t xml:space="preserve">for invasive alien species data integration and analysis </w:t>
      </w:r>
      <w:r w:rsidRPr="00A9434B">
        <w:rPr>
          <w:rFonts w:eastAsia="Calibri Light"/>
        </w:rPr>
        <w:t>have the advantage over bespoke program</w:t>
      </w:r>
      <w:r w:rsidR="008F67D3" w:rsidRPr="00A9434B">
        <w:rPr>
          <w:rFonts w:eastAsia="Calibri Light"/>
        </w:rPr>
        <w:t>me</w:t>
      </w:r>
      <w:r w:rsidRPr="00A9434B">
        <w:rPr>
          <w:rFonts w:eastAsia="Calibri Light"/>
        </w:rPr>
        <w:t>s and semi-automated processes in that they are flexible, repeatable, easily shared and can be repurposed</w:t>
      </w:r>
      <w:r w:rsidR="02FA8694" w:rsidRPr="00A9434B">
        <w:rPr>
          <w:rFonts w:eastAsia="Calibri Light"/>
        </w:rPr>
        <w:t xml:space="preserve"> (</w:t>
      </w:r>
      <w:r w:rsidR="2A47531F" w:rsidRPr="00A9434B">
        <w:rPr>
          <w:rFonts w:eastAsia="Calibri Light"/>
        </w:rPr>
        <w:t>e.g.,</w:t>
      </w:r>
      <w:r w:rsidR="3897A083" w:rsidRPr="00A9434B">
        <w:rPr>
          <w:rFonts w:eastAsia="Calibri Light"/>
        </w:rPr>
        <w:t xml:space="preserve"> </w:t>
      </w:r>
      <w:r w:rsidR="639933B3" w:rsidRPr="00A9434B">
        <w:rPr>
          <w:rFonts w:eastAsia="Calibri Light"/>
        </w:rPr>
        <w:fldChar w:fldCharType="begin"/>
      </w:r>
      <w:r w:rsidR="002D2756">
        <w:rPr>
          <w:rFonts w:eastAsia="Calibri Light"/>
        </w:rPr>
        <w:instrText xml:space="preserve"> ADDIN ZOTERO_ITEM CSL_CITATION {"citationID":"A43EVYeE","properties":{"unsorted":true,"formattedCitation":"(Seebens et al., 2020; Reyserhove et al., 2020)","plainCitation":"(Seebens et al., 2020; Reyserhove et al., 2020)","dontUpdate":true,"noteIndex":0},"citationItems":[{"id":56692,"uris":["http://zotero.org/groups/2352922/items/L4IWE76I","http://zotero.org/groups/2352922/items/B4GEBN7L"],"itemData":{"id":56692,"type":"article-journal","abstract":"Biodiversity data are being collected at unprecedented rates. Such data often have significant value for purposes beyond the initial reason for which they were collected, particularly when they are combined and collated with other data sources. In the field of invasion ecology, however, integrating data represents a major challenge due to the notorious lack of standardisation of terminologies and categorisations, and the application of deviating concepts of biological invasions. Here, we introduce the SInAS workflow, short for Standardising and Integrating Alien Species data. The SInAS workflow standardises terminologies following Darwin Core, location names using a proposed translation table, taxon names based on the GBIF backbone taxonomy, and dates of first records based on a set of predefined rules. The output of the SInAS workflow provides various entry points that can be used both to improve coherence among the databases and to check and correct the original data. The workflow is flexible and can be easily adapted and extended to the needs of different users. We illustrate the workflow using a case-study integrating five widely used global databases of information on biological invasions. The comparison of the standardised databases revealed a surprisingly low degree of overlap, which indicates that the amount of data may currently not be fully exploited in the original databases. We highly recommend the use and development of publicly available workflows to ensure that the integration of databases is reproducible and transparent. Workflows, such as SInAS, ultimately increase trust in data, study results, and conclusions.","container-title":"NeoBiota","DOI":"10.3897/neobiota.59.53578","ISSN":"1314-2488, 1619-0033","journalAbbreviation":"NB","page":"39-59","source":"DOI.org (Crossref)","title":"A workflow for standardising and integrating alien species distribution data","URL":"https://neobiota.pensoft.net/article/53578/","volume":"59","author":[{"family":"Seebens","given":"Hanno"},{"family":"Clarke","given":"David A."},{"family":"Groom","given":"Quentin"},{"family":"Wilson","given":"John R. U."},{"family":"García-Berthou","given":"Emili"},{"family":"Kühn","given":"Ingolf"},{"family":"Roigé","given":"Mariona"},{"family":"Pagad","given":"Shyama"},{"family":"Essl","given":"Franz"},{"family":"Vicente","given":"Joana"},{"family":"Winter","given":"Marten"},{"family":"McGeoch","given":"Melodie A."}],"accessed":{"date-parts":[["2023",6,8]]},"issued":{"date-parts":[["2020",7,28]]}},"label":"page"},{"id":32148,"uris":["http://zotero.org/groups/2352922/items/R3BQXR2X"],"itemData":{"id":32148,"type":"article-journal","abstract":"Abstract\n            Species checklists are a crucial source of information for research and policy. Unfortunately, many traditional species checklists vary wildly in their content, format, availability and maintenance. The fact that these are not open, findable, accessible, interoperable and reusable (FAIR) severely hampers fast and efficient information flow to policy and decision-making that are required to tackle the current biodiversity crisis. Here, we propose a reproducible, semi-automated workflow to transform traditional checklist data into a FAIR and open species registry. We showcase our workflow by applying it to the publication of the Manual of Alien Plants, a species checklist specifically developed for the Tracking Invasive Alien Species (TrIAS) project. Our approach combines source data management, reproducible data transformation to Darwin Core using R, version control, data documentation and publication to the Global Biodiversity Information Facility (GBIF). This checklist publication workflow is openly available for data holders and applicable to species registries varying in thematic, taxonomic or geographical scope and could serve as an important tool to open up research and strengthen environmental decision-making.","container-title":"Database","DOI":"10.1093/database/baaa084","ISSN":"1758-0463","language":"en","page":"baaa084","source":"DOI.org (Crossref)","title":"A checklist recipe: making species data open and FAIR","title-short":"A checklist recipe","URL":"https://academic.oup.com/database/article/doi/10.1093/database/baaa084/5979745","volume":"2020","author":[{"family":"Reyserhove","given":"Lien"},{"family":"Desmet","given":"Peter"},{"family":"Oldoni","given":"Damiano"},{"family":"Adriaens","given":"Tim"},{"family":"Strubbe","given":"Diederik"},{"family":"Davis","given":"Amy J S"},{"family":"Vanderhoeven","given":"Sonia"},{"family":"Verloove","given":"Filip"},{"family":"Groom","given":"Quentin"}],"accessed":{"date-parts":[["2021",12,6]]},"issued":{"date-parts":[["2020",1,1]]}},"label":"page"}],"schema":"https://github.com/citation-style-language/schema/raw/master/csl-citation.json"} </w:instrText>
      </w:r>
      <w:r w:rsidR="639933B3" w:rsidRPr="00A9434B">
        <w:rPr>
          <w:rFonts w:eastAsia="Calibri Light"/>
        </w:rPr>
        <w:fldChar w:fldCharType="separate"/>
      </w:r>
      <w:r w:rsidR="00F55BC6" w:rsidRPr="00F55BC6">
        <w:t>Seebens et al., 2020; Reyserhove et al., 2020)</w:t>
      </w:r>
      <w:r w:rsidR="639933B3" w:rsidRPr="00A9434B">
        <w:rPr>
          <w:rFonts w:eastAsia="Calibri Light"/>
        </w:rPr>
        <w:fldChar w:fldCharType="end"/>
      </w:r>
      <w:r w:rsidRPr="00A9434B">
        <w:t>. They ca</w:t>
      </w:r>
      <w:r w:rsidRPr="00A9434B">
        <w:rPr>
          <w:rFonts w:eastAsia="Calibri Light"/>
        </w:rPr>
        <w:t xml:space="preserve">n also take advantage of code written by many people and use shared resources. </w:t>
      </w:r>
      <w:r w:rsidR="0075157E" w:rsidRPr="00A9434B">
        <w:rPr>
          <w:rFonts w:eastAsia="Calibri Light"/>
        </w:rPr>
        <w:t xml:space="preserve">Workflows </w:t>
      </w:r>
      <w:r w:rsidRPr="00A9434B">
        <w:rPr>
          <w:rFonts w:eastAsia="Calibri Light"/>
        </w:rPr>
        <w:t xml:space="preserve">fit well into </w:t>
      </w:r>
      <w:r w:rsidRPr="00A9434B">
        <w:rPr>
          <w:rFonts w:eastAsia="Calibri Light"/>
        </w:rPr>
        <w:lastRenderedPageBreak/>
        <w:t xml:space="preserve">the ethos of open source and open science practice </w:t>
      </w:r>
      <w:r w:rsidR="001156AE" w:rsidRPr="00A9434B">
        <w:rPr>
          <w:rFonts w:eastAsia="Calibri Light"/>
        </w:rPr>
        <w:fldChar w:fldCharType="begin"/>
      </w:r>
      <w:r w:rsidR="002D2756">
        <w:rPr>
          <w:rFonts w:eastAsia="Calibri Light"/>
        </w:rPr>
        <w:instrText xml:space="preserve"> ADDIN ZOTERO_ITEM CSL_CITATION {"citationID":"a2puh10u656","properties":{"formattedCitation":"(Goble et al., 2010)","plainCitation":"(Goble et al., 2010)","noteIndex":0},"citationItems":[{"id":22628,"uris":["http://zotero.org/groups/2352922/items/Y55K7UGD"],"itemData":{"id":22628,"type":"article-journal","container-title":"Nucleic Acids Research","DOI":"10.1093/nar/gkq429","ISSN":"1362-4962, 0305-1048","issue":"suppl_2","language":"en","page":"W677-W682","source":"DOI.org (Crossref)","title":"myExperiment: a repository and social network for the sharing of bioinformatics workflows","title-short":"myExperiment","URL":"https://academic.oup.com/nar/article-lookup/doi/10.1093/nar/gkq429","volume":"38","author":[{"family":"Goble","given":"Carole A."},{"family":"Bhagat","given":"Jiten"},{"family":"Aleksejevs","given":"Sergejs"},{"family":"Cruickshank","given":"Don"},{"family":"Michaelides","given":"Danius"},{"family":"Newman","given":"David"},{"family":"Borkum","given":"Mark"},{"family":"Bechhofer","given":"Sean"},{"family":"Roos","given":"Marco"},{"family":"Li","given":"Peter"},{"family":"De Roure","given":"David"}],"accessed":{"date-parts":[["2020",6,15]]},"issued":{"date-parts":[["2010",7,1]]}},"label":"page"}],"schema":"https://github.com/citation-style-language/schema/raw/master/csl-citation.json"} </w:instrText>
      </w:r>
      <w:r w:rsidR="001156AE" w:rsidRPr="00A9434B">
        <w:rPr>
          <w:rFonts w:eastAsia="Calibri Light"/>
        </w:rPr>
        <w:fldChar w:fldCharType="separate"/>
      </w:r>
      <w:r w:rsidR="00C71E80" w:rsidRPr="00A9434B">
        <w:t>(Goble et al., 2010)</w:t>
      </w:r>
      <w:r w:rsidR="001156AE" w:rsidRPr="00A9434B">
        <w:rPr>
          <w:rFonts w:eastAsia="Calibri Light"/>
        </w:rPr>
        <w:fldChar w:fldCharType="end"/>
      </w:r>
      <w:r w:rsidRPr="00A9434B">
        <w:rPr>
          <w:rFonts w:eastAsia="Calibri Light"/>
        </w:rPr>
        <w:t xml:space="preserve">. Although </w:t>
      </w:r>
      <w:r w:rsidR="0075157E" w:rsidRPr="00A9434B">
        <w:rPr>
          <w:rFonts w:eastAsia="Calibri Light"/>
        </w:rPr>
        <w:t>they are not yet widely used for invasive alien species</w:t>
      </w:r>
      <w:r w:rsidRPr="00A9434B">
        <w:rPr>
          <w:rFonts w:eastAsia="Calibri Light"/>
        </w:rPr>
        <w:t xml:space="preserve"> data analysis, examples exist </w:t>
      </w:r>
      <w:r w:rsidR="001156AE" w:rsidRPr="00A9434B">
        <w:rPr>
          <w:rFonts w:eastAsia="Calibri Light"/>
        </w:rPr>
        <w:fldChar w:fldCharType="begin"/>
      </w:r>
      <w:r w:rsidR="002D2756">
        <w:rPr>
          <w:rFonts w:eastAsia="Calibri Light"/>
        </w:rPr>
        <w:instrText xml:space="preserve"> ADDIN ZOTERO_ITEM CSL_CITATION {"citationID":"QAKqhtyh","properties":{"formattedCitation":"(De Giovanni et al., 2016; Seebens et al., 2020)","plainCitation":"(De Giovanni et al., 2016; Seebens et al., 2020)","dontUpdate":true,"noteIndex":0},"citationItems":[{"id":22622,"uris":["http://zotero.org/groups/2352922/items/BJYQGSUF"],"itemData":{"id":22622,"type":"article-journal","container-title":"Ecography","DOI":"10.1111/ecog.01552","ISSN":"09067590","issue":"4","journalAbbreviation":"Ecography","language":"en","page":"376-383","source":"DOI.org (Crossref)","title":"ENM Components: a new set of web service-based workflow components for ecological niche modelling","title-short":"ENM Components","URL":"http://doi.wiley.com/10.1111/ecog.01552","volume":"39","author":[{"family":"De Giovanni","given":"Renato"},{"family":"Williams","given":"Alan R."},{"family":"Ernst","given":"Vera Hernández"},{"family":"Kulawik","given":"Robert"},{"family":"Fernandez","given":"Francisco Quevedo"},{"family":"Hardisty","given":"Alex R."}],"accessed":{"date-parts":[["2020",6,15]]},"issued":{"date-parts":[["2016",4]]}},"label":"page"},{"id":56692,"uris":["http://zotero.org/groups/2352922/items/L4IWE76I","http://zotero.org/groups/2352922/items/B4GEBN7L"],"itemData":{"id":56692,"type":"article-journal","abstract":"Biodiversity data are being collected at unprecedented rates. Such data often have significant value for purposes beyond the initial reason for which they were collected, particularly when they are combined and collated with other data sources. In the field of invasion ecology, however, integrating data represents a major challenge due to the notorious lack of standardisation of terminologies and categorisations, and the application of deviating concepts of biological invasions. Here, we introduce the SInAS workflow, short for Standardising and Integrating Alien Species data. The SInAS workflow standardises terminologies following Darwin Core, location names using a proposed translation table, taxon names based on the GBIF backbone taxonomy, and dates of first records based on a set of predefined rules. The output of the SInAS workflow provides various entry points that can be used both to improve coherence among the databases and to check and correct the original data. The workflow is flexible and can be easily adapted and extended to the needs of different users. We illustrate the workflow using a case-study integrating five widely used global databases of information on biological invasions. The comparison of the standardised databases revealed a surprisingly low degree of overlap, which indicates that the amount of data may currently not be fully exploited in the original databases. We highly recommend the use and development of publicly available workflows to ensure that the integration of databases is reproducible and transparent. Workflows, such as SInAS, ultimately increase trust in data, study results, and conclusions.","container-title":"NeoBiota","DOI":"10.3897/neobiota.59.53578","ISSN":"1314-2488, 1619-0033","journalAbbreviation":"NB","page":"39-59","source":"DOI.org (Crossref)","title":"A workflow for standardising and integrating alien species distribution data","URL":"https://neobiota.pensoft.net/article/53578/","volume":"59","author":[{"family":"Seebens","given":"Hanno"},{"family":"Clarke","given":"David A."},{"family":"Groom","given":"Quentin"},{"family":"Wilson","given":"John R. U."},{"family":"García-Berthou","given":"Emili"},{"family":"Kühn","given":"Ingolf"},{"family":"Roigé","given":"Mariona"},{"family":"Pagad","given":"Shyama"},{"family":"Essl","given":"Franz"},{"family":"Vicente","given":"Joana"},{"family":"Winter","given":"Marten"},{"family":"McGeoch","given":"Melodie A."}],"accessed":{"date-parts":[["2023",6,8]]},"issued":{"date-parts":[["2020",7,28]]}},"label":"page"}],"schema":"https://github.com/citation-style-language/schema/raw/master/csl-citation.json"} </w:instrText>
      </w:r>
      <w:r w:rsidR="001156AE" w:rsidRPr="00A9434B">
        <w:rPr>
          <w:rFonts w:eastAsia="Calibri Light"/>
        </w:rPr>
        <w:fldChar w:fldCharType="separate"/>
      </w:r>
      <w:r w:rsidR="00F55BC6" w:rsidRPr="00F55BC6">
        <w:t>(De Giovanni et al., 2016; Seebens et al., 2020</w:t>
      </w:r>
      <w:r w:rsidR="001156AE" w:rsidRPr="00A9434B">
        <w:rPr>
          <w:rFonts w:eastAsia="Calibri Light"/>
        </w:rPr>
        <w:fldChar w:fldCharType="end"/>
      </w:r>
      <w:r w:rsidR="0075157E" w:rsidRPr="00A9434B">
        <w:rPr>
          <w:rFonts w:eastAsia="Calibri Light"/>
        </w:rPr>
        <w:t>;</w:t>
      </w:r>
      <w:r w:rsidR="200B4225" w:rsidRPr="00A9434B">
        <w:rPr>
          <w:color w:val="751D20"/>
        </w:rPr>
        <w:t xml:space="preserve"> </w:t>
      </w:r>
      <w:r w:rsidR="00B9562C" w:rsidRPr="00673554">
        <w:rPr>
          <w:b/>
          <w:bCs/>
          <w:iCs/>
        </w:rPr>
        <w:fldChar w:fldCharType="begin"/>
      </w:r>
      <w:r w:rsidR="00B9562C" w:rsidRPr="00673554">
        <w:rPr>
          <w:b/>
          <w:bCs/>
          <w:iCs/>
        </w:rPr>
        <w:instrText xml:space="preserve"> REF _Ref104898934 \h  \* MERGEFORMAT </w:instrText>
      </w:r>
      <w:r w:rsidR="00B9562C" w:rsidRPr="00673554">
        <w:rPr>
          <w:b/>
          <w:bCs/>
          <w:iCs/>
        </w:rPr>
      </w:r>
      <w:r w:rsidR="00B9562C" w:rsidRPr="00673554">
        <w:rPr>
          <w:b/>
          <w:bCs/>
          <w:iCs/>
        </w:rPr>
        <w:fldChar w:fldCharType="separate"/>
      </w:r>
      <w:r w:rsidR="0011368C" w:rsidRPr="00673554">
        <w:rPr>
          <w:b/>
          <w:bCs/>
          <w:iCs/>
        </w:rPr>
        <w:t>Box 6.21</w:t>
      </w:r>
      <w:r w:rsidR="00B9562C" w:rsidRPr="00673554">
        <w:rPr>
          <w:b/>
          <w:bCs/>
          <w:iCs/>
        </w:rPr>
        <w:fldChar w:fldCharType="end"/>
      </w:r>
      <w:r w:rsidR="200B4225" w:rsidRPr="00A9434B">
        <w:t>).</w:t>
      </w:r>
    </w:p>
    <w:p w14:paraId="2540EBD2" w14:textId="5C5A7108" w:rsidR="00017C04" w:rsidRDefault="00CC4659">
      <w:r w:rsidRPr="00A9434B">
        <w:fldChar w:fldCharType="begin"/>
      </w:r>
      <w:r w:rsidRPr="00A9434B">
        <w:instrText>ADDIN EN.CITE &lt;EndNote&gt;&lt;Cite&gt;&lt;Author&gt;Hardisty&lt;/Author&gt;&lt;Year&gt;2019&lt;/Year&gt;&lt;RecNum&gt;220&lt;/RecNum&gt;&lt;DisplayText&gt;(Hardisty, Belbin et al. 2019)&lt;/DisplayText&gt;&lt;record&gt;&lt;rec-number&gt;282&lt;/rec-number&gt;&lt;foreign-keys&gt;&lt;key app="EN" db-id="0d55paxdcvwpebe55d1vrz5ne2pattprarta" timestamp="1597992735"&gt;282&lt;/key&gt;&lt;/foreign-keys&gt;&lt;ref-type name="Journal Article"&gt;17&lt;/ref-type&gt;&lt;contributors&gt;&lt;authors&gt;&lt;author&gt;Hardisty, Alex R.&lt;/author&gt;&lt;author&gt;Belbin, Lee&lt;/author&gt;&lt;author&gt;Hobern, Donald&lt;/author&gt;&lt;author&gt;McGeoch, Melodie A.&lt;/author&gt;&lt;author&gt;Pirzl, Rebecca&lt;/author&gt;&lt;author&gt;Williams, Kristen J.&lt;/author&gt;&lt;author&gt;Kissling, W. Daniel&lt;/author&gt;&lt;/authors&gt;&lt;/contributors&gt;&lt;titles&gt;&lt;title&gt;Research infrastructure challenges in preparing essential biodiversity variables data products for alien invasive species&lt;/title&gt;&lt;secondary-title&gt;Environmental Research Letters&lt;/secondary-title&gt;&lt;alt-title&gt;Environ. Res. Lett.&lt;/alt-title&gt;&lt;/titles&gt;&lt;periodical&gt;&lt;full-title&gt;Environmental Research Letters&lt;/full-title&gt;&lt;abbr-1&gt;Environ. Res. Lett.&lt;/abbr-1&gt;&lt;/periodical&gt;&lt;alt-periodical&gt;&lt;full-title&gt;Environmental Research Letters&lt;/full-title&gt;&lt;abbr-1&gt;Environ. Res. Lett.&lt;/abbr-1&gt;&lt;/alt-periodical&gt;&lt;pages&gt;025005&lt;/pages&gt;&lt;volume&gt;14&lt;/volume&gt;&lt;number&gt;2&lt;/number&gt;&lt;dates&gt;&lt;year&gt;2019&lt;/year&gt;&lt;pub-dates&gt;&lt;date&gt;2019/02/01/&lt;/date&gt;&lt;/pub-dates&gt;&lt;/dates&gt;&lt;isbn&gt;1748-9326&lt;/isbn&gt;&lt;urls&gt;&lt;related-urls&gt;&lt;url&gt;https://iopscience.iop.org/article/10.1088/1748-9326/aaf5db&lt;/url&gt;&lt;/related-urls&gt;&lt;/urls&gt;&lt;electronic-resource-num&gt;10.1088/1748-9326/aaf5db&lt;/electronic-resource-num&gt;&lt;remote-database-provider&gt;DOI.org (Crossref)&lt;/remote-database-provider&gt;&lt;access-date&gt;2020/06/15/07:54:44&lt;/access-date&gt;&lt;/record&gt;&lt;/Cite&gt;&lt;/EndNote&gt;</w:instrText>
      </w:r>
      <w:r w:rsidRPr="00A9434B">
        <w:fldChar w:fldCharType="end"/>
      </w:r>
      <w:r w:rsidR="00F50AF9">
        <w:t xml:space="preserve">A trial was conducted on the species distributions for three widespread invasive alien species to generate data ready to be used in essential biodiversity variables (EBVs; </w:t>
      </w:r>
      <w:r w:rsidRPr="00A9434B">
        <w:rPr>
          <w:rFonts w:eastAsia="Calibri Light"/>
        </w:rPr>
        <w:fldChar w:fldCharType="begin"/>
      </w:r>
      <w:r w:rsidR="002D2756">
        <w:rPr>
          <w:rFonts w:eastAsia="Calibri Light"/>
        </w:rPr>
        <w:instrText xml:space="preserve"> ADDIN ZOTERO_ITEM CSL_CITATION {"citationID":"17r3Zfch","properties":{"formattedCitation":"(Hardisty et al., 2019)","plainCitation":"(Hardisty et al., 2019)","dontUpdate":true,"noteIndex":0},"citationItems":[{"id":10450,"uris":["http://zotero.org/groups/2352922/items/83KKFJI6"],"itemData":{"id":10450,"type":"article-journal","container-title":"Environmental Research Letters","DOI":"10.1088/1748-9326/aaf5db","ISSN":"1748-9326","issue":"2","journalAbbreviation":"Environ. Res. Lett.","page":"025005","source":"DOI.org (Crossref)","title":"Research infrastructure challenges in preparing essential biodiversity variables data products for alien invasive species","URL":"https://iopscience.iop.org/article/10.1088/1748-9326/aaf5db","volume":"14","author":[{"family":"Hardisty","given":"Alex R"},{"family":"Belbin","given":"Lee"},{"family":"Hobern","given":"Donald"},{"family":"McGeoch","given":"Melodie A."},{"family":"Pirzl","given":"Rebecca"},{"family":"Williams","given":"Kristen J"},{"family":"Kissling","given":"W Daniel"}],"accessed":{"date-parts":[["2020",6,15]]},"issued":{"date-parts":[["2019",2,1]]}},"label":"page"}],"schema":"https://github.com/citation-style-language/schema/raw/master/csl-citation.json"} </w:instrText>
      </w:r>
      <w:r w:rsidRPr="00A9434B">
        <w:rPr>
          <w:rFonts w:eastAsia="Calibri Light"/>
        </w:rPr>
        <w:fldChar w:fldCharType="separate"/>
      </w:r>
      <w:r w:rsidR="00F55BC6" w:rsidRPr="00F55BC6">
        <w:t>Hardisty et al., 2019)</w:t>
      </w:r>
      <w:r w:rsidRPr="00A9434B">
        <w:rPr>
          <w:rFonts w:eastAsia="Calibri Light"/>
        </w:rPr>
        <w:fldChar w:fldCharType="end"/>
      </w:r>
      <w:r w:rsidRPr="00A9434B">
        <w:rPr>
          <w:rFonts w:eastAsia="Calibri Light"/>
        </w:rPr>
        <w:t>.</w:t>
      </w:r>
      <w:r w:rsidR="00F50AF9">
        <w:t xml:space="preserve"> This work identified some areas where research investment in data information systems for invasive alien species is needed. The workflow was based on the large open infrastructures GBIF and Atlas of Living Australia. They encountered several difficulties in fully automating their workflow, which served the purpose of identifying where further advances are needed in data integration methods and standards. Even though these infrastructures are based on the same standards, they encountered many inconsistencies between datasets, and required considerable manual expert input to complete the workflow. At a continental scale, a completely automated workflow has been created in the programming language R, specifically for generating indicators and models of invasive alien species distributions </w:t>
      </w:r>
      <w:r w:rsidRPr="00A9434B">
        <w:fldChar w:fldCharType="begin"/>
      </w:r>
      <w:r w:rsidR="002D2756">
        <w:instrText xml:space="preserve"> ADDIN ZOTERO_ITEM CSL_CITATION {"citationID":"al1pktp383","properties":{"formattedCitation":"(Oldoni et al., 2020)","plainCitation":"(Oldoni et al., 2020)","noteIndex":0},"citationItems":[{"id":22620,"uris":["http://zotero.org/groups/2352922/items/KZCKW6G2"],"itemData":{"id":22620,"type":"report","abstract":"In this paper we describe a method of aggregating species occurrence data into what we coined “occurrence cubes”. The aggregated data can be perceived as a cube with three dimensions - taxonomic, temporal and geographic - and takes into account the spatial uncertainty of each occurrence. The aggregation level of each of the three dimensions can be adapted to the scope. Built on Open Science principles, the method is easily automated and reproducible, and can be used for species trend indicators, maps and distribution models. We are using the method to aggregate species occurrence data for Europe per taxon, year and 1km\n            2\n            European reference grid, to feed indicators and risk mapping/modelling for the Tracking Invasive Alien Species (TrIAS) project.","genre":"preprint","language":"en","note":"DOI: 10.1101/2020.03.23.983601","publisher":"Ecology","source":"DOI.org (Crossref)","title":"Occurrence cubes: a new paradigm for aggregating species occurrence data","title-short":"Occurrence cubes","URL":"http://biorxiv.org/lookup/doi/10.1101/2020.03.23.983601","author":[{"family":"Oldoni","given":"Damiano"},{"family":"Groom","given":"Quentin"},{"family":"Adriaens","given":"Tim"},{"family":"Davis","given":"Amy J.S."},{"family":"Reyserhove","given":"Lien"},{"family":"Strubbe","given":"Diederik"},{"family":"Vanderhoeven","given":"Sonia"},{"family":"Desmet","given":"Peter"}],"accessed":{"date-parts":[["2020",6,15]]},"issued":{"date-parts":[["2020",3,25]]}},"label":"page"}],"schema":"https://github.com/citation-style-language/schema/raw/master/csl-citation.json"} </w:instrText>
      </w:r>
      <w:r w:rsidRPr="00A9434B">
        <w:fldChar w:fldCharType="separate"/>
      </w:r>
      <w:r w:rsidR="00C71E80" w:rsidRPr="00A9434B">
        <w:t>(Oldoni et al., 2020)</w:t>
      </w:r>
      <w:r w:rsidRPr="00A9434B">
        <w:fldChar w:fldCharType="end"/>
      </w:r>
      <w:r w:rsidRPr="00A9434B">
        <w:rPr>
          <w:rFonts w:eastAsia="Calibri Light"/>
        </w:rPr>
        <w:t>.</w:t>
      </w:r>
      <w:r w:rsidR="00F50AF9">
        <w:t xml:space="preserve"> Ultimately, it is conceivable that automated workflows will be built to generate essential biodiversity variables (EBVs) at a global scale; however, research and development are still needed to resolve data consistency problems and to develop analytic models.</w:t>
      </w:r>
    </w:p>
    <w:p w14:paraId="46A3A630" w14:textId="458C4E6D" w:rsidR="00017C04" w:rsidRDefault="00F50AF9" w:rsidP="007D5DC6">
      <w:pPr>
        <w:pStyle w:val="Heading3"/>
      </w:pPr>
      <w:bookmarkStart w:id="588" w:name="_heading=h.44bvf6o" w:colFirst="0" w:colLast="0"/>
      <w:bookmarkStart w:id="589" w:name="_Toc1367967356"/>
      <w:bookmarkStart w:id="590" w:name="_Toc133428357"/>
      <w:bookmarkEnd w:id="588"/>
      <w:r>
        <w:t>Open science - open data for invasive alien species</w:t>
      </w:r>
      <w:bookmarkEnd w:id="589"/>
      <w:bookmarkEnd w:id="590"/>
    </w:p>
    <w:p w14:paraId="28AE1A90" w14:textId="4804B371" w:rsidR="00CC4659" w:rsidRPr="00A9434B" w:rsidRDefault="639933B3" w:rsidP="006B3143">
      <w:pPr>
        <w:rPr>
          <w:rFonts w:eastAsia="Calibri Light"/>
        </w:rPr>
      </w:pPr>
      <w:r w:rsidRPr="00A9434B">
        <w:rPr>
          <w:rFonts w:eastAsia="Calibri Light"/>
        </w:rPr>
        <w:t>The Open Knowledge Foundation defines “Open” as “…anyone can freely access, use, modify</w:t>
      </w:r>
      <w:r w:rsidR="00EB415D">
        <w:rPr>
          <w:rFonts w:eastAsia="Calibri Light"/>
        </w:rPr>
        <w:t xml:space="preserve"> and</w:t>
      </w:r>
      <w:r w:rsidRPr="00A9434B">
        <w:rPr>
          <w:rFonts w:eastAsia="Calibri Light"/>
        </w:rPr>
        <w:t xml:space="preserve"> share for any purpose (subject, at most, to requirements that preserve provenance and openness)”</w:t>
      </w:r>
      <w:r w:rsidR="000112F6" w:rsidRPr="00A9434B">
        <w:rPr>
          <w:rFonts w:eastAsia="Calibri Light"/>
        </w:rPr>
        <w:t xml:space="preserve"> </w:t>
      </w:r>
      <w:r w:rsidR="0029024D" w:rsidRPr="00A9434B">
        <w:rPr>
          <w:rFonts w:eastAsia="Calibri Light"/>
        </w:rPr>
        <w:fldChar w:fldCharType="begin"/>
      </w:r>
      <w:r w:rsidR="002D2756">
        <w:rPr>
          <w:rFonts w:eastAsia="Calibri Light"/>
        </w:rPr>
        <w:instrText xml:space="preserve"> ADDIN ZOTERO_ITEM CSL_CITATION {"citationID":"ahjuputeci","properties":{"formattedCitation":"(Open Knowledge Foundation, 2021)","plainCitation":"(Open Knowledge Foundation, 2021)","noteIndex":0},"citationItems":[{"id":54759,"uris":["http://zotero.org/groups/2352922/items/AFWM8BZH"],"itemData":{"id":54759,"type":"webpage","title":"Open Definition - Defining Open in Open Data, Open Content and Open Knowledge","URL":"https://opendefinition.org/","author":[{"literal":"Open Knowledge Foundation"}],"accessed":{"date-parts":[["2021",11,3]]},"issued":{"date-parts":[["2021"]]}},"label":"page"}],"schema":"https://github.com/citation-style-language/schema/raw/master/csl-citation.json"} </w:instrText>
      </w:r>
      <w:r w:rsidR="0029024D" w:rsidRPr="00A9434B">
        <w:rPr>
          <w:rFonts w:eastAsia="Calibri Light"/>
        </w:rPr>
        <w:fldChar w:fldCharType="separate"/>
      </w:r>
      <w:r w:rsidR="00C71E80" w:rsidRPr="00A9434B">
        <w:t>(Open Knowledge Foundation, 2021)</w:t>
      </w:r>
      <w:r w:rsidR="0029024D" w:rsidRPr="00A9434B">
        <w:rPr>
          <w:rFonts w:eastAsia="Calibri Light"/>
        </w:rPr>
        <w:fldChar w:fldCharType="end"/>
      </w:r>
      <w:r w:rsidR="0029024D" w:rsidRPr="00A9434B">
        <w:rPr>
          <w:rFonts w:eastAsia="Calibri Light"/>
        </w:rPr>
        <w:t>.</w:t>
      </w:r>
      <w:r w:rsidRPr="00A9434B">
        <w:rPr>
          <w:rFonts w:eastAsia="Calibri Light"/>
        </w:rPr>
        <w:t xml:space="preserve"> </w:t>
      </w:r>
      <w:r w:rsidR="00CC4659" w:rsidRPr="00A9434B">
        <w:rPr>
          <w:rFonts w:eastAsia="Calibri Light"/>
        </w:rPr>
        <w:t xml:space="preserve">The </w:t>
      </w:r>
      <w:r w:rsidR="00C212F1" w:rsidRPr="00A9434B">
        <w:rPr>
          <w:rFonts w:eastAsia="Calibri Light"/>
        </w:rPr>
        <w:t xml:space="preserve">open data </w:t>
      </w:r>
      <w:r w:rsidR="00CC4659" w:rsidRPr="00A9434B">
        <w:rPr>
          <w:rFonts w:eastAsia="Calibri Light"/>
        </w:rPr>
        <w:t>movement has been an important driving force increasing access to data</w:t>
      </w:r>
      <w:r w:rsidR="00CC4659" w:rsidRPr="00A9434B">
        <w:t xml:space="preserve"> </w:t>
      </w:r>
      <w:r w:rsidR="001156AE" w:rsidRPr="00A9434B">
        <w:fldChar w:fldCharType="begin"/>
      </w:r>
      <w:r w:rsidR="002D2756">
        <w:instrText xml:space="preserve"> ADDIN ZOTERO_ITEM CSL_CITATION {"citationID":"a11fs328bqb","properties":{"formattedCitation":"(Molloy, 2011)","plainCitation":"(Molloy, 2011)","noteIndex":0},"citationItems":[{"id":16127,"uris":["http://zotero.org/groups/2352922/items/IT5KHH3P"],"itemData":{"id":16127,"type":"article-journal","container-title":"PLoS Biology","DOI":"10.1371/journal.pbio.1001195","ISSN":"1545-7885","issue":"12","journalAbbreviation":"PLoS Biol","language":"en","page":"e1001195","source":"DOI.org (Crossref)","title":"The Open Knowledge Foundation: Open Data Means Better Science","title-short":"The Open Knowledge Foundation","URL":"https://dx.plos.org/10.1371/journal.pbio.1001195","volume":"9","author":[{"family":"Molloy","given":"Jennifer C."}],"accessed":{"date-parts":[["2019",11,23]]},"issued":{"date-parts":[["2011",12,6]]}},"label":"page"}],"schema":"https://github.com/citation-style-language/schema/raw/master/csl-citation.json"} </w:instrText>
      </w:r>
      <w:r w:rsidR="001156AE" w:rsidRPr="00A9434B">
        <w:fldChar w:fldCharType="separate"/>
      </w:r>
      <w:r w:rsidR="00C71E80" w:rsidRPr="00A9434B">
        <w:t>(Molloy, 2011)</w:t>
      </w:r>
      <w:r w:rsidR="001156AE" w:rsidRPr="00A9434B">
        <w:fldChar w:fldCharType="end"/>
      </w:r>
      <w:r w:rsidR="00AC6B49" w:rsidRPr="00A9434B">
        <w:t>, and can do the same for invasive alien species data</w:t>
      </w:r>
      <w:r w:rsidR="00CC4659" w:rsidRPr="00A9434B">
        <w:rPr>
          <w:rFonts w:eastAsia="Calibri Light"/>
        </w:rPr>
        <w:t xml:space="preserve">. This development has been motivated by the desire to improve transparency and reproducibility of science, but it also aims to improve the efficiency of science by avoiding unnecessary duplication of effort. </w:t>
      </w:r>
      <w:r w:rsidR="00AC6B49" w:rsidRPr="00A9434B">
        <w:rPr>
          <w:rFonts w:eastAsia="Calibri Light"/>
        </w:rPr>
        <w:t>T</w:t>
      </w:r>
      <w:r w:rsidR="00CC4659" w:rsidRPr="00A9434B">
        <w:rPr>
          <w:rFonts w:eastAsia="Calibri Light"/>
        </w:rPr>
        <w:t>he push toward open data is energi</w:t>
      </w:r>
      <w:r w:rsidR="00B87CCA" w:rsidRPr="00A9434B">
        <w:rPr>
          <w:rFonts w:eastAsia="Calibri Light"/>
        </w:rPr>
        <w:t>z</w:t>
      </w:r>
      <w:r w:rsidR="00CC4659" w:rsidRPr="00A9434B">
        <w:rPr>
          <w:rFonts w:eastAsia="Calibri Light"/>
        </w:rPr>
        <w:t xml:space="preserve">ed by the need for interoperability, particularly in complex, data-intensive science, such as </w:t>
      </w:r>
      <w:r w:rsidR="00AC6B49" w:rsidRPr="00A9434B">
        <w:rPr>
          <w:rFonts w:eastAsia="Calibri Light"/>
        </w:rPr>
        <w:t>invasion biology</w:t>
      </w:r>
      <w:r w:rsidR="00CC4659" w:rsidRPr="00A9434B">
        <w:rPr>
          <w:rFonts w:eastAsia="Calibri Light"/>
        </w:rPr>
        <w:t xml:space="preserve"> </w:t>
      </w:r>
      <w:r w:rsidR="001156AE" w:rsidRPr="00A9434B">
        <w:rPr>
          <w:rFonts w:eastAsia="Calibri Light"/>
        </w:rPr>
        <w:fldChar w:fldCharType="begin"/>
      </w:r>
      <w:r w:rsidR="002D2756">
        <w:rPr>
          <w:rFonts w:eastAsia="Calibri Light"/>
        </w:rPr>
        <w:instrText xml:space="preserve"> ADDIN ZOTERO_ITEM CSL_CITATION {"citationID":"a51bm83g5l","properties":{"formattedCitation":"(Reichman et al., 2011)","plainCitation":"(Reichman et al., 2011)","noteIndex":0},"citationItems":[{"id":17104,"uris":["http://zotero.org/groups/2352922/items/9DVUXITU"],"itemData":{"id":17104,"type":"article-journal","container-title":"Science","DOI":"10.1126/science.1197962","ISSN":"0036-8075, 1095-9203","issue":"6018","journalAbbreviation":"Science","language":"en","page":"703-705","source":"DOI.org (Crossref)","title":"Challenges and Opportunities of Open Data in Ecology","URL":"http://www.sciencemag.org/cgi/doi/10.1126/science.1197962","volume":"331","author":[{"family":"Reichman","given":"O. J."},{"family":"Jones","given":"M. B."},{"family":"Schildhauer","given":"M. P."}],"accessed":{"date-parts":[["2019",11,5]]},"issued":{"date-parts":[["2011",2,11]]}},"label":"page"}],"schema":"https://github.com/citation-style-language/schema/raw/master/csl-citation.json"} </w:instrText>
      </w:r>
      <w:r w:rsidR="001156AE" w:rsidRPr="00A9434B">
        <w:rPr>
          <w:rFonts w:eastAsia="Calibri Light"/>
        </w:rPr>
        <w:fldChar w:fldCharType="separate"/>
      </w:r>
      <w:r w:rsidR="00C71E80" w:rsidRPr="00A9434B">
        <w:t>(Reichman et al., 2011)</w:t>
      </w:r>
      <w:r w:rsidR="001156AE" w:rsidRPr="00A9434B">
        <w:rPr>
          <w:rFonts w:eastAsia="Calibri Light"/>
        </w:rPr>
        <w:fldChar w:fldCharType="end"/>
      </w:r>
      <w:r w:rsidR="00CC4659" w:rsidRPr="00A9434B">
        <w:rPr>
          <w:rFonts w:eastAsia="Calibri Light"/>
        </w:rPr>
        <w:t xml:space="preserve">. Several widely supported declarations have been penned to encourage open data sharing in biology and science in general </w:t>
      </w:r>
      <w:r w:rsidR="00CD63D5" w:rsidRPr="00A9434B">
        <w:rPr>
          <w:rFonts w:eastAsia="Calibri Light"/>
          <w:highlight w:val="yellow"/>
        </w:rPr>
        <w:fldChar w:fldCharType="begin"/>
      </w:r>
      <w:r w:rsidR="002D2756">
        <w:rPr>
          <w:rFonts w:eastAsia="Calibri Light"/>
          <w:highlight w:val="yellow"/>
        </w:rPr>
        <w:instrText xml:space="preserve"> ADDIN ZOTERO_ITEM CSL_CITATION {"citationID":"a20ha4r5opv","properties":{"formattedCitation":"(Budapest Open Access Initiative, 2012; pro-iBiosphere Consortium, 2014)","plainCitation":"(Budapest Open Access Initiative, 2012; pro-iBiosphere Consortium, 2014)","noteIndex":0},"citationItems":[{"id":16123,"uris":["http://zotero.org/groups/2352922/items/TH68YFLY"],"itemData":{"id":16123,"type":"webpage","title":"Budapest Open Access Initiative","URL":"https://www.budapestopenaccessinitiative.org/","author":[{"literal":"Budapest Open Access Initiative"}],"accessed":{"date-parts":[["2019",11,23]]},"issued":{"date-parts":[["2012"]]}},"label":"page"},{"id":12370,"uris":["http://zotero.org/groups/2352922/items/7FMZLIC5"],"itemData":{"id":12370,"type":"webpage","title":"The Bouchout Declaration for Open Biodiversity Knowledge Management","URL":"http://www.bouchoutdeclaration.org/","author":[{"literal":"pro-iBiosphere Consortium"}],"issued":{"date-parts":[["2014"]]}},"label":"page"}],"schema":"https://github.com/citation-style-language/schema/raw/master/csl-citation.json"} </w:instrText>
      </w:r>
      <w:r w:rsidR="00CD63D5" w:rsidRPr="00A9434B">
        <w:rPr>
          <w:rFonts w:eastAsia="Calibri Light"/>
          <w:highlight w:val="yellow"/>
        </w:rPr>
        <w:fldChar w:fldCharType="separate"/>
      </w:r>
      <w:r w:rsidR="00C71E80" w:rsidRPr="00A9434B">
        <w:t>(Budapest Open Access Initiative, 2012; pro-iBiosphere Consortium, 2014)</w:t>
      </w:r>
      <w:r w:rsidR="00CD63D5" w:rsidRPr="00A9434B">
        <w:rPr>
          <w:rFonts w:eastAsia="Calibri Light"/>
          <w:highlight w:val="yellow"/>
        </w:rPr>
        <w:fldChar w:fldCharType="end"/>
      </w:r>
      <w:r w:rsidR="00CC4659" w:rsidRPr="00A9434B">
        <w:rPr>
          <w:rFonts w:eastAsia="Calibri Light"/>
        </w:rPr>
        <w:t>. Indeed, there have been specific calls for data on invasive alien species, in particular, to be open</w:t>
      </w:r>
      <w:r w:rsidR="00CC4659" w:rsidRPr="00A9434B">
        <w:t xml:space="preserve"> </w:t>
      </w:r>
      <w:r w:rsidR="00536052" w:rsidRPr="00A9434B">
        <w:fldChar w:fldCharType="begin"/>
      </w:r>
      <w:r w:rsidR="002D2756">
        <w:instrText xml:space="preserve"> ADDIN ZOTERO_ITEM CSL_CITATION {"citationID":"a1sa9opv44i","properties":{"formattedCitation":"(Groom et al., 2015, 2017)","plainCitation":"(Groom et al., 2015, 2017)","noteIndex":0},"citationItems":[{"id":24358,"uris":["http://zotero.org/groups/2352922/items/2I9W5AI2"],"itemData":{"id":24358,"type":"article-journal","container-title":"Management of Biological Invasions","DOI":"10.3391/mbi.2015.6.2.02","ISSN":"19898649","issue":"2","journalAbbreviation":"MBI","page":"119-125","source":"DOI.org (Crossref)","title":"The importance of open data for invasive alien species research, policy and management","URL":"http://www.reabic.net/journals/mbi/2015/Issue2.aspx","volume":"6","author":[{"family":"Groom","given":"Quentin J."},{"family":"Desmet","given":"Peter"},{"family":"Vanderhoeven","given":"Sonia"},{"family":"Adriaens","given":"Tim"}],"accessed":{"date-parts":[["2019",10,12]]},"issued":{"date-parts":[["2015",6]]}},"label":"page"},{"id":12415,"uris":["http://zotero.org/groups/2352922/items/NAYRFWDU"],"itemData":{"id":12415,"type":"article-journal","abstract":"Science-based strategies to tackle biological invasions depend on recent, accurate, well-documented, standardised and openly accessible information on alien species. Currently and historically, biodiversity data are scattered in numerous disconnected data silos that lack interoperability. The situation is no different for alien species data, and this obstructs efficient retrieval, combination, and use of these kinds of information for research and policy-making. Standardization and interoperability are particularly important as many alien species related research and policy activities require pooling data. We describe seven ways that data on alien species can be made more accessible and useful: 1) Create data management plans; 2) Increase interoperability of information sources; 3) Document data through metadata; 4) Format data using existing standards; 5) Adopt controlled vocabularies; 6) Increase data availability; and 7) Ensure long-term data preservation. We identify four properties specific and integral to alien species data (species status, introduction pathway, degree of establishment, and impact mechanism) that are either missing from existing data standards or lack a recommended controlled vocabulary. Improved access to accurate, real-time and historical data will repay the long-term investment in data management infrastructure, by providing more accurate, timely and realistic analyses. If we improve core biodiversity data standards by developing their relevance to alien species, it will allow the automation of common activities regarding data processing in support of environmental policy. Furthermore, we call for considerable effort to maintain, update, standardise, archive, and aggregate datasets, to ensure proper valorisation of alien species data and information before they become obsolete or lost.","container-title":"Frontiers in Applied Mathematics and Statistics","DOI":"10.3389/fams.2017.00013","ISSN":"2297-4687","journalAbbreviation":"Front. Appl. Math. Stat.","license":"All rights reserved","page":"13","source":"DOI.org (Crossref)","title":"Seven Recommendations to Make Your Invasive Alien Species Data More Useful","URL":"http://journal.frontiersin.org/article/10.3389/fams.2017.00013","volume":"3","author":[{"family":"Groom","given":"Quentin J."},{"family":"Adriaens","given":"Tim"},{"family":"Desmet","given":"Peter"},{"family":"Simpson","given":"Annie"},{"family":"De Wever","given":"Aaike"},{"family":"Bazos","given":"Ioannis"},{"family":"Cardoso","given":"Ana Cristina"},{"family":"Charles","given":"Lucinda"},{"family":"Christopoulou","given":"Anastasia"},{"family":"Gazda","given":"Anna"},{"family":"Helmisaari","given":"Harry"},{"family":"Hobern","given":"Donald"},{"family":"Josefsson","given":"Melanie"},{"family":"Lucy","given":"Frances"},{"family":"Marisavljevic","given":"Dragana"},{"family":"Oszako","given":"Tomasz"},{"family":"Pergl","given":"Jan"},{"family":"Petrovic-Obradovic","given":"Olivera"},{"family":"Prévot","given":"Céline"},{"family":"Ravn","given":"Hans P."},{"family":"Richards","given":"Gareth"},{"family":"Roques","given":"Alain"},{"family":"Roy","given":"Helen E."},{"family":"Rozenberg","given":"Marie-Anne A."},{"family":"Scalera","given":"Riccardo"},{"family":"Tricarico","given":"Elena"},{"family":"Trichkova","given":"Teodora"},{"family":"Vercayie","given":"Diemer"},{"family":"Zenetos","given":"Argyro"},{"family":"Vanderhoeven","given":"Sonia"}],"issued":{"date-parts":[["2017"]]}},"label":"page"}],"schema":"https://github.com/citation-style-language/schema/raw/master/csl-citation.json"} </w:instrText>
      </w:r>
      <w:r w:rsidR="00536052" w:rsidRPr="00A9434B">
        <w:fldChar w:fldCharType="separate"/>
      </w:r>
      <w:r w:rsidR="00E452E2" w:rsidRPr="00E452E2">
        <w:t>(Groom et al., 2015, 2017)</w:t>
      </w:r>
      <w:r w:rsidR="00536052" w:rsidRPr="00A9434B">
        <w:fldChar w:fldCharType="end"/>
      </w:r>
      <w:r w:rsidR="00CC4659" w:rsidRPr="00A9434B">
        <w:rPr>
          <w:rFonts w:eastAsia="Calibri Light"/>
        </w:rPr>
        <w:t>.</w:t>
      </w:r>
    </w:p>
    <w:p w14:paraId="3A3DC75A" w14:textId="0271885C" w:rsidR="00CC4659" w:rsidRPr="00A9434B" w:rsidRDefault="639933B3" w:rsidP="006B3143">
      <w:pPr>
        <w:rPr>
          <w:rFonts w:eastAsia="Calibri Light"/>
        </w:rPr>
      </w:pPr>
      <w:r w:rsidRPr="00A9434B">
        <w:rPr>
          <w:rFonts w:eastAsia="Calibri Light"/>
        </w:rPr>
        <w:t xml:space="preserve">Related, but not synonymous with Open Data are the </w:t>
      </w:r>
      <w:r w:rsidR="00D82BB1" w:rsidRPr="00A9434B">
        <w:rPr>
          <w:rFonts w:eastAsia="Calibri Light"/>
        </w:rPr>
        <w:t>Findable, Accessible, Interoperable and Reusable (</w:t>
      </w:r>
      <w:r w:rsidRPr="00A9434B">
        <w:rPr>
          <w:rFonts w:eastAsia="Calibri Light"/>
        </w:rPr>
        <w:t>FAIR</w:t>
      </w:r>
      <w:r w:rsidR="00D82BB1" w:rsidRPr="00A9434B">
        <w:rPr>
          <w:rFonts w:eastAsia="Calibri Light"/>
        </w:rPr>
        <w:t>)</w:t>
      </w:r>
      <w:r w:rsidRPr="00A9434B">
        <w:rPr>
          <w:rFonts w:eastAsia="Calibri Light"/>
        </w:rPr>
        <w:t xml:space="preserve"> data principles</w:t>
      </w:r>
      <w:r w:rsidR="00D82BB1" w:rsidRPr="00A9434B">
        <w:rPr>
          <w:rFonts w:eastAsia="Calibri Light"/>
        </w:rPr>
        <w:t xml:space="preserve"> </w:t>
      </w:r>
      <w:r w:rsidR="00536052" w:rsidRPr="00A9434B">
        <w:rPr>
          <w:rFonts w:eastAsia="Calibri Light"/>
        </w:rPr>
        <w:fldChar w:fldCharType="begin"/>
      </w:r>
      <w:r w:rsidR="002D2756">
        <w:rPr>
          <w:rFonts w:eastAsia="Calibri Light"/>
        </w:rPr>
        <w:instrText xml:space="preserve"> ADDIN ZOTERO_ITEM CSL_CITATION {"citationID":"a29guhuttv1","properties":{"formattedCitation":"(Wilkinson et al., 2016)","plainCitation":"(Wilkinson et al., 2016)","noteIndex":0},"citationItems":[{"id":32888,"uris":["http://zotero.org/groups/2352922/items/JGXQE2R6"],"itemData":{"id":32888,"type":"article-journal","abstract":"There is an urgent need to improve the infrastructure supporting the reuse of scholarly data. A diverse set of stakeholders-representing academia, industry, funding agencies, and scholarly publishers-have come together to design and jointly endorse a concise and measureable set of principles that we refer to as the FAIR Data Principles. The intent is that these may act as a guideline for those wishing to enhance the reusability of their data holdings. Distinct from peer initiatives that focus on the human scholar, the FAIR Principles put specific emphasis on enhancing the ability of machines to automatically find and use the data, in addition to supporting its reuse by individuals. This Comment is the first formal publication of the FAIR Principles, and includes the rationale behind them, and some exemplar implementations in the community.","container-title":"Scientific Data","DOI":"10.1038/sdata.2016.18","ISSN":"2052-4463","issue":"1","journalAbbreviation":"Sci Data","language":"en","page":"160018","source":"DOI.org (Crossref)","title":"The FAIR Guiding Principles for scientific data management and stewardship","URL":"http://www.nature.com/articles/sdata201618","volume":"3","author":[{"family":"Wilkinson","given":"Mark D."},{"family":"Dumontier","given":"Michel"},{"family":"Aalbersberg","given":"IJsbrand Jan"},{"family":"Appleton","given":"Gabrielle"},{"family":"Axton","given":"Myles"},{"family":"Baak","given":"Arie"},{"family":"Blomberg","given":"Niklas"},{"family":"Boiten","given":"Jan-Willem"},{"family":"Silva Santos","given":"Luiz Bonino","non-dropping-particle":"da"},{"family":"Bourne","given":"Philip E."},{"family":"Bouwman","given":"Jildau"},{"family":"Brookes","given":"Anthony J."},{"family":"Clark","given":"Tim"},{"family":"Crosas","given":"Mercè"},{"family":"Dillo","given":"Ingrid"},{"family":"Dumon","given":"Olivier"},{"family":"Edmunds","given":"Scott"},{"family":"Evelo","given":"Chris T."},{"family":"Finkers","given":"Richard"},{"family":"Gonzalez-Beltran","given":"Alejandra"},{"family":"Gray","given":"Alasdair J.G."},{"family":"Groth","given":"Paul"},{"family":"Goble","given":"Carole"},{"family":"Grethe","given":"Jeffrey S."},{"family":"Heringa","given":"Jaap"},{"family":"Hoen","given":"Peter A.C","non-dropping-particle":"’t"},{"family":"Hooft","given":"Rob"},{"family":"Kuhn","given":"Tobias"},{"family":"Kok","given":"Ruben"},{"family":"Kok","given":"Joost"},{"family":"Lusher","given":"Scott J."},{"family":"Martone","given":"Maryann E."},{"family":"Mons","given":"Albert"},{"family":"Packer","given":"Abel L."},{"family":"Persson","given":"Bengt"},{"family":"Rocca-Serra","given":"Philippe"},{"family":"Roos","given":"Marco"},{"family":"Schaik","given":"Rene","non-dropping-particle":"van"},{"family":"Sansone","given":"Susanna-Assunta"},{"family":"Schultes","given":"Erik"},{"family":"Sengstag","given":"Thierry"},{"family":"Slater","given":"Ted"},{"family":"Strawn","given":"George"},{"family":"Swertz","given":"Morris A."},{"family":"Thompson","given":"Mark"},{"family":"Lei","given":"Johan","non-dropping-particle":"van der"},{"family":"Mulligen","given":"Erik","non-dropping-particle":"van"},{"family":"Velterop","given":"Jan"},{"family":"Waagmeester","given":"Andra"},{"family":"Wittenburg","given":"Peter"},{"family":"Wolstencroft","given":"Katherine"},{"family":"Zhao","given":"Jun"},{"family":"Mons","given":"Barend"}],"accessed":{"date-parts":[["2019",11,23]]},"issued":{"date-parts":[["2016",12]]}},"label":"page"}],"schema":"https://github.com/citation-style-language/schema/raw/master/csl-citation.json"} </w:instrText>
      </w:r>
      <w:r w:rsidR="00536052" w:rsidRPr="00A9434B">
        <w:rPr>
          <w:rFonts w:eastAsia="Calibri Light"/>
        </w:rPr>
        <w:fldChar w:fldCharType="separate"/>
      </w:r>
      <w:r w:rsidR="00C71E80" w:rsidRPr="00A9434B">
        <w:t>(Wilkinson et al., 2016)</w:t>
      </w:r>
      <w:r w:rsidR="00536052" w:rsidRPr="00A9434B">
        <w:rPr>
          <w:rFonts w:eastAsia="Calibri Light"/>
        </w:rPr>
        <w:fldChar w:fldCharType="end"/>
      </w:r>
      <w:r w:rsidRPr="00A9434B">
        <w:rPr>
          <w:rFonts w:eastAsia="Calibri Light"/>
        </w:rPr>
        <w:t xml:space="preserve">. </w:t>
      </w:r>
      <w:r w:rsidR="6A648362" w:rsidRPr="00A9434B">
        <w:rPr>
          <w:rFonts w:eastAsia="Calibri Light"/>
        </w:rPr>
        <w:t>O</w:t>
      </w:r>
      <w:r w:rsidRPr="00A9434B">
        <w:rPr>
          <w:rFonts w:eastAsia="Calibri Light"/>
        </w:rPr>
        <w:t>penness</w:t>
      </w:r>
      <w:r w:rsidR="75F3B536" w:rsidRPr="00A9434B">
        <w:rPr>
          <w:rFonts w:eastAsia="Calibri Light"/>
        </w:rPr>
        <w:t xml:space="preserve"> does</w:t>
      </w:r>
      <w:r w:rsidRPr="00A9434B">
        <w:rPr>
          <w:rFonts w:eastAsia="Calibri Light"/>
        </w:rPr>
        <w:t xml:space="preserve"> facilitate findability, accessibility and reusability, which is why FAIR data often go hand-in-hand with open data. One motivation for promoting</w:t>
      </w:r>
      <w:r w:rsidR="314717A1" w:rsidRPr="00A9434B">
        <w:rPr>
          <w:rFonts w:eastAsia="Calibri Light"/>
        </w:rPr>
        <w:t xml:space="preserve"> </w:t>
      </w:r>
      <w:r w:rsidR="66550E39" w:rsidRPr="00A9434B">
        <w:rPr>
          <w:rFonts w:eastAsia="Calibri Light"/>
        </w:rPr>
        <w:t>FAIR</w:t>
      </w:r>
      <w:r w:rsidRPr="00A9434B">
        <w:rPr>
          <w:rFonts w:eastAsia="Calibri Light"/>
        </w:rPr>
        <w:t xml:space="preserve"> data is that research data are easily lost once the research they support has been published</w:t>
      </w:r>
      <w:r w:rsidRPr="00A9434B">
        <w:t xml:space="preserve"> </w:t>
      </w:r>
      <w:r w:rsidR="00536052" w:rsidRPr="00A9434B">
        <w:fldChar w:fldCharType="begin"/>
      </w:r>
      <w:r w:rsidR="002D2756">
        <w:instrText xml:space="preserve"> ADDIN ZOTERO_ITEM CSL_CITATION {"citationID":"a15ggje1v22","properties":{"formattedCitation":"(Vines et al., 2014)","plainCitation":"(Vines et al., 2014)","noteIndex":0},"citationItems":[{"id":16121,"uris":["http://zotero.org/groups/2352922/items/LIDHWNHG"],"itemData":{"id":16121,"type":"article-journal","container-title":"Current Biology","DOI":"10.1016/j.cub.2013.11.014","ISSN":"09609822","issue":"1","journalAbbreviation":"Current Biology","language":"en","page":"94-97","source":"DOI.org (Crossref)","title":"The Availability of Research Data Declines Rapidly with Article Age","URL":"https://linkinghub.elsevier.com/retrieve/pii/S0960982213014000","volume":"24","author":[{"family":"Vines","given":"Timothy H."},{"family":"Albert","given":"Arianne Y.K."},{"family":"Andrew","given":"Rose L."},{"family":"Débarre","given":"Florence"},{"family":"Bock","given":"Dan G."},{"family":"Franklin","given":"Michelle T."},{"family":"Gilbert","given":"Kimberly J."},{"family":"Moore","given":"Jean-Sébastien"},{"family":"Renaut","given":"Sébastien"},{"family":"Rennison","given":"Diana J."}],"accessed":{"date-parts":[["2019",11,23]]},"issued":{"date-parts":[["2014",1]]}},"label":"page"}],"schema":"https://github.com/citation-style-language/schema/raw/master/csl-citation.json"} </w:instrText>
      </w:r>
      <w:r w:rsidR="00536052" w:rsidRPr="00A9434B">
        <w:fldChar w:fldCharType="separate"/>
      </w:r>
      <w:r w:rsidR="00C71E80" w:rsidRPr="00A9434B">
        <w:t>(Vines et al., 2014)</w:t>
      </w:r>
      <w:r w:rsidR="00536052" w:rsidRPr="00A9434B">
        <w:fldChar w:fldCharType="end"/>
      </w:r>
      <w:r w:rsidRPr="00A9434B">
        <w:rPr>
          <w:rFonts w:eastAsia="Calibri Light"/>
        </w:rPr>
        <w:t xml:space="preserve">. Without </w:t>
      </w:r>
      <w:r w:rsidR="66550E39" w:rsidRPr="00A9434B">
        <w:rPr>
          <w:rFonts w:eastAsia="Calibri Light"/>
        </w:rPr>
        <w:t>FAIR</w:t>
      </w:r>
      <w:r w:rsidRPr="00A9434B">
        <w:rPr>
          <w:rFonts w:eastAsia="Calibri Light"/>
        </w:rPr>
        <w:t xml:space="preserve"> open data on invasive alien </w:t>
      </w:r>
      <w:r w:rsidR="00A42B50" w:rsidRPr="00A9434B">
        <w:rPr>
          <w:rFonts w:eastAsia="Calibri Light"/>
        </w:rPr>
        <w:t>species,</w:t>
      </w:r>
      <w:r w:rsidRPr="00A9434B">
        <w:rPr>
          <w:rFonts w:eastAsia="Calibri Light"/>
        </w:rPr>
        <w:t xml:space="preserve"> it is difficult to provide informed, integrated policy support nationally or globally.</w:t>
      </w:r>
    </w:p>
    <w:p w14:paraId="426EBBA4" w14:textId="0AEB6E27" w:rsidR="00017C04" w:rsidRDefault="3FB95952">
      <w:r w:rsidRPr="00A9434B">
        <w:rPr>
          <w:rFonts w:eastAsia="Calibri Light"/>
        </w:rPr>
        <w:t xml:space="preserve">Many </w:t>
      </w:r>
      <w:r w:rsidR="0309EB75" w:rsidRPr="00A9434B">
        <w:rPr>
          <w:rFonts w:eastAsia="Calibri Light"/>
        </w:rPr>
        <w:t>o</w:t>
      </w:r>
      <w:r w:rsidR="639933B3" w:rsidRPr="00A9434B">
        <w:rPr>
          <w:rFonts w:eastAsia="Calibri Light"/>
        </w:rPr>
        <w:t xml:space="preserve">nline </w:t>
      </w:r>
      <w:r w:rsidR="3ECD06D6" w:rsidRPr="00A9434B">
        <w:rPr>
          <w:rFonts w:eastAsia="Calibri Light"/>
        </w:rPr>
        <w:t xml:space="preserve">resources are </w:t>
      </w:r>
      <w:r w:rsidR="639933B3" w:rsidRPr="00A9434B">
        <w:rPr>
          <w:rFonts w:eastAsia="Calibri Light"/>
        </w:rPr>
        <w:t xml:space="preserve">available for sharing information </w:t>
      </w:r>
      <w:r w:rsidR="005D629F" w:rsidRPr="00A9434B">
        <w:rPr>
          <w:rFonts w:eastAsia="Calibri Light"/>
        </w:rPr>
        <w:t>about</w:t>
      </w:r>
      <w:r w:rsidR="639933B3" w:rsidRPr="00A9434B">
        <w:rPr>
          <w:rFonts w:eastAsia="Calibri Light"/>
        </w:rPr>
        <w:t xml:space="preserve"> </w:t>
      </w:r>
      <w:r w:rsidR="00DF6EFC" w:rsidRPr="00A9434B">
        <w:rPr>
          <w:rFonts w:eastAsia="Calibri Light"/>
        </w:rPr>
        <w:t xml:space="preserve">invasive </w:t>
      </w:r>
      <w:r w:rsidR="639933B3" w:rsidRPr="00A9434B">
        <w:rPr>
          <w:rFonts w:eastAsia="Calibri Light"/>
        </w:rPr>
        <w:t>alien species</w:t>
      </w:r>
      <w:r w:rsidR="00691629" w:rsidRPr="00A9434B">
        <w:rPr>
          <w:rFonts w:eastAsia="Calibri Light"/>
        </w:rPr>
        <w:t xml:space="preserve"> </w:t>
      </w:r>
      <w:r w:rsidR="00F806B6" w:rsidRPr="00A9434B">
        <w:rPr>
          <w:rFonts w:eastAsia="Calibri Light"/>
        </w:rPr>
        <w:t>(</w:t>
      </w:r>
      <w:r w:rsidR="00EB1D37">
        <w:rPr>
          <w:rFonts w:eastAsia="Calibri Light"/>
          <w:b/>
          <w:iCs/>
        </w:rPr>
        <w:t>C</w:t>
      </w:r>
      <w:r w:rsidR="120F583F" w:rsidRPr="00673554">
        <w:rPr>
          <w:rFonts w:eastAsia="Calibri Light"/>
          <w:b/>
          <w:iCs/>
        </w:rPr>
        <w:t>hapter 5</w:t>
      </w:r>
      <w:r w:rsidR="120F583F" w:rsidRPr="00673554">
        <w:rPr>
          <w:rFonts w:eastAsia="Calibri Light"/>
          <w:iCs/>
        </w:rPr>
        <w:t>,</w:t>
      </w:r>
      <w:r w:rsidR="120F583F" w:rsidRPr="00673554">
        <w:rPr>
          <w:rFonts w:eastAsia="Calibri Light"/>
          <w:b/>
          <w:iCs/>
        </w:rPr>
        <w:t xml:space="preserve"> Table</w:t>
      </w:r>
      <w:r w:rsidR="00F50AF9">
        <w:rPr>
          <w:b/>
        </w:rPr>
        <w:t xml:space="preserve"> 5.4 </w:t>
      </w:r>
      <w:r w:rsidR="00F50AF9">
        <w:t>for examples). These resources vary considerably in how well they conform to the FAIR data principles, and how readily complementary information can be integrated from multiple sources to answer questions about biological invasions (</w:t>
      </w:r>
      <w:r w:rsidR="00F50AF9">
        <w:rPr>
          <w:b/>
        </w:rPr>
        <w:t>section 6.6.2.3</w:t>
      </w:r>
      <w:r w:rsidR="00F50AF9">
        <w:t xml:space="preserve">). There is considerable room for improvement and innovation to make resources for biological invasions more findable, accessible, interoperable and reusable. </w:t>
      </w:r>
      <w:r w:rsidR="00F50AF9">
        <w:tab/>
      </w:r>
    </w:p>
    <w:p w14:paraId="2D215DC4" w14:textId="5D028A9B" w:rsidR="00017C04" w:rsidRDefault="00F50AF9" w:rsidP="007D5DC6">
      <w:pPr>
        <w:pStyle w:val="Heading3"/>
      </w:pPr>
      <w:bookmarkStart w:id="591" w:name="_heading=h.2jh5peh" w:colFirst="0" w:colLast="0"/>
      <w:bookmarkStart w:id="592" w:name="_Toc1076508933"/>
      <w:bookmarkStart w:id="593" w:name="_Toc133428358"/>
      <w:bookmarkEnd w:id="591"/>
      <w:r>
        <w:lastRenderedPageBreak/>
        <w:t>CARE principles for Indigenous data governance</w:t>
      </w:r>
      <w:bookmarkEnd w:id="592"/>
      <w:bookmarkEnd w:id="593"/>
    </w:p>
    <w:p w14:paraId="74170436" w14:textId="2CE35C41" w:rsidR="00017C04" w:rsidRDefault="00F50AF9">
      <w:r>
        <w:t>In analogy to the FAIR Data Principles, and complementary to them, are the Collective Benefit, Authority to Control, Responsibility and Ethics (CARE) Principles for Indigenous Data Governance</w:t>
      </w:r>
      <w:r w:rsidRPr="007D5DC6">
        <w:rPr>
          <w:rStyle w:val="FootnoteReference"/>
        </w:rPr>
        <w:footnoteReference w:id="19"/>
      </w:r>
      <w:r>
        <w:t xml:space="preserve"> </w:t>
      </w:r>
      <w:r w:rsidR="00CD63D5" w:rsidRPr="00A9434B">
        <w:rPr>
          <w:rFonts w:eastAsiaTheme="majorEastAsia"/>
          <w:highlight w:val="yellow"/>
          <w:lang w:eastAsia="en-US"/>
        </w:rPr>
        <w:fldChar w:fldCharType="begin"/>
      </w:r>
      <w:r w:rsidR="002D2756">
        <w:rPr>
          <w:rFonts w:eastAsiaTheme="majorEastAsia"/>
          <w:highlight w:val="yellow"/>
          <w:lang w:eastAsia="en-US"/>
        </w:rPr>
        <w:instrText xml:space="preserve"> ADDIN ZOTERO_ITEM CSL_CITATION {"citationID":"X87IxnBU","properties":{"formattedCitation":"(RDA, 2019)","plainCitation":"(RDA, 2019)","noteIndex":0},"citationItems":[{"id":54767,"uris":["http://zotero.org/groups/2352922/items/PNEN2SXT"],"itemData":{"id":54767,"type":"webpage","abstract":"The call for Indigenous data sovereignty (ID-Sov) —the right of a nation to govern the collection, ownership, and application of its own data—has grown in intensity and scope over the past five years. To date three national-level Indigenous data sovereignty networks exist: Te Mana Raraunga - Maori Data Sovereignty Network, the United States Indigenous Data Sovereignty Network (USIDSN), and the Maiamnayri Wingara Aboriginal and Torres Strait Islander Data Sovereignty Group in Australia. Similar initiatives are underway in Hawaii and Sweden.","container-title":"Research Data Alliance","language":"en","title":"International Indigenous Data Sovereignty IG","URL":"https://www.rd-alliance.org/groups/international-indigenous-data-sovereignty-ig","author":[{"literal":"RDA"}],"accessed":{"date-parts":[["2023",3,14]]},"issued":{"date-parts":[["2019"]]}}}],"schema":"https://github.com/citation-style-language/schema/raw/master/csl-citation.json"} </w:instrText>
      </w:r>
      <w:r w:rsidR="00CD63D5" w:rsidRPr="00A9434B">
        <w:rPr>
          <w:rFonts w:eastAsiaTheme="majorEastAsia"/>
          <w:highlight w:val="yellow"/>
          <w:lang w:eastAsia="en-US"/>
        </w:rPr>
        <w:fldChar w:fldCharType="separate"/>
      </w:r>
      <w:r w:rsidR="00065870" w:rsidRPr="00065870">
        <w:t>(RDA, 2019)</w:t>
      </w:r>
      <w:r w:rsidR="00CD63D5" w:rsidRPr="00A9434B">
        <w:rPr>
          <w:rFonts w:eastAsiaTheme="majorEastAsia"/>
          <w:highlight w:val="yellow"/>
          <w:lang w:eastAsia="en-US"/>
        </w:rPr>
        <w:fldChar w:fldCharType="end"/>
      </w:r>
      <w:r w:rsidR="639933B3" w:rsidRPr="00A9434B">
        <w:rPr>
          <w:rFonts w:eastAsia="Calibri Light"/>
        </w:rPr>
        <w:t>.</w:t>
      </w:r>
      <w:r>
        <w:t xml:space="preserve"> These Principles try to address some of the historical and ongoing imbalances in governance of data concerning Indigenous Peoples. The letters of the acronym refer to Collective Benefit, Authority to Control, Responsibility and Ethics. The collective benefit, authority to control, responsibility and ethics (CARE) principles are not specific to data types and make no mention of particular issues related to data on biodiversity and invasive </w:t>
      </w:r>
      <w:r w:rsidR="7A114235">
        <w:t xml:space="preserve">alien </w:t>
      </w:r>
      <w:r>
        <w:t>species. However, they are mentioned here because they are important guidelines concerning Indigenous and local knowledge and useful guidelines for the ethical management of any data needed on biological invasions.</w:t>
      </w:r>
    </w:p>
    <w:p w14:paraId="32098DEB" w14:textId="1BEFE3CA" w:rsidR="00017C04" w:rsidRDefault="00F50AF9" w:rsidP="00C12647">
      <w:pPr>
        <w:pStyle w:val="Heading3"/>
        <w:ind w:left="720"/>
      </w:pPr>
      <w:bookmarkStart w:id="594" w:name="_heading=h.ymfzma" w:colFirst="0" w:colLast="0"/>
      <w:bookmarkStart w:id="595" w:name="_Toc50226901"/>
      <w:bookmarkStart w:id="596" w:name="_Toc133428359"/>
      <w:bookmarkEnd w:id="594"/>
      <w:r>
        <w:t>Open access publication</w:t>
      </w:r>
      <w:bookmarkEnd w:id="595"/>
      <w:bookmarkEnd w:id="596"/>
    </w:p>
    <w:p w14:paraId="3396456A" w14:textId="6558A9C1" w:rsidR="00017C04" w:rsidRDefault="2F958343">
      <w:r>
        <w:t xml:space="preserve">Closed access to invasive alien species research has been recognized as a hindrance to conservation, wildlife management and policy on invasive alien species </w:t>
      </w:r>
      <w:r w:rsidR="00CC4659" w:rsidRPr="00A9434B">
        <w:rPr>
          <w:rFonts w:eastAsia="Times New Roman"/>
        </w:rPr>
        <w:fldChar w:fldCharType="begin"/>
      </w:r>
      <w:r w:rsidR="00CC4659" w:rsidRPr="00A9434B">
        <w:rPr>
          <w:rFonts w:eastAsia="Calibri Light"/>
        </w:rPr>
        <w:instrText>ADDIN EN.CITE</w:instrText>
      </w:r>
      <w:r w:rsidR="00CC4659" w:rsidRPr="00A9434B">
        <w:rPr>
          <w:rFonts w:eastAsia="Times New Roman"/>
        </w:rPr>
        <w:fldChar w:fldCharType="begin"/>
      </w:r>
      <w:r w:rsidR="00CC4659" w:rsidRPr="00A9434B">
        <w:rPr>
          <w:rFonts w:eastAsia="Calibri Light"/>
        </w:rPr>
        <w:instrText>ADDIN EN.CITE.DATA</w:instrText>
      </w:r>
      <w:r w:rsidR="00CC4659" w:rsidRPr="00A9434B">
        <w:rPr>
          <w:rFonts w:eastAsia="Calibri Light"/>
        </w:rPr>
        <w:fldChar w:fldCharType="end"/>
      </w:r>
      <w:r w:rsidR="00CC4659" w:rsidRPr="00A9434B">
        <w:rPr>
          <w:rFonts w:eastAsia="Calibri Light"/>
        </w:rPr>
        <w:fldChar w:fldCharType="separate"/>
      </w:r>
      <w:r w:rsidR="00CC4659" w:rsidRPr="00A9434B">
        <w:rPr>
          <w:rFonts w:eastAsia="Calibri Light"/>
        </w:rPr>
        <w:fldChar w:fldCharType="begin"/>
      </w:r>
      <w:r w:rsidR="002D2756">
        <w:rPr>
          <w:rFonts w:eastAsia="Calibri Light"/>
        </w:rPr>
        <w:instrText xml:space="preserve"> ADDIN ZOTERO_ITEM CSL_CITATION {"citationID":"a26p3q5h2uf","properties":{"formattedCitation":"(Groom et al., 2015; Jeschke et al., 2019)","plainCitation":"(Groom et al., 2015; Jeschke et al., 2019)","noteIndex":0},"citationItems":[{"id":24358,"uris":["http://zotero.org/groups/2352922/items/2I9W5AI2"],"itemData":{"id":24358,"type":"article-journal","container-title":"Management of Biological Invasions","DOI":"10.3391/mbi.2015.6.2.02","ISSN":"19898649","issue":"2","journalAbbreviation":"MBI","page":"119-125","source":"DOI.org (Crossref)","title":"The importance of open data for invasive alien species research, policy and management","URL":"http://www.reabic.net/journals/mbi/2015/Issue2.aspx","volume":"6","author":[{"family":"Groom","given":"Quentin J."},{"family":"Desmet","given":"Peter"},{"family":"Vanderhoeven","given":"Sonia"},{"family":"Adriaens","given":"Tim"}],"accessed":{"date-parts":[["2019",10,12]]},"issued":{"date-parts":[["2015",6]]}},"label":"page"},{"id":16154,"uris":["http://zotero.org/groups/2352922/items/GQUKRLY6"],"itemData":{"id":16154,"type":"article-journal","abstract":"N/A","container-title":"NeoBiota","DOI":"10.3897/neobiota.52.39542","ISSN":"1314-2488, 1619-0033","journalAbbreviation":"NB","page":"1-8","source":"DOI.org (Crossref)","title":"Open Access journals need to become first choice, in invasion ecology and beyond","URL":"https://neobiota.pensoft.net/article/39542/","volume":"52","author":[{"family":"Jeschke","given":"Jonathan M."},{"family":"Börner","given":"Katy"},{"family":"Stodden","given":"Victoria"},{"family":"Tockner","given":"Klement"}],"accessed":{"date-parts":[["2019",11,20]]},"issued":{"date-parts":[["2019",11,4]]}},"label":"page"}],"schema":"https://github.com/citation-style-language/schema/raw/master/csl-citation.json"} </w:instrText>
      </w:r>
      <w:r w:rsidR="00CC4659" w:rsidRPr="00A9434B">
        <w:rPr>
          <w:rFonts w:eastAsia="Calibri Light"/>
        </w:rPr>
        <w:fldChar w:fldCharType="separate"/>
      </w:r>
      <w:r w:rsidR="00E452E2" w:rsidRPr="00E452E2">
        <w:t>(Groom et al., 2015; Jeschke et al., 2019)</w:t>
      </w:r>
      <w:r w:rsidR="00CC4659" w:rsidRPr="00A9434B">
        <w:rPr>
          <w:rFonts w:eastAsia="Calibri Light"/>
        </w:rPr>
        <w:fldChar w:fldCharType="end"/>
      </w:r>
      <w:r w:rsidR="00CC4659" w:rsidRPr="00A9434B">
        <w:rPr>
          <w:rFonts w:eastAsia="Calibri Light"/>
        </w:rPr>
        <w:fldChar w:fldCharType="end"/>
      </w:r>
      <w:r w:rsidR="00CC4659" w:rsidRPr="00A9434B">
        <w:rPr>
          <w:rFonts w:eastAsia="Calibri Light"/>
        </w:rPr>
        <w:t>.</w:t>
      </w:r>
      <w:r>
        <w:t xml:space="preserve"> This has led to the establishment of an international association, International Association for Open Knowledge on Invasive Alien Species (INVASIVESNET), to support the open dissemination of information on invasive alien species </w:t>
      </w:r>
      <w:r w:rsidR="00CC4659" w:rsidRPr="00A9434B">
        <w:rPr>
          <w:rFonts w:eastAsia="Calibri Light"/>
        </w:rPr>
        <w:fldChar w:fldCharType="begin"/>
      </w:r>
      <w:r w:rsidR="002D2756">
        <w:rPr>
          <w:rFonts w:eastAsia="Calibri Light"/>
        </w:rPr>
        <w:instrText xml:space="preserve"> ADDIN ZOTERO_ITEM CSL_CITATION {"citationID":"a1ms9hn35up","properties":{"formattedCitation":"(Lucy et al., 2016)","plainCitation":"(Lucy et al., 2016)","noteIndex":0},"citationItems":[{"id":17269,"uris":["http://zotero.org/groups/2352922/items/Q9ED7TGK"],"itemData":{"id":17269,"type":"article-journal","abstract":"© 2016 The Author(s). In a world where invasive alien species (IAS) are recognised as one of the major threats to biodiversity, leading scientists from five continents have come together to propose the concept of developing an international association for open knowledge and open data on IAS—termed “INVASIVESNET”. This new association will facilitate greater understanding and improved management of invasive alien species (IAS) and biological invasions globally, by developing a sustainable network of networks for effective knowledge exchange. In addition to their inclusion in the CBD Strategic Plan for Biodiversity, the increasing ecological, social, cultural and economic impacts associated with IAS have driven the development of multiple legal instruments and policies. This increases the need for greater co-ordination, co-operation, and information exchange among scientists, management, the community of practice and the public. INVASIVESNET will be formed by linking new and existing networks of interested stakeholders including international and national expert working groups and initiatives, individual scientists, database managers, thematic open access journals, environmental agencies, practitioners, managers, industry, non-government organisations, citizens and educational bodies. The association will develop technical tools and cyberinfrastructure for the collection, management and dissemination of data and information on IAS create an effective communication platform for global stakeholders and promote coordination and collaboration through international meetings, workshops, education, training and outreach. To date, the sustainability of many strategic national and international initiatives on IAS have unfortunately been hampered by time-limited grants or funding cycles. Recognising that IAS initiatives need to be globally coordinated and ongoing, we aim to develop a sustainable knowledge sharing association to connect the outputs of IAS research and to inform the consequential management and societal challenges arising from IAS introductions. INVASIVESNET will provide a dynamic and enduring network of networks to ensure the continuity of connections among the IAS community of practice, science and management.","container-title":"Management of Biological Invasions","DOI":"10.3391/mbi.2016.7.2.01","ISSN":"19898649","issue":"2","journalAbbreviation":"MBI","page":"131-139","source":"DOI.org (Crossref)","title":"INVASIVESNET towards an international association for open knowledge on invasive alien species","URL":"http://doi.org/10.3391/mbi.2016.7.2.01","volume":"7","author":[{"family":"Lucy","given":"F. E."},{"family":"Roy","given":"H."},{"family":"Simpson","given":"A."},{"family":"Carlton","given":"J.T."},{"family":"Hanson","given":"J.M."},{"family":"Magellan","given":"K."},{"family":"Campbell","given":"M.L."},{"family":"Costello","given":"M.J."},{"family":"Pagad","given":"S."},{"family":"Hewitt","given":"C.L."},{"family":"McDonald","given":"J."},{"family":"Cassey","given":"P."},{"family":"Thomaz","given":"S.M."},{"family":"Katsanevakis","given":"S."},{"family":"Zenetos","given":"A."},{"family":"Tricarico","given":"E."},{"family":"Boggero","given":"A."},{"family":"Groom","given":"Q.J."},{"family":"Adriaens","given":"T."},{"family":"Vanderhoeven","given":"S."},{"family":"Torchin","given":"M."},{"family":"Hufbauer","given":"R."},{"family":"Fuller","given":"P."},{"family":"Carman","given":"M.R."},{"family":"Conn","given":"D.B."},{"family":"Vitule","given":"J.R.S."},{"family":"Canning-Clode","given":"J."},{"family":"Galil","given":"B.S."},{"family":"Ojaveer","given":"H."},{"family":"Bailey","given":"S.A."},{"family":"Therriault","given":"T.W."},{"family":"Claudi","given":"R."},{"family":"Gazda","given":"A."},{"family":"Dick","given":"J.T.A."},{"family":"Caffrey","given":"J."},{"family":"Witt","given":"A."},{"family":"Kenis","given":"M."},{"family":"Lehtiniemi","given":"M."},{"family":"Helmisaari","given":"H."},{"family":"Panov","given":"V.E."}],"issued":{"date-parts":[["2016"]]}},"label":"page"}],"schema":"https://github.com/citation-style-language/schema/raw/master/csl-citation.json"} </w:instrText>
      </w:r>
      <w:r w:rsidR="00CC4659" w:rsidRPr="00A9434B">
        <w:rPr>
          <w:rFonts w:eastAsia="Calibri Light"/>
        </w:rPr>
        <w:fldChar w:fldCharType="separate"/>
      </w:r>
      <w:r w:rsidR="00C71E80" w:rsidRPr="00A9434B">
        <w:t>(Lucy et al., 2016)</w:t>
      </w:r>
      <w:r w:rsidR="00CC4659" w:rsidRPr="00A9434B">
        <w:rPr>
          <w:rFonts w:eastAsia="Calibri Light"/>
        </w:rPr>
        <w:fldChar w:fldCharType="end"/>
      </w:r>
      <w:r w:rsidR="00CC4659" w:rsidRPr="00A9434B">
        <w:rPr>
          <w:rFonts w:eastAsia="Calibri Light"/>
        </w:rPr>
        <w:t>.</w:t>
      </w:r>
      <w:r>
        <w:t xml:space="preserve"> Several open access academic journals have been established specifically on the subject of invasive alien species, their biology and management. For example, </w:t>
      </w:r>
      <w:r w:rsidRPr="0B8DB0CC">
        <w:rPr>
          <w:i/>
          <w:iCs/>
        </w:rPr>
        <w:t>Management of Biological Invasions</w:t>
      </w:r>
      <w:r>
        <w:t xml:space="preserve">, </w:t>
      </w:r>
      <w:r w:rsidRPr="0B8DB0CC">
        <w:rPr>
          <w:i/>
          <w:iCs/>
        </w:rPr>
        <w:t>Aquatic Invasions</w:t>
      </w:r>
      <w:r w:rsidR="00EB415D">
        <w:t xml:space="preserve"> and</w:t>
      </w:r>
      <w:r>
        <w:t xml:space="preserve"> </w:t>
      </w:r>
      <w:r w:rsidRPr="0B8DB0CC">
        <w:rPr>
          <w:i/>
          <w:iCs/>
        </w:rPr>
        <w:t>BioInvasions Records</w:t>
      </w:r>
      <w:r>
        <w:t xml:space="preserve"> are published by the Regional Euro-Asian Biological Invasions Centre (REABIC) and Neobiota is published by Pensoft. However, these discipline-specific journals publish only a small fraction of the academic research on invasive alien species. For scholarly literature in general, about 28 per cent </w:t>
      </w:r>
      <w:r w:rsidR="00A67310">
        <w:t>is open access</w:t>
      </w:r>
      <w:r>
        <w:t xml:space="preserve">, but that percentage is increasing </w:t>
      </w:r>
      <w:r w:rsidR="00CC4659" w:rsidRPr="00A9434B">
        <w:rPr>
          <w:rFonts w:eastAsia="Calibri Light"/>
        </w:rPr>
        <w:fldChar w:fldCharType="begin"/>
      </w:r>
      <w:r w:rsidR="002D2756">
        <w:rPr>
          <w:rFonts w:eastAsia="Calibri Light"/>
        </w:rPr>
        <w:instrText xml:space="preserve"> ADDIN ZOTERO_ITEM CSL_CITATION {"citationID":"a8dm8km17q","properties":{"formattedCitation":"(Piwowar et al., 2018)","plainCitation":"(Piwowar et al., 2018)","noteIndex":0},"citationItems":[{"id":12627,"uris":["http://zotero.org/groups/2352922/items/WR6VA6AW"],"itemData":{"id":12627,"type":"article-journal","abstract":"Despite growing interest in Open Access (OA) to scholarly literature, there is an unmet need for large-scale, up-to-date, and reproducible studies assessing the prevalence and characteristics of OA. We address this need using oaDOI, an open online service that determines OA status for 67 million articles. We use three samples, each of 100,000 articles, to investigate OA in three populations: (1) all journal articles assigned a Crossref DOI, (2) recent journal articles indexed in Web of Science, and (3) articles viewed by users of Unpaywall, an open-source browser extension that lets users find OA articles using oaDOI. We estimate that at least 28% of the scholarly literature is OA (19M in total) and that this proportion is growing, driven particularly by growth in Gold and Hybrid. The most recent year analyzed (2015) also has the highest percentage of OA (45%). Because of this growth, and the fact that readers disproportionately access newer articles, we find that Unpaywall users encounter OA quite frequently: 47% of articles they view are OA. Notably, the most common mechanism for OA is not Gold, Green, or Hybrid OA, but rather an under-discussed category we dub Bronze: articles made free-to-read on the publisher website, without an explicit Open license. We also examine the citation impact of OA articles, corroborating the so-called open-access citation advantage: accounting for age and discipline, OA articles receive 18% more citations than average, an effect driven primarily by Green and Hybrid OA. We encourage further research using the free oaDOI service, as a way to inform OA policy and practice.","container-title":"PeerJ","DOI":"10.7717/peerj.4375","ISSN":"2167-8359","language":"en","page":"e4375","source":"DOI.org (Crossref)","title":"The state of OA: a large-scale analysis of the prevalence and impact of Open Access articles","title-short":"The state of OA","URL":"https://peerj.com/articles/4375","volume":"6","author":[{"family":"Piwowar","given":"Heather"},{"family":"Priem","given":"Jason"},{"family":"Larivière","given":"Vincent"},{"family":"Alperin","given":"Juan Pablo"},{"family":"Matthias","given":"Lisa"},{"family":"Norlander","given":"Bree"},{"family":"Farley","given":"Ashley"},{"family":"West","given":"Jevin"},{"family":"Haustein","given":"Stefanie"}],"accessed":{"date-parts":[["2019",10,19]]},"issued":{"date-parts":[["2018",2,13]]}},"label":"page"}],"schema":"https://github.com/citation-style-language/schema/raw/master/csl-citation.json"} </w:instrText>
      </w:r>
      <w:r w:rsidR="00CC4659" w:rsidRPr="00A9434B">
        <w:rPr>
          <w:rFonts w:eastAsia="Calibri Light"/>
        </w:rPr>
        <w:fldChar w:fldCharType="separate"/>
      </w:r>
      <w:r w:rsidR="00C71E80" w:rsidRPr="00A9434B">
        <w:t>(Piwowar et al., 2018)</w:t>
      </w:r>
      <w:r w:rsidR="00CC4659" w:rsidRPr="00A9434B">
        <w:rPr>
          <w:rFonts w:eastAsia="Calibri Light"/>
        </w:rPr>
        <w:fldChar w:fldCharType="end"/>
      </w:r>
      <w:r w:rsidR="00CC4659" w:rsidRPr="00A9434B">
        <w:rPr>
          <w:rFonts w:eastAsia="Calibri Light"/>
        </w:rPr>
        <w:t xml:space="preserve">. There is also clear evidence for an Open Access “advantage” in terms of citation </w:t>
      </w:r>
      <w:r w:rsidR="00CC4659" w:rsidRPr="00A9434B">
        <w:rPr>
          <w:rFonts w:eastAsia="Calibri Light"/>
        </w:rPr>
        <w:fldChar w:fldCharType="begin"/>
      </w:r>
      <w:r w:rsidR="002D2756">
        <w:rPr>
          <w:rFonts w:eastAsia="Calibri Light"/>
        </w:rPr>
        <w:instrText xml:space="preserve"> ADDIN ZOTERO_ITEM CSL_CITATION {"citationID":"afifndjad7","properties":{"formattedCitation":"(Eysenbach, 2006; Niyazov et al., 2016; Piwowar et al., 2018)","plainCitation":"(Eysenbach, 2006; Niyazov et al., 2016; Piwowar et al., 2018)","noteIndex":0},"citationItems":[{"id":12626,"uris":["http://zotero.org/groups/2352922/items/UE8EIFWJ"],"itemData":{"id":12626,"type":"article-journal","container-title":"PLoS Biology","DOI":"10.1371/journal.pbio.0040157","ISSN":"1545-7885","issue":"5","journalAbbreviation":"PLoS Biol","language":"en","page":"e157","source":"DOI.org (Crossref)","title":"Citation Advantage of Open Access Articles","URL":"https://dx.plos.org/10.1371/journal.pbio.0040157","volume":"4","author":[{"family":"Eysenbach","given":"Gunther"}],"editor":[{"family":"Tenopir","given":"Carol"}],"accessed":{"date-parts":[["2019",10,19]]},"issued":{"date-parts":[["2006",5,16]]}},"label":"page"},{"id":12625,"uris":["http://zotero.org/groups/2352922/items/D623NKSB"],"itemData":{"id":12625,"type":"article-journal","container-title":"PLoS ONE","DOI":"10.1371/journal.pone.0148257","ISSN":"1932-6203","issue":"2","journalAbbreviation":"PLoS ONE","language":"en","page":"e0148257","source":"DOI.org (Crossref)","title":"Open Access Meets Discoverability: Citations to Articles Posted to Academia.edu","title-short":"Open Access Meets Discoverability","URL":"https://dx.plos.org/10.1371/journal.pone.0148257","volume":"11","author":[{"family":"Niyazov","given":"Yuri"},{"family":"Vogel","given":"Carl"},{"family":"Price","given":"Richard"},{"family":"Lund","given":"Ben"},{"family":"Judd","given":"David"},{"family":"Akil","given":"Adnan"},{"family":"Mortonson","given":"Michael"},{"family":"Schwartzman","given":"Josh"},{"family":"Shron","given":"Max"}],"editor":[{"family":"Dorta-González","given":"Pablo"}],"accessed":{"date-parts":[["2019",10,19]]},"issued":{"date-parts":[["2016",2,17]]}},"label":"page"},{"id":12627,"uris":["http://zotero.org/groups/2352922/items/WR6VA6AW"],"itemData":{"id":12627,"type":"article-journal","abstract":"Despite growing interest in Open Access (OA) to scholarly literature, there is an unmet need for large-scale, up-to-date, and reproducible studies assessing the prevalence and characteristics of OA. We address this need using oaDOI, an open online service that determines OA status for 67 million articles. We use three samples, each of 100,000 articles, to investigate OA in three populations: (1) all journal articles assigned a Crossref DOI, (2) recent journal articles indexed in Web of Science, and (3) articles viewed by users of Unpaywall, an open-source browser extension that lets users find OA articles using oaDOI. We estimate that at least 28% of the scholarly literature is OA (19M in total) and that this proportion is growing, driven particularly by growth in Gold and Hybrid. The most recent year analyzed (2015) also has the highest percentage of OA (45%). Because of this growth, and the fact that readers disproportionately access newer articles, we find that Unpaywall users encounter OA quite frequently: 47% of articles they view are OA. Notably, the most common mechanism for OA is not Gold, Green, or Hybrid OA, but rather an under-discussed category we dub Bronze: articles made free-to-read on the publisher website, without an explicit Open license. We also examine the citation impact of OA articles, corroborating the so-called open-access citation advantage: accounting for age and discipline, OA articles receive 18% more citations than average, an effect driven primarily by Green and Hybrid OA. We encourage further research using the free oaDOI service, as a way to inform OA policy and practice.","container-title":"PeerJ","DOI":"10.7717/peerj.4375","ISSN":"2167-8359","language":"en","page":"e4375","source":"DOI.org (Crossref)","title":"The state of OA: a large-scale analysis of the prevalence and impact of Open Access articles","title-short":"The state of OA","URL":"https://peerj.com/articles/4375","volume":"6","author":[{"family":"Piwowar","given":"Heather"},{"family":"Priem","given":"Jason"},{"family":"Larivière","given":"Vincent"},{"family":"Alperin","given":"Juan Pablo"},{"family":"Matthias","given":"Lisa"},{"family":"Norlander","given":"Bree"},{"family":"Farley","given":"Ashley"},{"family":"West","given":"Jevin"},{"family":"Haustein","given":"Stefanie"}],"accessed":{"date-parts":[["2019",10,19]]},"issued":{"date-parts":[["2018",2,13]]}},"label":"page"}],"schema":"https://github.com/citation-style-language/schema/raw/master/csl-citation.json"} </w:instrText>
      </w:r>
      <w:r w:rsidR="00CC4659" w:rsidRPr="00A9434B">
        <w:rPr>
          <w:rFonts w:eastAsia="Calibri Light"/>
        </w:rPr>
        <w:fldChar w:fldCharType="separate"/>
      </w:r>
      <w:r w:rsidR="00C71E80" w:rsidRPr="00A9434B">
        <w:t>(Eysenbach, 2006; Niyazov et al., 2016; Piwowar et al., 2018)</w:t>
      </w:r>
      <w:r w:rsidR="00CC4659" w:rsidRPr="00A9434B">
        <w:rPr>
          <w:rFonts w:eastAsia="Calibri Light"/>
        </w:rPr>
        <w:fldChar w:fldCharType="end"/>
      </w:r>
      <w:r w:rsidR="00CC4659" w:rsidRPr="00A9434B">
        <w:rPr>
          <w:rFonts w:eastAsia="Times New Roman"/>
        </w:rPr>
        <w:fldChar w:fldCharType="begin"/>
      </w:r>
      <w:r w:rsidR="00CC4659" w:rsidRPr="00A9434B">
        <w:rPr>
          <w:rFonts w:eastAsia="Calibri Light"/>
        </w:rPr>
        <w:instrText>ADDIN EN.CITE</w:instrText>
      </w:r>
      <w:r w:rsidR="00CC4659" w:rsidRPr="00A9434B">
        <w:rPr>
          <w:rFonts w:eastAsia="Times New Roman"/>
        </w:rPr>
        <w:fldChar w:fldCharType="begin"/>
      </w:r>
      <w:r w:rsidR="00CC4659" w:rsidRPr="00A9434B">
        <w:rPr>
          <w:rFonts w:eastAsia="Calibri Light"/>
        </w:rPr>
        <w:instrText>ADDIN EN.CITE.DATA</w:instrText>
      </w:r>
      <w:r w:rsidR="00CC4659" w:rsidRPr="00A9434B">
        <w:rPr>
          <w:rFonts w:eastAsia="Calibri Light"/>
        </w:rPr>
        <w:fldChar w:fldCharType="end"/>
      </w:r>
      <w:r w:rsidR="00CC4659" w:rsidRPr="00A9434B">
        <w:rPr>
          <w:rFonts w:eastAsia="Calibri Light"/>
        </w:rPr>
        <w:fldChar w:fldCharType="end"/>
      </w:r>
      <w:r w:rsidR="00CC4659" w:rsidRPr="00A9434B">
        <w:rPr>
          <w:rFonts w:eastAsia="Calibri Light"/>
        </w:rPr>
        <w:t>.</w:t>
      </w:r>
      <w:r>
        <w:t xml:space="preserve"> However, this advantage may come at the expense of lower discoverability and access to other valuable research because closed access publications may be inaccessible to many researchers, particularly in low-income countries.</w:t>
      </w:r>
    </w:p>
    <w:p w14:paraId="26F1D391" w14:textId="77777777" w:rsidR="00017C04" w:rsidRDefault="00F50AF9">
      <w:r>
        <w:t xml:space="preserve">Information on invasive alien species is published in a wide variety of media and outlets, from journals and pamphlets to books. Much of this body of knowledge is not in publications dedicated to invasive alien species specifically but embedded within literature on biodiversity or ecology in general. Rapid access to scientific publications is essential to inform practitioners about a species and even to identify it in the first place. Nevertheless, those publications that are confined to paper are available for sale only for a short time after publication and then are available only in specialist or local libraries. Access to digital repositories, such as Zenodo, is providing a place where grey literature can be deposited for long-term preservation and findability. However, there also needs to be a change to the publishing culture so that all publishers consider the long-term archival of their work. </w:t>
      </w:r>
    </w:p>
    <w:p w14:paraId="264E3646" w14:textId="7057242A" w:rsidR="00017C04" w:rsidRDefault="00F50AF9">
      <w:r>
        <w:t xml:space="preserve">Researchers use indexes, such as Google Scholar, to discover potentially useful publications, though the accessibility of those publications varies. Gold Open Access publications are completely accessible to users and their licensing usually makes them reusable. However, at the other extreme are closed access publications that require large sums to access. </w:t>
      </w:r>
      <w:r w:rsidR="00CC4659" w:rsidRPr="00A9434B">
        <w:rPr>
          <w:rFonts w:eastAsia="Calibri Light"/>
        </w:rPr>
        <w:t>Researchers are often adept at avoiding such costs</w:t>
      </w:r>
      <w:r w:rsidR="00EB415D">
        <w:rPr>
          <w:rFonts w:eastAsia="Calibri Light"/>
        </w:rPr>
        <w:t xml:space="preserve"> and</w:t>
      </w:r>
      <w:r w:rsidR="00CC4659" w:rsidRPr="00A9434B">
        <w:rPr>
          <w:rFonts w:eastAsia="Calibri Light"/>
        </w:rPr>
        <w:t xml:space="preserve"> piracy of closed access publications is rife </w:t>
      </w:r>
      <w:r w:rsidR="00536052" w:rsidRPr="00A9434B">
        <w:rPr>
          <w:rFonts w:eastAsia="Calibri Light"/>
        </w:rPr>
        <w:fldChar w:fldCharType="begin"/>
      </w:r>
      <w:r w:rsidR="002D2756">
        <w:rPr>
          <w:rFonts w:eastAsia="Calibri Light"/>
        </w:rPr>
        <w:instrText xml:space="preserve"> ADDIN ZOTERO_ITEM CSL_CITATION {"citationID":"a1ecbu2q7o9","properties":{"formattedCitation":"(Timus &amp; Babutsidze, 2016)","plainCitation":"(Timus &amp; Babutsidze, 2016)","noteIndex":0},"citationItems":[{"id":12631,"uris":["http://zotero.org/groups/2352922/items/YHYDIXN2"],"itemData":{"id":12631,"type":"article-journal","container-title":"Journal of Contemporary European Research","ISSN":"1815-347X","issue":"3","page":"783-791","title":"Pirating European Studies","URL":"https://www.proquest.com/docview/2673249500?pq-origsite=gscholar&amp;fromopenview=true","volume":"12","author":[{"family":"Timus","given":"Natalia"},{"family":"Babutsidze","given":"Zakaria"}],"issued":{"date-parts":[["2016"]]}},"label":"page"}],"schema":"https://github.com/citation-style-language/schema/raw/master/csl-citation.json"} </w:instrText>
      </w:r>
      <w:r w:rsidR="00536052" w:rsidRPr="00A9434B">
        <w:rPr>
          <w:rFonts w:eastAsia="Calibri Light"/>
        </w:rPr>
        <w:fldChar w:fldCharType="separate"/>
      </w:r>
      <w:r w:rsidR="00C71E80" w:rsidRPr="00A9434B">
        <w:t>(Timus &amp; Babutsidze, 2016)</w:t>
      </w:r>
      <w:r w:rsidR="00536052" w:rsidRPr="00A9434B">
        <w:rPr>
          <w:rFonts w:eastAsia="Calibri Light"/>
        </w:rPr>
        <w:fldChar w:fldCharType="end"/>
      </w:r>
      <w:r w:rsidR="00CC4659" w:rsidRPr="00A9434B">
        <w:rPr>
          <w:rFonts w:eastAsia="Calibri Light"/>
        </w:rPr>
        <w:t xml:space="preserve">. Even academics with legitimate access to scientific publications appear to find it easier to access papers illegitimately </w:t>
      </w:r>
      <w:r w:rsidR="00536052" w:rsidRPr="00A9434B">
        <w:rPr>
          <w:rFonts w:eastAsia="Calibri Light"/>
        </w:rPr>
        <w:fldChar w:fldCharType="begin"/>
      </w:r>
      <w:r w:rsidR="002D2756">
        <w:rPr>
          <w:rFonts w:eastAsia="Calibri Light"/>
        </w:rPr>
        <w:instrText xml:space="preserve"> ADDIN ZOTERO_ITEM CSL_CITATION {"citationID":"a1jq01qr9l0","properties":{"formattedCitation":"(Bohannon, 2016)","plainCitation":"(Bohannon, 2016)","noteIndex":0},"citationItems":[{"id":12633,"uris":["http://zotero.org/groups/2352922/items/YUQJ3BGI"],"itemData":{"id":12633,"type":"article-journal","container-title":"Science","DOI":"10.1126/science.352.6285.508","ISSN":"0036-8075, 1095-9203","issue":"6285","journalAbbreviation":"Science","language":"en","page":"508-512","source":"DOI.org (Crossref)","title":"Who's downloading pirated papers? Everyone","title-short":"Who's downloading pirated papers?","URL":"http://www.sciencemag.org/lookup/doi/10.1126/science.352.6285.508","volume":"352","author":[{"family":"Bohannon","given":"John"}],"accessed":{"date-parts":[["2019",10,19]]},"issued":{"date-parts":[["2016",4,29]]}},"label":"page"}],"schema":"https://github.com/citation-style-language/schema/raw/master/csl-citation.json"} </w:instrText>
      </w:r>
      <w:r w:rsidR="00536052" w:rsidRPr="00A9434B">
        <w:rPr>
          <w:rFonts w:eastAsia="Calibri Light"/>
        </w:rPr>
        <w:fldChar w:fldCharType="separate"/>
      </w:r>
      <w:r w:rsidR="00C71E80" w:rsidRPr="00A9434B">
        <w:t>(Bohannon, 2016)</w:t>
      </w:r>
      <w:r w:rsidR="00536052" w:rsidRPr="00A9434B">
        <w:rPr>
          <w:rFonts w:eastAsia="Calibri Light"/>
        </w:rPr>
        <w:fldChar w:fldCharType="end"/>
      </w:r>
      <w:r w:rsidR="00CC4659" w:rsidRPr="00A9434B">
        <w:rPr>
          <w:rFonts w:eastAsia="Calibri Light"/>
        </w:rPr>
        <w:t xml:space="preserve">. This shows a demand for this scientific knowledge globally and a problem with the marketplace for academic knowledge </w:t>
      </w:r>
      <w:r w:rsidR="00536052" w:rsidRPr="00A9434B">
        <w:rPr>
          <w:rFonts w:eastAsia="Calibri Light"/>
        </w:rPr>
        <w:fldChar w:fldCharType="begin"/>
      </w:r>
      <w:r w:rsidR="002D2756">
        <w:rPr>
          <w:rFonts w:eastAsia="Calibri Light"/>
        </w:rPr>
        <w:instrText xml:space="preserve"> ADDIN ZOTERO_ITEM CSL_CITATION {"citationID":"af1aa93qjm","properties":{"formattedCitation":"(Bj\\uc0\\u246{}rk, 2017)","plainCitation":"(Björk, 2017)","noteIndex":0},"citationItems":[{"id":12630,"uris":["http://zotero.org/groups/2352922/items/EL6ANQ4S"],"itemData":{"id":12630,"type":"article-journal","container-title":"Learned Publishing","DOI":"10.1002/leap.1096","ISSN":"09531513","issue":"2","journalAbbreviation":"Learned Publishing","language":"en","page":"173-175","source":"DOI.org (Crossref)","title":"Gold, green, and black open access","title-short":"Gold, green, and black open access","URL":"http://doi.wiley.com/10.1002/leap.1096","volume":"30","author":[{"family":"Björk","given":"Bo-Christer"}],"accessed":{"date-parts":[["2019",10,19]]},"issued":{"date-parts":[["2017",4]]}},"label":"page"}],"schema":"https://github.com/citation-style-language/schema/raw/master/csl-citation.json"} </w:instrText>
      </w:r>
      <w:r w:rsidR="00536052" w:rsidRPr="00A9434B">
        <w:rPr>
          <w:rFonts w:eastAsia="Calibri Light"/>
        </w:rPr>
        <w:fldChar w:fldCharType="separate"/>
      </w:r>
      <w:r w:rsidR="00C71E80" w:rsidRPr="00A9434B">
        <w:t>(Björk, 2017)</w:t>
      </w:r>
      <w:r w:rsidR="00536052" w:rsidRPr="00A9434B">
        <w:rPr>
          <w:rFonts w:eastAsia="Calibri Light"/>
        </w:rPr>
        <w:fldChar w:fldCharType="end"/>
      </w:r>
      <w:r w:rsidR="00041AD8" w:rsidRPr="00A9434B">
        <w:rPr>
          <w:rFonts w:eastAsia="Calibri Light"/>
        </w:rPr>
        <w:t>,</w:t>
      </w:r>
      <w:r>
        <w:t xml:space="preserve"> with particularly </w:t>
      </w:r>
      <w:r>
        <w:lastRenderedPageBreak/>
        <w:t>serious implications for research areas where environmental, social and economic costs of delays in the dissemination of information are serious, such as invasion biology.</w:t>
      </w:r>
    </w:p>
    <w:p w14:paraId="2184D1AE" w14:textId="0EE9019F" w:rsidR="00017C04" w:rsidRDefault="00F50AF9" w:rsidP="007D5DC6">
      <w:pPr>
        <w:pStyle w:val="Heading3"/>
      </w:pPr>
      <w:bookmarkStart w:id="597" w:name="_heading=h.3im3ia3" w:colFirst="0" w:colLast="0"/>
      <w:bookmarkStart w:id="598" w:name="_Toc216065934"/>
      <w:bookmarkStart w:id="599" w:name="_Toc133428360"/>
      <w:bookmarkEnd w:id="597"/>
      <w:r>
        <w:t>Data standards for invasive alien species data</w:t>
      </w:r>
      <w:bookmarkEnd w:id="598"/>
      <w:bookmarkEnd w:id="599"/>
    </w:p>
    <w:p w14:paraId="7F6CC72A" w14:textId="498ADB96" w:rsidR="00017C04" w:rsidRDefault="00F50AF9">
      <w:r>
        <w:t xml:space="preserve">Global standards for invasive alien species information facilitate rapid, unambiguous communication and enable the delivery of indicators of invasions, regional comparisons, which in turn feed into policy support tools. Standards for data exchange of taxon observations have been around for a number of years and Darwin Core is predominant among them. </w:t>
      </w:r>
      <w:r w:rsidR="00CC4659" w:rsidRPr="00A9434B">
        <w:rPr>
          <w:rFonts w:eastAsia="Calibri Light"/>
        </w:rPr>
        <w:t xml:space="preserve">Darwin Core has been adopted by GBIF </w:t>
      </w:r>
      <w:r w:rsidR="00536052" w:rsidRPr="00A9434B">
        <w:rPr>
          <w:rFonts w:eastAsia="Calibri Light"/>
        </w:rPr>
        <w:fldChar w:fldCharType="begin"/>
      </w:r>
      <w:r w:rsidR="002D2756">
        <w:rPr>
          <w:rFonts w:eastAsia="Calibri Light"/>
        </w:rPr>
        <w:instrText xml:space="preserve"> ADDIN ZOTERO_ITEM CSL_CITATION {"citationID":"a1a2mq62is3","properties":{"formattedCitation":"(Canhos et al., 2004)","plainCitation":"(Canhos et al., 2004)","noteIndex":0},"citationItems":[{"id":16122,"uris":["http://zotero.org/groups/2352922/items/UFXMYQGT"],"itemData":{"id":16122,"type":"article-journal","container-title":"Biodiversity Informatics","DOI":"10.17161/bi.v1i0.3","ISSN":"15469735","journalAbbreviation":"Biodiv. Inf.","source":"DOI.org (Crossref)","title":"Global Biodiversity Informatics: setting the scene for a “new world” of ecological forecasting","title-short":"Global Biodiversity Informatics","URL":"https://journals.ku.edu/index.php/jbi/article/view/3","volume":"1","author":[{"family":"Canhos","given":"Vanderlei Perez"},{"family":"Souza","given":"Sidnei De"},{"family":"Giovanni","given":"Renato De"},{"family":"Canhos","given":"Dora Ann Lange"}],"accessed":{"date-parts":[["2019",11,23]]},"issued":{"date-parts":[["2004",11,11]]}},"label":"page"}],"schema":"https://github.com/citation-style-language/schema/raw/master/csl-citation.json"} </w:instrText>
      </w:r>
      <w:r w:rsidR="00536052" w:rsidRPr="00A9434B">
        <w:rPr>
          <w:rFonts w:eastAsia="Calibri Light"/>
        </w:rPr>
        <w:fldChar w:fldCharType="separate"/>
      </w:r>
      <w:r w:rsidR="00C71E80" w:rsidRPr="00A9434B">
        <w:t>(Canhos et al., 2004)</w:t>
      </w:r>
      <w:r w:rsidR="00536052" w:rsidRPr="00A9434B">
        <w:rPr>
          <w:rFonts w:eastAsia="Calibri Light"/>
        </w:rPr>
        <w:fldChar w:fldCharType="end"/>
      </w:r>
      <w:r w:rsidR="00CC4659" w:rsidRPr="00A9434B">
        <w:rPr>
          <w:rFonts w:eastAsia="Calibri Light"/>
        </w:rPr>
        <w:t>.</w:t>
      </w:r>
      <w:r>
        <w:t xml:space="preserve"> Until recently Darwin Core lacked some important features to make it useful for communicating about invasive alien species. However, recently proposals have been made to include the degree of establishment and introduction pathway within Darwin Core, together with controlled vocabularies for those terms. These changes have now been implemented by GBIF and it now requires data publishers to embrace these terms and use them </w:t>
      </w:r>
      <w:r w:rsidR="00536052" w:rsidRPr="00A9434B">
        <w:rPr>
          <w:rFonts w:eastAsia="Calibri Light"/>
        </w:rPr>
        <w:fldChar w:fldCharType="begin"/>
      </w:r>
      <w:r w:rsidR="002D2756">
        <w:rPr>
          <w:rFonts w:eastAsia="Calibri Light"/>
        </w:rPr>
        <w:instrText xml:space="preserve"> ADDIN ZOTERO_ITEM CSL_CITATION {"citationID":"a1u7ho562pb","properties":{"formattedCitation":"(Groom et al., 2019)","plainCitation":"(Groom et al., 2019)","noteIndex":0},"citationItems":[{"id":29174,"uris":["http://zotero.org/groups/2352922/items/ZMMWLP9A"],"itemData":{"id":29174,"type":"article-journal","abstract":"To improve the suitability of the Darwin Core standard for the research and management of alien species, the standard needs to express the native status of organisms, how well established they are and how they came to occupy a location. To facilitate this, we propose:\n  1. To adopt a controlled vocabulary for the existing Darwin Core term dwc:establishmentMeans\n  2. To elevate the pathway term from the Invasive Species Pathways extension to become a new Darwin Core term dwc:pathway maintained as part of the Darwin Core standard\n  3. To adopt a new Darwin Core term dwc:degreeOfEstablishment with an associated controlled vocabulary\n  These changes to the standard will allow users to clearly state whether an occurrence of a species is native to a location or not, how it got there (pathway), and to what extent the species has become a permanent feature of the location. By improving Darwin Core for capturing and sharing these data, we aim to improve the quality of occurrence and checklist data in general and to increase the number of potential uses of these data.","container-title":"Biodiversity Information Science and Standards","DOI":"10.3897/biss.3.38084","ISSN":"2535-0897","language":"en","license":"2021Quentin Groom, Peter Desmet, Lien Reyserhove, Tim Adriaens, Damiano Oldoni, Sonia Vanderhoeven, Steven J Baskauf, Arthur Chapman, Melodie McGeoch, Ramona Walls, John Wieczorek, John Wilson, Paula F Zermoglio, Annie Simpson","note":"publisher: Pensoft Publishers","page":"e38084","source":"biss.pensoft.net","title":"Improving Darwin Core for research and management of alien species","URL":"https://biss.pensoft.net/article/38084/","volume":"3","author":[{"family":"Groom","given":"Quentin J."},{"family":"Desmet","given":"Peter"},{"family":"Reyserhove","given":"Lien"},{"family":"Adriaens","given":"Tim"},{"family":"Oldoni","given":"Damiano"},{"family":"Vanderhoeven","given":"Sonia"},{"family":"Baskauf","given":"Steven J."},{"family":"Chapman","given":"Arthur"},{"family":"McGeoch","given":"Melodie A."},{"family":"Walls","given":"Ramona"},{"family":"Wieczorek","given":"John"},{"family":"Wilson","given":"John R U"},{"family":"Zermoglio","given":"Paula F."},{"family":"Simpson","given":"Annie"}],"accessed":{"date-parts":[["2021",6,8]]},"issued":{"date-parts":[["2019",10,10]]}},"label":"page"}],"schema":"https://github.com/citation-style-language/schema/raw/master/csl-citation.json"} </w:instrText>
      </w:r>
      <w:r w:rsidR="00536052" w:rsidRPr="00A9434B">
        <w:rPr>
          <w:rFonts w:eastAsia="Calibri Light"/>
        </w:rPr>
        <w:fldChar w:fldCharType="separate"/>
      </w:r>
      <w:r w:rsidR="00E452E2" w:rsidRPr="00E452E2">
        <w:t>(Groom et al., 2019)</w:t>
      </w:r>
      <w:r w:rsidR="00536052" w:rsidRPr="00A9434B">
        <w:rPr>
          <w:rFonts w:eastAsia="Calibri Light"/>
        </w:rPr>
        <w:fldChar w:fldCharType="end"/>
      </w:r>
      <w:r w:rsidR="00CC4659" w:rsidRPr="00A9434B">
        <w:rPr>
          <w:rFonts w:eastAsia="Calibri Light"/>
        </w:rPr>
        <w:t>.</w:t>
      </w:r>
      <w:r>
        <w:t xml:space="preserve"> </w:t>
      </w:r>
    </w:p>
    <w:p w14:paraId="0B2196FD" w14:textId="2BA60C7C" w:rsidR="00017C04" w:rsidRDefault="00F50AF9">
      <w:r>
        <w:t xml:space="preserve">Few other official standards exist for specific data related to invasive alien species. However, several quasi standards exist under the umbrella term “framework”. </w:t>
      </w:r>
      <w:r w:rsidR="00CC4659" w:rsidRPr="00A9434B">
        <w:rPr>
          <w:rFonts w:eastAsia="Calibri Light"/>
        </w:rPr>
        <w:t xml:space="preserve">For example, </w:t>
      </w:r>
      <w:r w:rsidR="00536052" w:rsidRPr="00A9434B">
        <w:rPr>
          <w:rFonts w:eastAsia="Calibri Light"/>
        </w:rPr>
        <w:fldChar w:fldCharType="begin"/>
      </w:r>
      <w:r w:rsidR="002D2756">
        <w:rPr>
          <w:rFonts w:eastAsia="Calibri Light"/>
        </w:rPr>
        <w:instrText xml:space="preserve"> ADDIN ZOTERO_ITEM CSL_CITATION {"citationID":"a2e7ufiaovp","properties":{"formattedCitation":"(Hulme, 2009)","plainCitation":"(Hulme, 2009)","dontUpdate":true,"noteIndex":0},"citationItems":[{"id":32387,"uris":["http://zotero.org/groups/2352922/items/M3KQUD2U"],"itemData":{"id":32387,"type":"article-journal","abstract":"1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E."}],"accessed":{"date-parts":[["2019",12,5]]},"issued":{"date-parts":[["2009"]]}},"label":"page"}],"schema":"https://github.com/citation-style-language/schema/raw/master/csl-citation.json"} </w:instrText>
      </w:r>
      <w:r w:rsidR="00536052" w:rsidRPr="00A9434B">
        <w:rPr>
          <w:rFonts w:eastAsia="Calibri Light"/>
        </w:rPr>
        <w:fldChar w:fldCharType="separate"/>
      </w:r>
      <w:r w:rsidR="00C71E80" w:rsidRPr="00A9434B">
        <w:t xml:space="preserve">Hulme </w:t>
      </w:r>
      <w:r w:rsidR="00A67310">
        <w:t>(</w:t>
      </w:r>
      <w:r w:rsidR="00C71E80" w:rsidRPr="00A9434B">
        <w:t>2009)</w:t>
      </w:r>
      <w:r w:rsidR="00536052" w:rsidRPr="00A9434B">
        <w:rPr>
          <w:rFonts w:eastAsia="Calibri Light"/>
        </w:rPr>
        <w:fldChar w:fldCharType="end"/>
      </w:r>
      <w:r w:rsidR="00CC4659" w:rsidRPr="00A9434B">
        <w:rPr>
          <w:rFonts w:eastAsia="Calibri Light"/>
        </w:rPr>
        <w:t xml:space="preserve"> published a framework for introduction pathways. The intention was to have a globally applicable pathway classification that could be used for all invasive alien species, whatever their natural habitat. This was to address a need to monitor pathways of introduction and to communicate pathway information in a more comparable way. </w:t>
      </w:r>
      <w:r w:rsidR="00407DB0" w:rsidRPr="00A9434B">
        <w:rPr>
          <w:rFonts w:eastAsia="Calibri Light"/>
        </w:rPr>
        <w:t xml:space="preserve">A guide has been written to help users of the framework to interpret different pathway categories and improve consistency </w:t>
      </w:r>
      <w:r w:rsidR="00407DB0" w:rsidRPr="00A9434B">
        <w:rPr>
          <w:rFonts w:eastAsia="Calibri Light"/>
        </w:rPr>
        <w:fldChar w:fldCharType="begin"/>
      </w:r>
      <w:r w:rsidR="002D2756">
        <w:rPr>
          <w:rFonts w:eastAsia="Calibri Light"/>
        </w:rPr>
        <w:instrText xml:space="preserve"> ADDIN ZOTERO_ITEM CSL_CITATION {"citationID":"a1uro3h6apf","properties":{"formattedCitation":"(IUCN, 2017)","plainCitation":"(IUCN, 2017)","noteIndex":0},"citationItems":[{"id":30885,"uris":["http://zotero.org/groups/2352922/items/W4XHWW6S"],"itemData":{"id":30885,"type":"report","genre":"Technical note prepared by IUCN for the European Commission","note":"publisher: European Commision","publisher":"International Union for Conservation of Nature","title":"Guidance for interpretation of CBD categories on introduction pathways","URL":"https://nora.nerc.ac.uk/id/eprint/519129/1/N519129CR.pdf","author":[{"literal":"IUCN"}],"issued":{"date-parts":[["2017"]]}},"label":"page"}],"schema":"https://github.com/citation-style-language/schema/raw/master/csl-citation.json"} </w:instrText>
      </w:r>
      <w:r w:rsidR="00407DB0" w:rsidRPr="00A9434B">
        <w:rPr>
          <w:rFonts w:eastAsia="Calibri Light"/>
        </w:rPr>
        <w:fldChar w:fldCharType="separate"/>
      </w:r>
      <w:r w:rsidR="00C71E80" w:rsidRPr="00A9434B">
        <w:t>(IUCN, 2017)</w:t>
      </w:r>
      <w:r w:rsidR="00407DB0" w:rsidRPr="00A9434B">
        <w:rPr>
          <w:rFonts w:eastAsia="Calibri Light"/>
        </w:rPr>
        <w:fldChar w:fldCharType="end"/>
      </w:r>
      <w:r w:rsidR="00407DB0" w:rsidRPr="00A9434B">
        <w:rPr>
          <w:rFonts w:eastAsia="Calibri Light"/>
        </w:rPr>
        <w:t xml:space="preserve">. The CBD </w:t>
      </w:r>
      <w:r w:rsidR="00407DB0" w:rsidRPr="00A9434B">
        <w:rPr>
          <w:rFonts w:eastAsia="Calibri Light"/>
        </w:rPr>
        <w:fldChar w:fldCharType="begin"/>
      </w:r>
      <w:r w:rsidR="002D2756">
        <w:rPr>
          <w:rFonts w:eastAsia="Calibri Light"/>
        </w:rPr>
        <w:instrText xml:space="preserve"> ADDIN ZOTERO_ITEM CSL_CITATION {"citationID":"tMET42hC","properties":{"formattedCitation":"(2014a, 2014b)","plainCitation":"(2014a, 2014b)","noteIndex":0},"citationItems":[{"id":32137,"uris":["http://zotero.org/groups/2352922/items/JUHVB9UU"],"itemData":{"id":32137,"type":"paper-conference","collection-title":"UNEP/CBD/SBSTTA/18/9/Add.1","event-place":"Montreal, Canada","event-title":"Eighteenth meeting of Subsidiary Body on Scientific, Technical and Technological Advice","page":"18","publisher":"Convention on Biodiversity, United Nations Environment Programme","publisher-place":"Montreal, Canada","title":"Pathways of introduction of invasive species, their prioritization and management","URL":"https://www.cbd.int/doc/meetings/sbstta/sbstta-18/official/sbstta-18-09-add1-en.pdf","author":[{"literal":"CBD"}],"accessed":{"date-parts":[["2019",10,22]]},"issued":{"date-parts":[["2014"]]}},"label":"page","suppress-author":true},{"id":56070,"uris":["http://zotero.org/groups/2352922/items/D9Q6BB5N"],"itemData":{"id":56070,"type":"report","collection-title":"UNEP/CBD/COP/DEC/XII/17","genre":"Decision Adopted By The Conference Of The Parties To The Convention On Biological Diversity","title":"XII/17. Invasive alien species: review of work and considerations for future work","URL":"https://www.cbd.int/doc/decisions/cop-12/cop-12-dec-17-en.pdf","author":[{"literal":"CBD"}],"issued":{"date-parts":[["2014"]]}},"label":"page"}],"schema":"https://github.com/citation-style-language/schema/raw/master/csl-citation.json"} </w:instrText>
      </w:r>
      <w:r w:rsidR="00407DB0" w:rsidRPr="00A9434B">
        <w:rPr>
          <w:rFonts w:eastAsia="Calibri Light"/>
        </w:rPr>
        <w:fldChar w:fldCharType="separate"/>
      </w:r>
      <w:r w:rsidR="007675EF" w:rsidRPr="007675EF">
        <w:t>(2014a, 2014b)</w:t>
      </w:r>
      <w:r w:rsidR="00407DB0" w:rsidRPr="00A9434B">
        <w:rPr>
          <w:rFonts w:eastAsia="Calibri Light"/>
        </w:rPr>
        <w:fldChar w:fldCharType="end"/>
      </w:r>
      <w:r w:rsidR="00407DB0" w:rsidRPr="00A9434B">
        <w:rPr>
          <w:rFonts w:eastAsia="Calibri Light"/>
        </w:rPr>
        <w:t xml:space="preserve"> has </w:t>
      </w:r>
      <w:r w:rsidR="00FC00BD">
        <w:rPr>
          <w:rFonts w:eastAsia="Calibri Light"/>
        </w:rPr>
        <w:t>developed a</w:t>
      </w:r>
      <w:r w:rsidR="00407DB0" w:rsidRPr="00A9434B">
        <w:rPr>
          <w:rFonts w:eastAsia="Calibri Light"/>
        </w:rPr>
        <w:t xml:space="preserve"> pathways framework, as has the </w:t>
      </w:r>
      <w:r w:rsidR="00A23FBF" w:rsidRPr="00A9434B">
        <w:rPr>
          <w:rFonts w:eastAsia="Calibri Light"/>
        </w:rPr>
        <w:t>ISSG</w:t>
      </w:r>
      <w:r w:rsidR="00407DB0" w:rsidRPr="00A9434B">
        <w:rPr>
          <w:rFonts w:eastAsia="Calibri Light"/>
        </w:rPr>
        <w:t xml:space="preserve"> </w:t>
      </w:r>
      <w:r w:rsidR="00407DB0" w:rsidRPr="00A9434B">
        <w:rPr>
          <w:rFonts w:eastAsia="Calibri Light"/>
        </w:rPr>
        <w:fldChar w:fldCharType="begin"/>
      </w:r>
      <w:r w:rsidR="002D2756">
        <w:rPr>
          <w:rFonts w:eastAsia="Calibri Light"/>
        </w:rPr>
        <w:instrText xml:space="preserve"> ADDIN ZOTERO_ITEM CSL_CITATION {"citationID":"a10288mgugm","properties":{"formattedCitation":"(Pagad et al., 2015)","plainCitation":"(Pagad et al., 2015)","noteIndex":0},"citationItems":[{"id":28996,"uris":["http://zotero.org/groups/2352922/items/RG77WBGH"],"itemData":{"id":28996,"type":"article-journal","abstract":"The Invasive Species Specialist Group (ISSG) is a global network of scientific and policy experts on invasive species, organized under the auspices of the Species Survival Commission (SSC) of the International Union for Conservation of Nature (IUCN). ISSG aims to reduce threats to natural ecosystems and the native species they contain by increasing awareness of invasive alien species, and of ways to prevent, control or eradicate them. Since its establishment, over two decades ago, ISSG has taken the lead on collating, managing and disseminating global invasive species information, promoting practitioner networks and supporting development of policy and regulation aimed at reducing the insidious threat of biological invasions. All this has been accomplished through the development of knowledge products (such as the Global Invasive Species Database (GISD)), promoting dynamic networks such as Aliens-L, advocacy and publications. ISSG has actively catered to emerging needs with activities directed at key areas such as islands, threatened species, protected areas and developing invasive species indicators to support prioritising and monitoring management action. ISSG is working with partners advancing the adoption of a standardised framework of pathway categories and developing criteria for the ranking of known invasive species based on the type and magnitude of impacts. ISSG through participation in the Global Invasive Alien Species Information Partnership (GIASIPartnership) is working with other information providers supporting countries with current and authoritative information to effectively implement Article 8(h), Aichi Biodiversity Target 9 and other related decisions of the Convention on Biological Diversity (CBD) and other Multilateral Environmental Agreements (MEAs) such as the Convention on the Conservation of Migratory Species of Wild Animals (CMS) and the Ramsar Convention on Wetlands.","container-title":"Management of Biological Invasions","DOI":"10.3391/mbi.2015.6.2.03","ISSN":"19898649","issue":"2","journalAbbreviation":"MBI","page":"127-135","source":"DOI.org (Crossref)","title":"IUCN SSC Invasive Species Specialist Group: invasive alien species information management supporting practitioners, policy makers and decision takers","title-short":"IUCN SSC Invasive Species Specialist Group","URL":"http://www.reabic.net/journals/mbi/2015/Issue2.aspx","volume":"6","author":[{"family":"Pagad","given":"Shyama"},{"family":"Genovesi","given":"Piero"},{"family":"Carnevali","given":"Lucilla"},{"family":"Scalera","given":"Riccardo"},{"family":"Clout","given":"Mick"}],"accessed":{"date-parts":[["2019",10,12]]},"issued":{"date-parts":[["2015",6]]}},"label":"page"}],"schema":"https://github.com/citation-style-language/schema/raw/master/csl-citation.json"} </w:instrText>
      </w:r>
      <w:r w:rsidR="00407DB0" w:rsidRPr="00A9434B">
        <w:rPr>
          <w:rFonts w:eastAsia="Calibri Light"/>
        </w:rPr>
        <w:fldChar w:fldCharType="separate"/>
      </w:r>
      <w:r w:rsidR="00C71E80" w:rsidRPr="00A9434B">
        <w:t>(Pagad et al., 2015)</w:t>
      </w:r>
      <w:r w:rsidR="00407DB0" w:rsidRPr="00A9434B">
        <w:rPr>
          <w:rFonts w:eastAsia="Calibri Light"/>
        </w:rPr>
        <w:fldChar w:fldCharType="end"/>
      </w:r>
      <w:r w:rsidR="00407DB0" w:rsidRPr="00A9434B">
        <w:rPr>
          <w:rFonts w:eastAsia="Calibri Light"/>
        </w:rPr>
        <w:t>.</w:t>
      </w:r>
      <w:r>
        <w:t xml:space="preserve"> This is tied to the Aichi Biodiversity Target of identifying, prioritizing and managing pathways of invasive alien species. Armed with such information it becomes easy to provide the evidence to support policy on pathways (</w:t>
      </w:r>
      <w:r>
        <w:rPr>
          <w:b/>
        </w:rPr>
        <w:t>Chapter 5</w:t>
      </w:r>
      <w:r>
        <w:t>,</w:t>
      </w:r>
      <w:r>
        <w:rPr>
          <w:b/>
        </w:rPr>
        <w:t xml:space="preserve"> section 5.3.1</w:t>
      </w:r>
      <w:r>
        <w:t xml:space="preserve">). </w:t>
      </w:r>
    </w:p>
    <w:p w14:paraId="22AA1DC9" w14:textId="28A3C385" w:rsidR="00017C04" w:rsidRDefault="00CC4659">
      <w:r w:rsidRPr="00A9434B">
        <w:rPr>
          <w:rFonts w:eastAsia="Calibri Light"/>
        </w:rPr>
        <w:t xml:space="preserve">Nevertheless, the framework is still only a standard suitable for human interpretation and unsuitable for machine interoperability. Only by formalizing the framework as a data standard can the latter be achieved. The Invasive Organism Information Task Group of the Biodiversity Information Standards organization has proposed changes to Darwin Core to incorporate pathway vocabulary, adopted by the </w:t>
      </w:r>
      <w:r w:rsidR="00A67310">
        <w:rPr>
          <w:rFonts w:eastAsia="Calibri Light"/>
        </w:rPr>
        <w:t>CBD</w:t>
      </w:r>
      <w:r w:rsidRPr="00A9434B">
        <w:rPr>
          <w:rFonts w:eastAsia="Calibri Light"/>
        </w:rPr>
        <w:t xml:space="preserve"> </w:t>
      </w:r>
      <w:r w:rsidR="00E2675E" w:rsidRPr="00A9434B">
        <w:rPr>
          <w:rFonts w:eastAsia="Calibri Light"/>
        </w:rPr>
        <w:fldChar w:fldCharType="begin"/>
      </w:r>
      <w:r w:rsidR="002D2756">
        <w:rPr>
          <w:rFonts w:eastAsia="Calibri Light"/>
        </w:rPr>
        <w:instrText xml:space="preserve"> ADDIN ZOTERO_ITEM CSL_CITATION {"citationID":"a9p07ssfip","properties":{"formattedCitation":"(Groom et al., 2019)","plainCitation":"(Groom et al., 2019)","noteIndex":0},"citationItems":[{"id":29174,"uris":["http://zotero.org/groups/2352922/items/ZMMWLP9A"],"itemData":{"id":29174,"type":"article-journal","abstract":"To improve the suitability of the Darwin Core standard for the research and management of alien species, the standard needs to express the native status of organisms, how well established they are and how they came to occupy a location. To facilitate this, we propose:\n  1. To adopt a controlled vocabulary for the existing Darwin Core term dwc:establishmentMeans\n  2. To elevate the pathway term from the Invasive Species Pathways extension to become a new Darwin Core term dwc:pathway maintained as part of the Darwin Core standard\n  3. To adopt a new Darwin Core term dwc:degreeOfEstablishment with an associated controlled vocabulary\n  These changes to the standard will allow users to clearly state whether an occurrence of a species is native to a location or not, how it got there (pathway), and to what extent the species has become a permanent feature of the location. By improving Darwin Core for capturing and sharing these data, we aim to improve the quality of occurrence and checklist data in general and to increase the number of potential uses of these data.","container-title":"Biodiversity Information Science and Standards","DOI":"10.3897/biss.3.38084","ISSN":"2535-0897","language":"en","license":"2021Quentin Groom, Peter Desmet, Lien Reyserhove, Tim Adriaens, Damiano Oldoni, Sonia Vanderhoeven, Steven J Baskauf, Arthur Chapman, Melodie McGeoch, Ramona Walls, John Wieczorek, John Wilson, Paula F Zermoglio, Annie Simpson","note":"publisher: Pensoft Publishers","page":"e38084","source":"biss.pensoft.net","title":"Improving Darwin Core for research and management of alien species","URL":"https://biss.pensoft.net/article/38084/","volume":"3","author":[{"family":"Groom","given":"Quentin J."},{"family":"Desmet","given":"Peter"},{"family":"Reyserhove","given":"Lien"},{"family":"Adriaens","given":"Tim"},{"family":"Oldoni","given":"Damiano"},{"family":"Vanderhoeven","given":"Sonia"},{"family":"Baskauf","given":"Steven J."},{"family":"Chapman","given":"Arthur"},{"family":"McGeoch","given":"Melodie A."},{"family":"Walls","given":"Ramona"},{"family":"Wieczorek","given":"John"},{"family":"Wilson","given":"John R U"},{"family":"Zermoglio","given":"Paula F."},{"family":"Simpson","given":"Annie"}],"accessed":{"date-parts":[["2021",6,8]]},"issued":{"date-parts":[["2019",10,10]]}},"label":"page"}],"schema":"https://github.com/citation-style-language/schema/raw/master/csl-citation.json"} </w:instrText>
      </w:r>
      <w:r w:rsidR="00E2675E" w:rsidRPr="00A9434B">
        <w:rPr>
          <w:rFonts w:eastAsia="Calibri Light"/>
        </w:rPr>
        <w:fldChar w:fldCharType="separate"/>
      </w:r>
      <w:r w:rsidR="00E452E2" w:rsidRPr="00E452E2">
        <w:t>(Groom et al., 2019)</w:t>
      </w:r>
      <w:r w:rsidR="00E2675E" w:rsidRPr="00A9434B">
        <w:rPr>
          <w:rFonts w:eastAsia="Calibri Light"/>
        </w:rPr>
        <w:fldChar w:fldCharType="end"/>
      </w:r>
      <w:r w:rsidRPr="00A9434B">
        <w:rPr>
          <w:rFonts w:eastAsia="Calibri Light"/>
        </w:rPr>
        <w:t>.</w:t>
      </w:r>
      <w:r w:rsidR="00F50AF9">
        <w:t xml:space="preserve"> These recommendations have been ratified by the Biodiversity Information Standards organization who manage Darwin Core but may take a number of years to be adopted by the wide range of stakeholders who gather, manage and use these data. Progress towards machine readable standard data will make the vision of creating rapid and reliable workflows towards policy-relevant indicators feasible </w:t>
      </w:r>
      <w:r w:rsidRPr="00A9434B">
        <w:rPr>
          <w:rFonts w:eastAsia="Times New Roman"/>
        </w:rPr>
        <w:fldChar w:fldCharType="begin"/>
      </w:r>
      <w:r w:rsidR="002D2756">
        <w:rPr>
          <w:rFonts w:eastAsia="Calibri Light"/>
        </w:rPr>
        <w:instrText xml:space="preserve"> ADDIN ZOTERO_ITEM CSL_CITATION {"citationID":"a2jqr14rflc","properties":{"formattedCitation":"(McQuilton et al., 2016; Rocca-Serra et al., 2016)","plainCitation":"(McQuilton et al., 2016; Rocca-Serra et al., 2016)","noteIndex":0},"citationItems":[{"id":25212,"uris":["http://zotero.org/groups/2352922/items/DSD86VF5"],"itemData":{"id":25212,"type":"article-journal","container-title":"Database","DOI":"10.1093/database/baw075","ISSN":"1758-0463","journalAbbreviation":"Database","language":"en","page":"baw075","source":"DOI.org (Crossref)","title":"BioSharing: curated and crowd-sourced metadata standards, databases and data policies in the life sciences","title-short":"BioSharing","URL":"https://academic.oup.com/database/article-lookup/doi/10.1093/database/baw075","volume":"2016","author":[{"family":"McQuilton","given":"Peter"},{"family":"Gonzalez-Beltran","given":"Alejandra"},{"family":"Rocca-Serra","given":"Philippe"},{"family":"Thurston","given":"Milo"},{"family":"Lister","given":"Allyson"},{"family":"Maguire","given":"Eamonn"},{"family":"Sansone","given":"Susanna-Assunta"}],"accessed":{"date-parts":[["2020",6,17]]},"issued":{"date-parts":[["2016"]]}},"label":"page"},{"id":11731,"uris":["http://zotero.org/groups/2352922/items/L36YZZJH"],"itemData":{"id":11731,"type":"article-journal","container-title":"Metabolomics","DOI":"10.1007/s11306-015-0879-3","ISSN":"1573-3882, 1573-3890","issue":"1","journalAbbreviation":"Metabolomics","language":"en","page":"14","source":"DOI.org (Crossref)","title":"Data standards can boost metabolomics research, and if there is a will, there is a way","URL":"http://link.springer.com/10.1007/s11306-015-0879-3","volume":"12","author":[{"family":"Rocca-Serra","given":"Philippe"},{"family":"Salek","given":"Reza M."},{"family":"Arita","given":"Masanori"},{"family":"Correa","given":"Elon"},{"family":"Dayalan","given":"Saravanan"},{"family":"Gonzalez-Beltran","given":"Alejandra"},{"family":"Ebbels","given":"Tim"},{"family":"Goodacre","given":"Royston"},{"family":"Hastings","given":"Janna"},{"family":"Haug","given":"Kenneth"},{"family":"Koulman","given":"Albert"},{"family":"Nikolski","given":"Macha"},{"family":"Oresic","given":"Matej"},{"family":"Sansone","given":"Susanna-Assunta"},{"family":"Schober","given":"Daniel"},{"family":"Smith","given":"James"},{"family":"Steinbeck","given":"Christoph"},{"family":"Viant","given":"Mark R."},{"family":"Neumann","given":"Steffen"}],"accessed":{"date-parts":[["2020",6,17]]},"issued":{"date-parts":[["2016",1]]}},"label":"page"}],"schema":"https://github.com/citation-style-language/schema/raw/master/csl-citation.json"} </w:instrText>
      </w:r>
      <w:r w:rsidRPr="00A9434B">
        <w:rPr>
          <w:rFonts w:eastAsia="Calibri Light"/>
        </w:rPr>
        <w:fldChar w:fldCharType="separate"/>
      </w:r>
      <w:r w:rsidR="00C71E80" w:rsidRPr="00A9434B">
        <w:t>(McQuilton et al., 2016; Rocca-Serra et al., 2016)</w:t>
      </w:r>
      <w:r w:rsidRPr="00A9434B">
        <w:rPr>
          <w:rFonts w:eastAsia="Calibri Light"/>
        </w:rPr>
        <w:fldChar w:fldCharType="end"/>
      </w:r>
      <w:r w:rsidRPr="00A9434B">
        <w:rPr>
          <w:rFonts w:eastAsia="Calibri Light"/>
        </w:rPr>
        <w:t>.</w:t>
      </w:r>
      <w:r w:rsidR="00F50AF9">
        <w:t xml:space="preserve"> </w:t>
      </w:r>
    </w:p>
    <w:p w14:paraId="7345727F" w14:textId="02F084C9" w:rsidR="00017C04" w:rsidRPr="007D5DC6" w:rsidRDefault="00F50AF9" w:rsidP="008521D1">
      <w:pPr>
        <w:pStyle w:val="Heading2"/>
        <w:rPr>
          <w:rStyle w:val="eop"/>
        </w:rPr>
      </w:pPr>
      <w:bookmarkStart w:id="600" w:name="_Toc40796088"/>
      <w:bookmarkStart w:id="601" w:name="_Toc1325830387"/>
      <w:bookmarkStart w:id="602" w:name="_Toc133428361"/>
      <w:bookmarkStart w:id="603" w:name="_Toc133428806"/>
      <w:bookmarkStart w:id="604" w:name="_Toc147417601"/>
      <w:bookmarkEnd w:id="600"/>
      <w:r w:rsidRPr="007D5DC6">
        <w:rPr>
          <w:rStyle w:val="normaltextrun"/>
        </w:rPr>
        <w:t>Tracking and reporting on policy and management effectiveness</w:t>
      </w:r>
      <w:r w:rsidRPr="007D5DC6">
        <w:rPr>
          <w:rStyle w:val="eop"/>
        </w:rPr>
        <w:t>: indicators, metrics and datasets to support policy</w:t>
      </w:r>
      <w:bookmarkEnd w:id="601"/>
      <w:bookmarkEnd w:id="602"/>
      <w:bookmarkEnd w:id="603"/>
      <w:bookmarkEnd w:id="604"/>
    </w:p>
    <w:p w14:paraId="4A46611B" w14:textId="60821D49" w:rsidR="00017C04" w:rsidRDefault="00F50AF9">
      <w:r>
        <w:t>Reporting on the effectiveness of policy in generating progress towards targets and goals for invasive alien species takes place at multiple jurisdictional levels – from global to subnational. Regardless of the level at which evaluation of policy effectiveness is needed, such evaluation relies on relevant and adequate data and analysis. The information needed for reporting on invasive alien species includes (i) the identity and spread of invasive alien species, including the pathways via which this occurs, (ii) the type and severity of impacts incurred by particular invasive alien species, (iii) societal values impacted, including for example, biodiversity, agricultural and human and animal health</w:t>
      </w:r>
      <w:r w:rsidR="00EB415D">
        <w:t xml:space="preserve"> and</w:t>
      </w:r>
      <w:r>
        <w:t xml:space="preserve"> (iv) data on management interventions (left of </w:t>
      </w:r>
      <w:r w:rsidR="009E48C2" w:rsidRPr="00673554">
        <w:rPr>
          <w:rFonts w:eastAsia="Calibri Light"/>
          <w:b/>
          <w:bCs/>
          <w:iCs/>
        </w:rPr>
        <w:fldChar w:fldCharType="begin"/>
      </w:r>
      <w:r w:rsidR="009E48C2" w:rsidRPr="00673554">
        <w:rPr>
          <w:rFonts w:eastAsia="Calibri Light"/>
          <w:b/>
          <w:bCs/>
          <w:iCs/>
        </w:rPr>
        <w:instrText xml:space="preserve"> REF _Ref104897719 \h  \* MERGEFORMAT </w:instrText>
      </w:r>
      <w:r w:rsidR="009E48C2" w:rsidRPr="00673554">
        <w:rPr>
          <w:rFonts w:eastAsia="Calibri Light"/>
          <w:b/>
          <w:bCs/>
          <w:iCs/>
        </w:rPr>
      </w:r>
      <w:r w:rsidR="009E48C2" w:rsidRPr="00673554">
        <w:rPr>
          <w:rFonts w:eastAsia="Calibri Light"/>
          <w:b/>
          <w:bCs/>
          <w:iCs/>
        </w:rPr>
        <w:fldChar w:fldCharType="separate"/>
      </w:r>
      <w:r w:rsidR="0011368C" w:rsidRPr="00673554">
        <w:rPr>
          <w:b/>
          <w:bCs/>
          <w:iCs/>
        </w:rPr>
        <w:t>Figure 6.20</w:t>
      </w:r>
      <w:r w:rsidR="009E48C2" w:rsidRPr="00673554">
        <w:rPr>
          <w:rFonts w:eastAsia="Calibri Light"/>
          <w:b/>
          <w:bCs/>
          <w:iCs/>
        </w:rPr>
        <w:fldChar w:fldCharType="end"/>
      </w:r>
      <w:r w:rsidR="00FA3E0C" w:rsidRPr="00EB1D37">
        <w:t>;</w:t>
      </w:r>
      <w:r w:rsidR="00CC4659" w:rsidRPr="00673554">
        <w:rPr>
          <w:rFonts w:eastAsia="Calibri Light"/>
          <w:b/>
          <w:bCs/>
          <w:iCs/>
        </w:rPr>
        <w:t xml:space="preserve"> </w:t>
      </w:r>
      <w:r w:rsidR="00B9562C" w:rsidRPr="00673554">
        <w:rPr>
          <w:rFonts w:eastAsia="Calibri Light"/>
          <w:b/>
          <w:bCs/>
          <w:iCs/>
        </w:rPr>
        <w:fldChar w:fldCharType="begin"/>
      </w:r>
      <w:r w:rsidR="00B9562C" w:rsidRPr="00673554">
        <w:rPr>
          <w:rFonts w:eastAsia="Calibri Light"/>
          <w:b/>
          <w:bCs/>
          <w:iCs/>
        </w:rPr>
        <w:instrText xml:space="preserve"> REF _Ref104898967 \h  \* MERGEFORMAT </w:instrText>
      </w:r>
      <w:r w:rsidR="00B9562C" w:rsidRPr="00673554">
        <w:rPr>
          <w:rFonts w:eastAsia="Calibri Light"/>
          <w:b/>
          <w:bCs/>
          <w:iCs/>
        </w:rPr>
      </w:r>
      <w:r w:rsidR="00B9562C" w:rsidRPr="00673554">
        <w:rPr>
          <w:rFonts w:eastAsia="Calibri Light"/>
          <w:b/>
          <w:bCs/>
          <w:iCs/>
        </w:rPr>
        <w:fldChar w:fldCharType="separate"/>
      </w:r>
      <w:r w:rsidR="0011368C" w:rsidRPr="00673554">
        <w:rPr>
          <w:b/>
          <w:bCs/>
          <w:iCs/>
        </w:rPr>
        <w:t>Box 6.22</w:t>
      </w:r>
      <w:r w:rsidR="00B9562C" w:rsidRPr="00673554">
        <w:rPr>
          <w:rFonts w:eastAsia="Calibri Light"/>
          <w:b/>
          <w:bCs/>
          <w:iCs/>
        </w:rPr>
        <w:fldChar w:fldCharType="end"/>
      </w:r>
      <w:r w:rsidR="00CC4659" w:rsidRPr="00A9434B">
        <w:rPr>
          <w:rFonts w:eastAsia="Calibri Light"/>
        </w:rPr>
        <w:t>).</w:t>
      </w:r>
    </w:p>
    <w:p w14:paraId="0908231A" w14:textId="54899E5D" w:rsidR="00017C04" w:rsidRPr="007D5DC6" w:rsidRDefault="00F50AF9" w:rsidP="00A67310">
      <w:pPr>
        <w:pStyle w:val="Caption"/>
        <w:pBdr>
          <w:top w:val="single" w:sz="4" w:space="1" w:color="auto"/>
          <w:left w:val="single" w:sz="4" w:space="1" w:color="auto"/>
          <w:bottom w:val="single" w:sz="4" w:space="1" w:color="auto"/>
          <w:right w:val="single" w:sz="4" w:space="1" w:color="auto"/>
        </w:pBdr>
        <w:shd w:val="clear" w:color="auto" w:fill="E7E6E6" w:themeFill="background2"/>
      </w:pPr>
      <w:bookmarkStart w:id="605" w:name="_heading=h.4hr1b5p" w:colFirst="0" w:colLast="0"/>
      <w:bookmarkStart w:id="606" w:name="_Ref104898967"/>
      <w:bookmarkStart w:id="607" w:name="_Toc69379692"/>
      <w:bookmarkStart w:id="608" w:name="_Toc147418631"/>
      <w:bookmarkEnd w:id="605"/>
      <w:r w:rsidRPr="007D5DC6">
        <w:rPr>
          <w:bCs w:val="0"/>
        </w:rPr>
        <w:lastRenderedPageBreak/>
        <w:t>Box 6</w:t>
      </w:r>
      <w:r w:rsidR="009F31CA" w:rsidRPr="00A9434B">
        <w:t>.</w:t>
      </w:r>
      <w:r w:rsidR="007C7AC3">
        <w:fldChar w:fldCharType="begin"/>
      </w:r>
      <w:r w:rsidR="007C7AC3">
        <w:instrText xml:space="preserve"> SEQ Box_6. \* ARABIC </w:instrText>
      </w:r>
      <w:r w:rsidR="007C7AC3">
        <w:fldChar w:fldCharType="separate"/>
      </w:r>
      <w:r w:rsidR="0011368C">
        <w:rPr>
          <w:noProof/>
        </w:rPr>
        <w:t>22</w:t>
      </w:r>
      <w:r w:rsidR="007C7AC3">
        <w:rPr>
          <w:noProof/>
        </w:rPr>
        <w:fldChar w:fldCharType="end"/>
      </w:r>
      <w:bookmarkEnd w:id="606"/>
      <w:r w:rsidR="00FF59A9" w:rsidRPr="00A9434B">
        <w:t>.</w:t>
      </w:r>
      <w:r w:rsidRPr="007D5DC6">
        <w:t xml:space="preserve"> Sustainable delivery of information on invasive alien species for reporting on policy and management effectiveness</w:t>
      </w:r>
      <w:bookmarkEnd w:id="607"/>
      <w:bookmarkEnd w:id="608"/>
    </w:p>
    <w:p w14:paraId="18374B34" w14:textId="2802B971" w:rsidR="00017C04" w:rsidRDefault="009E48C2" w:rsidP="00A67310">
      <w:pPr>
        <w:pBdr>
          <w:top w:val="single" w:sz="4" w:space="1" w:color="auto"/>
          <w:left w:val="single" w:sz="4" w:space="1" w:color="auto"/>
          <w:bottom w:val="single" w:sz="4" w:space="1" w:color="auto"/>
          <w:right w:val="single" w:sz="4" w:space="1" w:color="auto"/>
        </w:pBdr>
        <w:shd w:val="clear" w:color="auto" w:fill="E7E6E6" w:themeFill="background2"/>
      </w:pPr>
      <w:r w:rsidRPr="00673554">
        <w:rPr>
          <w:rFonts w:eastAsia="Calibri Light"/>
          <w:b/>
          <w:bCs/>
          <w:iCs/>
        </w:rPr>
        <w:fldChar w:fldCharType="begin"/>
      </w:r>
      <w:r w:rsidRPr="00673554">
        <w:rPr>
          <w:rFonts w:eastAsia="Calibri Light"/>
          <w:b/>
          <w:bCs/>
          <w:iCs/>
        </w:rPr>
        <w:instrText xml:space="preserve"> REF _Ref104897719 \h  \* MERGEFORMAT </w:instrText>
      </w:r>
      <w:r w:rsidRPr="00673554">
        <w:rPr>
          <w:rFonts w:eastAsia="Calibri Light"/>
          <w:b/>
          <w:bCs/>
          <w:iCs/>
        </w:rPr>
      </w:r>
      <w:r w:rsidRPr="00673554">
        <w:rPr>
          <w:rFonts w:eastAsia="Calibri Light"/>
          <w:b/>
          <w:bCs/>
          <w:iCs/>
        </w:rPr>
        <w:fldChar w:fldCharType="separate"/>
      </w:r>
      <w:r w:rsidR="0011368C" w:rsidRPr="00673554">
        <w:rPr>
          <w:b/>
          <w:bCs/>
          <w:iCs/>
        </w:rPr>
        <w:t>Figure 6.20</w:t>
      </w:r>
      <w:r w:rsidRPr="00673554">
        <w:rPr>
          <w:rFonts w:eastAsia="Calibri Light"/>
          <w:b/>
          <w:bCs/>
          <w:iCs/>
        </w:rPr>
        <w:fldChar w:fldCharType="end"/>
      </w:r>
      <w:r w:rsidR="00F50AF9">
        <w:rPr>
          <w:b/>
        </w:rPr>
        <w:t xml:space="preserve"> </w:t>
      </w:r>
      <w:r w:rsidR="00F50AF9">
        <w:t xml:space="preserve">below shows a proposed framework for closely linking invasion targets with the data and tools needed to measure and make progress to achieving them </w:t>
      </w:r>
      <w:r w:rsidR="00E456A6" w:rsidRPr="00A9434B">
        <w:fldChar w:fldCharType="begin"/>
      </w:r>
      <w:r w:rsidR="002D2756">
        <w:instrText xml:space="preserve"> ADDIN ZOTERO_ITEM CSL_CITATION {"citationID":"a2osp2jf4ok","properties":{"formattedCitation":"(McGeoch &amp; Jetz, 2019)","plainCitation":"(McGeoch &amp; Jetz, 2019)","noteIndex":0},"citationItems":[{"id":56520,"uris":["http://zotero.org/groups/2352922/items/5XG8ELME","http://zotero.org/groups/2352922/items/6DDLUR5R"],"itemData":{"id":56520,"type":"article-journal","container-title":"One Earth","DOI":"10.1016/j.oneear.2019.10.003","ISSN":"25903322","issue":"2","journalAbbreviation":"One Earth","language":"en","page":"171-174","source":"DOI.org (Crossref)","title":"Measure and Reduce the Harm Caused by Biological Invasions","URL":"https://doi.org/10.1016/j.oneear.2019.10.003","volume":"1","author":[{"family":"McGeoch","given":"Melodie A."},{"family":"Jetz","given":"Walter"}],"accessed":{"date-parts":[["2023",6,8]]},"issued":{"date-parts":[["2019",10]]}},"label":"page"}],"schema":"https://github.com/citation-style-language/schema/raw/master/csl-citation.json"} </w:instrText>
      </w:r>
      <w:r w:rsidR="00E456A6" w:rsidRPr="00A9434B">
        <w:fldChar w:fldCharType="separate"/>
      </w:r>
      <w:r w:rsidR="00065870" w:rsidRPr="00065870">
        <w:t>(McGeoch &amp; Jetz, 2019)</w:t>
      </w:r>
      <w:r w:rsidR="00E456A6" w:rsidRPr="00A9434B">
        <w:fldChar w:fldCharType="end"/>
      </w:r>
      <w:r w:rsidR="00E456A6" w:rsidRPr="00A9434B">
        <w:t>.</w:t>
      </w:r>
      <w:r w:rsidR="00F50AF9">
        <w:t xml:space="preserve"> Combined in digital, modular platforms with custom tools and interfaces the framework enables both evaluation of global progress and decision-support for local actions.</w:t>
      </w:r>
    </w:p>
    <w:p w14:paraId="1C4CCA8E" w14:textId="77777777" w:rsidR="00017C04" w:rsidRDefault="00F50AF9" w:rsidP="00A67310">
      <w:pPr>
        <w:keepNext/>
        <w:pBdr>
          <w:top w:val="single" w:sz="4" w:space="1" w:color="auto"/>
          <w:left w:val="single" w:sz="4" w:space="1" w:color="auto"/>
          <w:bottom w:val="single" w:sz="4" w:space="1" w:color="auto"/>
          <w:right w:val="single" w:sz="4" w:space="1" w:color="auto"/>
        </w:pBdr>
        <w:shd w:val="clear" w:color="auto" w:fill="E7E6E6"/>
        <w:jc w:val="center"/>
      </w:pPr>
      <w:r>
        <w:rPr>
          <w:noProof/>
        </w:rPr>
        <w:drawing>
          <wp:inline distT="0" distB="0" distL="0" distR="0" wp14:anchorId="55660F46" wp14:editId="4764D522">
            <wp:extent cx="5328753" cy="4747841"/>
            <wp:effectExtent l="0" t="0" r="0" b="0"/>
            <wp:docPr id="1868808442" name="image180.png" descr="A diagram of a scientific method&#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80.png" descr="A diagram of a scientific method&#10;&#10;Description automatically generated with medium confidence"/>
                    <pic:cNvPicPr preferRelativeResize="0"/>
                  </pic:nvPicPr>
                  <pic:blipFill>
                    <a:blip r:embed="rId55"/>
                    <a:srcRect/>
                    <a:stretch>
                      <a:fillRect/>
                    </a:stretch>
                  </pic:blipFill>
                  <pic:spPr>
                    <a:xfrm>
                      <a:off x="0" y="0"/>
                      <a:ext cx="5328753" cy="4747841"/>
                    </a:xfrm>
                    <a:prstGeom prst="rect">
                      <a:avLst/>
                    </a:prstGeom>
                    <a:ln/>
                  </pic:spPr>
                </pic:pic>
              </a:graphicData>
            </a:graphic>
          </wp:inline>
        </w:drawing>
      </w:r>
    </w:p>
    <w:p w14:paraId="49037A0F" w14:textId="172B3466" w:rsidR="00017C04" w:rsidRPr="007D5DC6" w:rsidRDefault="00F50AF9" w:rsidP="00A67310">
      <w:pPr>
        <w:keepNext/>
        <w:pBdr>
          <w:top w:val="single" w:sz="4" w:space="1" w:color="auto"/>
          <w:left w:val="single" w:sz="4" w:space="1" w:color="auto"/>
          <w:bottom w:val="single" w:sz="4" w:space="1" w:color="auto"/>
          <w:right w:val="single" w:sz="4" w:space="1" w:color="auto"/>
          <w:between w:val="nil"/>
        </w:pBdr>
        <w:shd w:val="clear" w:color="auto" w:fill="E7E6E6"/>
      </w:pPr>
      <w:bookmarkStart w:id="609" w:name="_heading=h.2wwbldi" w:colFirst="0" w:colLast="0"/>
      <w:bookmarkStart w:id="610" w:name="_Ref104897719"/>
      <w:bookmarkStart w:id="611" w:name="_Toc147418315"/>
      <w:bookmarkStart w:id="612" w:name="_Hlk137726630"/>
      <w:bookmarkEnd w:id="609"/>
      <w:r w:rsidRPr="007D5DC6">
        <w:rPr>
          <w:b/>
          <w:color w:val="000000"/>
        </w:rPr>
        <w:t>Figure 6</w:t>
      </w:r>
      <w:r w:rsidR="009F31CA" w:rsidRPr="00A9434B">
        <w:t>.</w:t>
      </w:r>
      <w:r w:rsidR="009F31CA" w:rsidRPr="007D5DC6">
        <w:rPr>
          <w:b/>
          <w:bCs/>
        </w:rPr>
        <w:fldChar w:fldCharType="begin"/>
      </w:r>
      <w:r w:rsidR="009F31CA" w:rsidRPr="007D5DC6">
        <w:rPr>
          <w:b/>
          <w:bCs/>
        </w:rPr>
        <w:instrText xml:space="preserve"> SEQ Figure_6. \* ARABIC </w:instrText>
      </w:r>
      <w:r w:rsidR="009F31CA" w:rsidRPr="007D5DC6">
        <w:rPr>
          <w:b/>
          <w:bCs/>
        </w:rPr>
        <w:fldChar w:fldCharType="separate"/>
      </w:r>
      <w:r w:rsidR="0011368C" w:rsidRPr="007D5DC6">
        <w:rPr>
          <w:b/>
          <w:bCs/>
          <w:noProof/>
        </w:rPr>
        <w:t>20</w:t>
      </w:r>
      <w:r w:rsidR="009F31CA" w:rsidRPr="007D5DC6">
        <w:rPr>
          <w:b/>
          <w:bCs/>
        </w:rPr>
        <w:fldChar w:fldCharType="end"/>
      </w:r>
      <w:bookmarkEnd w:id="610"/>
      <w:r w:rsidR="00FF59A9" w:rsidRPr="007D5DC6">
        <w:rPr>
          <w:b/>
          <w:bCs/>
        </w:rPr>
        <w:t>.</w:t>
      </w:r>
      <w:r w:rsidRPr="007D5DC6">
        <w:t xml:space="preserve"> Proposed framework for closely linking invasions targets with the data and tools needed to measure and respond to them. The </w:t>
      </w:r>
      <w:r w:rsidR="00A67310">
        <w:t>t</w:t>
      </w:r>
      <w:r w:rsidRPr="007D5DC6">
        <w:t>arget (lower right) frames and guides data generation, integration and delivery via modelled decision support products and indicators, to target responses for more effective intervention and a next generation of improved outcomes on biological invasion. Data (left) on the three key dimensions of the problem, (1) spread, (2) impact (both its type and consequence) and (3) interventions are integrated in a set of workflows that combine primary evidence in informatics infrastructure. Data providers are multiple and include for example GBIF, GRIIS, CABI – Invasive Species Compendium, the IUCN</w:t>
      </w:r>
      <w:r w:rsidR="00EB415D">
        <w:t xml:space="preserve"> and</w:t>
      </w:r>
      <w:r w:rsidRPr="007D5DC6">
        <w:t xml:space="preserve"> the World Database on Protected Areas (WDPA). Currently data on interventions for invasion and their effectiveness are poorly collated with no dedicated infrastructure. Integration and delivery (centre) are at the core of the framework. Data, with the support of models, are used to predict occurrences or abundances of invasive alien species across pathways of introduction and spread (including establishment) and over contiguous spatio-temporal units, representing the Species Populations Essential Biodiversity Variables (EBVs) for invasive alien species (GEO BON). This is supplemented with data and essential variables that capture ecosystem functions and sensitive priority areas impacted by invasion, as well as data on management actions to predict impact and quantify intervention effort. </w:t>
      </w:r>
      <w:r w:rsidRPr="007D5DC6">
        <w:lastRenderedPageBreak/>
        <w:t xml:space="preserve">Indicators (right) build on the delivered invasion-relevant Essential Biodiversity Variables and are populated using modelled predictions with associated uncertainty on spread, impact and interventions </w:t>
      </w:r>
      <w:r w:rsidR="00FC00BD" w:rsidRPr="00922CCE">
        <w:rPr>
          <w:bCs/>
        </w:rPr>
        <w:fldChar w:fldCharType="begin"/>
      </w:r>
      <w:r w:rsidR="002D2756">
        <w:instrText xml:space="preserve"> ADDIN ZOTERO_ITEM CSL_CITATION {"citationID":"ar69782b8q","properties":{"formattedCitation":"(Vicente et al., 2022)","plainCitation":"(Vicente et al., 2022)","noteIndex":0},"citationItems":[{"id":32784,"uris":["http://zotero.org/groups/2352922/items/QYN838AY"],"itemData":{"id":32784,"type":"article-journal","abstract":"Monitoring the progress parties have made toward meeting global biodiversity targets requires appropriate indicators. The recognition of Invasive alien species (IAS) as a biodiversity threat has led to the development of specific targets aiming at reducing their prevalence and impact. However, indicators for adequately monitoring and reporting on the status of biological invasions have been slow to emerge, with those that exist being arguably insufficient. We performed a systematic review of the peer-reviewed literature to assess the adequacy of existing IAS indicators against a range of policy-relevant and scientifically valid properties. We found that very few indicators have most of the desirable properties, and that existing indicators are unevenly spread across the components of the Driver-Pressure-State-Response and Theory of Change frameworks. We provide three possible reasons for this: i) inadequate attention paid to the requirements of an effective IAS indicator, (ii) insufficient data required to populate and inform policy-relevant, scientifically robust indicators, or (iii) deficient investment in the development and maintenance of IAS indicators. This review includes a gap analysis of where current inadequacies in IAS indicators exist, and provides a roadmap for the future development of indicators capable of measuring progress made toward mitigating and halting biological invasions.","container-title":"Conservation Letters","DOI":"10.1111/conl.12918","issue":"5","language":"en-us","note":"DOI: 10.32942/osf.io/mn52e\ntype: article","page":"e12918","source":"OSF Preprints","title":"Existing indicators do not adequately monitor progress towards meeting invasive alien species targets","URL":"https://ecoevorxiv.org/mn52e/","volume":"15","author":[{"family":"Vicente","given":"Joana Raquel Silva"},{"family":"Vaz","given":"Ana Sofia"},{"family":"Roige","given":"Mariona"},{"family":"Winter","given":"Marten"},{"family":"Clarke","given":"David"},{"family":"Lenzner","given":"Bernd"},{"family":"McGeoch","given":"Melodie A."}],"accessed":{"date-parts":[["2021",12,6]]},"issued":{"date-parts":[["2022"]]}},"label":"page"}],"schema":"https://github.com/citation-style-language/schema/raw/master/csl-citation.json"} </w:instrText>
      </w:r>
      <w:r w:rsidR="00FC00BD" w:rsidRPr="00922CCE">
        <w:rPr>
          <w:bCs/>
        </w:rPr>
        <w:fldChar w:fldCharType="separate"/>
      </w:r>
      <w:r w:rsidR="00065870" w:rsidRPr="00065870">
        <w:t>(Vicente et al., 2022)</w:t>
      </w:r>
      <w:r w:rsidR="00FC00BD" w:rsidRPr="00922CCE">
        <w:rPr>
          <w:bCs/>
        </w:rPr>
        <w:fldChar w:fldCharType="end"/>
      </w:r>
      <w:r w:rsidR="00FC00BD" w:rsidRPr="00922CCE">
        <w:t>.</w:t>
      </w:r>
      <w:r w:rsidRPr="007D5DC6">
        <w:t xml:space="preserve"> Response (lower left) consists of the four major interventions - prevention, eradication, management</w:t>
      </w:r>
      <w:r w:rsidR="00EB415D">
        <w:t xml:space="preserve"> and</w:t>
      </w:r>
      <w:r w:rsidRPr="007D5DC6">
        <w:t xml:space="preserve"> prioritization. These activities are guided by decision-support tools and products (such as alien species distribution maps for protected areas</w:t>
      </w:r>
      <w:r w:rsidR="00EB415D">
        <w:t xml:space="preserve"> and</w:t>
      </w:r>
      <w:r w:rsidRPr="007D5DC6">
        <w:t xml:space="preserve"> location-specific automated alerts for new invasions) provided from integration and delivery directly or via indicators. The responses in turn deliver much-needed new data, including data on intervention effort and success. </w:t>
      </w:r>
      <w:r w:rsidR="00FC00BD" w:rsidRPr="00673554">
        <w:t xml:space="preserve">From McGeoch &amp; Jetz, </w:t>
      </w:r>
      <w:r w:rsidR="00FC00BD" w:rsidRPr="00673554">
        <w:rPr>
          <w:b/>
          <w:bCs/>
        </w:rPr>
        <w:fldChar w:fldCharType="begin"/>
      </w:r>
      <w:r w:rsidR="002D2756">
        <w:instrText xml:space="preserve"> ADDIN ZOTERO_ITEM CSL_CITATION {"citationID":"akltsk13ns","properties":{"formattedCitation":"(2019)","plainCitation":"(2019)","noteIndex":0},"citationItems":[{"id":56520,"uris":["http://zotero.org/groups/2352922/items/5XG8ELME","http://zotero.org/groups/2352922/items/6DDLUR5R"],"itemData":{"id":56520,"type":"article-journal","container-title":"One Earth","DOI":"10.1016/j.oneear.2019.10.003","ISSN":"25903322","issue":"2","journalAbbreviation":"One Earth","language":"en","page":"171-174","source":"DOI.org (Crossref)","title":"Measure and Reduce the Harm Caused by Biological Invasions","URL":"https://doi.org/10.1016/j.oneear.2019.10.003","volume":"1","author":[{"family":"McGeoch","given":"Melodie A."},{"family":"Jetz","given":"Walter"}],"accessed":{"date-parts":[["2023",6,8]]},"issued":{"date-parts":[["2019",10]]}},"label":"page","suppress-author":true}],"schema":"https://github.com/citation-style-language/schema/raw/master/csl-citation.json"} </w:instrText>
      </w:r>
      <w:r w:rsidR="00FC00BD" w:rsidRPr="00673554">
        <w:rPr>
          <w:b/>
          <w:bCs/>
        </w:rPr>
        <w:fldChar w:fldCharType="separate"/>
      </w:r>
      <w:r w:rsidR="00FC00BD" w:rsidRPr="00673554">
        <w:t>(2019)</w:t>
      </w:r>
      <w:r w:rsidR="00FC00BD" w:rsidRPr="00673554">
        <w:rPr>
          <w:b/>
          <w:bCs/>
        </w:rPr>
        <w:fldChar w:fldCharType="end"/>
      </w:r>
      <w:r w:rsidR="006146B5">
        <w:t xml:space="preserve">, </w:t>
      </w:r>
      <w:hyperlink r:id="rId56" w:history="1">
        <w:r w:rsidR="006146B5" w:rsidRPr="006A0CE1">
          <w:rPr>
            <w:rStyle w:val="Hyperlink"/>
          </w:rPr>
          <w:t>https://doi.org/10.1016/j.oneear.2019.10.003</w:t>
        </w:r>
      </w:hyperlink>
      <w:r w:rsidRPr="007D5DC6">
        <w:t>, under Copyright Elsevier.</w:t>
      </w:r>
      <w:bookmarkEnd w:id="611"/>
    </w:p>
    <w:bookmarkEnd w:id="612"/>
    <w:p w14:paraId="256E6E70" w14:textId="07E058FF" w:rsidR="00017C04" w:rsidRDefault="2F958343">
      <w:r>
        <w:t xml:space="preserve">A key instrument to progressing efforts to deal with invasive alien species is the use of a range of indicators of status and trends in </w:t>
      </w:r>
      <w:r w:rsidR="65287DB9">
        <w:t>invasive alien species</w:t>
      </w:r>
      <w:r>
        <w:t>. These indicators are designed to be used for reporting on policy goals and targets at national and global scales, including the Kunming-Montreal Global Biodiversity Framework (Target 6 for invasive alien species)</w:t>
      </w:r>
      <w:r w:rsidR="00EB415D">
        <w:t xml:space="preserve"> and</w:t>
      </w:r>
      <w:r>
        <w:t xml:space="preserve"> the Sustainable Development Goals. Importantly, such indicators, supported by relevant metrics and data, have a longevity beyond medium term reporting cycles so that progress can be tracked consistently over the long-term. To date, invasion indicators that are global in scope have been used across five Global Biodiversity Outlook Reports (SCBD 2001-2020), and to support the summary for policymakers </w:t>
      </w:r>
      <w:r w:rsidR="00A67310">
        <w:t>of</w:t>
      </w:r>
      <w:r>
        <w:t xml:space="preserve"> the IPBES Global Assessment </w:t>
      </w:r>
      <w:r w:rsidR="00A30BA0" w:rsidRPr="00A9434B">
        <w:fldChar w:fldCharType="begin"/>
      </w:r>
      <w:r w:rsidR="002D2756">
        <w:instrText xml:space="preserve"> ADDIN ZOTERO_ITEM CSL_CITATION {"citationID":"zu6fPbpr","properties":{"formattedCitation":"(IPBES, 2019c)","plainCitation":"(IPBES, 2019c)","noteIndex":0},"citationItems":[{"id":29377,"uris":["http://zotero.org/groups/2352922/items/HHJDST4D"],"itemData":{"id":29377,"type":"report","abstract":"IPBES is an independent intergovernmental body comprising over 130 member Governments. Established by Governments in 2012, IPBES provides policymakers with objective scientific assessments about the state of knowledge regarding the planet’s biodiversity, ecosystems and the contributions they make to people, as well as options and actions to protect and sustainably use these vital natural assets. The IPBES Global Assessment of Biodiversity and Ecosystem Services represents the landmark product of the first work programme of IPBES (2014-2018). The Global Assessment was initiated following a decision from the IPBES Plenary at its fourth session (IPBES 4, Kuala Lumpur, 2016), and considered by the IPBES Plenary at its seventh session (IPBES 7, Paris, 2019). It is composed of a summary for policymakers, which was approved at IPBES 7, and six chapters, which were accepted at IPBES 7.","event-place":"Bonn, Germany","language":"en","license":"Creative Commons Attribution 4.0 International, Open Access","note":"version: summary for policy makers\nDOI: 10.5281/ZENODO.3553458","publisher":"Secretariat of the Intergovernmental Science-Policy Platform on Biodiversity and Ecosystem Services","publisher-place":"Bonn, Germany","source":"DOI.org (Datacite)","title":"Summary for policymakers of the global assessment report on biodiversity and ecosystem services of the Intergovernmental Science-Policy Platform on Biodiversity and Ecosystem Services","URL":"https://zenodo.org/record/3553458","author":[{"literal":"IPBES"}],"collection-editor":[{"family":"Díaz","given":"Sandra"},{"family":"Settele","given":"Josef"},{"family":"Brondízio","given":"Eduardo"},{"family":"Ngo","given":"Hien T."},{"family":"Guèze","given":"Maximilien"},{"family":"Agard","given":"John"},{"family":"Arneth","given":"Almut"},{"family":"Balvanera","given":"Patricia"},{"family":"Brauman","given":"Kate"},{"family":"Butchart","given":"Stuart"},{"family":"Chan","given":"Kai"},{"family":"Garibald","given":"Lucas A."},{"family":"Ichii","given":"Kazuhito"},{"family":"Liu","given":"Jianguo"},{"family":"Subramanian","given":"Suneetha Mazhenchery"},{"family":"Midgley","given":"Guy F."},{"family":"Miloslavich","given":"Patricia"},{"family":"Molnár","given":"Zsolt"},{"family":"Obura","given":"David"},{"family":"Pfaf","given":"Alexander"},{"family":"Polasky","given":"Stephen"},{"family":"Purvis","given":"Andy"},{"family":"Razzaque","given":"Jona"},{"family":"Reyers","given":"Belinda"},{"family":"Chowdhury","given":"Rinku Roy"},{"family":"Shin","given":"Yunne-Jai"},{"family":"Visseren-Hamakers","given":"Ingrid"},{"family":"Willis","given":"Katherine"},{"family":"Zayas","given":"Cynthia"}],"accessed":{"date-parts":[["2021",2,9]]},"issued":{"date-parts":[["2019"]]}},"label":"page"}],"schema":"https://github.com/citation-style-language/schema/raw/master/csl-citation.json"} </w:instrText>
      </w:r>
      <w:r w:rsidR="00A30BA0" w:rsidRPr="00A9434B">
        <w:fldChar w:fldCharType="separate"/>
      </w:r>
      <w:r w:rsidR="00C71E80" w:rsidRPr="00A9434B">
        <w:t>(IPBES, 2019c)</w:t>
      </w:r>
      <w:r w:rsidR="00A30BA0" w:rsidRPr="00A9434B">
        <w:fldChar w:fldCharType="end"/>
      </w:r>
      <w:r w:rsidR="00CC4659" w:rsidRPr="00A9434B">
        <w:t>;</w:t>
      </w:r>
      <w:r>
        <w:t xml:space="preserve"> and </w:t>
      </w:r>
      <w:r w:rsidR="00A67310">
        <w:t xml:space="preserve">have been </w:t>
      </w:r>
      <w:r>
        <w:t xml:space="preserve">considered to various degrees in national reporting </w:t>
      </w:r>
      <w:r w:rsidR="00A30BA0" w:rsidRPr="00A9434B">
        <w:fldChar w:fldCharType="begin"/>
      </w:r>
      <w:r w:rsidR="002D2756">
        <w:instrText xml:space="preserve"> ADDIN ZOTERO_ITEM CSL_CITATION {"citationID":"af6hjppjuh","properties":{"formattedCitation":"(Secretariat of the CBD, 2020; J. R. U. Wilson et al., 2018)","plainCitation":"(Secretariat of the CBD, 2020; J. R. U. Wilson et al., 2018)","noteIndex":0},"citationItems":[{"id":31283,"uris":["http://zotero.org/groups/2352922/items/L3F5ARQK","http://zotero.org/groups/2352922/items/P7BZ6TYF"],"itemData":{"id":31283,"type":"report","event-place":"Montreal, Canada","note":"ISBN-9789292256883","page":"211","publisher":"Secretariat of the Convention on Biological Diversity","publisher-place":"Montreal, Canada","title":"Global Biodiversity Outlook 5","URL":"https://www.cbd.int/gbo/gbo5/publication/gbo-5-en.pdf","author":[{"literal":"Secretariat of the CBD"}],"issued":{"date-parts":[["2020"]]}},"label":"page"},{"id":29165,"uris":["http://zotero.org/groups/2352922/items/WF8FIGDG","http://zotero.org/groups/2352922/items/MT5VVIIE"],"itemData":{"id":29165,"type":"article-journal","container-title":"Journal of Applied Ecology","DOI":"10.1111/1365-2664.13251","ISSN":"0021-8901, 1365-2664","issue":"6","journalAbbreviation":"J Appl Ecol","language":"en","page":"2612-2620","source":"DOI.org (Crossref)","title":"Indicators for monitoring biological invasions at a national level","URL":"https://onlinelibrary.wiley.com/doi/abs/10.1111/1365-2664.13251","volume":"55","author":[{"family":"Wilson","given":"John R. U."},{"family":"Faulkner","given":"Katelyn T."},{"family":"Rahlao","given":"Sebataolo J."},{"family":"Richardson","given":"David M."},{"family":"Zengeya","given":"Tsungai A."},{"family":"Wilgen","given":"Brian W.","non-dropping-particle":"van"}],"editor":[{"family":"Bellard","given":"Céline"}],"accessed":{"date-parts":[["2019",12,2]]},"issued":{"date-parts":[["2018",11]]}},"label":"page"}],"schema":"https://github.com/citation-style-language/schema/raw/master/csl-citation.json"} </w:instrText>
      </w:r>
      <w:r w:rsidR="00A30BA0" w:rsidRPr="00A9434B">
        <w:fldChar w:fldCharType="separate"/>
      </w:r>
      <w:r w:rsidR="00065870" w:rsidRPr="00065870">
        <w:t>(Secretariat of the CBD, 2020; J. R. U. Wilson et al., 2018)</w:t>
      </w:r>
      <w:r w:rsidR="00A30BA0" w:rsidRPr="00A9434B">
        <w:fldChar w:fldCharType="end"/>
      </w:r>
      <w:r w:rsidR="00CC4659" w:rsidRPr="00A9434B">
        <w:t>.</w:t>
      </w:r>
      <w:r>
        <w:t xml:space="preserve"> Proposed headline indicators for monitoring the implementation of the Kunming-Montreal Global Biodiversity Framework have been published by the CBD </w:t>
      </w:r>
      <w:r w:rsidR="00AF6EED">
        <w:fldChar w:fldCharType="begin"/>
      </w:r>
      <w:r w:rsidR="002D2756">
        <w:instrText xml:space="preserve"> ADDIN ZOTERO_ITEM CSL_CITATION {"citationID":"36jsJM1u","properties":{"formattedCitation":"(2022b)","plainCitation":"(2022b)","noteIndex":0},"citationItems":[{"id":54875,"uris":["http://zotero.org/groups/2352922/items/TKT37422"],"itemData":{"id":54875,"type":"paper-conference","collection-title":"CBD/COP/DEC/15/5","container-title":"Decision adopted by the conference of the parties to the convention on biological diversity","event-place":"Montreal, Canada","event-title":"Fifteenth meeting (Part II) of Conference of the parties to the Convention on Biological Diversity","language":"en","publisher":"Convention on Biodiversity, United Nations Environment Programme","publisher-place":"Montreal, Canada","source":"Zotero","title":"15/5. Monitoring framework for the Kunming-Montreal Global Biodiversity Framework","URL":"https://www.cbd.int/doc/decisions/cop-15/cop-15-dec-05-en.pdf","author":[{"literal":"CBD"}],"issued":{"date-parts":[["2022"]]}},"label":"page","suppress-author":true}],"schema":"https://github.com/citation-style-language/schema/raw/master/csl-citation.json"} </w:instrText>
      </w:r>
      <w:r w:rsidR="00AF6EED">
        <w:fldChar w:fldCharType="separate"/>
      </w:r>
      <w:r w:rsidR="00017441" w:rsidRPr="00017441">
        <w:t>(2022b)</w:t>
      </w:r>
      <w:r w:rsidR="00AF6EED">
        <w:fldChar w:fldCharType="end"/>
      </w:r>
      <w:r w:rsidR="00FC7696" w:rsidRPr="00A9434B">
        <w:t>,</w:t>
      </w:r>
      <w:r>
        <w:t xml:space="preserve"> including a specific headline indicator for biological invasions “6.1 Rate of invasive alien species establishment”.</w:t>
      </w:r>
    </w:p>
    <w:p w14:paraId="16BDCFAF" w14:textId="03A07648" w:rsidR="00CC4659" w:rsidRPr="00F27FC5" w:rsidRDefault="00CC4659" w:rsidP="004404B2">
      <w:pPr>
        <w:rPr>
          <w:b/>
        </w:rPr>
      </w:pPr>
      <w:r w:rsidRPr="00A9434B">
        <w:t xml:space="preserve">Indicators of biological invasion are broadly classified into indicators of (1) the drivers </w:t>
      </w:r>
      <w:r w:rsidR="007D5DC6">
        <w:t xml:space="preserve">that facilitate </w:t>
      </w:r>
      <w:r w:rsidRPr="00A9434B">
        <w:t>biological invasion, (2) the size of the invasion problem (pressure indicators), (3) impacts on biodiversity and society (state indicators)</w:t>
      </w:r>
      <w:r w:rsidR="00EB415D">
        <w:t xml:space="preserve"> and</w:t>
      </w:r>
      <w:r w:rsidRPr="00A9434B">
        <w:t xml:space="preserve"> (4) societal responses to invasion (response indicators</w:t>
      </w:r>
      <w:r w:rsidR="00E2675E" w:rsidRPr="00A9434B">
        <w:t>;</w:t>
      </w:r>
      <w:r w:rsidRPr="00A9434B">
        <w:t xml:space="preserve"> </w:t>
      </w:r>
      <w:r w:rsidR="00E2675E" w:rsidRPr="00A9434B">
        <w:fldChar w:fldCharType="begin"/>
      </w:r>
      <w:r w:rsidR="002D2756">
        <w:instrText xml:space="preserve"> ADDIN ZOTERO_ITEM CSL_CITATION {"citationID":"4u92ziXY","properties":{"formattedCitation":"(Butchart et al., 2010; McGeoch et al., 2010a)","plainCitation":"(Butchart et al., 2010; McGeoch et al., 2010a)","dontUpdate":true,"noteIndex":0},"citationItems":[{"id":28843,"uris":["http://zotero.org/groups/2352922/items/6ET3SVDF"],"itemData":{"id":28843,"type":"article-journal","abstract":"In 2002, world leaders committed, through the Convention on Biological Diversity, to achieve a significant reduction in the rate of biodiversity loss by 2010. We compiled 31 indicators to report on progress toward this target. Most indicators of the state of biodiversity (covering species' population trends, extinction risk, habitat extent and condition, and community composition) showed declines, with no significant recent reductions in rate, whereas indicators of pressures on biodiversity (including resource consumption, invasive alien species, nitrogen pollution, overexploitation, and climate change impacts) showed increases. Despite some local successes and increasing responses (including extent and biodiversity coverage of protected areas, sustainable forest management, policy responses to invasive alien species, and biodiversity-related aid), the rate of biodiversity loss does not appear to be slowing.","container-title":"Science","DOI":"10.1126/science.1187512","ISSN":"0036-8075","issue":"5982","note":"PMID: 20430971","page":"1164–1168","title":"Global Biodiversity: Indicators of Recent Declines","URL":"http://www.sciencemag.org/cgi/content/full/328/5982/1164 http://www.sciencemag.org/cgi/content/full/science.1187512/DC1 http://www.sciencemag.org/cgi/content/full/328/5982/1164#otherarticles http://www.sciencemag.org/cgi/collection/ecology http://www.scie","volume":"328","author":[{"family":"Butchart","given":"Stuart H. M."},{"family":"Walpole","given":"Matt"},{"family":"Collen","given":"Ben"},{"family":"Strien","given":"Arco","non-dropping-particle":"van"},{"family":"Scharlemann","given":"Jörn P. W."},{"family":"Almond","given":"Rosamunde E. A."},{"family":"Baillie","given":"Jonathan E. M."},{"family":"Bomhard","given":"Bastian"},{"family":"Brown","given":"Claire"},{"family":"Bruno","given":"John"},{"family":"Carpenter","given":"Kent E."},{"family":"Carr","given":"Geneviève M."},{"family":"Chanson","given":"Janice"},{"family":"Chenery","given":"Anna M."},{"family":"Csirke","given":"Jorge"},{"family":"Davidson","given":"Nick C."},{"family":"Dentener","given":"Frank"},{"family":"Foster","given":"Matt"},{"family":"Galli","given":"Alessandro"},{"family":"Galloway","given":"James N."},{"family":"Genovesi","given":"Piero"},{"family":"Gregory","given":"Richard D."},{"family":"Hockings","given":"Marc"},{"family":"Kapos","given":"Valerie"},{"family":"Lamarque","given":"Jean-Francois"},{"family":"Leverington","given":"Fiona"},{"family":"Loh","given":"Jonathan"},{"family":"McGeoch","given":"Melodie A."},{"family":"McRae","given":"Louise"},{"family":"Minasyan","given":"Anahit"},{"family":"Morcillo","given":"Monica Hernández"},{"family":"Oldfield","given":"Thomasina E. E."},{"family":"Pauly","given":"Daniel"},{"family":"Quader","given":"Suhel"},{"family":"Revenga","given":"Carmen"},{"family":"Sauer","given":"John R."},{"family":"Skolnik","given":"Benjamin"},{"family":"Spear","given":"Dian"},{"family":"Stanwell-Smith","given":"Damon"},{"family":"Stuart","given":"Simon N."},{"family":"Symes","given":"Andy"},{"family":"Tierney","given":"Megan"},{"family":"Tyrrell","given":"Tristan D."},{"family":"Vie","given":"Jean-Christophe"},{"family":"Watson","given":"Reg"}],"issued":{"date-parts":[["2010"]]}},"label":"page"},{"id":"SnSXgYY3/WWzzJk3K","uris":["http://zotero.org/groups/2352922/items/TA9WEFBP"],"itemData":{"id":33921,"type":"article-journal","abstract":"Aim Invasive alien species (IAS) pose a significant threat to biodiversity. The Convention on Biological Diversity’s 2010 Biodiversity Target, and the associated indicator for IAS, has stimulated globally coordinated efforts to quantify patterns in the extent of biological invasion, its impact on biodiversity and policy responses. Here, we report on the outcome of indicators of alien invasion at a global scale. Location Global. Methods We developed four indicators in a pressure-state-response framework, i.e. number of documented IAS (pressure), trends in the impact of IAS on biodiversity (state) and trends in international agreements and national policy adoption relevant to reducing IAS threats to biodiversity (response). These measures were considered best suited to providing globally representative, standardized and sustainable indicators by 2010. Results We show that the number of documented IAS is a significant underestimate, because its value is negatively affected by country development status and positively by research effort and information availability. The Red List Index demonstrates that IAS pressure is driving declines in species diversity, with the overall impact apparently increasing. The policy response trend has nonetheless been positive for the last several decades, although only half of countries that are signatory to the Convention on Biological Diversity (CBD) have IAS-relevant national legislation. Although IAS pressure has apparently driven the policy response, this has clearly not been sufficient and/or adequately implemented to reduce biodiversity impact. Main conclusions For this indicator of threat to biodiversity, the 2010 Biodiversity Target has thus not been achieved. The results nonetheless provide clear direction for bridging the current divide between information available on IAS and that needed for policy and management for the prevention and control of IAS. It further highlights the need for measures to ensure that policy is effectively implemented, such that it translates into reduced IAS pressure and impact on biodiversity beyond 2010.","container-title":"Diversity and Distributions","DOI":"10.1111/j.1472-4642.2009.00633.x","ISSN":"1472-4642","issue":"1","language":"en","license":"© 2010 Blackwell Publishing Ltd","page":"95-108","source":"Wiley Online Library","title":"Global indicators of biological invasion: species numbers, biodiversity impact and policy responses","title-short":"Global indicators of biological invasion","volume":"16","author":[{"family":"McGeoch","given":"Melodie A."},{"family":"Butchart","given":"Stuart H. M."},{"family":"Spear","given":"Dian"},{"family":"Marais","given":"Elrike"},{"family":"Kleynhans","given":"Elizabeth J."},{"family":"Symes","given":"Andy"},{"family":"Chanson","given":"Janice"},{"family":"Hoffmann","given":"Michael"}],"issued":{"date-parts":[["2010"]]}},"label":"page"}],"schema":"https://github.com/citation-style-language/schema/raw/master/csl-citation.json"} </w:instrText>
      </w:r>
      <w:r w:rsidR="00E2675E" w:rsidRPr="00A9434B">
        <w:fldChar w:fldCharType="separate"/>
      </w:r>
      <w:r w:rsidR="00EB1D37" w:rsidRPr="00EB1D37">
        <w:t>Butchart et al., 2010; McGeoch et al., 2010a</w:t>
      </w:r>
      <w:r w:rsidR="00E2675E" w:rsidRPr="00A9434B">
        <w:fldChar w:fldCharType="end"/>
      </w:r>
      <w:r w:rsidR="00E2675E" w:rsidRPr="00A9434B">
        <w:t>;</w:t>
      </w:r>
      <w:r w:rsidR="00771A84" w:rsidRPr="00A9434B">
        <w:t xml:space="preserve"> </w:t>
      </w:r>
      <w:r w:rsidR="00363D20" w:rsidRPr="00673554">
        <w:rPr>
          <w:b/>
          <w:bCs/>
          <w:iCs/>
        </w:rPr>
        <w:fldChar w:fldCharType="begin"/>
      </w:r>
      <w:r w:rsidR="00363D20" w:rsidRPr="00673554">
        <w:rPr>
          <w:b/>
          <w:bCs/>
          <w:iCs/>
        </w:rPr>
        <w:instrText xml:space="preserve"> REF _Ref104892380 \h  \* MERGEFORMAT </w:instrText>
      </w:r>
      <w:r w:rsidR="00363D20" w:rsidRPr="00673554">
        <w:rPr>
          <w:b/>
          <w:bCs/>
          <w:iCs/>
        </w:rPr>
      </w:r>
      <w:r w:rsidR="00363D20" w:rsidRPr="00673554">
        <w:rPr>
          <w:b/>
          <w:bCs/>
          <w:iCs/>
        </w:rPr>
        <w:fldChar w:fldCharType="separate"/>
      </w:r>
      <w:r w:rsidR="0011368C" w:rsidRPr="00673554">
        <w:rPr>
          <w:b/>
        </w:rPr>
        <w:t>Table 6.2</w:t>
      </w:r>
      <w:r w:rsidR="00363D20" w:rsidRPr="00673554">
        <w:rPr>
          <w:b/>
          <w:bCs/>
          <w:iCs/>
        </w:rPr>
        <w:fldChar w:fldCharType="end"/>
      </w:r>
      <w:r w:rsidRPr="00A9434B">
        <w:t xml:space="preserve">). Under a theory of change framework, response indicators are now further subdivided (into input process, output, outcome, impact) to capture the stages of implementation necessary to bring about the desired progress </w:t>
      </w:r>
      <w:r w:rsidR="00E2675E" w:rsidRPr="00A9434B">
        <w:fldChar w:fldCharType="begin"/>
      </w:r>
      <w:r w:rsidR="002D2756">
        <w:instrText xml:space="preserve"> ADDIN ZOTERO_ITEM CSL_CITATION {"citationID":"fcLa9z2f","properties":{"formattedCitation":"(OECD, 2019; J. R. U. Wilson et al., 2018)","plainCitation":"(OECD, 2019; J. R. U. Wilson et al., 2018)","dontUpdate":true,"noteIndex":0},"citationItems":[{"id":30941,"uris":["http://zotero.org/groups/2352922/items/YFB3Q6LP"],"itemData":{"id":30941,"type":"report","genre":"November version","title":"The Post-2020 Biodiversity Framework: Targets, indicators and measurability implications at global and national level","URL":"https://www.oecd.org/environment/resources/biodiversity/report-the-post-2020-biodiversity-framework-targets-indicators-and-measurability-implications-at-global-and-national-level.pdf","author":[{"literal":"OECD"}],"accessed":{"date-parts":[["2021",11,10]]},"issued":{"date-parts":[["2019"]]}},"label":"page"},{"id":29165,"uris":["http://zotero.org/groups/2352922/items/WF8FIGDG","http://zotero.org/groups/2352922/items/MT5VVIIE"],"itemData":{"id":29165,"type":"article-journal","container-title":"Journal of Applied Ecology","DOI":"10.1111/1365-2664.13251","ISSN":"0021-8901, 1365-2664","issue":"6","journalAbbreviation":"J Appl Ecol","language":"en","page":"2612-2620","source":"DOI.org (Crossref)","title":"Indicators for monitoring biological invasions at a national level","URL":"https://onlinelibrary.wiley.com/doi/abs/10.1111/1365-2664.13251","volume":"55","author":[{"family":"Wilson","given":"John R. U."},{"family":"Faulkner","given":"Katelyn T."},{"family":"Rahlao","given":"Sebataolo J."},{"family":"Richardson","given":"David M."},{"family":"Zengeya","given":"Tsungai A."},{"family":"Wilgen","given":"Brian W.","non-dropping-particle":"van"}],"editor":[{"family":"Bellard","given":"Céline"}],"accessed":{"date-parts":[["2019",12,2]]},"issued":{"date-parts":[["2018",11]]}},"label":"page"}],"schema":"https://github.com/citation-style-language/schema/raw/master/csl-citation.json"} </w:instrText>
      </w:r>
      <w:r w:rsidR="00E2675E" w:rsidRPr="00A9434B">
        <w:fldChar w:fldCharType="separate"/>
      </w:r>
      <w:r w:rsidR="00C11BF2" w:rsidRPr="00C11BF2">
        <w:t>(OECD, 2019; J. R. U. Wilson et al., 2018</w:t>
      </w:r>
      <w:r w:rsidR="00E2675E" w:rsidRPr="00A9434B">
        <w:fldChar w:fldCharType="end"/>
      </w:r>
      <w:r w:rsidR="00DD11E8" w:rsidRPr="00A9434B">
        <w:t>;</w:t>
      </w:r>
      <w:r w:rsidR="00BC71A3" w:rsidRPr="00A9434B">
        <w:t xml:space="preserve"> </w:t>
      </w:r>
      <w:r w:rsidR="00F27FC5" w:rsidRPr="00F27FC5">
        <w:rPr>
          <w:b/>
          <w:iCs/>
        </w:rPr>
        <w:t>Table 6.11</w:t>
      </w:r>
      <w:r w:rsidR="00F27FC5">
        <w:rPr>
          <w:bCs/>
          <w:iCs/>
        </w:rPr>
        <w:t>).</w:t>
      </w:r>
    </w:p>
    <w:p w14:paraId="547FCB62" w14:textId="449A2CE7" w:rsidR="00017C04" w:rsidRDefault="00F50AF9">
      <w:pPr>
        <w:rPr>
          <w:b/>
        </w:rPr>
      </w:pPr>
      <w:r>
        <w:t>Although central to tracking the success of interventions to prevent and reduce the harm caused by invasive alien species, the development, adoption and fit</w:t>
      </w:r>
      <w:r w:rsidR="00A67310">
        <w:t>ness</w:t>
      </w:r>
      <w:r>
        <w:t xml:space="preserve"> for purpose of invasion indicators has to date been inadequate </w:t>
      </w:r>
      <w:r w:rsidR="00A30BA0" w:rsidRPr="00A9434B">
        <w:fldChar w:fldCharType="begin"/>
      </w:r>
      <w:r w:rsidR="002D2756">
        <w:instrText xml:space="preserve"> ADDIN ZOTERO_ITEM CSL_CITATION {"citationID":"aonn09nad8","properties":{"formattedCitation":"(Vicente et al., 2022)","plainCitation":"(Vicente et al., 2022)","noteIndex":0},"citationItems":[{"id":32784,"uris":["http://zotero.org/groups/2352922/items/QYN838AY"],"itemData":{"id":32784,"type":"article-journal","abstract":"Monitoring the progress parties have made toward meeting global biodiversity targets requires appropriate indicators. The recognition of Invasive alien species (IAS) as a biodiversity threat has led to the development of specific targets aiming at reducing their prevalence and impact. However, indicators for adequately monitoring and reporting on the status of biological invasions have been slow to emerge, with those that exist being arguably insufficient. We performed a systematic review of the peer-reviewed literature to assess the adequacy of existing IAS indicators against a range of policy-relevant and scientifically valid properties. We found that very few indicators have most of the desirable properties, and that existing indicators are unevenly spread across the components of the Driver-Pressure-State-Response and Theory of Change frameworks. We provide three possible reasons for this: i) inadequate attention paid to the requirements of an effective IAS indicator, (ii) insufficient data required to populate and inform policy-relevant, scientifically robust indicators, or (iii) deficient investment in the development and maintenance of IAS indicators. This review includes a gap analysis of where current inadequacies in IAS indicators exist, and provides a roadmap for the future development of indicators capable of measuring progress made toward mitigating and halting biological invasions.","container-title":"Conservation Letters","DOI":"10.1111/conl.12918","issue":"5","language":"en-us","note":"DOI: 10.32942/osf.io/mn52e\ntype: article","page":"e12918","source":"OSF Preprints","title":"Existing indicators do not adequately monitor progress towards meeting invasive alien species targets","URL":"https://ecoevorxiv.org/mn52e/","volume":"15","author":[{"family":"Vicente","given":"Joana Raquel Silva"},{"family":"Vaz","given":"Ana Sofia"},{"family":"Roige","given":"Mariona"},{"family":"Winter","given":"Marten"},{"family":"Clarke","given":"David"},{"family":"Lenzner","given":"Bernd"},{"family":"McGeoch","given":"Melodie A."}],"accessed":{"date-parts":[["2021",12,6]]},"issued":{"date-parts":[["2022"]]}},"label":"page"}],"schema":"https://github.com/citation-style-language/schema/raw/master/csl-citation.json"} </w:instrText>
      </w:r>
      <w:r w:rsidR="00A30BA0" w:rsidRPr="00A9434B">
        <w:fldChar w:fldCharType="separate"/>
      </w:r>
      <w:r w:rsidR="00065870" w:rsidRPr="00065870">
        <w:t>(Vicente et al., 2022)</w:t>
      </w:r>
      <w:r w:rsidR="00A30BA0" w:rsidRPr="00A9434B">
        <w:fldChar w:fldCharType="end"/>
      </w:r>
      <w:r w:rsidR="00CC4659" w:rsidRPr="00A9434B">
        <w:t>.</w:t>
      </w:r>
      <w:r>
        <w:t xml:space="preserve"> No existing indicators meet all the criteria ideal for robust, policy-relevant indicators </w:t>
      </w:r>
      <w:r w:rsidR="00E2675E" w:rsidRPr="00A9434B">
        <w:fldChar w:fldCharType="begin"/>
      </w:r>
      <w:r w:rsidR="002D2756">
        <w:instrText xml:space="preserve"> ADDIN ZOTERO_ITEM CSL_CITATION {"citationID":"a2p70k57842","properties":{"formattedCitation":"(Vicente et al., 2022)","plainCitation":"(Vicente et al., 2022)","noteIndex":0},"citationItems":[{"id":32784,"uris":["http://zotero.org/groups/2352922/items/QYN838AY"],"itemData":{"id":32784,"type":"article-journal","abstract":"Monitoring the progress parties have made toward meeting global biodiversity targets requires appropriate indicators. The recognition of Invasive alien species (IAS) as a biodiversity threat has led to the development of specific targets aiming at reducing their prevalence and impact. However, indicators for adequately monitoring and reporting on the status of biological invasions have been slow to emerge, with those that exist being arguably insufficient. We performed a systematic review of the peer-reviewed literature to assess the adequacy of existing IAS indicators against a range of policy-relevant and scientifically valid properties. We found that very few indicators have most of the desirable properties, and that existing indicators are unevenly spread across the components of the Driver-Pressure-State-Response and Theory of Change frameworks. We provide three possible reasons for this: i) inadequate attention paid to the requirements of an effective IAS indicator, (ii) insufficient data required to populate and inform policy-relevant, scientifically robust indicators, or (iii) deficient investment in the development and maintenance of IAS indicators. This review includes a gap analysis of where current inadequacies in IAS indicators exist, and provides a roadmap for the future development of indicators capable of measuring progress made toward mitigating and halting biological invasions.","container-title":"Conservation Letters","DOI":"10.1111/conl.12918","issue":"5","language":"en-us","note":"DOI: 10.32942/osf.io/mn52e\ntype: article","page":"e12918","source":"OSF Preprints","title":"Existing indicators do not adequately monitor progress towards meeting invasive alien species targets","URL":"https://ecoevorxiv.org/mn52e/","volume":"15","author":[{"family":"Vicente","given":"Joana Raquel Silva"},{"family":"Vaz","given":"Ana Sofia"},{"family":"Roige","given":"Mariona"},{"family":"Winter","given":"Marten"},{"family":"Clarke","given":"David"},{"family":"Lenzner","given":"Bernd"},{"family":"McGeoch","given":"Melodie A."}],"accessed":{"date-parts":[["2021",12,6]]},"issued":{"date-parts":[["2022"]]}}}],"schema":"https://github.com/citation-style-language/schema/raw/master/csl-citation.json"} </w:instrText>
      </w:r>
      <w:r w:rsidR="00E2675E" w:rsidRPr="00A9434B">
        <w:fldChar w:fldCharType="separate"/>
      </w:r>
      <w:r w:rsidR="00065870" w:rsidRPr="00065870">
        <w:t>(Vicente et al., 2022)</w:t>
      </w:r>
      <w:r w:rsidR="00E2675E" w:rsidRPr="00A9434B">
        <w:fldChar w:fldCharType="end"/>
      </w:r>
      <w:r w:rsidR="00A30BA0" w:rsidRPr="00A9434B">
        <w:t>.</w:t>
      </w:r>
      <w:r>
        <w:t xml:space="preserve"> Challenges also include invasive alien species indicators that are not supported by robust and repeatable scientific methods, a lack of indicators to report on some important aspects of the problem, and indicators that are reliant on increasingly old data</w:t>
      </w:r>
      <w:r w:rsidR="00A67310">
        <w:t>, which</w:t>
      </w:r>
      <w:r>
        <w:t xml:space="preserve"> as a result are not able to report on recent progress </w:t>
      </w:r>
      <w:r w:rsidR="00E2675E" w:rsidRPr="00A9434B">
        <w:fldChar w:fldCharType="begin"/>
      </w:r>
      <w:r w:rsidR="002D2756">
        <w:instrText xml:space="preserve"> ADDIN ZOTERO_ITEM CSL_CITATION {"citationID":"a2jvdvasddd","properties":{"formattedCitation":"(Vicente et al., 2022)","plainCitation":"(Vicente et al., 2022)","noteIndex":0},"citationItems":[{"id":32784,"uris":["http://zotero.org/groups/2352922/items/QYN838AY"],"itemData":{"id":32784,"type":"article-journal","abstract":"Monitoring the progress parties have made toward meeting global biodiversity targets requires appropriate indicators. The recognition of Invasive alien species (IAS) as a biodiversity threat has led to the development of specific targets aiming at reducing their prevalence and impact. However, indicators for adequately monitoring and reporting on the status of biological invasions have been slow to emerge, with those that exist being arguably insufficient. We performed a systematic review of the peer-reviewed literature to assess the adequacy of existing IAS indicators against a range of policy-relevant and scientifically valid properties. We found that very few indicators have most of the desirable properties, and that existing indicators are unevenly spread across the components of the Driver-Pressure-State-Response and Theory of Change frameworks. We provide three possible reasons for this: i) inadequate attention paid to the requirements of an effective IAS indicator, (ii) insufficient data required to populate and inform policy-relevant, scientifically robust indicators, or (iii) deficient investment in the development and maintenance of IAS indicators. This review includes a gap analysis of where current inadequacies in IAS indicators exist, and provides a roadmap for the future development of indicators capable of measuring progress made toward mitigating and halting biological invasions.","container-title":"Conservation Letters","DOI":"10.1111/conl.12918","issue":"5","language":"en-us","note":"DOI: 10.32942/osf.io/mn52e\ntype: article","page":"e12918","source":"OSF Preprints","title":"Existing indicators do not adequately monitor progress towards meeting invasive alien species targets","URL":"https://ecoevorxiv.org/mn52e/","volume":"15","author":[{"family":"Vicente","given":"Joana Raquel Silva"},{"family":"Vaz","given":"Ana Sofia"},{"family":"Roige","given":"Mariona"},{"family":"Winter","given":"Marten"},{"family":"Clarke","given":"David"},{"family":"Lenzner","given":"Bernd"},{"family":"McGeoch","given":"Melodie A."}],"accessed":{"date-parts":[["2021",12,6]]},"issued":{"date-parts":[["2022"]]}}}],"schema":"https://github.com/citation-style-language/schema/raw/master/csl-citation.json"} </w:instrText>
      </w:r>
      <w:r w:rsidR="00E2675E" w:rsidRPr="00A9434B">
        <w:fldChar w:fldCharType="separate"/>
      </w:r>
      <w:r w:rsidR="00065870" w:rsidRPr="00065870">
        <w:t>(Vicente et al., 2022)</w:t>
      </w:r>
      <w:r w:rsidR="00E2675E" w:rsidRPr="00A9434B">
        <w:fldChar w:fldCharType="end"/>
      </w:r>
      <w:r w:rsidR="00E2675E" w:rsidRPr="00A9434B">
        <w:t>.</w:t>
      </w:r>
      <w:r>
        <w:t xml:space="preserve"> Although a number of intergovernmental and research partnerships ha</w:t>
      </w:r>
      <w:r w:rsidR="00A67310">
        <w:t>ve</w:t>
      </w:r>
      <w:r>
        <w:t xml:space="preserve"> supported this endeavour over the last decade, including GBIF, IUCN Species Survival Commission (SSC) ISSG</w:t>
      </w:r>
      <w:r w:rsidR="00EB415D">
        <w:t xml:space="preserve"> and</w:t>
      </w:r>
      <w:r>
        <w:t xml:space="preserve"> GEO BON, two key factors are responsible for the slow progress. First, there has not yet to date been widespread agreement and adoption of a coherent, fit for purpose suite of indicators that can be used for long-term reporting (</w:t>
      </w:r>
      <w:r w:rsidR="00F27FC5">
        <w:rPr>
          <w:b/>
          <w:bCs/>
        </w:rPr>
        <w:t>Table</w:t>
      </w:r>
      <w:r>
        <w:rPr>
          <w:b/>
        </w:rPr>
        <w:t xml:space="preserve"> 6.2</w:t>
      </w:r>
      <w:r>
        <w:t xml:space="preserve">). Second, there has to date been no institutional home with the resources and capacity to drive the research and reporting needed to sustain a robust suite of invasive alien species indicators </w:t>
      </w:r>
      <w:r w:rsidR="00E2675E" w:rsidRPr="000A0570">
        <w:fldChar w:fldCharType="begin"/>
      </w:r>
      <w:r w:rsidR="002D2756">
        <w:instrText xml:space="preserve"> ADDIN ZOTERO_ITEM CSL_CITATION {"citationID":"ad0398out5","properties":{"formattedCitation":"(Vicente et al., 2022)","plainCitation":"(Vicente et al., 2022)","noteIndex":0},"citationItems":[{"id":32784,"uris":["http://zotero.org/groups/2352922/items/QYN838AY"],"itemData":{"id":32784,"type":"article-journal","abstract":"Monitoring the progress parties have made toward meeting global biodiversity targets requires appropriate indicators. The recognition of Invasive alien species (IAS) as a biodiversity threat has led to the development of specific targets aiming at reducing their prevalence and impact. However, indicators for adequately monitoring and reporting on the status of biological invasions have been slow to emerge, with those that exist being arguably insufficient. We performed a systematic review of the peer-reviewed literature to assess the adequacy of existing IAS indicators against a range of policy-relevant and scientifically valid properties. We found that very few indicators have most of the desirable properties, and that existing indicators are unevenly spread across the components of the Driver-Pressure-State-Response and Theory of Change frameworks. We provide three possible reasons for this: i) inadequate attention paid to the requirements of an effective IAS indicator, (ii) insufficient data required to populate and inform policy-relevant, scientifically robust indicators, or (iii) deficient investment in the development and maintenance of IAS indicators. This review includes a gap analysis of where current inadequacies in IAS indicators exist, and provides a roadmap for the future development of indicators capable of measuring progress made toward mitigating and halting biological invasions.","container-title":"Conservation Letters","DOI":"10.1111/conl.12918","issue":"5","language":"en-us","note":"DOI: 10.32942/osf.io/mn52e\ntype: article","page":"e12918","source":"OSF Preprints","title":"Existing indicators do not adequately monitor progress towards meeting invasive alien species targets","URL":"https://ecoevorxiv.org/mn52e/","volume":"15","author":[{"family":"Vicente","given":"Joana Raquel Silva"},{"family":"Vaz","given":"Ana Sofia"},{"family":"Roige","given":"Mariona"},{"family":"Winter","given":"Marten"},{"family":"Clarke","given":"David"},{"family":"Lenzner","given":"Bernd"},{"family":"McGeoch","given":"Melodie A."}],"accessed":{"date-parts":[["2021",12,6]]},"issued":{"date-parts":[["2022"]]}}}],"schema":"https://github.com/citation-style-language/schema/raw/master/csl-citation.json"} </w:instrText>
      </w:r>
      <w:r w:rsidR="00E2675E" w:rsidRPr="000A0570">
        <w:fldChar w:fldCharType="separate"/>
      </w:r>
      <w:r w:rsidR="00065870" w:rsidRPr="00065870">
        <w:t>(Vicente et al., 2022)</w:t>
      </w:r>
      <w:r w:rsidR="00E2675E" w:rsidRPr="000A0570">
        <w:fldChar w:fldCharType="end"/>
      </w:r>
      <w:r w:rsidR="00E2675E" w:rsidRPr="000A0570">
        <w:t>.</w:t>
      </w:r>
      <w:r>
        <w:t xml:space="preserve"> One of the evident outcomes of this is that the multiple indicators identified in CBD-related documentation change from reporting period to reporting period, and some are not able to be delivered or updated at the end of reporting cycles.</w:t>
      </w:r>
    </w:p>
    <w:p w14:paraId="45AA4C90" w14:textId="77777777" w:rsidR="00017C04" w:rsidRDefault="00F50AF9" w:rsidP="00A67310">
      <w:pPr>
        <w:keepNext/>
        <w:spacing w:after="0"/>
      </w:pPr>
      <w:r>
        <w:lastRenderedPageBreak/>
        <w:t xml:space="preserve">The options for strengthening the information value of invasive alien species indicators and their relevance for policy are clear. These include: </w:t>
      </w:r>
    </w:p>
    <w:p w14:paraId="3148019C" w14:textId="4B622723" w:rsidR="00017C04" w:rsidRDefault="00F50AF9" w:rsidP="007D5DC6">
      <w:pPr>
        <w:pStyle w:val="ListParagraph"/>
        <w:numPr>
          <w:ilvl w:val="0"/>
          <w:numId w:val="57"/>
        </w:numPr>
        <w:spacing w:before="0"/>
      </w:pPr>
      <w:r w:rsidRPr="007D5DC6">
        <w:t>Invest in the on-ground monitoring systems needed to deliver up to date information on the identity, spread and impacts of invasive alien species; and o</w:t>
      </w:r>
      <w:r w:rsidR="00A67310">
        <w:t>n</w:t>
      </w:r>
      <w:r w:rsidRPr="007D5DC6">
        <w:t xml:space="preserve"> the implementation and effectiveness of responses, including the implementation and effectiveness of management actions </w:t>
      </w:r>
      <w:r w:rsidR="00A30BA0" w:rsidRPr="00A9434B">
        <w:fldChar w:fldCharType="begin"/>
      </w:r>
      <w:r w:rsidR="002D2756">
        <w:instrText xml:space="preserve"> ADDIN ZOTERO_ITEM CSL_CITATION {"citationID":"a2i3dhheact","properties":{"formattedCitation":"(Latombe et al., 2017)","plainCitation":"(Latombe et al., 2017)","noteIndex":0},"citationItems":[{"id":28759,"uris":["http://zotero.org/groups/2352922/items/RDKZXX6M"],"itemData":{"id":28759,"type":"article-journal","abstract":"Managing biological invasions relies on good global coverage of species distributions. Accurate information on alien species distributions, obtained from international policy and cross-border co-operation, is required to evaluate trans-boundary and trading partnership risks. However, a standardized approach for systematically monitoring alien species and tracking biological invasions is still lacking. This Perspective presents a vision for global observation and monitoring of biological invasions. We show how the architecture for tracking biological invasions is provided by a minimum information set of Essential Variables, global collaboration on data sharing and infrastructure, and strategic contributions by countries. We show how this novel, synthetic approach to an observation system for alien species provides a tangible and attainable solution to delivering the information needed to slow the rate of new incursions and reduce the impacts of invaders. We identify three Essential Variables for Invasion Monitoring; alien species occurrence, species alien status and alien species impact. We outline how delivery of this minimum information set by joint, complementary contributions from countries and global community initiatives is possible. Country contributions are made feasible using a modular approach where all countries are able to participate and strategically build their contributions to a global information set over time. The vision we outline will deliver wide-ranging benefits to countries and international efforts to slow the rate of biological invasions and minimize their environmental impacts. These benefits will accrue over time as global coverage and information on alien species increases.","container-title":"Biological Conservation","DOI":"10.1016/j.biocon.2016.06.013","ISSN":"00063207","journalAbbreviation":"Biological Conservation","language":"en","page":"295-308","source":"DOI.org (Crossref)","title":"A vision for global monitoring of biological invasions","URL":"https://linkinghub.elsevier.com/retrieve/pii/S0006320716302373","volume":"213","author":[{"family":"Latombe","given":"Guillaume"},{"family":"Pyšek","given":"Petr"},{"family":"Jeschke","given":"Jonathan M."},{"family":"Blackburn","given":"Tim M."},{"family":"Bacher","given":"Sven"},{"family":"Capinha","given":"César"},{"family":"Costello","given":"Mark J."},{"family":"Fernández","given":"Miguel"},{"family":"Gregory","given":"Richard D."},{"family":"Hobern","given":"Donald"},{"family":"Hui","given":"Cang"},{"family":"Jetz","given":"Walter"},{"family":"Kumschick","given":"Sabrina"},{"family":"McGrannachan","given":"Chris"},{"family":"Pergl","given":"Jan"},{"family":"Roy","given":"Helen E."},{"family":"Scalera","given":"Riccardo"},{"family":"Squires","given":"Zoe E."},{"family":"Wilson","given":"John R.U."},{"family":"Winter","given":"Marten"},{"family":"Genovesi","given":"Piero"},{"family":"McGeoch","given":"Melodie A."}],"issued":{"date-parts":[["2017",9]]}},"label":"page"}],"schema":"https://github.com/citation-style-language/schema/raw/master/csl-citation.json"} </w:instrText>
      </w:r>
      <w:r w:rsidR="00A30BA0" w:rsidRPr="00A9434B">
        <w:fldChar w:fldCharType="separate"/>
      </w:r>
      <w:r w:rsidR="00C71E80" w:rsidRPr="00A9434B">
        <w:t>(Latombe et al., 2017)</w:t>
      </w:r>
      <w:r w:rsidR="00A30BA0" w:rsidRPr="00A9434B">
        <w:fldChar w:fldCharType="end"/>
      </w:r>
      <w:r w:rsidR="007D2197" w:rsidRPr="00A9434B">
        <w:t>;</w:t>
      </w:r>
    </w:p>
    <w:p w14:paraId="5432AA11" w14:textId="3FF90766" w:rsidR="00CC4659" w:rsidRPr="00A9434B" w:rsidRDefault="00CC4659" w:rsidP="00A42B50">
      <w:pPr>
        <w:pStyle w:val="ListParagraph"/>
        <w:numPr>
          <w:ilvl w:val="0"/>
          <w:numId w:val="57"/>
        </w:numPr>
      </w:pPr>
      <w:r w:rsidRPr="00A9434B">
        <w:t xml:space="preserve">Complete the research needed to support robust scientific formulations of indicators, the metrics on which they based, how they are modelled and interpretation of the uncertainty associated with them </w:t>
      </w:r>
      <w:r w:rsidR="00A30BA0" w:rsidRPr="00A9434B">
        <w:fldChar w:fldCharType="begin"/>
      </w:r>
      <w:r w:rsidR="002D2756">
        <w:instrText xml:space="preserve"> ADDIN ZOTERO_ITEM CSL_CITATION {"citationID":"anf86o4f4u","properties":{"formattedCitation":"(Jetz et al., 2019; McGeoch &amp; Jetz, 2019)","plainCitation":"(Jetz et al., 2019; McGeoch &amp; Jetz, 2019)","noteIndex":0},"citationItems":[{"id":28883,"uris":["http://zotero.org/groups/2352922/items/Y9B3XFJ9"],"itemData":{"id":28883,"type":"article-journal","container-title":"Nature Ecology &amp; Evolution","DOI":"10.1038/s41559-019-0826-1","issue":"4","note":"number: 4","page":"539-551","title":"Essential biodiversity variables for mapping and monitoring species populations","URL":"http://www.nature.com/articles/s41559-019-0826-1","volume":"3","author":[{"family":"Jetz","given":"Walter"},{"family":"McGeoch","given":"Melodie A."},{"family":"Guralnick","given":"Robert"},{"family":"Ferrier","given":"Simon"},{"family":"Beck","given":"Jan"},{"family":"Costello","given":"Mark J."},{"family":"Fernandez","given":"Miguel"},{"family":"Geller","given":"Gary N."},{"family":"Keil","given":"Petr"},{"family":"Merow","given":"Cory"},{"family":"Meyer","given":"Carsten"},{"family":"Muller-Karger","given":"Frank E."},{"family":"Pereira","given":"Henrique M."},{"family":"Regan","given":"Eugenie C."},{"family":"Schmeller","given":"Dirk S."},{"family":"Turak","given":"Eren"}],"issued":{"date-parts":[["2019",4]]}},"label":"page"},{"id":56520,"uris":["http://zotero.org/groups/2352922/items/5XG8ELME","http://zotero.org/groups/2352922/items/6DDLUR5R"],"itemData":{"id":56520,"type":"article-journal","container-title":"One Earth","DOI":"10.1016/j.oneear.2019.10.003","ISSN":"25903322","issue":"2","journalAbbreviation":"One Earth","language":"en","page":"171-174","source":"DOI.org (Crossref)","title":"Measure and Reduce the Harm Caused by Biological Invasions","URL":"https://doi.org/10.1016/j.oneear.2019.10.003","volume":"1","author":[{"family":"McGeoch","given":"Melodie A."},{"family":"Jetz","given":"Walter"}],"accessed":{"date-parts":[["2023",6,8]]},"issued":{"date-parts":[["2019",10]]}},"label":"page"}],"schema":"https://github.com/citation-style-language/schema/raw/master/csl-citation.json"} </w:instrText>
      </w:r>
      <w:r w:rsidR="00A30BA0" w:rsidRPr="00A9434B">
        <w:fldChar w:fldCharType="separate"/>
      </w:r>
      <w:r w:rsidR="00065870" w:rsidRPr="00065870">
        <w:t>(Jetz et al., 2019; McGeoch &amp; Jetz, 2019)</w:t>
      </w:r>
      <w:r w:rsidR="00A30BA0" w:rsidRPr="00A9434B">
        <w:fldChar w:fldCharType="end"/>
      </w:r>
      <w:r w:rsidR="007D2197" w:rsidRPr="00A9434B">
        <w:t>;</w:t>
      </w:r>
    </w:p>
    <w:p w14:paraId="71A128F5" w14:textId="77777777" w:rsidR="00017C04" w:rsidRDefault="00F50AF9" w:rsidP="007D5DC6">
      <w:pPr>
        <w:pStyle w:val="ListParagraph"/>
        <w:numPr>
          <w:ilvl w:val="0"/>
          <w:numId w:val="57"/>
        </w:numPr>
      </w:pPr>
      <w:r w:rsidRPr="007D5DC6">
        <w:t>Establish a stable partnership to support invasion indicators that has the scientific expertise, data and analytic capacity and resourcing necessary to sustain these indicators over the long-term;</w:t>
      </w:r>
    </w:p>
    <w:p w14:paraId="4EAD2F3F" w14:textId="44A81E0C" w:rsidR="00017C04" w:rsidRDefault="00F50AF9" w:rsidP="007D5DC6">
      <w:pPr>
        <w:pStyle w:val="ListParagraph"/>
        <w:numPr>
          <w:ilvl w:val="0"/>
          <w:numId w:val="57"/>
        </w:numPr>
      </w:pPr>
      <w:r w:rsidRPr="007D5DC6">
        <w:t xml:space="preserve">Support the open infrastructures, data sources and collation processes required to aggregate and inform invasive alien species indicators, such as GBIF and the Global Register for Introduced and Invasive Species that jointly provide the data foundational to informing on invasive alien species </w:t>
      </w:r>
      <w:r w:rsidR="00A30BA0" w:rsidRPr="00F27FC5">
        <w:fldChar w:fldCharType="begin"/>
      </w:r>
      <w:r w:rsidR="002D2756">
        <w:instrText xml:space="preserve"> ADDIN ZOTERO_ITEM CSL_CITATION {"citationID":"af8n4me67r","properties":{"formattedCitation":"(Pagad et al., 2018)","plainCitation":"(Pagad et al., 2018)","noteIndex":0},"citationItems":[{"id":29146,"uris":["http://zotero.org/groups/2352922/items/BZA84ANL"],"itemData":{"id":29146,"type":"article-journal","abstract":"Harmonised, representative data on the state of biological invasions remain inadequate at country and global scales, particularly for taxa that affect biodiversity and ecosystems. Information is not readily available in a form suitable for policy and reporting. The Global Register of Introduced and Invasive Species (GRIIS) provides the first country-wise checklists of introduced (naturalised) and invasive species. GRIIS was conceived to provide a sustainable platform for information delivery to support national governments. We outline the rationale and methods underpinning GRIIS, to facilitate transparent, repeatable analysis and reporting. Twenty country checklists are presented as exemplars; GRIIS Checklists for close to all countries globally will be submitted through the same process shortly. Over 11000 species records are currently in the 20 country exemplars alone, with environmental impact evidence for just over 20% of these. GRIIS provides significant support for countries to identify and prioritise invasive alien species, and establishes national and global baselines. In future this will enable a global system for sustainable monitoring of trends in biological invasions that affect the environment.","container-title":"Scientific Data","DOI":"10.1038/sdata.2017.202","ISSN":"2052-4463","issue":"1","language":"en","license":"2018 The Author(s)","page":"170202","source":"www.nature.com","title":"Introducing the Global Register of Introduced and Invasive Species","URL":"https://www.nature.com/articles/sdata2017202","volume":"5","author":[{"family":"Pagad","given":"Shyama"},{"family":"Genovesi","given":"Piero"},{"family":"Carnevali","given":"Lucilla"},{"family":"Schigel","given":"Dmitry"},{"family":"McGeoch","given":"Melodie A."}],"accessed":{"date-parts":[["2020",6,12]]},"issued":{"date-parts":[["2018",1,23]]}},"label":"page"}],"schema":"https://github.com/citation-style-language/schema/raw/master/csl-citation.json"} </w:instrText>
      </w:r>
      <w:r w:rsidR="00A30BA0" w:rsidRPr="00F27FC5">
        <w:fldChar w:fldCharType="separate"/>
      </w:r>
      <w:r w:rsidR="00C71E80" w:rsidRPr="00F27FC5">
        <w:t>(Pagad et al., 2018)</w:t>
      </w:r>
      <w:r w:rsidR="00A30BA0" w:rsidRPr="00F27FC5">
        <w:fldChar w:fldCharType="end"/>
      </w:r>
      <w:r w:rsidR="007D2197" w:rsidRPr="00F27FC5">
        <w:t>;</w:t>
      </w:r>
    </w:p>
    <w:p w14:paraId="4789E7C5" w14:textId="4E5A61CD" w:rsidR="00DD11E8" w:rsidRPr="007D5DC6" w:rsidRDefault="07F8E895" w:rsidP="007D5DC6">
      <w:pPr>
        <w:pStyle w:val="ListParagraph"/>
        <w:numPr>
          <w:ilvl w:val="0"/>
          <w:numId w:val="57"/>
        </w:numPr>
      </w:pPr>
      <w:bookmarkStart w:id="613" w:name="_heading=h.1c1lvlb" w:colFirst="0" w:colLast="0"/>
      <w:bookmarkEnd w:id="613"/>
      <w:r w:rsidRPr="00F27FC5">
        <w:t xml:space="preserve">Assess and progress the extent to which each indicator can be downscaled and expressed at country level and the extent to which they are suitable for use at a national scale </w:t>
      </w:r>
      <w:bookmarkStart w:id="614" w:name="_Ref104892779"/>
      <w:r w:rsidR="00DD11E8" w:rsidRPr="00F27FC5">
        <w:fldChar w:fldCharType="begin"/>
      </w:r>
      <w:r w:rsidR="002D2756">
        <w:instrText xml:space="preserve"> ADDIN ZOTERO_ITEM CSL_CITATION {"citationID":"av5eh6rmpq","properties":{"formattedCitation":"(J. R. U. Wilson et al., 2018)","plainCitation":"(J. R. U. Wilson et al., 2018)","noteIndex":0},"citationItems":[{"id":29165,"uris":["http://zotero.org/groups/2352922/items/WF8FIGDG","http://zotero.org/groups/2352922/items/MT5VVIIE"],"itemData":{"id":29165,"type":"article-journal","container-title":"Journal of Applied Ecology","DOI":"10.1111/1365-2664.13251","ISSN":"0021-8901, 1365-2664","issue":"6","journalAbbreviation":"J Appl Ecol","language":"en","page":"2612-2620","source":"DOI.org (Crossref)","title":"Indicators for monitoring biological invasions at a national level","URL":"https://onlinelibrary.wiley.com/doi/abs/10.1111/1365-2664.13251","volume":"55","author":[{"family":"Wilson","given":"John R. U."},{"family":"Faulkner","given":"Katelyn T."},{"family":"Rahlao","given":"Sebataolo J."},{"family":"Richardson","given":"David M."},{"family":"Zengeya","given":"Tsungai A."},{"family":"Wilgen","given":"Brian W.","non-dropping-particle":"van"}],"editor":[{"family":"Bellard","given":"Céline"}],"accessed":{"date-parts":[["2019",12,2]]},"issued":{"date-parts":[["2018",11]]}}}],"schema":"https://github.com/citation-style-language/schema/raw/master/csl-citation.json"} </w:instrText>
      </w:r>
      <w:r w:rsidR="00DD11E8" w:rsidRPr="00F27FC5">
        <w:fldChar w:fldCharType="separate"/>
      </w:r>
      <w:r w:rsidR="00C11BF2" w:rsidRPr="00C11BF2">
        <w:t>(J. R. U. Wilson et al., 2018)</w:t>
      </w:r>
      <w:r w:rsidR="00DD11E8" w:rsidRPr="00F27FC5">
        <w:fldChar w:fldCharType="end"/>
      </w:r>
      <w:r w:rsidR="007001A0" w:rsidRPr="00F27FC5">
        <w:t>.</w:t>
      </w:r>
    </w:p>
    <w:p w14:paraId="0C18AADB" w14:textId="057582CA" w:rsidR="00017C04" w:rsidRDefault="00F50AF9">
      <w:pPr>
        <w:rPr>
          <w:i/>
        </w:rPr>
      </w:pPr>
      <w:bookmarkStart w:id="615" w:name="_Toc147418544"/>
      <w:r>
        <w:rPr>
          <w:b/>
        </w:rPr>
        <w:t>Table 6</w:t>
      </w:r>
      <w:r w:rsidR="008E2777" w:rsidRPr="00A9434B">
        <w:rPr>
          <w:b/>
        </w:rPr>
        <w:t>.</w:t>
      </w:r>
      <w:r w:rsidR="00D508E1" w:rsidRPr="00A9434B">
        <w:rPr>
          <w:b/>
        </w:rPr>
        <w:fldChar w:fldCharType="begin"/>
      </w:r>
      <w:r w:rsidR="00D508E1" w:rsidRPr="00A9434B">
        <w:rPr>
          <w:b/>
        </w:rPr>
        <w:instrText xml:space="preserve"> SEQ Table_6. \* ARABIC </w:instrText>
      </w:r>
      <w:r w:rsidR="00D508E1" w:rsidRPr="00A9434B">
        <w:rPr>
          <w:b/>
        </w:rPr>
        <w:fldChar w:fldCharType="separate"/>
      </w:r>
      <w:r w:rsidR="0011368C">
        <w:rPr>
          <w:b/>
          <w:noProof/>
        </w:rPr>
        <w:t>11</w:t>
      </w:r>
      <w:r w:rsidR="00D508E1" w:rsidRPr="00A9434B">
        <w:rPr>
          <w:b/>
        </w:rPr>
        <w:fldChar w:fldCharType="end"/>
      </w:r>
      <w:bookmarkEnd w:id="614"/>
      <w:r w:rsidR="00FF59A9" w:rsidRPr="00A9434B">
        <w:rPr>
          <w:b/>
        </w:rPr>
        <w:t>.</w:t>
      </w:r>
      <w:r>
        <w:t xml:space="preserve"> Categories of currently used invasive alien species indicators at a global scale, their information content and development needs</w:t>
      </w:r>
      <w:bookmarkEnd w:id="615"/>
    </w:p>
    <w:p w14:paraId="295F48AF" w14:textId="77777777" w:rsidR="00017C04" w:rsidRPr="007D5DC6" w:rsidRDefault="00F50AF9" w:rsidP="007D5DC6">
      <w:pPr>
        <w:pStyle w:val="Caption"/>
        <w:spacing w:before="0"/>
        <w:rPr>
          <w:b w:val="0"/>
        </w:rPr>
      </w:pPr>
      <w:r w:rsidRPr="007D5DC6">
        <w:rPr>
          <w:b w:val="0"/>
        </w:rPr>
        <w:t>The indicators listed are phrased broadly to represent multiple closely related indicators that have been expressed in slightly different ways across the literature, policy documentation and historical, current and proposed reporting cycles.</w:t>
      </w:r>
    </w:p>
    <w:tbl>
      <w:tblPr>
        <w:tblStyle w:val="GridTable4"/>
        <w:tblW w:w="9015" w:type="dxa"/>
        <w:tblLayout w:type="fixed"/>
        <w:tblLook w:val="04A0" w:firstRow="1" w:lastRow="0" w:firstColumn="1" w:lastColumn="0" w:noHBand="0" w:noVBand="1"/>
      </w:tblPr>
      <w:tblGrid>
        <w:gridCol w:w="1271"/>
        <w:gridCol w:w="2552"/>
        <w:gridCol w:w="1848"/>
        <w:gridCol w:w="3344"/>
      </w:tblGrid>
      <w:tr w:rsidR="007D5DC6" w14:paraId="474DCB86" w14:textId="77777777" w:rsidTr="007D5D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47743319" w14:textId="77777777" w:rsidR="00017C04" w:rsidRPr="00192C26" w:rsidRDefault="00F50AF9">
            <w:r>
              <w:t>Indicator category</w:t>
            </w:r>
          </w:p>
          <w:p w14:paraId="4FD91189" w14:textId="77777777" w:rsidR="00017C04" w:rsidRDefault="00F50AF9">
            <w:r>
              <w:t xml:space="preserve"> </w:t>
            </w:r>
          </w:p>
        </w:tc>
        <w:tc>
          <w:tcPr>
            <w:tcW w:w="2552" w:type="dxa"/>
          </w:tcPr>
          <w:p w14:paraId="55828B3C" w14:textId="77777777" w:rsidR="00017C04" w:rsidRPr="00192C26" w:rsidRDefault="00F50AF9">
            <w:pPr>
              <w:cnfStyle w:val="100000000000" w:firstRow="1" w:lastRow="0" w:firstColumn="0" w:lastColumn="0" w:oddVBand="0" w:evenVBand="0" w:oddHBand="0" w:evenHBand="0" w:firstRowFirstColumn="0" w:firstRowLastColumn="0" w:lastRowFirstColumn="0" w:lastRowLastColumn="0"/>
            </w:pPr>
            <w:r>
              <w:t>Indicator expressed in an inclusive general form, encompassing relevant alternative formulations of closely related indicators</w:t>
            </w:r>
          </w:p>
        </w:tc>
        <w:tc>
          <w:tcPr>
            <w:tcW w:w="1848" w:type="dxa"/>
          </w:tcPr>
          <w:p w14:paraId="0C246E2B" w14:textId="77777777" w:rsidR="00017C04" w:rsidRPr="00192C26" w:rsidRDefault="00F50AF9">
            <w:pPr>
              <w:cnfStyle w:val="100000000000" w:firstRow="1" w:lastRow="0" w:firstColumn="0" w:lastColumn="0" w:oddVBand="0" w:evenVBand="0" w:oddHBand="0" w:evenHBand="0" w:firstRowFirstColumn="0" w:firstRowLastColumn="0" w:lastRowFirstColumn="0" w:lastRowLastColumn="0"/>
            </w:pPr>
            <w:r>
              <w:t>Data sources</w:t>
            </w:r>
          </w:p>
        </w:tc>
        <w:tc>
          <w:tcPr>
            <w:tcW w:w="3344" w:type="dxa"/>
          </w:tcPr>
          <w:p w14:paraId="6CA31447" w14:textId="77777777" w:rsidR="00017C04" w:rsidRPr="00192C26" w:rsidRDefault="00F50AF9">
            <w:pPr>
              <w:cnfStyle w:val="100000000000" w:firstRow="1" w:lastRow="0" w:firstColumn="0" w:lastColumn="0" w:oddVBand="0" w:evenVBand="0" w:oddHBand="0" w:evenHBand="0" w:firstRowFirstColumn="0" w:firstRowLastColumn="0" w:lastRowFirstColumn="0" w:lastRowLastColumn="0"/>
            </w:pPr>
            <w:r>
              <w:t>Development needs</w:t>
            </w:r>
          </w:p>
        </w:tc>
      </w:tr>
      <w:tr w:rsidR="00017C04" w14:paraId="4001E85C" w14:textId="77777777" w:rsidTr="007D5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0E85A488" w14:textId="77777777" w:rsidR="00017C04" w:rsidRPr="00192C26" w:rsidRDefault="00F50AF9">
            <w:r>
              <w:t>Driver</w:t>
            </w:r>
          </w:p>
        </w:tc>
        <w:tc>
          <w:tcPr>
            <w:tcW w:w="2552" w:type="dxa"/>
          </w:tcPr>
          <w:p w14:paraId="3805A882" w14:textId="77777777" w:rsidR="00017C04" w:rsidRDefault="00F50AF9">
            <w:pPr>
              <w:cnfStyle w:val="000000100000" w:firstRow="0" w:lastRow="0" w:firstColumn="0" w:lastColumn="0" w:oddVBand="0" w:evenVBand="0" w:oddHBand="1" w:evenHBand="0" w:firstRowFirstColumn="0" w:firstRowLastColumn="0" w:lastRowFirstColumn="0" w:lastRowLastColumn="0"/>
            </w:pPr>
            <w:r>
              <w:t xml:space="preserve">Trends in pathways of introduction and spread </w:t>
            </w:r>
          </w:p>
        </w:tc>
        <w:tc>
          <w:tcPr>
            <w:tcW w:w="1848" w:type="dxa"/>
          </w:tcPr>
          <w:p w14:paraId="4C1E586B" w14:textId="77777777" w:rsidR="00017C04" w:rsidRDefault="00F50AF9">
            <w:pPr>
              <w:cnfStyle w:val="000000100000" w:firstRow="0" w:lastRow="0" w:firstColumn="0" w:lastColumn="0" w:oddVBand="0" w:evenVBand="0" w:oddHBand="1" w:evenHBand="0" w:firstRowFirstColumn="0" w:firstRowLastColumn="0" w:lastRowFirstColumn="0" w:lastRowLastColumn="0"/>
            </w:pPr>
            <w:r>
              <w:t>No current FAIR source</w:t>
            </w:r>
          </w:p>
        </w:tc>
        <w:tc>
          <w:tcPr>
            <w:tcW w:w="3344" w:type="dxa"/>
          </w:tcPr>
          <w:p w14:paraId="41909B61" w14:textId="41CA335B" w:rsidR="00CC4659" w:rsidRPr="00A9434B" w:rsidRDefault="00CC4659" w:rsidP="00F67BCD">
            <w:pPr>
              <w:cnfStyle w:val="000000100000" w:firstRow="0" w:lastRow="0" w:firstColumn="0" w:lastColumn="0" w:oddVBand="0" w:evenVBand="0" w:oddHBand="1" w:evenHBand="0" w:firstRowFirstColumn="0" w:firstRowLastColumn="0" w:lastRowFirstColumn="0" w:lastRowLastColumn="0"/>
            </w:pPr>
            <w:r w:rsidRPr="00A9434B">
              <w:t xml:space="preserve">Although raw trends can be produced, research is needed to develop these into a robust indicator with estimates of uncertainty </w:t>
            </w:r>
            <w:r w:rsidR="00E2675E" w:rsidRPr="00A9434B">
              <w:fldChar w:fldCharType="begin"/>
            </w:r>
            <w:r w:rsidR="002D2756">
              <w:instrText xml:space="preserve"> ADDIN ZOTERO_ITEM CSL_CITATION {"citationID":"a18088v7kp2","properties":{"formattedCitation":"(McGrannachan et al., 2021)","plainCitation":"(McGrannachan et al., 2021)","noteIndex":0},"citationItems":[{"id":53072,"uris":["http://zotero.org/groups/2352922/items/TUSUKX5I"],"itemData":{"id":53072,"type":"article-journal","abstract":"Information on the pathways by which alien taxa are introduced to new regions is vital for prioritising policy and management responses to invasions. However, available datasets are often compiled using disparate methods, making comparison and collation of pathway data difficult. Using a standardised framework for recording and categorising pathway data can help to rectify this problem and provide the information necessary to develop indicators for reporting on alien introductions. We combine the Convention on Biological Diversity’s Pathways Categorisation Scheme (CPC) with data compiled by the Invasive Species Specialist Group (ISSG) to report on multiregional trends on alien introduction pathways over the past 200+ years. We found a significant increase in the documented number of multiregional alien introduction events across all pathways of the CPC’s three hierarchical levels. The ‘escape’ pathway is the most common documented pathway used by alien taxa. Transport stowaways via shipping-related pathways are a rapidly increasing contribution to alien introductions. Most alien introduction events were of unknown pathway origin, highlighting the challenge of information gaps in pathway data and reiterating the need for standardised information-gathering practices. Combining the CPC framework with alien introduction pathways data will standardise pathway information and facilitate the development of global indicators of trends in alien introductions and the pathways they use. These indicators have the potential to inform policy and management strategies for preventing future biological invasions and can be downscaled to national and regional levels that are applicable across taxa and ecosystems.","container-title":"NeoBiota","DOI":"10.3897/neobiota.64.60642","ISSN":"1314-2488","language":"en","license":"2022 Chris M. McGrannachan, Shyama Pagad, Melodie A. McGeoch","note":"publisher: Pensoft Publishers","page":"43-67","source":"neobiota.pensoft.net","title":"A multiregional assessment of transnational pathways of introduction","URL":"https://neobiota.pensoft.net/article/60642/","volume":"64","author":[{"family":"McGrannachan","given":"Chris M."},{"family":"Pagad","given":"Shyama"},{"family":"McGeoch","given":"Melodie A."}],"accessed":{"date-parts":[["2022",8,31]]},"issued":{"date-parts":[["2021",1,20]]}},"label":"page"}],"schema":"https://github.com/citation-style-language/schema/raw/master/csl-citation.json"} </w:instrText>
            </w:r>
            <w:r w:rsidR="00E2675E" w:rsidRPr="00A9434B">
              <w:fldChar w:fldCharType="separate"/>
            </w:r>
            <w:r w:rsidR="00C71E80" w:rsidRPr="00A9434B">
              <w:t>(McGrannachan et al., 2021)</w:t>
            </w:r>
            <w:r w:rsidR="00E2675E" w:rsidRPr="00A9434B">
              <w:fldChar w:fldCharType="end"/>
            </w:r>
            <w:r w:rsidRPr="00A9434B">
              <w:t>.</w:t>
            </w:r>
          </w:p>
          <w:p w14:paraId="14028701" w14:textId="77777777" w:rsidR="00017C04" w:rsidRDefault="00F50AF9">
            <w:pPr>
              <w:cnfStyle w:val="000000100000" w:firstRow="0" w:lastRow="0" w:firstColumn="0" w:lastColumn="0" w:oddVBand="0" w:evenVBand="0" w:oddHBand="1" w:evenHBand="0" w:firstRowFirstColumn="0" w:firstRowLastColumn="0" w:lastRowFirstColumn="0" w:lastRowLastColumn="0"/>
            </w:pPr>
            <w:r>
              <w:t>GRIIS has the potential to inform this indicator in future</w:t>
            </w:r>
          </w:p>
        </w:tc>
      </w:tr>
      <w:tr w:rsidR="00017C04" w14:paraId="52170B6D" w14:textId="77777777" w:rsidTr="007D5DC6">
        <w:tc>
          <w:tcPr>
            <w:cnfStyle w:val="001000000000" w:firstRow="0" w:lastRow="0" w:firstColumn="1" w:lastColumn="0" w:oddVBand="0" w:evenVBand="0" w:oddHBand="0" w:evenHBand="0" w:firstRowFirstColumn="0" w:firstRowLastColumn="0" w:lastRowFirstColumn="0" w:lastRowLastColumn="0"/>
            <w:tcW w:w="1271" w:type="dxa"/>
          </w:tcPr>
          <w:p w14:paraId="243BF7B3" w14:textId="77777777" w:rsidR="00017C04" w:rsidRPr="00192C26" w:rsidRDefault="00F50AF9">
            <w:r>
              <w:t>Pressure</w:t>
            </w:r>
          </w:p>
        </w:tc>
        <w:tc>
          <w:tcPr>
            <w:tcW w:w="2552" w:type="dxa"/>
          </w:tcPr>
          <w:p w14:paraId="2B9A658C" w14:textId="77777777" w:rsidR="00017C04" w:rsidRDefault="00F50AF9">
            <w:pPr>
              <w:cnfStyle w:val="000000000000" w:firstRow="0" w:lastRow="0" w:firstColumn="0" w:lastColumn="0" w:oddVBand="0" w:evenVBand="0" w:oddHBand="0" w:evenHBand="0" w:firstRowFirstColumn="0" w:firstRowLastColumn="0" w:lastRowFirstColumn="0" w:lastRowLastColumn="0"/>
            </w:pPr>
            <w:r>
              <w:t>Trends in numbers and spatial distribution of invasive alien species and their impacts</w:t>
            </w:r>
          </w:p>
        </w:tc>
        <w:tc>
          <w:tcPr>
            <w:tcW w:w="1848" w:type="dxa"/>
          </w:tcPr>
          <w:p w14:paraId="5D366554" w14:textId="77777777" w:rsidR="00017C04" w:rsidRDefault="00F50AF9">
            <w:pPr>
              <w:cnfStyle w:val="000000000000" w:firstRow="0" w:lastRow="0" w:firstColumn="0" w:lastColumn="0" w:oddVBand="0" w:evenVBand="0" w:oddHBand="0" w:evenHBand="0" w:firstRowFirstColumn="0" w:firstRowLastColumn="0" w:lastRowFirstColumn="0" w:lastRowLastColumn="0"/>
            </w:pPr>
            <w:r>
              <w:t xml:space="preserve">GRIIS </w:t>
            </w:r>
          </w:p>
          <w:p w14:paraId="0ADA2D92" w14:textId="77777777" w:rsidR="00017C04" w:rsidRDefault="00F50AF9">
            <w:pPr>
              <w:cnfStyle w:val="000000000000" w:firstRow="0" w:lastRow="0" w:firstColumn="0" w:lastColumn="0" w:oddVBand="0" w:evenVBand="0" w:oddHBand="0" w:evenHBand="0" w:firstRowFirstColumn="0" w:firstRowLastColumn="0" w:lastRowFirstColumn="0" w:lastRowLastColumn="0"/>
            </w:pPr>
            <w:r>
              <w:t>GBIF</w:t>
            </w:r>
          </w:p>
          <w:p w14:paraId="6F12FCA6" w14:textId="77777777" w:rsidR="00017C04" w:rsidRDefault="00F50AF9">
            <w:pPr>
              <w:cnfStyle w:val="000000000000" w:firstRow="0" w:lastRow="0" w:firstColumn="0" w:lastColumn="0" w:oddVBand="0" w:evenVBand="0" w:oddHBand="0" w:evenHBand="0" w:firstRowFirstColumn="0" w:firstRowLastColumn="0" w:lastRowFirstColumn="0" w:lastRowLastColumn="0"/>
            </w:pPr>
            <w:r>
              <w:t>First Records</w:t>
            </w:r>
          </w:p>
        </w:tc>
        <w:tc>
          <w:tcPr>
            <w:tcW w:w="3344" w:type="dxa"/>
          </w:tcPr>
          <w:p w14:paraId="46735880" w14:textId="77777777" w:rsidR="00017C04" w:rsidRDefault="00F50AF9">
            <w:pPr>
              <w:cnfStyle w:val="000000000000" w:firstRow="0" w:lastRow="0" w:firstColumn="0" w:lastColumn="0" w:oddVBand="0" w:evenVBand="0" w:oddHBand="0" w:evenHBand="0" w:firstRowFirstColumn="0" w:firstRowLastColumn="0" w:lastRowFirstColumn="0" w:lastRowLastColumn="0"/>
            </w:pPr>
            <w:r>
              <w:t>Further research to deliver downscaling to countries</w:t>
            </w:r>
          </w:p>
        </w:tc>
      </w:tr>
      <w:tr w:rsidR="007D5DC6" w14:paraId="38E2C769" w14:textId="77777777" w:rsidTr="007D5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591E4823" w14:textId="77777777" w:rsidR="00017C04" w:rsidRPr="00192C26" w:rsidRDefault="00F50AF9">
            <w:r>
              <w:t>State</w:t>
            </w:r>
          </w:p>
        </w:tc>
        <w:tc>
          <w:tcPr>
            <w:tcW w:w="2552" w:type="dxa"/>
          </w:tcPr>
          <w:p w14:paraId="79C243FF" w14:textId="77777777" w:rsidR="00017C04" w:rsidRDefault="00F50AF9">
            <w:pPr>
              <w:cnfStyle w:val="000000100000" w:firstRow="0" w:lastRow="0" w:firstColumn="0" w:lastColumn="0" w:oddVBand="0" w:evenVBand="0" w:oddHBand="1" w:evenHBand="0" w:firstRowFirstColumn="0" w:firstRowLastColumn="0" w:lastRowFirstColumn="0" w:lastRowLastColumn="0"/>
            </w:pPr>
            <w:r>
              <w:t>Trends, mechanisms and severity of invasive alien species impacts</w:t>
            </w:r>
          </w:p>
        </w:tc>
        <w:tc>
          <w:tcPr>
            <w:tcW w:w="1848" w:type="dxa"/>
          </w:tcPr>
          <w:p w14:paraId="2CB7934F" w14:textId="77777777" w:rsidR="00017C04" w:rsidRDefault="00F50AF9">
            <w:pPr>
              <w:cnfStyle w:val="000000100000" w:firstRow="0" w:lastRow="0" w:firstColumn="0" w:lastColumn="0" w:oddVBand="0" w:evenVBand="0" w:oddHBand="1" w:evenHBand="0" w:firstRowFirstColumn="0" w:firstRowLastColumn="0" w:lastRowFirstColumn="0" w:lastRowLastColumn="0"/>
            </w:pPr>
            <w:r>
              <w:t xml:space="preserve">Environmental Impact Classification </w:t>
            </w:r>
            <w:r>
              <w:lastRenderedPageBreak/>
              <w:t>for Alien Taxa (EICAT)</w:t>
            </w:r>
          </w:p>
          <w:p w14:paraId="199B1957" w14:textId="77777777" w:rsidR="00017C04" w:rsidRDefault="00F50AF9">
            <w:pPr>
              <w:cnfStyle w:val="000000100000" w:firstRow="0" w:lastRow="0" w:firstColumn="0" w:lastColumn="0" w:oddVBand="0" w:evenVBand="0" w:oddHBand="1" w:evenHBand="0" w:firstRowFirstColumn="0" w:firstRowLastColumn="0" w:lastRowFirstColumn="0" w:lastRowLastColumn="0"/>
            </w:pPr>
            <w:r>
              <w:t>GRIIS</w:t>
            </w:r>
          </w:p>
          <w:p w14:paraId="6E27D7B3" w14:textId="77777777" w:rsidR="00017C04" w:rsidRDefault="00F50AF9">
            <w:pPr>
              <w:cnfStyle w:val="000000100000" w:firstRow="0" w:lastRow="0" w:firstColumn="0" w:lastColumn="0" w:oddVBand="0" w:evenVBand="0" w:oddHBand="1" w:evenHBand="0" w:firstRowFirstColumn="0" w:firstRowLastColumn="0" w:lastRowFirstColumn="0" w:lastRowLastColumn="0"/>
            </w:pPr>
            <w:r>
              <w:t>GBIF</w:t>
            </w:r>
          </w:p>
        </w:tc>
        <w:tc>
          <w:tcPr>
            <w:tcW w:w="3344" w:type="dxa"/>
          </w:tcPr>
          <w:p w14:paraId="098AD79B" w14:textId="77777777" w:rsidR="00017C04" w:rsidRDefault="00F50AF9">
            <w:pPr>
              <w:cnfStyle w:val="000000100000" w:firstRow="0" w:lastRow="0" w:firstColumn="0" w:lastColumn="0" w:oddVBand="0" w:evenVBand="0" w:oddHBand="1" w:evenHBand="0" w:firstRowFirstColumn="0" w:firstRowLastColumn="0" w:lastRowFirstColumn="0" w:lastRowLastColumn="0"/>
            </w:pPr>
            <w:r>
              <w:lastRenderedPageBreak/>
              <w:t>IUCN Red list Index for invasive alien species is well established</w:t>
            </w:r>
          </w:p>
          <w:p w14:paraId="2E7E063D" w14:textId="77777777" w:rsidR="00017C04" w:rsidRDefault="00F50AF9">
            <w:pPr>
              <w:cnfStyle w:val="000000100000" w:firstRow="0" w:lastRow="0" w:firstColumn="0" w:lastColumn="0" w:oddVBand="0" w:evenVBand="0" w:oddHBand="1" w:evenHBand="0" w:firstRowFirstColumn="0" w:firstRowLastColumn="0" w:lastRowFirstColumn="0" w:lastRowLastColumn="0"/>
            </w:pPr>
            <w:r>
              <w:lastRenderedPageBreak/>
              <w:t>EICAT progressing but still under development</w:t>
            </w:r>
          </w:p>
          <w:p w14:paraId="33C21D17" w14:textId="77777777" w:rsidR="00017C04" w:rsidRDefault="00F50AF9">
            <w:pPr>
              <w:cnfStyle w:val="000000100000" w:firstRow="0" w:lastRow="0" w:firstColumn="0" w:lastColumn="0" w:oddVBand="0" w:evenVBand="0" w:oddHBand="1" w:evenHBand="0" w:firstRowFirstColumn="0" w:firstRowLastColumn="0" w:lastRowFirstColumn="0" w:lastRowLastColumn="0"/>
            </w:pPr>
            <w:r>
              <w:t>Downscaling to ensure relevance to countries required.</w:t>
            </w:r>
          </w:p>
        </w:tc>
      </w:tr>
      <w:tr w:rsidR="00017C04" w14:paraId="5A86D057" w14:textId="77777777" w:rsidTr="007D5DC6">
        <w:tc>
          <w:tcPr>
            <w:cnfStyle w:val="001000000000" w:firstRow="0" w:lastRow="0" w:firstColumn="1" w:lastColumn="0" w:oddVBand="0" w:evenVBand="0" w:oddHBand="0" w:evenHBand="0" w:firstRowFirstColumn="0" w:firstRowLastColumn="0" w:lastRowFirstColumn="0" w:lastRowLastColumn="0"/>
            <w:tcW w:w="9015" w:type="dxa"/>
            <w:gridSpan w:val="4"/>
          </w:tcPr>
          <w:p w14:paraId="6F08C8A1" w14:textId="77777777" w:rsidR="00017C04" w:rsidRPr="00192C26" w:rsidRDefault="00F50AF9">
            <w:r>
              <w:lastRenderedPageBreak/>
              <w:t>Response and Theory of Change sub-categories (section 6.2.1)</w:t>
            </w:r>
          </w:p>
          <w:p w14:paraId="3F05BF40" w14:textId="77777777" w:rsidR="00017C04" w:rsidRDefault="00F50AF9">
            <w:r>
              <w:t xml:space="preserve"> </w:t>
            </w:r>
          </w:p>
        </w:tc>
      </w:tr>
      <w:tr w:rsidR="007D5DC6" w14:paraId="0C515D21" w14:textId="77777777" w:rsidTr="007D5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00F38E7F" w14:textId="4CB5A62D" w:rsidR="00017C04" w:rsidRDefault="00F50AF9">
            <w:r>
              <w:t>Input</w:t>
            </w:r>
          </w:p>
        </w:tc>
        <w:tc>
          <w:tcPr>
            <w:tcW w:w="2552" w:type="dxa"/>
          </w:tcPr>
          <w:p w14:paraId="1AAE5F67" w14:textId="77777777" w:rsidR="00017C04" w:rsidRDefault="00F50AF9">
            <w:pPr>
              <w:cnfStyle w:val="000000100000" w:firstRow="0" w:lastRow="0" w:firstColumn="0" w:lastColumn="0" w:oddVBand="0" w:evenVBand="0" w:oddHBand="1" w:evenHBand="0" w:firstRowFirstColumn="0" w:firstRowLastColumn="0" w:lastRowFirstColumn="0" w:lastRowLastColumn="0"/>
            </w:pPr>
            <w:r>
              <w:t xml:space="preserve">Trends in the allocation of resources towards the prevention or control of invasive alien species </w:t>
            </w:r>
          </w:p>
        </w:tc>
        <w:tc>
          <w:tcPr>
            <w:tcW w:w="1848" w:type="dxa"/>
          </w:tcPr>
          <w:p w14:paraId="2E8EADEA" w14:textId="77777777" w:rsidR="00017C04" w:rsidRDefault="00F50AF9">
            <w:pPr>
              <w:cnfStyle w:val="000000100000" w:firstRow="0" w:lastRow="0" w:firstColumn="0" w:lastColumn="0" w:oddVBand="0" w:evenVBand="0" w:oddHBand="1" w:evenHBand="0" w:firstRowFirstColumn="0" w:firstRowLastColumn="0" w:lastRowFirstColumn="0" w:lastRowLastColumn="0"/>
            </w:pPr>
            <w:r>
              <w:t>IUCN SSC ISSG</w:t>
            </w:r>
          </w:p>
        </w:tc>
        <w:tc>
          <w:tcPr>
            <w:tcW w:w="3344" w:type="dxa"/>
          </w:tcPr>
          <w:p w14:paraId="32B2B187" w14:textId="77777777" w:rsidR="00017C04" w:rsidRDefault="00F50AF9">
            <w:pPr>
              <w:cnfStyle w:val="000000100000" w:firstRow="0" w:lastRow="0" w:firstColumn="0" w:lastColumn="0" w:oddVBand="0" w:evenVBand="0" w:oddHBand="1" w:evenHBand="0" w:firstRowFirstColumn="0" w:firstRowLastColumn="0" w:lastRowFirstColumn="0" w:lastRowLastColumn="0"/>
            </w:pPr>
            <w:r>
              <w:t>The methodology could be improved through peer review and further development.</w:t>
            </w:r>
          </w:p>
        </w:tc>
      </w:tr>
      <w:tr w:rsidR="006260F1" w14:paraId="7CD3F2A2" w14:textId="77777777" w:rsidTr="007D5DC6">
        <w:tc>
          <w:tcPr>
            <w:cnfStyle w:val="001000000000" w:firstRow="0" w:lastRow="0" w:firstColumn="1" w:lastColumn="0" w:oddVBand="0" w:evenVBand="0" w:oddHBand="0" w:evenHBand="0" w:firstRowFirstColumn="0" w:firstRowLastColumn="0" w:lastRowFirstColumn="0" w:lastRowLastColumn="0"/>
            <w:tcW w:w="1271" w:type="dxa"/>
            <w:vMerge w:val="restart"/>
          </w:tcPr>
          <w:p w14:paraId="04BAADBE" w14:textId="6FB4EF7A" w:rsidR="006260F1" w:rsidRDefault="006260F1">
            <w:pPr>
              <w:rPr>
                <w:b w:val="0"/>
                <w:bCs w:val="0"/>
              </w:rPr>
            </w:pPr>
            <w:r>
              <w:t>Process</w:t>
            </w:r>
          </w:p>
          <w:p w14:paraId="286E64FD" w14:textId="08A8171C" w:rsidR="006260F1" w:rsidRDefault="006260F1" w:rsidP="00BF47AE">
            <w:r>
              <w:t xml:space="preserve"> </w:t>
            </w:r>
          </w:p>
        </w:tc>
        <w:tc>
          <w:tcPr>
            <w:tcW w:w="2552" w:type="dxa"/>
          </w:tcPr>
          <w:p w14:paraId="2E24FD43" w14:textId="77777777" w:rsidR="006260F1" w:rsidRDefault="006260F1">
            <w:pPr>
              <w:cnfStyle w:val="000000000000" w:firstRow="0" w:lastRow="0" w:firstColumn="0" w:lastColumn="0" w:oddVBand="0" w:evenVBand="0" w:oddHBand="0" w:evenHBand="0" w:firstRowFirstColumn="0" w:firstRowLastColumn="0" w:lastRowFirstColumn="0" w:lastRowLastColumn="0"/>
            </w:pPr>
            <w:r>
              <w:t>Trends in establishment and national adoption of international agreements relevant to the prevention and control of invasive alien species</w:t>
            </w:r>
          </w:p>
        </w:tc>
        <w:tc>
          <w:tcPr>
            <w:tcW w:w="1848" w:type="dxa"/>
          </w:tcPr>
          <w:p w14:paraId="5C14D023" w14:textId="77777777" w:rsidR="006260F1" w:rsidRDefault="006260F1">
            <w:pPr>
              <w:cnfStyle w:val="000000000000" w:firstRow="0" w:lastRow="0" w:firstColumn="0" w:lastColumn="0" w:oddVBand="0" w:evenVBand="0" w:oddHBand="0" w:evenHBand="0" w:firstRowFirstColumn="0" w:firstRowLastColumn="0" w:lastRowFirstColumn="0" w:lastRowLastColumn="0"/>
            </w:pPr>
            <w:r>
              <w:t>IUCN SSC ISSG</w:t>
            </w:r>
          </w:p>
        </w:tc>
        <w:tc>
          <w:tcPr>
            <w:tcW w:w="3344" w:type="dxa"/>
          </w:tcPr>
          <w:p w14:paraId="2581BA47" w14:textId="77777777" w:rsidR="006260F1" w:rsidRDefault="006260F1">
            <w:pPr>
              <w:cnfStyle w:val="000000000000" w:firstRow="0" w:lastRow="0" w:firstColumn="0" w:lastColumn="0" w:oddVBand="0" w:evenVBand="0" w:oddHBand="0" w:evenHBand="0" w:firstRowFirstColumn="0" w:firstRowLastColumn="0" w:lastRowFirstColumn="0" w:lastRowLastColumn="0"/>
            </w:pPr>
            <w:r>
              <w:t>Reaching saturation as the majority of countries adopt most agreements, but still room for improvement on the most recently adopted (2010) relevant convention (BWM Convention).</w:t>
            </w:r>
          </w:p>
        </w:tc>
      </w:tr>
      <w:tr w:rsidR="006260F1" w14:paraId="56AB6A88" w14:textId="77777777" w:rsidTr="007D5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tcPr>
          <w:p w14:paraId="6A101D92" w14:textId="42CB1A3F" w:rsidR="006260F1" w:rsidRDefault="006260F1"/>
        </w:tc>
        <w:tc>
          <w:tcPr>
            <w:tcW w:w="2552" w:type="dxa"/>
          </w:tcPr>
          <w:p w14:paraId="074B5976" w14:textId="77777777" w:rsidR="006260F1" w:rsidRDefault="006260F1">
            <w:pPr>
              <w:cnfStyle w:val="000000100000" w:firstRow="0" w:lastRow="0" w:firstColumn="0" w:lastColumn="0" w:oddVBand="0" w:evenVBand="0" w:oddHBand="1" w:evenHBand="0" w:firstRowFirstColumn="0" w:firstRowLastColumn="0" w:lastRowFirstColumn="0" w:lastRowLastColumn="0"/>
            </w:pPr>
            <w:r>
              <w:t>Trends in numbers of countries with national legislation and other policy measures relevant to the prevention and/or control of invasive alien species</w:t>
            </w:r>
          </w:p>
        </w:tc>
        <w:tc>
          <w:tcPr>
            <w:tcW w:w="1848" w:type="dxa"/>
          </w:tcPr>
          <w:p w14:paraId="70B3BB29" w14:textId="77777777" w:rsidR="006260F1" w:rsidRDefault="006260F1">
            <w:pPr>
              <w:cnfStyle w:val="000000100000" w:firstRow="0" w:lastRow="0" w:firstColumn="0" w:lastColumn="0" w:oddVBand="0" w:evenVBand="0" w:oddHBand="1" w:evenHBand="0" w:firstRowFirstColumn="0" w:firstRowLastColumn="0" w:lastRowFirstColumn="0" w:lastRowLastColumn="0"/>
            </w:pPr>
            <w:r>
              <w:t>IUCN SSC ISSG</w:t>
            </w:r>
          </w:p>
        </w:tc>
        <w:tc>
          <w:tcPr>
            <w:tcW w:w="3344" w:type="dxa"/>
          </w:tcPr>
          <w:p w14:paraId="3A20160C" w14:textId="77777777" w:rsidR="006260F1" w:rsidRDefault="006260F1">
            <w:pPr>
              <w:cnfStyle w:val="000000100000" w:firstRow="0" w:lastRow="0" w:firstColumn="0" w:lastColumn="0" w:oddVBand="0" w:evenVBand="0" w:oddHBand="1" w:evenHBand="0" w:firstRowFirstColumn="0" w:firstRowLastColumn="0" w:lastRowFirstColumn="0" w:lastRowLastColumn="0"/>
            </w:pPr>
            <w:r>
              <w:t>Further research and development are needed to assess cross-country comparability of policy instruments and their fit for this purpose.</w:t>
            </w:r>
          </w:p>
          <w:p w14:paraId="7BFA9177" w14:textId="77777777" w:rsidR="006260F1" w:rsidRDefault="006260F1">
            <w:pPr>
              <w:cnfStyle w:val="000000100000" w:firstRow="0" w:lastRow="0" w:firstColumn="0" w:lastColumn="0" w:oddVBand="0" w:evenVBand="0" w:oddHBand="1" w:evenHBand="0" w:firstRowFirstColumn="0" w:firstRowLastColumn="0" w:lastRowFirstColumn="0" w:lastRowLastColumn="0"/>
            </w:pPr>
            <w:r>
              <w:t xml:space="preserve"> </w:t>
            </w:r>
          </w:p>
        </w:tc>
      </w:tr>
      <w:tr w:rsidR="006260F1" w14:paraId="555C83D0" w14:textId="77777777" w:rsidTr="001523EB">
        <w:tc>
          <w:tcPr>
            <w:cnfStyle w:val="001000000000" w:firstRow="0" w:lastRow="0" w:firstColumn="1" w:lastColumn="0" w:oddVBand="0" w:evenVBand="0" w:oddHBand="0" w:evenHBand="0" w:firstRowFirstColumn="0" w:firstRowLastColumn="0" w:lastRowFirstColumn="0" w:lastRowLastColumn="0"/>
            <w:tcW w:w="0" w:type="dxa"/>
            <w:vMerge w:val="restart"/>
            <w:shd w:val="clear" w:color="auto" w:fill="C9C9C9" w:themeFill="accent3" w:themeFillTint="99"/>
          </w:tcPr>
          <w:p w14:paraId="6672BD09" w14:textId="0B540114" w:rsidR="006260F1" w:rsidRDefault="006260F1">
            <w:pPr>
              <w:rPr>
                <w:b w:val="0"/>
                <w:bCs w:val="0"/>
              </w:rPr>
            </w:pPr>
            <w:r>
              <w:t>Output</w:t>
            </w:r>
          </w:p>
          <w:p w14:paraId="0922B741" w14:textId="5ACAE5D9" w:rsidR="006260F1" w:rsidRDefault="006260F1" w:rsidP="00762FDD">
            <w:r>
              <w:t xml:space="preserve"> </w:t>
            </w:r>
          </w:p>
        </w:tc>
        <w:tc>
          <w:tcPr>
            <w:tcW w:w="0" w:type="dxa"/>
          </w:tcPr>
          <w:p w14:paraId="13DCF5E8" w14:textId="77777777" w:rsidR="006260F1" w:rsidRDefault="006260F1">
            <w:pPr>
              <w:cnfStyle w:val="000000000000" w:firstRow="0" w:lastRow="0" w:firstColumn="0" w:lastColumn="0" w:oddVBand="0" w:evenVBand="0" w:oddHBand="0" w:evenHBand="0" w:firstRowFirstColumn="0" w:firstRowLastColumn="0" w:lastRowFirstColumn="0" w:lastRowLastColumn="0"/>
            </w:pPr>
            <w:r>
              <w:t xml:space="preserve">Trends in the prevention, eradication and control of invasive alien species </w:t>
            </w:r>
          </w:p>
        </w:tc>
        <w:tc>
          <w:tcPr>
            <w:tcW w:w="0" w:type="dxa"/>
          </w:tcPr>
          <w:p w14:paraId="1ED28F17" w14:textId="77777777" w:rsidR="006260F1" w:rsidRDefault="006260F1">
            <w:pPr>
              <w:cnfStyle w:val="000000000000" w:firstRow="0" w:lastRow="0" w:firstColumn="0" w:lastColumn="0" w:oddVBand="0" w:evenVBand="0" w:oddHBand="0" w:evenHBand="0" w:firstRowFirstColumn="0" w:firstRowLastColumn="0" w:lastRowFirstColumn="0" w:lastRowLastColumn="0"/>
            </w:pPr>
            <w:r>
              <w:t>No current FAIR data source</w:t>
            </w:r>
          </w:p>
          <w:p w14:paraId="0EC8159D" w14:textId="77777777" w:rsidR="006260F1" w:rsidRDefault="006260F1">
            <w:pPr>
              <w:cnfStyle w:val="000000000000" w:firstRow="0" w:lastRow="0" w:firstColumn="0" w:lastColumn="0" w:oddVBand="0" w:evenVBand="0" w:oddHBand="0" w:evenHBand="0" w:firstRowFirstColumn="0" w:firstRowLastColumn="0" w:lastRowFirstColumn="0" w:lastRowLastColumn="0"/>
            </w:pPr>
            <w:r>
              <w:t>Data largely not been collected and collated by countries</w:t>
            </w:r>
          </w:p>
        </w:tc>
        <w:tc>
          <w:tcPr>
            <w:tcW w:w="0" w:type="dxa"/>
          </w:tcPr>
          <w:p w14:paraId="2CF1DA9D" w14:textId="77777777" w:rsidR="006260F1" w:rsidRDefault="006260F1">
            <w:pPr>
              <w:cnfStyle w:val="000000000000" w:firstRow="0" w:lastRow="0" w:firstColumn="0" w:lastColumn="0" w:oddVBand="0" w:evenVBand="0" w:oddHBand="0" w:evenHBand="0" w:firstRowFirstColumn="0" w:firstRowLastColumn="0" w:lastRowFirstColumn="0" w:lastRowLastColumn="0"/>
            </w:pPr>
            <w:r>
              <w:t>Disaggregation is needed for priority sites.</w:t>
            </w:r>
          </w:p>
        </w:tc>
      </w:tr>
      <w:tr w:rsidR="006260F1" w14:paraId="481FB5F0" w14:textId="77777777" w:rsidTr="00152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vMerge/>
            <w:shd w:val="clear" w:color="auto" w:fill="C9C9C9" w:themeFill="accent3" w:themeFillTint="99"/>
          </w:tcPr>
          <w:p w14:paraId="5939A70A" w14:textId="56BE87F6" w:rsidR="006260F1" w:rsidRDefault="006260F1"/>
        </w:tc>
        <w:tc>
          <w:tcPr>
            <w:tcW w:w="0" w:type="dxa"/>
          </w:tcPr>
          <w:p w14:paraId="13CA1ABB" w14:textId="77777777" w:rsidR="006260F1" w:rsidRDefault="006260F1">
            <w:pPr>
              <w:cnfStyle w:val="000000100000" w:firstRow="0" w:lastRow="0" w:firstColumn="0" w:lastColumn="0" w:oddVBand="0" w:evenVBand="0" w:oddHBand="1" w:evenHBand="0" w:firstRowFirstColumn="0" w:firstRowLastColumn="0" w:lastRowFirstColumn="0" w:lastRowLastColumn="0"/>
            </w:pPr>
            <w:r>
              <w:t>Growth in information relevant to informing policy on invasive alien species prevention and control</w:t>
            </w:r>
          </w:p>
        </w:tc>
        <w:tc>
          <w:tcPr>
            <w:tcW w:w="0" w:type="dxa"/>
          </w:tcPr>
          <w:p w14:paraId="4B702138" w14:textId="77777777" w:rsidR="006260F1" w:rsidRDefault="006260F1">
            <w:pPr>
              <w:cnfStyle w:val="000000100000" w:firstRow="0" w:lastRow="0" w:firstColumn="0" w:lastColumn="0" w:oddVBand="0" w:evenVBand="0" w:oddHBand="1" w:evenHBand="0" w:firstRowFirstColumn="0" w:firstRowLastColumn="0" w:lastRowFirstColumn="0" w:lastRowLastColumn="0"/>
            </w:pPr>
            <w:r>
              <w:t>GBIF</w:t>
            </w:r>
          </w:p>
          <w:p w14:paraId="27B73E68" w14:textId="77777777" w:rsidR="006260F1" w:rsidRDefault="006260F1">
            <w:pPr>
              <w:cnfStyle w:val="000000100000" w:firstRow="0" w:lastRow="0" w:firstColumn="0" w:lastColumn="0" w:oddVBand="0" w:evenVBand="0" w:oddHBand="1" w:evenHBand="0" w:firstRowFirstColumn="0" w:firstRowLastColumn="0" w:lastRowFirstColumn="0" w:lastRowLastColumn="0"/>
            </w:pPr>
            <w:r>
              <w:t>First Records</w:t>
            </w:r>
          </w:p>
          <w:p w14:paraId="3BE1E630" w14:textId="77777777" w:rsidR="006260F1" w:rsidRDefault="006260F1">
            <w:pPr>
              <w:cnfStyle w:val="000000100000" w:firstRow="0" w:lastRow="0" w:firstColumn="0" w:lastColumn="0" w:oddVBand="0" w:evenVBand="0" w:oddHBand="1" w:evenHBand="0" w:firstRowFirstColumn="0" w:firstRowLastColumn="0" w:lastRowFirstColumn="0" w:lastRowLastColumn="0"/>
            </w:pPr>
            <w:r>
              <w:t>GRIIS</w:t>
            </w:r>
          </w:p>
          <w:p w14:paraId="64488113" w14:textId="77777777" w:rsidR="006260F1" w:rsidRDefault="006260F1">
            <w:pPr>
              <w:cnfStyle w:val="000000100000" w:firstRow="0" w:lastRow="0" w:firstColumn="0" w:lastColumn="0" w:oddVBand="0" w:evenVBand="0" w:oddHBand="1" w:evenHBand="0" w:firstRowFirstColumn="0" w:firstRowLastColumn="0" w:lastRowFirstColumn="0" w:lastRowLastColumn="0"/>
            </w:pPr>
            <w:r>
              <w:lastRenderedPageBreak/>
              <w:t>EICAT</w:t>
            </w:r>
          </w:p>
        </w:tc>
        <w:tc>
          <w:tcPr>
            <w:tcW w:w="0" w:type="dxa"/>
          </w:tcPr>
          <w:p w14:paraId="4C8C943D" w14:textId="77777777" w:rsidR="006260F1" w:rsidRDefault="006260F1">
            <w:pPr>
              <w:cnfStyle w:val="000000100000" w:firstRow="0" w:lastRow="0" w:firstColumn="0" w:lastColumn="0" w:oddVBand="0" w:evenVBand="0" w:oddHBand="1" w:evenHBand="0" w:firstRowFirstColumn="0" w:firstRowLastColumn="0" w:lastRowFirstColumn="0" w:lastRowLastColumn="0"/>
            </w:pPr>
            <w:r>
              <w:lastRenderedPageBreak/>
              <w:t>There is potential for disaggregation from a global indicator of information status on species populations.</w:t>
            </w:r>
          </w:p>
        </w:tc>
      </w:tr>
      <w:tr w:rsidR="00017C04" w14:paraId="66802160" w14:textId="77777777" w:rsidTr="007D5DC6">
        <w:tc>
          <w:tcPr>
            <w:cnfStyle w:val="001000000000" w:firstRow="0" w:lastRow="0" w:firstColumn="1" w:lastColumn="0" w:oddVBand="0" w:evenVBand="0" w:oddHBand="0" w:evenHBand="0" w:firstRowFirstColumn="0" w:firstRowLastColumn="0" w:lastRowFirstColumn="0" w:lastRowLastColumn="0"/>
            <w:tcW w:w="1271" w:type="dxa"/>
          </w:tcPr>
          <w:p w14:paraId="0393807F" w14:textId="30BA0328" w:rsidR="00017C04" w:rsidRDefault="00F50AF9">
            <w:r>
              <w:t>Outcome</w:t>
            </w:r>
          </w:p>
        </w:tc>
        <w:tc>
          <w:tcPr>
            <w:tcW w:w="2552" w:type="dxa"/>
          </w:tcPr>
          <w:p w14:paraId="4CB5467A" w14:textId="77777777" w:rsidR="00017C04" w:rsidRDefault="00F50AF9">
            <w:pPr>
              <w:cnfStyle w:val="000000000000" w:firstRow="0" w:lastRow="0" w:firstColumn="0" w:lastColumn="0" w:oddVBand="0" w:evenVBand="0" w:oddHBand="0" w:evenHBand="0" w:firstRowFirstColumn="0" w:firstRowLastColumn="0" w:lastRowFirstColumn="0" w:lastRowLastColumn="0"/>
            </w:pPr>
            <w:r>
              <w:t>Trends in successful eradications</w:t>
            </w:r>
          </w:p>
        </w:tc>
        <w:tc>
          <w:tcPr>
            <w:tcW w:w="1848" w:type="dxa"/>
          </w:tcPr>
          <w:p w14:paraId="615D94F4" w14:textId="77777777" w:rsidR="00017C04" w:rsidRDefault="00F50AF9">
            <w:pPr>
              <w:cnfStyle w:val="000000000000" w:firstRow="0" w:lastRow="0" w:firstColumn="0" w:lastColumn="0" w:oddVBand="0" w:evenVBand="0" w:oddHBand="0" w:evenHBand="0" w:firstRowFirstColumn="0" w:firstRowLastColumn="0" w:lastRowFirstColumn="0" w:lastRowLastColumn="0"/>
            </w:pPr>
            <w:r>
              <w:t>Database of Islands and Invasive Species Eradications (DIISE)</w:t>
            </w:r>
          </w:p>
        </w:tc>
        <w:tc>
          <w:tcPr>
            <w:tcW w:w="3344" w:type="dxa"/>
          </w:tcPr>
          <w:p w14:paraId="5E283E4A" w14:textId="77777777" w:rsidR="00017C04" w:rsidRDefault="00F50AF9">
            <w:pPr>
              <w:cnfStyle w:val="000000000000" w:firstRow="0" w:lastRow="0" w:firstColumn="0" w:lastColumn="0" w:oddVBand="0" w:evenVBand="0" w:oddHBand="0" w:evenHBand="0" w:firstRowFirstColumn="0" w:firstRowLastColumn="0" w:lastRowFirstColumn="0" w:lastRowLastColumn="0"/>
            </w:pPr>
            <w:r>
              <w:t>Currently limited to birds and mammals on islands</w:t>
            </w:r>
          </w:p>
          <w:p w14:paraId="48EA7B11" w14:textId="77777777" w:rsidR="00017C04" w:rsidRDefault="00F50AF9">
            <w:pPr>
              <w:cnfStyle w:val="000000000000" w:firstRow="0" w:lastRow="0" w:firstColumn="0" w:lastColumn="0" w:oddVBand="0" w:evenVBand="0" w:oddHBand="0" w:evenHBand="0" w:firstRowFirstColumn="0" w:firstRowLastColumn="0" w:lastRowFirstColumn="0" w:lastRowLastColumn="0"/>
            </w:pPr>
            <w:r>
              <w:t>Requires taxonomic and geographic expansion</w:t>
            </w:r>
          </w:p>
        </w:tc>
      </w:tr>
      <w:tr w:rsidR="007D5DC6" w14:paraId="47FF7945" w14:textId="77777777" w:rsidTr="007D5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5C8D56C9" w14:textId="6B17D36B" w:rsidR="00017C04" w:rsidRDefault="00F50AF9">
            <w:r>
              <w:t>Impact</w:t>
            </w:r>
          </w:p>
        </w:tc>
        <w:tc>
          <w:tcPr>
            <w:tcW w:w="2552" w:type="dxa"/>
          </w:tcPr>
          <w:p w14:paraId="354740FA" w14:textId="77777777" w:rsidR="00017C04" w:rsidRDefault="00F50AF9">
            <w:pPr>
              <w:cnfStyle w:val="000000100000" w:firstRow="0" w:lastRow="0" w:firstColumn="0" w:lastColumn="0" w:oddVBand="0" w:evenVBand="0" w:oddHBand="1" w:evenHBand="0" w:firstRowFirstColumn="0" w:firstRowLastColumn="0" w:lastRowFirstColumn="0" w:lastRowLastColumn="0"/>
            </w:pPr>
            <w:r>
              <w:t>Improvement in conservation status of species threatened by invasive alien species</w:t>
            </w:r>
          </w:p>
        </w:tc>
        <w:tc>
          <w:tcPr>
            <w:tcW w:w="1848" w:type="dxa"/>
          </w:tcPr>
          <w:p w14:paraId="09947623" w14:textId="77777777" w:rsidR="00017C04" w:rsidRDefault="00F50AF9">
            <w:pPr>
              <w:cnfStyle w:val="000000100000" w:firstRow="0" w:lastRow="0" w:firstColumn="0" w:lastColumn="0" w:oddVBand="0" w:evenVBand="0" w:oddHBand="1" w:evenHBand="0" w:firstRowFirstColumn="0" w:firstRowLastColumn="0" w:lastRowFirstColumn="0" w:lastRowLastColumn="0"/>
            </w:pPr>
            <w:r>
              <w:t>IUCN Red List of Threatened Species</w:t>
            </w:r>
          </w:p>
        </w:tc>
        <w:tc>
          <w:tcPr>
            <w:tcW w:w="3344" w:type="dxa"/>
          </w:tcPr>
          <w:p w14:paraId="1F84E2DA" w14:textId="77777777" w:rsidR="00017C04" w:rsidRDefault="00F50AF9">
            <w:pPr>
              <w:cnfStyle w:val="000000100000" w:firstRow="0" w:lastRow="0" w:firstColumn="0" w:lastColumn="0" w:oddVBand="0" w:evenVBand="0" w:oddHBand="1" w:evenHBand="0" w:firstRowFirstColumn="0" w:firstRowLastColumn="0" w:lastRowFirstColumn="0" w:lastRowLastColumn="0"/>
            </w:pPr>
            <w:r>
              <w:t>Requires expression at sub-global scales.</w:t>
            </w:r>
          </w:p>
        </w:tc>
      </w:tr>
    </w:tbl>
    <w:p w14:paraId="2EDC2F1F" w14:textId="77777777" w:rsidR="00017C04" w:rsidRDefault="00F50AF9">
      <w:pPr>
        <w:rPr>
          <w:highlight w:val="yellow"/>
        </w:rPr>
      </w:pPr>
      <w:r w:rsidRPr="007D5DC6">
        <w:rPr>
          <w:highlight w:val="yellow"/>
        </w:rPr>
        <w:br w:type="page"/>
      </w:r>
    </w:p>
    <w:p w14:paraId="5008970C" w14:textId="7E540C84" w:rsidR="00017C04" w:rsidRDefault="00F50AF9" w:rsidP="007D5DC6">
      <w:pPr>
        <w:pStyle w:val="Heading1"/>
        <w:numPr>
          <w:ilvl w:val="1"/>
          <w:numId w:val="10"/>
        </w:numPr>
      </w:pPr>
      <w:bookmarkStart w:id="616" w:name="_Toc1100974487"/>
      <w:bookmarkStart w:id="617" w:name="_Toc133428362"/>
      <w:bookmarkStart w:id="618" w:name="_Toc133428807"/>
      <w:bookmarkStart w:id="619" w:name="_Toc147417602"/>
      <w:r>
        <w:lastRenderedPageBreak/>
        <w:t xml:space="preserve">Transformative options for addressing the problem of </w:t>
      </w:r>
      <w:bookmarkEnd w:id="616"/>
      <w:r>
        <w:t>biological invasions</w:t>
      </w:r>
      <w:bookmarkEnd w:id="617"/>
      <w:bookmarkEnd w:id="618"/>
      <w:bookmarkEnd w:id="619"/>
    </w:p>
    <w:p w14:paraId="74977894" w14:textId="2FE0BF0B" w:rsidR="00017C04" w:rsidRDefault="2F958343">
      <w:bookmarkStart w:id="620" w:name="_heading=h.2b6jogx"/>
      <w:bookmarkEnd w:id="620"/>
      <w:r>
        <w:t>This section addresses the following question: What will it take to tip the current systems - including socio-institutional, socio-technical</w:t>
      </w:r>
      <w:r w:rsidR="00EB415D">
        <w:t xml:space="preserve"> and</w:t>
      </w:r>
      <w:r>
        <w:t xml:space="preserve"> socioecological systems - that drive and manage biological invasions in the direction of sustainability </w:t>
      </w:r>
      <w:r w:rsidR="0005009C" w:rsidRPr="00A9434B">
        <w:fldChar w:fldCharType="begin"/>
      </w:r>
      <w:r w:rsidR="002D2756">
        <w:instrText xml:space="preserve"> ADDIN ZOTERO_ITEM CSL_CITATION {"citationID":"a25l7g0b2nk","properties":{"formattedCitation":"(Loorbach et al., 2017; Westley et al., 2011)","plainCitation":"(Loorbach et al., 2017; Westley et al., 2011)","noteIndex":0},"citationItems":[{"id":53354,"uris":["http://zotero.org/groups/2352922/items/EQAXMZBK"],"itemData":{"id":53354,"type":"article-journal","container-title":"Annual Review of Environment and Resources","DOI":"10.1146/annurev-environ-102014-021340","issue":"1","page":"599-626","title":"Sustainability transitions research: transforming science and practice for societal change","volume":"42","author":[{"family":"Loorbach","given":"Derk"},{"family":"Frantzeskaki","given":"Niki"},{"family":"Avelino","given":"Flor"}],"issued":{"date-parts":[["2017"]]}},"label":"page"},{"id":53353,"uris":["http://zotero.org/groups/2352922/items/3VFZMRJI"],"itemData":{"id":53353,"type":"article-journal","container-title":"Ambio","DOI":"10.1007/s13280-011-0186-9","issue":"7","note":"ISBN: 1654-7209\npublisher: Springer","page":"762-780","title":"Tipping toward sustainability: emerging pathways of transformation","volume":"40","author":[{"family":"Westley","given":"Frances"},{"family":"Olsson","given":"Per"},{"family":"Folke","given":"Carl"},{"family":"Homer-Dixon","given":"Thomas"},{"family":"Vredenburg","given":"Harrie"},{"family":"Loorbach","given":"Derk"},{"family":"Thompson","given":"John"},{"family":"Nilsson","given":"Måns"},{"family":"Lambin","given":"Eric"},{"family":"Sendzimir","given":"Jan"},{"family":"Banerjee","given":"Banny"},{"family":"Galaz","given":"Victor"},{"family":"Leeuw","given":"Sander","non-dropping-particle":"van der"}],"issued":{"date-parts":[["2011"]]}},"label":"page"}],"schema":"https://github.com/citation-style-language/schema/raw/master/csl-citation.json"} </w:instrText>
      </w:r>
      <w:r w:rsidR="0005009C" w:rsidRPr="00A9434B">
        <w:fldChar w:fldCharType="separate"/>
      </w:r>
      <w:r w:rsidR="00C71E80" w:rsidRPr="00A9434B">
        <w:t>(Loorbach et al., 2017; Westley et al., 2011)</w:t>
      </w:r>
      <w:r w:rsidR="0005009C" w:rsidRPr="00A9434B">
        <w:fldChar w:fldCharType="end"/>
      </w:r>
      <w:r w:rsidR="0005009C" w:rsidRPr="00A9434B">
        <w:t xml:space="preserve">? </w:t>
      </w:r>
      <w:r w:rsidR="00A0190D">
        <w:t>The section</w:t>
      </w:r>
      <w:r w:rsidR="0005009C" w:rsidRPr="00A9434B">
        <w:t xml:space="preserve"> begin</w:t>
      </w:r>
      <w:r w:rsidR="00A0190D">
        <w:t>s</w:t>
      </w:r>
      <w:r w:rsidR="0005009C" w:rsidRPr="00A9434B">
        <w:t xml:space="preserve"> by </w:t>
      </w:r>
      <w:r w:rsidR="004916BB" w:rsidRPr="00A9434B">
        <w:t>describ</w:t>
      </w:r>
      <w:r w:rsidR="0005009C" w:rsidRPr="00A9434B">
        <w:t xml:space="preserve">ing </w:t>
      </w:r>
      <w:r w:rsidR="004916BB" w:rsidRPr="00A9434B">
        <w:t xml:space="preserve">what integrated governance for </w:t>
      </w:r>
      <w:r w:rsidR="007D5DC6">
        <w:t xml:space="preserve">biological invasions </w:t>
      </w:r>
      <w:r w:rsidR="004916BB" w:rsidRPr="00A9434B">
        <w:t>is and why</w:t>
      </w:r>
      <w:r w:rsidR="004341FD" w:rsidRPr="00A9434B">
        <w:t xml:space="preserve"> </w:t>
      </w:r>
      <w:r w:rsidR="004916BB" w:rsidRPr="00A9434B">
        <w:t xml:space="preserve">such an approach </w:t>
      </w:r>
      <w:r w:rsidR="7898AE6E" w:rsidRPr="00A9434B">
        <w:t xml:space="preserve">is relevant </w:t>
      </w:r>
      <w:r w:rsidR="00A8357B" w:rsidRPr="00A9434B">
        <w:t>for</w:t>
      </w:r>
      <w:r w:rsidR="004916BB" w:rsidRPr="00A9434B">
        <w:t xml:space="preserve"> biological invasions.</w:t>
      </w:r>
      <w:r>
        <w:t xml:space="preserve"> It also suggests how this approach could be implemented using a set of strategic actions and governance system properties that will bring about transformative change, challenges to setting these actions in motion and how these could be overcome.</w:t>
      </w:r>
      <w:bookmarkStart w:id="621" w:name="_Toc88742742"/>
      <w:bookmarkStart w:id="622" w:name="_Toc88743172"/>
      <w:bookmarkStart w:id="623" w:name="_Toc88743411"/>
      <w:bookmarkStart w:id="624" w:name="_Toc89445637"/>
      <w:bookmarkStart w:id="625" w:name="_Toc89445733"/>
      <w:bookmarkStart w:id="626" w:name="_Toc89771084"/>
      <w:bookmarkStart w:id="627" w:name="_Toc89879536"/>
      <w:bookmarkStart w:id="628" w:name="_Toc89887197"/>
      <w:bookmarkStart w:id="629" w:name="_Toc90032096"/>
      <w:bookmarkStart w:id="630" w:name="_Toc90033704"/>
      <w:bookmarkStart w:id="631" w:name="_Toc90286395"/>
      <w:bookmarkStart w:id="632" w:name="_Toc86782734"/>
      <w:bookmarkStart w:id="633" w:name="_Toc1028885472"/>
      <w:bookmarkEnd w:id="621"/>
      <w:bookmarkEnd w:id="622"/>
      <w:bookmarkEnd w:id="623"/>
      <w:bookmarkEnd w:id="624"/>
      <w:bookmarkEnd w:id="625"/>
      <w:bookmarkEnd w:id="626"/>
      <w:bookmarkEnd w:id="627"/>
      <w:bookmarkEnd w:id="628"/>
      <w:bookmarkEnd w:id="629"/>
      <w:bookmarkEnd w:id="630"/>
      <w:bookmarkEnd w:id="631"/>
      <w:r>
        <w:t xml:space="preserve"> </w:t>
      </w:r>
      <w:bookmarkEnd w:id="632"/>
      <w:bookmarkEnd w:id="633"/>
    </w:p>
    <w:p w14:paraId="41AAEBA5" w14:textId="7A1DE89B" w:rsidR="007D5DC6" w:rsidRDefault="00F50AF9" w:rsidP="006B3143">
      <w:r>
        <w:t xml:space="preserve">Sustainability science has emerged as an applied field in response to the need for sustainable development and acknowledging the complexity of the socioecological systems that need to be governed and managed in order to achieve it </w:t>
      </w:r>
      <w:r w:rsidR="0086040C" w:rsidRPr="00A9434B">
        <w:fldChar w:fldCharType="begin"/>
      </w:r>
      <w:r w:rsidR="002D2756">
        <w:instrText xml:space="preserve"> ADDIN ZOTERO_ITEM CSL_CITATION {"citationID":"a152pf41hnm","properties":{"formattedCitation":"(Clark &amp; Harley, 2020; Loorbach et al., 2017)","plainCitation":"(Clark &amp; Harley, 2020; Loorbach et al., 2017)","noteIndex":0},"citationItems":[{"id":10826,"uris":["http://zotero.org/groups/2352922/items/7TPK5I9V"],"itemData":{"id":10826,"type":"article-journal","abstract":"This review synthesizes diverse approaches that researchers have brought to bear on the challenge of sustainable development. We construct an integrated framework highlighting the union set of elements and relationships that those approaches have shown to be useful in explaining nature–society interactions in multiple contexts. Compelling evidence has accumulated that those interactions should be viewed as a globally interconnected, complex adaptive system in which heterogeneity, nonlinearity, and innovation play formative roles. The long-term evolution of that system cannot be predicted but can be understood and partially guided through dynamic interventions. Research has identified six capacities necessary to support such interventions in guiding development pathways toward sustainability. These are capacities to ( a) measure sustainable development, ( b) promote equity, ( c) adapt to shocks and surprises, ( d) transform the system into more sustainable development pathways, ( e) link knowledge with action, and ( f) devise governance arrangements that allow people to work together in exercising the other capacities.","container-title":"Annual Review of Environment and Resources","DOI":"10.1146/annurev-environ-012420-043621","ISSN":"1543-5938, 1545-2050","issue":"1","journalAbbreviation":"Annu. Rev. Environ. Resour.","language":"en","page":"331-386","source":"DOI.org (Crossref)","title":"Sustainability Science: Toward a Synthesis","title-short":"Sustainability Science","URL":"https://www.annualreviews.org/doi/10.1146/annurev-environ-012420-043621","volume":"45","author":[{"family":"Clark","given":"William C."},{"family":"Harley","given":"Alicia G."}],"accessed":{"date-parts":[["2021",6,16]]},"issued":{"date-parts":[["2020",10,17]]}},"label":"page"},{"id":53354,"uris":["http://zotero.org/groups/2352922/items/EQAXMZBK"],"itemData":{"id":53354,"type":"article-journal","container-title":"Annual Review of Environment and Resources","DOI":"10.1146/annurev-environ-102014-021340","issue":"1","page":"599-626","title":"Sustainability transitions research: transforming science and practice for societal change","volume":"42","author":[{"family":"Loorbach","given":"Derk"},{"family":"Frantzeskaki","given":"Niki"},{"family":"Avelino","given":"Flor"}],"issued":{"date-parts":[["2017"]]}},"label":"page"}],"schema":"https://github.com/citation-style-language/schema/raw/master/csl-citation.json"} </w:instrText>
      </w:r>
      <w:r w:rsidR="0086040C" w:rsidRPr="00A9434B">
        <w:fldChar w:fldCharType="separate"/>
      </w:r>
      <w:r w:rsidR="00C71E80" w:rsidRPr="00A9434B">
        <w:t>(Clark &amp; Harley, 2020; Loorbach et al., 2017)</w:t>
      </w:r>
      <w:r w:rsidR="0086040C" w:rsidRPr="00A9434B">
        <w:fldChar w:fldCharType="end"/>
      </w:r>
      <w:r w:rsidR="0086040C" w:rsidRPr="00A9434B">
        <w:t xml:space="preserve">. The problem of </w:t>
      </w:r>
      <w:r w:rsidR="007D5DC6">
        <w:t xml:space="preserve">invasive alien species </w:t>
      </w:r>
      <w:r w:rsidR="0086040C" w:rsidRPr="00A9434B">
        <w:t xml:space="preserve">is one instance of a threat posed to both society and the environment </w:t>
      </w:r>
      <w:r w:rsidR="00544FD3" w:rsidRPr="00A9434B">
        <w:t>because of</w:t>
      </w:r>
      <w:r w:rsidR="0086040C" w:rsidRPr="00A9434B">
        <w:t xml:space="preserve"> unsustainable development.</w:t>
      </w:r>
      <w:r w:rsidR="007D5DC6">
        <w:t xml:space="preserve"> Invasive alien species </w:t>
      </w:r>
      <w:r w:rsidR="0086040C" w:rsidRPr="00A9434B">
        <w:t>are a direct driver of nature’s decline</w:t>
      </w:r>
      <w:r w:rsidR="009F31CA" w:rsidRPr="00A9434B">
        <w:t xml:space="preserve"> </w:t>
      </w:r>
      <w:r w:rsidR="0086040C" w:rsidRPr="00A9434B">
        <w:fldChar w:fldCharType="begin"/>
      </w:r>
      <w:r w:rsidR="002D2756">
        <w:instrText xml:space="preserve"> ADDIN ZOTERO_ITEM CSL_CITATION {"citationID":"apfpuuegus","properties":{"formattedCitation":"(IPBES, 2019c)","plainCitation":"(IPBES, 2019c)","noteIndex":0},"citationItems":[{"id":29377,"uris":["http://zotero.org/groups/2352922/items/HHJDST4D"],"itemData":{"id":29377,"type":"report","abstract":"IPBES is an independent intergovernmental body comprising over 130 member Governments. Established by Governments in 2012, IPBES provides policymakers with objective scientific assessments about the state of knowledge regarding the planet’s biodiversity, ecosystems and the contributions they make to people, as well as options and actions to protect and sustainably use these vital natural assets. The IPBES Global Assessment of Biodiversity and Ecosystem Services represents the landmark product of the first work programme of IPBES (2014-2018). The Global Assessment was initiated following a decision from the IPBES Plenary at its fourth session (IPBES 4, Kuala Lumpur, 2016), and considered by the IPBES Plenary at its seventh session (IPBES 7, Paris, 2019). It is composed of a summary for policymakers, which was approved at IPBES 7, and six chapters, which were accepted at IPBES 7.","event-place":"Bonn, Germany","language":"en","license":"Creative Commons Attribution 4.0 International, Open Access","note":"version: summary for policy makers\nDOI: 10.5281/ZENODO.3553458","publisher":"Secretariat of the Intergovernmental Science-Policy Platform on Biodiversity and Ecosystem Services","publisher-place":"Bonn, Germany","source":"DOI.org (Datacite)","title":"Summary for policymakers of the global assessment report on biodiversity and ecosystem services of the Intergovernmental Science-Policy Platform on Biodiversity and Ecosystem Services","URL":"https://zenodo.org/record/3553458","author":[{"literal":"IPBES"}],"collection-editor":[{"family":"Díaz","given":"Sandra"},{"family":"Settele","given":"Josef"},{"family":"Brondízio","given":"Eduardo"},{"family":"Ngo","given":"Hien T."},{"family":"Guèze","given":"Maximilien"},{"family":"Agard","given":"John"},{"family":"Arneth","given":"Almut"},{"family":"Balvanera","given":"Patricia"},{"family":"Brauman","given":"Kate"},{"family":"Butchart","given":"Stuart"},{"family":"Chan","given":"Kai"},{"family":"Garibald","given":"Lucas A."},{"family":"Ichii","given":"Kazuhito"},{"family":"Liu","given":"Jianguo"},{"family":"Subramanian","given":"Suneetha Mazhenchery"},{"family":"Midgley","given":"Guy F."},{"family":"Miloslavich","given":"Patricia"},{"family":"Molnár","given":"Zsolt"},{"family":"Obura","given":"David"},{"family":"Pfaf","given":"Alexander"},{"family":"Polasky","given":"Stephen"},{"family":"Purvis","given":"Andy"},{"family":"Razzaque","given":"Jona"},{"family":"Reyers","given":"Belinda"},{"family":"Chowdhury","given":"Rinku Roy"},{"family":"Shin","given":"Yunne-Jai"},{"family":"Visseren-Hamakers","given":"Ingrid"},{"family":"Willis","given":"Katherine"},{"family":"Zayas","given":"Cynthia"}],"accessed":{"date-parts":[["2021",2,9]]},"issued":{"date-parts":[["2019"]]}},"label":"page"}],"schema":"https://github.com/citation-style-language/schema/raw/master/csl-citation.json"} </w:instrText>
      </w:r>
      <w:r w:rsidR="0086040C" w:rsidRPr="00A9434B">
        <w:fldChar w:fldCharType="separate"/>
      </w:r>
      <w:r w:rsidR="00C71E80" w:rsidRPr="00A9434B">
        <w:t>(IPBES, 2019c)</w:t>
      </w:r>
      <w:r w:rsidR="0086040C" w:rsidRPr="00A9434B">
        <w:fldChar w:fldCharType="end"/>
      </w:r>
      <w:r w:rsidR="0086040C" w:rsidRPr="00A9434B">
        <w:t xml:space="preserve">, and tackling </w:t>
      </w:r>
      <w:r w:rsidR="00E8633C" w:rsidRPr="00A9434B">
        <w:t>these</w:t>
      </w:r>
      <w:r w:rsidR="0086040C" w:rsidRPr="00A9434B">
        <w:t xml:space="preserve"> is therefore key to bending the curve of biodiversity loss.</w:t>
      </w:r>
      <w:r w:rsidR="00962974" w:rsidRPr="00A9434B">
        <w:t xml:space="preserve"> Therefore, </w:t>
      </w:r>
      <w:r w:rsidR="007D5DC6">
        <w:t xml:space="preserve">invasive alien species </w:t>
      </w:r>
      <w:r w:rsidR="00E8633C" w:rsidRPr="00A9434B">
        <w:t>as a</w:t>
      </w:r>
      <w:r w:rsidR="00962974" w:rsidRPr="00A9434B">
        <w:t xml:space="preserve"> </w:t>
      </w:r>
      <w:r w:rsidR="002939F8" w:rsidRPr="00A9434B">
        <w:t>problem</w:t>
      </w:r>
      <w:r w:rsidR="00962974" w:rsidRPr="00A9434B">
        <w:t xml:space="preserve"> </w:t>
      </w:r>
      <w:r w:rsidR="00962B3A" w:rsidRPr="00A9434B">
        <w:t>share</w:t>
      </w:r>
      <w:r w:rsidR="00962974" w:rsidRPr="00A9434B">
        <w:t xml:space="preserve"> many of the features of sustainable development challenges</w:t>
      </w:r>
      <w:r w:rsidR="00637A4D" w:rsidRPr="00A9434B">
        <w:t>, and an awareness of the risks</w:t>
      </w:r>
      <w:r w:rsidR="0086040C" w:rsidRPr="00A9434B">
        <w:t xml:space="preserve"> </w:t>
      </w:r>
      <w:r w:rsidR="00367E2C" w:rsidRPr="00A9434B">
        <w:t>posed by these</w:t>
      </w:r>
      <w:r w:rsidR="00637A4D" w:rsidRPr="00A9434B">
        <w:t xml:space="preserve"> is essential to the effective delivery of several of the </w:t>
      </w:r>
      <w:r w:rsidR="007D5DC6">
        <w:t xml:space="preserve">SDGs (in particular, goals addressing </w:t>
      </w:r>
      <w:r w:rsidR="007D5DC6" w:rsidRPr="00E95CF8">
        <w:t>the conservation of marine biodiversity (Goal 14) and terrestrial biodiversity (Goal 15, including but not restricted to target 15.8),</w:t>
      </w:r>
      <w:r w:rsidR="007D5DC6">
        <w:t xml:space="preserve"> food security (SDG 2), sustainable economic growth (SDG 8), sustainable cities (SDG 11), as well as climate change (Goal 13)</w:t>
      </w:r>
      <w:r w:rsidR="00EB415D">
        <w:t xml:space="preserve"> and</w:t>
      </w:r>
      <w:r w:rsidR="007D5DC6">
        <w:t xml:space="preserve"> health and wellbeing (Goal 3)).</w:t>
      </w:r>
    </w:p>
    <w:p w14:paraId="6945949B" w14:textId="75E04F32" w:rsidR="0086040C" w:rsidRPr="00A9434B" w:rsidRDefault="00B765CA" w:rsidP="006B3143">
      <w:r w:rsidRPr="00A9434B">
        <w:t>M</w:t>
      </w:r>
      <w:r w:rsidR="0086040C" w:rsidRPr="00A9434B">
        <w:t xml:space="preserve">any of the options for achieving goals and targets for </w:t>
      </w:r>
      <w:r w:rsidR="009F31CA" w:rsidRPr="00A9434B">
        <w:t xml:space="preserve">invasive alien species </w:t>
      </w:r>
      <w:r w:rsidR="00FC6CD0" w:rsidRPr="00A9434B">
        <w:t>will be enabled by</w:t>
      </w:r>
      <w:r w:rsidR="0086040C" w:rsidRPr="00A9434B">
        <w:t xml:space="preserve"> systemic changes that parallel and reinforce the solutions </w:t>
      </w:r>
      <w:r w:rsidR="00E831E6" w:rsidRPr="00A9434B">
        <w:t>needed to</w:t>
      </w:r>
      <w:r w:rsidR="0086040C" w:rsidRPr="00A9434B">
        <w:t xml:space="preserve"> achiev</w:t>
      </w:r>
      <w:r w:rsidR="00E831E6" w:rsidRPr="00A9434B">
        <w:t>e</w:t>
      </w:r>
      <w:r w:rsidR="0086040C" w:rsidRPr="00A9434B">
        <w:t xml:space="preserve"> sustainability </w:t>
      </w:r>
      <w:r w:rsidR="00E831E6" w:rsidRPr="00A9434B">
        <w:t xml:space="preserve">more broadly </w:t>
      </w:r>
      <w:r w:rsidRPr="00A9434B">
        <w:fldChar w:fldCharType="begin"/>
      </w:r>
      <w:r w:rsidR="002D2756">
        <w:instrText xml:space="preserve"> ADDIN ZOTERO_ITEM CSL_CITATION {"citationID":"a2eojk92636","properties":{"formattedCitation":"(Chan et al., 2020; S. D\\uc0\\u237{}az et al., 2019)","plainCitation":"(Chan et al., 2020; S. Díaz et al., 2019)","noteIndex":0},"citationItems":[{"id":10825,"uris":["http://zotero.org/groups/2352922/items/GEYYUP8J"],"itemData":{"id":10825,"type":"article-journal","container-title":"People and Nature","DOI":"10.1002/pan3.10124","ISSN":"2575-8314, 2575-8314","issue":"3","journalAbbreviation":"People and Nature","language":"en","page":"693-717","source":"DOI.org (Crossref)","title":"Levers and leverage points for pathways to sustainability","URL":"https://onlinelibrary.wiley.com/doi/10.1002/pan3.10124","volume":"2","author":[{"family":"Chan","given":"Kai M. A."},{"family":"Boyd","given":"David R."},{"family":"Gould","given":"Rachelle K."},{"family":"Jetzkowitz","given":"Jens"},{"family":"Liu","given":"Jianguo"},{"family":"Muraca","given":"Barbara"},{"family":"Naidoo","given":"Robin"},{"family":"Olmsted","given":"Paige"},{"family":"Satterfield","given":"Terre"},{"family":"Selomane","given":"Odirilwe"},{"family":"Singh","given":"Gerald G."},{"family":"Sumaila","given":"Rashid"},{"family":"Ngo","given":"Hien T."},{"family":"Boedhihartono","given":"Agni Klintuni"},{"</w:instrText>
      </w:r>
      <w:r w:rsidR="002D2756">
        <w:rPr>
          <w:rFonts w:hint="eastAsia"/>
        </w:rPr>
        <w:instrText>family":"Agard","given":"John"},{"family":"Aguiar","given":"Ana Paula D."},{"family":"Armenteras","given":"Dolors"},{"family":"Balint","given":"Lenke"},{"family":"Barrington</w:instrText>
      </w:r>
      <w:r w:rsidR="002D2756">
        <w:rPr>
          <w:rFonts w:hint="eastAsia"/>
        </w:rPr>
        <w:instrText>‐</w:instrText>
      </w:r>
      <w:r w:rsidR="002D2756">
        <w:rPr>
          <w:rFonts w:hint="eastAsia"/>
        </w:rPr>
        <w:instrText>Leigh","given":"Christopher"},{"family":"Cheung","given":"William W. L."},{"famil</w:instrText>
      </w:r>
      <w:r w:rsidR="002D2756">
        <w:instrText>y":"Díaz","given":"Sandra"},{"family":"Driscoll","given":"John"},{"family":"Esler","given":"Karen"},{"family":"Eyster","given":"Harold"},{"family":"Gregr","given":"Edward J."},{"family":"Hashimoto","given":"Shizuka"},{"family":"Hernández Pedraza","given":</w:instrText>
      </w:r>
      <w:r w:rsidR="002D2756">
        <w:rPr>
          <w:rFonts w:hint="eastAsia"/>
        </w:rPr>
        <w:instrText>"Gladys Cecilia"},{"family":"Hickler","given":"Thomas"},{"family":"Kok","given":"Marcel"},{"family":"Lazarova","given":"Tanya"},{"family":"Mohamed","given":"Assem A. A."},{"family":"Murray</w:instrText>
      </w:r>
      <w:r w:rsidR="002D2756">
        <w:rPr>
          <w:rFonts w:hint="eastAsia"/>
        </w:rPr>
        <w:instrText>‐</w:instrText>
      </w:r>
      <w:r w:rsidR="002D2756">
        <w:rPr>
          <w:rFonts w:hint="eastAsia"/>
        </w:rPr>
        <w:instrText>Hudson","given":"Mike"},{"family":"O'Farrell","given":"Patrick"},{</w:instrText>
      </w:r>
      <w:r w:rsidR="002D2756">
        <w:instrText xml:space="preserve">"family":"Palomo","given":"Ignacio"},{"family":"Saysel","given":"Ali Kerem"},{"family":"Seppelt","given":"Ralf"},{"family":"Settele","given":"Josef"},{"family":"Strassburg","given":"Bernardo"},{"family":"Xue","given":"Dayuan"},{"family":"Brondízio","given":"Eduardo S."}],"editor":[{"family":"Bridgewater","given":"Peter"}],"accessed":{"date-parts":[["2021",6,16]]},"issued":{"date-parts":[["2020",9]]}},"label":"page"},{"id":30446,"uris":["http://zotero.org/groups/2352922/items/HG466TIR"],"itemData":{"id":30446,"type":"article-journal","abstract":"The time is now\nFor decades, scientists have been raising calls for societal changes that will reduce our impacts on nature. Though much conservation has occurred, our natural environment continues to decline under the weight of our consumption. Humanity depends directly on the output of nature; thus, this decline will affect us, just as it does the other species with which we share this world. Díaz et al. review the findings of the largest assessment of the state of nature conducted as of yet. They report that the state of nature, and the state of the equitable distribution of nature's support, is in serious decline. Only immediate transformation of global business-as-usual economies and operations will sustain nature as we know it, and us, into the future.\nScience, this issue p. eaax3100\nStructured Abstract\nBACKGROUNDHuman actions have long been known to drive declines in nature, and there is growing awareness of how globalization means that these drivers increasingly act at a distance (telecoupling). However, evidence from different disciplines has largely accumulated in parallel, and the global effects of telecouplings have never been addressed comprehensively. Now, the first integrated global-scale intergovernmental assessment of the status, trends, and future of the links between people and nature provides an unprecedented picture of the extent of our mutual dependence, the breadth and depth of the ongoing and impending crisis, and the interconnectedness among sectors and regions.\nADVANCESHuman impacts on life on Earth have increased sharply since the 1970s. The world is increasingly managed to maximize the flow of material contributions from nature to keep up with rising demands for food, energy, timber, and more, with global trade increasing the geographic separation between supply and demand. This unparalleled appropriation of nature is causing the fabric of life on which humanity depends to fray and unravel: Most indicators of the state of nature, whether monitored by natural and social scientists or by Indigenous Peoples and local communities, are declining. These include the number and population size of wild species, the number of local varieties of domesticated species, the distinctness of ecological communities, and the extent and integrity of many terrestrial and aquatic ecosystems. As a consequence, nature’s capacity to provide crucial benefits has also declined, including environmental processes underpinning human health and nonmaterial contributions to human quality of life. The costs are distributed unequally, as are the benefits of an expanding global economy.These trends in nature and its contributions to people are projected to worsen in the coming decades—unevenly so among different regions—unless rapid and integrated action is taken to reduce the direct drivers responsible for most change over the past 50 years: land and sea use change, direct harvesting of many plants and animals, climate change (whose impacts are set to accelerate), pollution, and the spread of invasive alien species. Exploratory scenarios suggest that a world with increased regional barriers—resonating with recent geopolitical trends—will yield more negative global trends in nature, as well as the greatest disparity in trends across regions, greater than a world with liberal financial markets, and much greater than one that prioritizes and integrates actions toward sustainable development. Evidence from target-seeking scenarios and pathways indicates that a world that achieves many of the global biodiversity targets and sustainability goals related to food, energy, climate, and water is not—yet—beyond reach, but that no single action can get us there.\nOUTLOOKOur comprehensive assessment of status, trends, and possible futures for nature and people suggests that action at the level of direct drivers of nature decline, although necessary, is not sufficient to prevent further deterioration of the fabric of life on Earth. Reversal of recent declines—and a sustainable global future—are only possible with urgent transformative change that tackles the root causes: the interconnected economic, sociocultural, demographic, political, institutional, and technological indirect drivers behind the direct drivers. As well as a pan-sectoral approach to conserving and restoring the nature that underpins many goals, this transformation will need innovative governance approaches that are adaptive; inclusive; informed by existing and new evidence; and integrative across systems, jurisdictions, and tools. Although the challenge is formidable, every delay will make the task even harder. Crucially, our analysis pinpoints five priority interventions (“levers”) and eight leverage points for intervention in the indirect drivers of global social and economic systems where they can make the biggest difference. &lt;img class=\"fragment-image\" aria-describedby=\"F1-caption\" src=\"https://science.sciencemag.org/content/sci/366/6471/eaax3100/F1.medium.gif\"/&gt; Download high-res image Open in new tab Download Powerpoint Traditional diversity-rich human landscapes, and the livelihoods and identities that depend on them, face global threats.Mosaics of crops, forest, and pasture have been maintained for millennia around the world. Now, they are under increasing threat from climate change and large-scale land use change to accommodate global demands for commodities. So are the livelihoods and cultural identity of the peoples that live in them, such as this woman collecting fodder for her flock in the Checacupe district, Perú.Photo credit www.estebantapella.com\nThe human impact on life on Earth has increased sharply since the 1970s, driven by the demands of a growing population with rising average per capita income. Nature is currently supplying more materials than ever before, but this has come at the high cost of unprecedented global declines in the extent and integrity of ecosystems, distinctness of local ecological communities, abundance and number of wild species, and the number of local domesticated varieties. Such changes reduce vital benefits that people receive from nature and threaten the quality of life of future generations. Both the benefits of an expanding economy and the costs of reducing nature’s benefits are unequally distributed. The fabric of life on which we all depend—nature and its contributions to people—is unravelling rapidly. Despite the severity of the threats and lack of enough progress in tackling them to date, opportunities exist to change future trajectories through transformative action. Such action must begin immediately, however, and address the root economic, social, and technological causes of nature’s deterioration.","container-title":"Science","DOI":"10.1126/science.aax3100","ISSN":"0036-8075, 1095-9203","issue":"6471","language":"en","license":"Copyright © 2019 The Authors, some rights reserved; exclusive licensee American Association for the Advancement of Science. No claim to original U.S. Government Works. http://www.sciencemag.org/about/science-licenses-journal-article-reuseThis is an article distributed under the terms of the Science Journals Default License.","note":"publisher: American Association for the Advancement of Science\nsection: Review\nPMID: 31831642","page":"eaax3100","source":"science.sciencemag.org","title":"Pervasive human-driven decline of life on Earth points to the need for transformative change","URL":"https://science.sciencemag.org/content/366/6471/eaax3100","volume":"366","author":[{"family":"Díaz","given":"Sandra"},{"family":"Settele","given":"Josef"},{"family":"Brondízio","given":"Eduardo S."},{"family":"Ngo","given":"Hien T."},{"family":"Agard","given":"John"},{"family":"Arneth","given":"Almut"},{"family":"Balvanera","given":"Patricia"},{"family":"Brauman","given":"Kate A."},{"family":"Butchart","given":"Stuart H. M."},{"family":"Chan","given":"Kai M. A."},{"family":"Garibaldi","given":"Lucas A."},{"family":"Ichii","given":"Kazuhito"},{"family":"Liu","given":"Jianguo"},{"family":"Subramanian","given":"Suneetha M."},{"family":"Midgley","given":"Guy F."},{"family":"Miloslavich","given":"Patricia"},{"family":"Molnár","given":"Zsolt"},{"family":"Obura","given":"David"},{"family":"Pfaff","given":"Alexander"},{"family":"Polasky","given":"Stephen"},{"family":"Purvis","given":"Andy"},{"family":"Razzaque","given":"Jona"},{"family":"Reyers","given":"Belinda"},{"family":"Chowdhury","given":"Rinku Roy"},{"family":"Shin","given":"Yunne-Jai"},{"family":"Visseren-Hamakers","given":"Ingrid"},{"family":"Willis","given":"Katherine J."},{"family":"Zayas","given":"Cynthia N."}],"accessed":{"date-parts":[["2021",8,16]]},"issued":{"date-parts":[["2019",12,13]]}},"label":"page"}],"schema":"https://github.com/citation-style-language/schema/raw/master/csl-citation.json"} </w:instrText>
      </w:r>
      <w:r w:rsidRPr="00A9434B">
        <w:fldChar w:fldCharType="separate"/>
      </w:r>
      <w:r w:rsidR="00C71E80" w:rsidRPr="00A9434B">
        <w:t>(Chan et al., 2020; S. Díaz et al., 2019)</w:t>
      </w:r>
      <w:r w:rsidRPr="00A9434B">
        <w:fldChar w:fldCharType="end"/>
      </w:r>
      <w:r w:rsidR="0086040C" w:rsidRPr="00A9434B">
        <w:t xml:space="preserve">. </w:t>
      </w:r>
      <w:r w:rsidR="001F3B8F" w:rsidRPr="00A9434B">
        <w:t xml:space="preserve">Transformative change </w:t>
      </w:r>
      <w:r w:rsidR="0072712C" w:rsidRPr="00A9434B">
        <w:t xml:space="preserve">becomes necessary to achieve </w:t>
      </w:r>
      <w:r w:rsidR="00691629" w:rsidRPr="00A9434B">
        <w:t>sustainable</w:t>
      </w:r>
      <w:r w:rsidR="003F7CA5" w:rsidRPr="00A9434B">
        <w:t xml:space="preserve"> management of</w:t>
      </w:r>
      <w:r w:rsidR="00181789" w:rsidRPr="00A9434B">
        <w:t xml:space="preserve"> </w:t>
      </w:r>
      <w:r w:rsidR="007D5DC6">
        <w:t xml:space="preserve">biological invasions </w:t>
      </w:r>
      <w:r w:rsidR="001F3B8F" w:rsidRPr="00A9434B">
        <w:t>because</w:t>
      </w:r>
      <w:r w:rsidR="003F7CA5" w:rsidRPr="00A9434B">
        <w:t>, like</w:t>
      </w:r>
      <w:r w:rsidR="00691629" w:rsidRPr="00A9434B">
        <w:t xml:space="preserve"> </w:t>
      </w:r>
      <w:r w:rsidR="00703D5D" w:rsidRPr="00A9434B">
        <w:t xml:space="preserve">other key </w:t>
      </w:r>
      <w:r w:rsidR="009A4D53" w:rsidRPr="00A9434B">
        <w:t>environmental threats</w:t>
      </w:r>
      <w:r w:rsidR="00931974" w:rsidRPr="00A9434B">
        <w:t>, biological invasion is</w:t>
      </w:r>
      <w:r w:rsidR="009A4D53" w:rsidRPr="00A9434B">
        <w:t xml:space="preserve"> driven by</w:t>
      </w:r>
      <w:r w:rsidR="00F2208A" w:rsidRPr="00A9434B">
        <w:t xml:space="preserve"> </w:t>
      </w:r>
      <w:r w:rsidR="0072712C" w:rsidRPr="00A9434B">
        <w:t>demographic</w:t>
      </w:r>
      <w:r w:rsidR="00E678BB" w:rsidRPr="00A9434B">
        <w:t xml:space="preserve">, social, </w:t>
      </w:r>
      <w:r w:rsidR="004911FA" w:rsidRPr="00A9434B">
        <w:t>economic</w:t>
      </w:r>
      <w:r w:rsidR="00EB415D">
        <w:t xml:space="preserve"> and</w:t>
      </w:r>
      <w:r w:rsidR="00E678BB" w:rsidRPr="00A9434B">
        <w:t xml:space="preserve"> technological</w:t>
      </w:r>
      <w:r w:rsidR="00B97F45" w:rsidRPr="00A9434B">
        <w:t xml:space="preserve"> factors </w:t>
      </w:r>
      <w:r w:rsidR="008C1DE1" w:rsidRPr="00A9434B">
        <w:fldChar w:fldCharType="begin"/>
      </w:r>
      <w:r w:rsidR="002D2756">
        <w:instrText xml:space="preserve"> ADDIN ZOTERO_ITEM CSL_CITATION {"citationID":"aStE57Cl","properties":{"formattedCitation":"(Visseren-Hamakers et al., 2021)","plainCitation":"(Visseren-Hamakers et al., 2021)","dontUpdate":true,"noteIndex":0},"citationItems":[{"id":52470,"uris":["http://zotero.org/groups/2352922/items/PDFTGQFP"],"itemData":{"id":52470,"type":"article-journal","abstract":"While there is much debate on transformative change among academics and policymakers, the discussion on how to govern such change is still in its infancy. This article argues that transformative governance is needed to enable the transformative change necessary for achieving global sustainability goals. Based on a literature review, the article unpacks this concept of transformative governance. It is: integrative, to ensure local solutions also have sustainable impacts elsewhere (across scales, places, issues and sectors); inclusive, to empower those whose interests are currently not being met and represent values embodying transformative change for sustainability; adaptive, enabling learning, experimentation, and reflexivity, to cope with the complexity of transformative change; and pluralist, recognizing different knowledge systems. We argue that only when these four governance approaches are: implemented in conjunction; operationalized in a specific manner; and focused on addressing the indirect drivers underlying sustainability issues, governance becomes transformative.","container-title":"Current Opinion in Environmental Sustainability","DOI":"10.1016/j.cosust.2021.06.002","ISSN":"1877-3435","journalAbbreviation":"Current Opinion in Environmental Sustainability","language":"en","page":"20-28","source":"ScienceDirect","title":"Transformative governance of biodiversity: insights for sustainable development","title-short":"Transformative governance of biodiversity","URL":"https://www.sciencedirect.com/science/article/pii/S1877343521000749","volume":"53","author":[{"family":"Visseren-Hamakers","given":"Ingrid J."},{"family":"Razzaque","given":"Jona"},{"family":"McElwee","given":"Pamela"},{"family":"Turnhout","given":"Esther"},{"family":"Kelemen","given":"Eszter"},{"family":"Rusch","given":"Graciela M"},{"family":"Fernández-Llamazares","given":"Álvaro"},{"family":"Chan","given":"Ivis"},{"family":"Lim","given":"Michelle"},{"family":"Islar","given":"Mine"},{"family":"Gautam","given":"Ambika P"},{"family":"Williams","given":"Meryl"},{"family":"Mungatana","given":"Eric"},{"family":"Karim","given":"Md Saiful"},{"family":"Muradian","given":"Roldan"},{"family":"Gerber","given":"Leah R."},{"family":"Lui","given":"Gabriel"},{"family":"Liu","given":"Jinlong"},{"family":"Spangenberg","given":"Joachim H."},{"family":"Zaleski","given":"Dara"}],"accessed":{"date-parts":[["2022",6,16]]},"issued":{"date-parts":[["2021",12,1]]}},"label":"page"}],"schema":"https://github.com/citation-style-language/schema/raw/master/csl-citation.json"} </w:instrText>
      </w:r>
      <w:r w:rsidR="008C1DE1" w:rsidRPr="00A9434B">
        <w:fldChar w:fldCharType="separate"/>
      </w:r>
      <w:r w:rsidR="00F55BC6" w:rsidRPr="00F55BC6">
        <w:t>(Visseren-Hamakers et al., 2021</w:t>
      </w:r>
      <w:r w:rsidR="008C1DE1" w:rsidRPr="00A9434B">
        <w:fldChar w:fldCharType="end"/>
      </w:r>
      <w:r w:rsidR="008C1DE1" w:rsidRPr="00A9434B">
        <w:t>;</w:t>
      </w:r>
      <w:r w:rsidR="007C5250" w:rsidRPr="00A9434B">
        <w:t xml:space="preserve"> </w:t>
      </w:r>
      <w:r w:rsidR="00EB1D37">
        <w:rPr>
          <w:b/>
          <w:iCs/>
        </w:rPr>
        <w:t>C</w:t>
      </w:r>
      <w:r w:rsidR="00B97F45" w:rsidRPr="00673554">
        <w:rPr>
          <w:b/>
          <w:iCs/>
        </w:rPr>
        <w:t>hapter 3</w:t>
      </w:r>
      <w:r w:rsidR="00691629" w:rsidRPr="00673554">
        <w:rPr>
          <w:iCs/>
        </w:rPr>
        <w:t>,</w:t>
      </w:r>
      <w:r w:rsidR="00691629" w:rsidRPr="00673554">
        <w:rPr>
          <w:b/>
          <w:iCs/>
        </w:rPr>
        <w:t xml:space="preserve"> section</w:t>
      </w:r>
      <w:r w:rsidR="001416BD" w:rsidRPr="00673554">
        <w:rPr>
          <w:b/>
          <w:iCs/>
        </w:rPr>
        <w:t>s</w:t>
      </w:r>
      <w:r w:rsidR="00691629" w:rsidRPr="00673554">
        <w:rPr>
          <w:b/>
          <w:iCs/>
        </w:rPr>
        <w:t xml:space="preserve"> 3.3</w:t>
      </w:r>
      <w:r w:rsidR="003A7C3E" w:rsidRPr="00673554">
        <w:rPr>
          <w:iCs/>
        </w:rPr>
        <w:t xml:space="preserve"> </w:t>
      </w:r>
      <w:r w:rsidR="003A7C3E" w:rsidRPr="00EB1D37">
        <w:t>and</w:t>
      </w:r>
      <w:r w:rsidR="003A7C3E" w:rsidRPr="00673554">
        <w:rPr>
          <w:iCs/>
        </w:rPr>
        <w:t xml:space="preserve"> </w:t>
      </w:r>
      <w:r w:rsidR="003A7C3E" w:rsidRPr="00673554">
        <w:rPr>
          <w:b/>
          <w:iCs/>
        </w:rPr>
        <w:t>3.6</w:t>
      </w:r>
      <w:r w:rsidR="00B97F45" w:rsidRPr="00A9434B">
        <w:t>).</w:t>
      </w:r>
      <w:r w:rsidR="004341FD" w:rsidRPr="00A9434B">
        <w:t xml:space="preserve"> </w:t>
      </w:r>
    </w:p>
    <w:p w14:paraId="2D62F9A4" w14:textId="162BC950" w:rsidR="0086040C" w:rsidRPr="00A9434B" w:rsidRDefault="00294914" w:rsidP="006B3143">
      <w:r w:rsidRPr="00A9434B">
        <w:t>This assessment</w:t>
      </w:r>
      <w:r w:rsidR="0086040C" w:rsidRPr="00A9434B">
        <w:t xml:space="preserve"> therefore build</w:t>
      </w:r>
      <w:r w:rsidR="0C51634D" w:rsidRPr="00A9434B">
        <w:t>s</w:t>
      </w:r>
      <w:r w:rsidR="0086040C" w:rsidRPr="00A9434B">
        <w:t xml:space="preserve"> on the sustainabilit</w:t>
      </w:r>
      <w:r w:rsidR="004821A4" w:rsidRPr="00A9434B">
        <w:t>y science framing of the IPBES conceptual f</w:t>
      </w:r>
      <w:r w:rsidR="0086040C" w:rsidRPr="00A9434B">
        <w:t xml:space="preserve">ramework and </w:t>
      </w:r>
      <w:bookmarkStart w:id="634" w:name="OLE_LINK1"/>
      <w:bookmarkStart w:id="635" w:name="OLE_LINK2"/>
      <w:r w:rsidR="0086040C" w:rsidRPr="00A9434B">
        <w:t xml:space="preserve">enablers of transformative </w:t>
      </w:r>
      <w:bookmarkEnd w:id="634"/>
      <w:bookmarkEnd w:id="635"/>
      <w:r w:rsidR="0086040C" w:rsidRPr="00A9434B">
        <w:t>change</w:t>
      </w:r>
      <w:r w:rsidR="006772F6" w:rsidRPr="00A9434B">
        <w:t xml:space="preserve"> </w:t>
      </w:r>
      <w:r w:rsidRPr="00A9434B">
        <w:fldChar w:fldCharType="begin"/>
      </w:r>
      <w:r w:rsidR="002D2756">
        <w:instrText xml:space="preserve"> ADDIN ZOTERO_ITEM CSL_CITATION {"citationID":"ac59gsocpn","properties":{"formattedCitation":"(S. D\\uc0\\u237{}az et al., 2019; Scoones et al., 2020)","plainCitation":"(S. Díaz et al., 2019; Scoones et al., 2020)","noteIndex":0},"citationItems":[{"id":30446,"uris":["http://zotero.org/groups/2352922/items/HG466TIR"],"itemData":{"id":30446,"type":"article-journal","abstract":"The time is now\nFor decades, scientists have been raising calls for societal changes that will reduce our impacts on nature. Though much conservation has occurred, our natural environment continues to decline under the weight of our consumption. Humanity depends directly on the output of nature; thus, this decline will affect us, just as it does the other species with which we share this world. Díaz et al. review the findings of the largest assessment of the state of nature conducted as of yet. They report that the state of nature, and the state of the equitable distribution of nature's support, is in serious decline. Only immediate transformation of global business-as-usual economies and operations will sustain nature as we know it, and us, into the future.\nScience, this issue p. eaax3100\nStructured Abstract\nBACKGROUNDHuman actions have long been known to drive declines in nature, and there is growing awareness of how globalization means that these drivers increasingly act at a distance (telecoupling). However, evidence from different disciplines has largely accumulated in parallel, and the global effects of telecouplings have never been addressed comprehensively. Now, the first integrated global-scale intergovernmental assessment of the status, trends, and future of the links between people and nature provides an unprecedented picture of the extent of our mutual dependence, the breadth and depth of the ongoing and impending crisis, and the interconnectedness among sectors and regions.\nADVANCESHuman impacts on life on Earth have increased sharply since the 1970s. The world is increasingly managed to maximize the flow of material contributions from nature to keep up with rising demands for food, energy, timber, and more, with global trade increasing the geographic separation between supply and demand. This unparalleled appropriation of nature is causing the fabric of life on which humanity depends to fray and unravel: Most indicators of the state of nature, whether monitored by natural and social scientists or by Indigenous Peoples and local communities, are declining. These include the number and population size of wild species, the number of local varieties of domesticated species, the distinctness of ecological communities, and the extent and integrity of many terrestrial and aquatic ecosystems. As a consequence, nature’s capacity to provide crucial benefits has also declined, including environmental processes underpinning human health and nonmaterial contributions to human quality of life. The costs are distributed unequally, as are the benefits of an expanding global economy.These trends in nature and its contributions to people are projected to worsen in the coming decades—unevenly so among different regions—unless rapid and integrated action is taken to reduce the direct drivers responsible for most change over the past 50 years: land and sea use change, direct harvesting of many plants and animals, climate change (whose impacts are set to accelerate), pollution, and the spread of invasive alien species. Exploratory scenarios suggest that a world with increased regional barriers—resonating with recent geopolitical trends—will yield more negative global trends in nature, as well as the greatest disparity in trends across regions, greater than a world with liberal financial markets, and much greater than one that prioritizes and integrates actions toward sustainable development. Evidence from target-seeking scenarios and pathways indicates that a world that achieves many of the global biodiversity targets and sustainability goals related to food, energy, climate, and water is not—yet—beyond reach, but that no single action can get us there.\nOUTLOOKOur comprehensive assessment of status, trends, and possible futures for nature and people suggests that action at the level of direct drivers of nature decline, although necessary, is not sufficient to prevent further deterioration of the fabric of life on Earth. Reversal of recent declines—and a sustainable global future—are only possible with urgent transformative change that tackles the root causes: the interconnected economic, sociocultural, demographic, political, institutional, and technological indirect drivers behind the direct drivers. As well as a pan-sectoral approach to conserving and restoring the nature that underpins many goals, this transformation will need innovative governance approaches that are adaptive; inclusive; informed by existing and new evidence; and integrative across systems, jurisdictions, and tools. Although the challenge is formidable, every delay will make the task even harder. Crucially, our analysis pinpoints five priority interventions (“levers</w:instrText>
      </w:r>
      <w:r w:rsidR="002D2756">
        <w:rPr>
          <w:rFonts w:hint="eastAsia"/>
        </w:rPr>
        <w:instrText>”</w:instrText>
      </w:r>
      <w:r w:rsidR="002D2756">
        <w:instrText xml:space="preserve">) and eight leverage points for intervention in the indirect drivers of global social and economic systems where they can make the biggest difference. &lt;img class=\"fragment-image\" aria-describedby=\"F1-caption\" src=\"https://science.sciencemag.org/content/sci/366/6471/eaax3100/F1.medium.gif\"/&gt; Download high-res image Open in new tab Download Powerpoint Traditional diversity-rich human landscapes, and the livelihoods and identities that depend on them, face global threats.Mosaics of crops, forest, and pasture have been maintained for millennia around the world. Now, they are under increasing threat from climate change and large-scale land use change to accommodate global demands for commodities. So are the livelihoods and cultural identity of the peoples that live in them, such as this woman collecting fodder for her flock in the Checacupe district, Perú.Photo credit www.estebantapella.com\nThe human impact on life on Earth has increased sharply since the 1970s, driven by the demands of a growing population with rising average per capita income. Nature is currently supplying more materials than ever before, but this has come at the high cost of unprecedented global declines in the extent and integrity of ecosystems, distinctness of local ecological communities, abundance and number of wild species, and the number of local domesticated varieties. Such changes reduce vital benefits that people receive from nature and threaten the quality of life of future generations. Both the benefits of an expanding economy and the costs of reducing nature’s benefits are unequally distributed. The fabric of life on which we all depend—nature and its contributions to people—is unravelling rapidly. Despite the severity of the threats and lack of enough progress in tackling them to date, opportunities exist to change future trajectories through transformative action. Such action must begin immediately, however, and address the root economic, social, and technological causes of nature’s deterioration.","container-title":"Science","DOI":"10.1126/science.aax3100","ISSN":"0036-8075, 1095-9203","issue":"6471","language":"en","license":"Copyright © 2019 The Authors, some rights reserved; exclusive licensee American Association for the Advancement of Science. No claim to original U.S. Government Works. http://www.sciencemag.org/about/science-licenses-journal-article-reuseThis is an article distributed under the terms of the Science Journals Default License.","note":"publisher: American Association for the Advancement of Science\nsection: Review\nPMID: 31831642","page":"eaax3100","source":"science.sciencemag.org","title":"Pervasive human-driven decline of life on Earth points to the need for transformative change","URL":"https://science.sciencemag.org/content/366/6471/eaax3100","volume":"366","author":[{"family":"Díaz","given":"Sandra"},{"family":"Settele","given":"Josef"},{"family":"Brondízio","given":"Eduardo S."},{"family":"Ngo","given":"Hien T."},{"family":"Agard","given":"John"},{"family":"Arneth","given":"Almut"},{"family":"Balvanera","given":"Patricia"},{"family":"Brauman","given":"Kate A."},{"family":"Butchart","given":"Stuart H. M."},{"family":"Chan","given":"Kai M. A."},{"family":"Garibaldi","given":"Lucas A."},{"family":"Ichii","given":"Kazuhito"},{"family":"Liu","given":"Jianguo"},{"family":"Subramanian","given":"Suneetha M."},{"family":"Midgley","given":"Guy F."},{"family":"Miloslavich","given":"Patricia"},{"family":"Molnár","given":"Zsolt"},{"family":"Obura","given":"David"},{"family":"Pfaff","given":"Alexander"},{"family":"Polasky","given":"Stephen"},{"family":"Purvis","given":"Andy"},{"family":"Razzaque","given":"Jona"},{"family":"Reyers","given":"Belinda"},{"family":"Chowdhury","given":"Rinku Roy"},{"family":"Shin","given":"Yunne-Jai"},{"family":"Visseren-Hamakers","given":"Ingrid"},{"family":"Willis","given":"Katherine J."},{"family":"Zayas","given":"Cynthia N."}],"accessed":{"date-parts":[["2021",8,16]]},"issued":{"date-parts":[["2019",12,13]]}},"label":"page"},{"id":53352,"uris":["http://zotero.org/groups/2352922/items/HBIASQ7F"],"itemData":{"id":53352,"type":"article-journal","container-title":"Current Opinion in Environmental Sustainability","DOI":"10.1016/j.cosust.2019.12.004","note":"ISBN: 1877-3435\npublisher: Elsevier","page":"65-75","title":"Transformations to sustainability: combining structural, systemic and enabling approaches","volume":"42","author":[{"family":"Scoones","given":"Ian"},{"family":"Stirling","given":"Andrew"},{"family":"Abrol","given":"Dinesh"},{"family":"Atela","given":"Joanes"},{"family":"Charli-Joseph","given":"Lakshmi"},{"family":"Eakin","given":"Hallie"},{"family":"Ely","given":"Adrian"},{"family":"Olsson","given":"Per"},{"family":"Pereira","given":"Laura"},{"family":"Priya","given":"Ritu"},{"family":"Zwanenberg","given":"Patrick","non-dropping-particle":"van"},{"family":"Yang","given":"Lichao"}],"issued":{"date-parts":[["2020"]]}},"label":"page"}],"schema":"https://github.com/citation-style-language/schema/raw/master/csl-citation.json"} </w:instrText>
      </w:r>
      <w:r w:rsidRPr="00A9434B">
        <w:fldChar w:fldCharType="separate"/>
      </w:r>
      <w:r w:rsidR="00C71E80" w:rsidRPr="00A9434B">
        <w:t>(S. Díaz et al., 2019; Scoones et al., 2020)</w:t>
      </w:r>
      <w:r w:rsidRPr="00A9434B">
        <w:fldChar w:fldCharType="end"/>
      </w:r>
      <w:r w:rsidR="00AF279F" w:rsidRPr="00A9434B">
        <w:t>:</w:t>
      </w:r>
      <w:r w:rsidR="0086040C" w:rsidRPr="00A9434B">
        <w:t xml:space="preserve"> To reverse nature’s decline while addressing inequality,</w:t>
      </w:r>
      <w:r w:rsidR="004341FD" w:rsidRPr="00A9434B">
        <w:t xml:space="preserve"> </w:t>
      </w:r>
      <w:r w:rsidR="0086040C" w:rsidRPr="00A9434B">
        <w:t>a “fundamental, system-wide reorgani</w:t>
      </w:r>
      <w:r w:rsidR="00103B15" w:rsidRPr="00A9434B">
        <w:t>z</w:t>
      </w:r>
      <w:r w:rsidR="0086040C" w:rsidRPr="00A9434B">
        <w:t>ation across technological, economic</w:t>
      </w:r>
      <w:r w:rsidR="00EB415D">
        <w:t xml:space="preserve"> and</w:t>
      </w:r>
      <w:r w:rsidR="0086040C" w:rsidRPr="00A9434B">
        <w:t xml:space="preserve"> social factors making sustainability the norm” </w:t>
      </w:r>
      <w:r w:rsidRPr="00A9434B">
        <w:fldChar w:fldCharType="begin"/>
      </w:r>
      <w:r w:rsidR="002D2756">
        <w:instrText xml:space="preserve"> ADDIN ZOTERO_ITEM CSL_CITATION {"citationID":"a3p0tpk9l8","properties":{"formattedCitation":"(S. D\\uc0\\u237{}az et al., 2019)","plainCitation":"(S. Díaz et al., 2019)","noteIndex":0},"citationItems":[{"id":30446,"uris":["http://zotero.org/groups/2352922/items/HG466TIR"],"itemData":{"id":30446,"type":"article-journal","abstract":"The time is now\nFor decades, scientists have been raising calls for societal changes that will reduce our impacts on nature. Though much conservation has occurred, our natural environment continues to decline under the weight of our consumption. Humanity depends directly on the output of nature; thus, this decline will affect us, just as it does the other species with which we share this world. Díaz et al. review the findings of the largest assessment of the state of nature conducted as of yet. They report that the state of nature, and the state of the equitable distribution of nature's support, is in serious decline. Only immediate transformation of global business-as-usual economies and operations will sustain nature as we know it, and us, into the future.\nScience, this issue p. eaax3100\nStructured Abstract\nBACKGROUNDHuman actions have long been known to drive declines in nature, and there is growing awareness of how globalization means that these drivers increasingly act at a distance (telecoupling). However, evidence from different disciplines has largely accumulated in parallel, and the global effects of telecouplings have never been addressed comprehensively. Now, the first integrated global-scale intergovernmental assessment of the status, trends, and future of the links between people and nature provides an unprecedented picture of the extent of our mutual dependence, the breadth and depth of the ongoing and impending crisis, and the interconnectedness among sectors and regions.\nADVANCESHuman impacts on life on Earth have increased sharply since the 1970s. The world is increasingly managed to maximize the flow of material contributions from nature to keep up with rising demands for food, energy, timber, and more, with global trade increasing the geographic separation between supply and demand. This unparalleled appropriation of nature is causing the fabric of life on which humanity depends to fray and unravel: Most indicators of the state of nature, whether monitored by natural and social scientists or by Indigenous Peoples and local communities, are declining. These include the number and population size of wild species, the number of local varieties of domesticated species, the distinctness of ecological communities, and the extent and integrity of many terrestrial and aquatic ecosystems. As a consequence, nature’s capacity to provide crucial benefits has also declined, including environmental processes underpinning human health and nonmaterial contributions to human quality of life. The costs are distributed unequally, as are the benefits of an expanding global economy.These trends in nature and its contributions to people are projected to worsen in the coming decades—unevenly so among different regions—unless rapid and integrated action is taken to reduce the direct drivers responsible for most change over the past 50 years: land and sea use change, direct harvesting of many plants and animals, climate change (whose impacts are set to accelerate), pollution, and the spread of invasive alien species. Exploratory scenarios suggest that a world with increased regional barriers—resonating with recent geopolitical trends—will yield more negative global trends in nature, as well as the greatest disparity in trends across regions, greater than a world with liberal financial markets, and much greater than one that prioritizes and integrates actions toward sustainable development. Evidence from target-seeking scenarios and pathways indicates that a world that achieves many of the global biodiversity targets and sustainability goals related to food, energy, climate, and water is not—yet—beyond reach, but that no single action can get us there.\nOUTLOOKOur comprehensive assessment of status, trends, and possible futures for nature and people suggests that action at the level of direct drivers of nature decline, although necessary, is not sufficient to prevent further deterioration of the fabric of life on Earth. Reversal of recent declines—and a sustainable global future—are only possible with urgent transformative change that tackles the root causes: the interconnected economic, sociocultural, demographic, political, institutional, and technological indirect drivers behind the direct drivers. As well as a pan-sectoral approach to conserving and restoring the nature that underpins many goals, this transformation will need innovative governance approaches that are adaptive; inclusive; informed by existing and new evidence; and integrative across systems, jurisdictions, and tools. Although the challenge is formidable, every delay will make the task even harder. Crucially, our analysis pinpoints five priority interventions (“levers”) and eight leverage points for intervention in the indirect drivers of global social and economic systems where they can make the biggest difference. &lt;img class=\"fragment-image\" aria-describedby=\"F1-caption\" src=\"https://science.sciencemag.org/content/sci/366/6471/eaax3100/F1.medium.gif\"/&gt; Download high-res image Open in new tab Download Powerpoint Traditional diversity-rich human landscapes, and the livelihoods and identities that depend on them, face global threats.Mosaics of crops, forest, and pasture have been maintained for millennia around the world. Now, they are under increasing threat from climate change and large-scale land use change to accommodate global demands for commodities. So are the livelihoods and cultural identity of the peoples that live in them, such as this woman collecting fodder for her flock in the Checacupe district, Perú.Photo credit www.estebantapella.com\nThe human impact on life on Earth has increased sharply since the 1970s, driven by the demands of a growing population with rising average per capita income. Nature is currently supplying more materials than ever before, but this has come at the high cost of unprecedented global declines in the extent and integrity of ecosystems, distinctness of local ecological communities, abundance and number of wild species, and the number of local domesticated varieties. Such changes reduce vital benefits that people receive from nature and threaten the quality of life of future generations. Both the benefits of an expanding economy and the costs of reducing nature’s benefits are unequally distributed. The fabric of life on which we all depend—nature and its contributions to people—is unravelling rapidly. Despite the severity of the threats and lack of enough progress in tackling them to date, opportunities exist to change future trajectories through transformative action. Such action must begin immediately, however, and address the root economic, social, and technological causes of nature’s deterioration.","container-title":"Science","DOI":"10.1126/science.aax3100","ISSN":"0036-8075, 1095-9203","issue":"6471","language":"en","license":"Copyright © 2019 The Authors, some rights reserved; exclusive licensee American Association for the Advancement of Science. No claim to original U.S. Government Works. http://www.sciencemag.org/about/science-licenses-journal-article-reuseThis is an article distributed under the terms of the Science Journals Default License.","note":"publisher: American Association for the Advancement of Science\nsection: Review\nPMID: 31831642","page":"eaax3100","source":"science.sciencemag.org","title":"Pervasive human-driven decline of life on Earth points to the need for transformative change","URL":"https://science.sciencemag.org/content/366/6471/eaax3100","volume":"366","author":[{"family":"Díaz","given":"Sandra"},{"family":"Settele","given":"Josef"},{"family":"Brondízio","given":"Eduardo S."},{"family":"Ngo","given":"Hien T."},{"family":"Agard","given":"John"},{"family":"Arneth","given":"Almut"},{"family":"Balvanera","given":"Patricia"},{"family":"Brauman","given":"Kate A."},{"family":"Butchart","given":"Stuart H. M."},{"family":"Chan","given":"Kai M. A."},{"family":"Garibaldi","given":"Lucas A."},{"family":"Ichii","given":"Kazuhito"},{"family":"Liu","given":"Jianguo"},{"family":"Subramanian","given":"Suneetha M."},{"family":"Midgley","given":"Guy F."},{"family":"Miloslavich","given":"Patricia"},{"family":"Molnár","given":"Zsolt"},{"family":"Obura","given":"David"},{"family":"Pfaff","given":"Alexander"},{"family":"Polasky","given":"Stephen"},{"family":"Purvis","given":"Andy"},{"family":"Razzaque","given":"Jona"},{"family":"Reyers","given":"Belinda"},{"family":"Chowdhury","given":"Rinku Roy"},{"family":"Shin","given":"Yunne-Jai"},{"family":"Visseren-Hamakers","given":"Ingrid"},{"family":"Willis","given":"Katherine J."},{"family":"Zayas","given":"Cynthia N."}],"accessed":{"date-parts":[["2021",8,16]]},"issued":{"date-parts":[["2019",12,13]]}},"label":"page"}],"schema":"https://github.com/citation-style-language/schema/raw/master/csl-citation.json"} </w:instrText>
      </w:r>
      <w:r w:rsidRPr="00A9434B">
        <w:fldChar w:fldCharType="separate"/>
      </w:r>
      <w:r w:rsidR="00C71E80" w:rsidRPr="00A9434B">
        <w:t>(S. Díaz et al., 2019)</w:t>
      </w:r>
      <w:r w:rsidRPr="00A9434B">
        <w:fldChar w:fldCharType="end"/>
      </w:r>
      <w:r w:rsidR="0086040C" w:rsidRPr="00A9434B">
        <w:t xml:space="preserve">. </w:t>
      </w:r>
      <w:r w:rsidR="002869C6" w:rsidRPr="00A9434B">
        <w:t>In this cont</w:t>
      </w:r>
      <w:r w:rsidR="6A8D69A1" w:rsidRPr="00A9434B">
        <w:t>e</w:t>
      </w:r>
      <w:r w:rsidR="002869C6" w:rsidRPr="00A9434B">
        <w:t xml:space="preserve">xt, </w:t>
      </w:r>
      <w:r w:rsidR="00362ECE" w:rsidRPr="00A9434B">
        <w:t xml:space="preserve">governance </w:t>
      </w:r>
      <w:r w:rsidR="002869C6" w:rsidRPr="00A9434B">
        <w:t>is</w:t>
      </w:r>
      <w:r w:rsidR="00BE340B" w:rsidRPr="00A9434B">
        <w:t xml:space="preserve"> the “</w:t>
      </w:r>
      <w:r w:rsidR="00597B2C" w:rsidRPr="00A9434B">
        <w:t>for</w:t>
      </w:r>
      <w:r w:rsidR="00B82095" w:rsidRPr="00A9434B">
        <w:t>m</w:t>
      </w:r>
      <w:r w:rsidR="00597B2C" w:rsidRPr="00A9434B">
        <w:t>al and informal (public and private) rules, rule</w:t>
      </w:r>
      <w:r w:rsidR="003D4BE4" w:rsidRPr="00A9434B">
        <w:t>making</w:t>
      </w:r>
      <w:r w:rsidR="00A66D6F" w:rsidRPr="00A9434B">
        <w:t xml:space="preserve"> systems and </w:t>
      </w:r>
      <w:r w:rsidR="00E82999" w:rsidRPr="00A9434B">
        <w:t>actor networks at all levels of human society that enable transformative change”</w:t>
      </w:r>
      <w:r w:rsidR="00471A1A" w:rsidRPr="00A9434B">
        <w:t xml:space="preserve"> </w:t>
      </w:r>
      <w:r w:rsidRPr="00A9434B">
        <w:fldChar w:fldCharType="begin"/>
      </w:r>
      <w:r w:rsidR="002D2756">
        <w:instrText xml:space="preserve"> ADDIN ZOTERO_ITEM CSL_CITATION {"citationID":"a5p49kj8eu","properties":{"formattedCitation":"(Visseren-Hamakers et al., 2021)","plainCitation":"(Visseren-Hamakers et al., 2021)","noteIndex":0},"citationItems":[{"id":52470,"uris":["http://zotero.org/groups/2352922/items/PDFTGQFP"],"itemData":{"id":52470,"type":"article-journal","abstract":"While there is much debate on transformative change among academics and policymakers, the discussion on how to govern such change is still in its infancy. This article argues that transformative governance is needed to enable the transformative change necessary for achieving global sustainability goals. Based on a literature review, the article unpacks this concept of transformative governance. It is: integrative, to ensure local solutions also have sustainable impacts elsewhere (across scales, places, issues and sectors); inclusive, to empower those whose interests are currently not being met and represent values embodying transformative change for sustainability; adaptive, enabling learning, experimentation, and reflexivity, to cope with the complexity of transformative change; and pluralist, recognizing different knowledge systems. We argue that only when these four governance approaches are: implemented in conjunction; operationalized in a specific manner; and focused on addressing the indirect drivers underlying sustainability issues, governance becomes transformative.","container-title":"Current Opinion in Environmental Sustainability","DOI":"10.1016/j.cosust.2021.06.002","ISSN":"1877-3435","journalAbbreviation":"Current Opinion in Environmental Sustainability","language":"en","page":"20-28","source":"ScienceDirect","title":"Transformative governance of biodiversity: insights for sustainable development","title-short":"Transformative governance of biodiversity","URL":"https://www.sciencedirect.com/science/article/pii/S1877343521000749","volume":"53","author":[{"family":"Visseren-Hamakers","given":"Ingrid J."},{"family":"Razzaque","given":"Jona"},{"family":"McElwee","given":"Pamela"},{"family":"Turnhout","given":"Esther"},{"family":"Kelemen","given":"Eszter"},{"family":"Rusch","given":"Graciela M"},{"family":"Fernández-Llamazares","given":"Álvaro"},{"family":"Chan","given":"Ivis"},{"family":"Lim","given":"Michelle"},{"family":"Islar","given":"Mine"},{"family":"Gautam","given":"Ambika P"},{"family":"Williams","given":"Meryl"},{"family":"Mungatana","given":"Eric"},{"family":"Karim","given":"Md Saiful"},{"family":"Muradian","given":"Roldan"},{"family":"Gerber","given":"Leah R."},{"family":"Lui","given":"Gabriel"},{"family":"Liu","given":"Jinlong"},{"family":"Spangenberg","given":"Joachim H."},{"family":"Zaleski","given":"Dara"}],"accessed":{"date-parts":[["2022",6,16]]},"issued":{"date-parts":[["2021",12,1]]}},"label":"page"}],"schema":"https://github.com/citation-style-language/schema/raw/master/csl-citation.json"} </w:instrText>
      </w:r>
      <w:r w:rsidRPr="00A9434B">
        <w:fldChar w:fldCharType="separate"/>
      </w:r>
      <w:r w:rsidR="00C71E80" w:rsidRPr="00A9434B">
        <w:t>(Visseren-Hamakers et al., 2021)</w:t>
      </w:r>
      <w:r w:rsidRPr="00A9434B">
        <w:fldChar w:fldCharType="end"/>
      </w:r>
      <w:r w:rsidR="000356C9" w:rsidRPr="00A9434B">
        <w:t>.</w:t>
      </w:r>
      <w:r w:rsidR="00E82999" w:rsidRPr="00A9434B">
        <w:t xml:space="preserve"> </w:t>
      </w:r>
      <w:r w:rsidR="0086040C" w:rsidRPr="00A9434B">
        <w:t xml:space="preserve">For </w:t>
      </w:r>
      <w:r w:rsidR="009F31CA" w:rsidRPr="00A9434B">
        <w:t>invasive alien species</w:t>
      </w:r>
      <w:r w:rsidR="0086040C" w:rsidRPr="00A9434B">
        <w:t xml:space="preserve">, </w:t>
      </w:r>
      <w:r w:rsidR="00AF279F" w:rsidRPr="00A9434B">
        <w:t xml:space="preserve">transformative change </w:t>
      </w:r>
      <w:r w:rsidR="00281DAC" w:rsidRPr="00A9434B">
        <w:t>depends on</w:t>
      </w:r>
      <w:r w:rsidRPr="00A9434B">
        <w:t xml:space="preserve"> </w:t>
      </w:r>
      <w:r w:rsidR="00867D3C" w:rsidRPr="00A9434B">
        <w:t xml:space="preserve">a </w:t>
      </w:r>
      <w:r w:rsidR="0086040C" w:rsidRPr="00A9434B">
        <w:t xml:space="preserve">system-wide </w:t>
      </w:r>
      <w:r w:rsidR="01F9861F" w:rsidRPr="00A9434B">
        <w:t>reorganization</w:t>
      </w:r>
      <w:r w:rsidR="0086040C" w:rsidRPr="00A9434B">
        <w:t xml:space="preserve">, including technological, </w:t>
      </w:r>
      <w:r w:rsidR="00415B93" w:rsidRPr="00A9434B">
        <w:t xml:space="preserve">normative, </w:t>
      </w:r>
      <w:r w:rsidR="0086040C" w:rsidRPr="00A9434B">
        <w:t>economic</w:t>
      </w:r>
      <w:r w:rsidR="00EB415D">
        <w:t xml:space="preserve"> and</w:t>
      </w:r>
      <w:r w:rsidR="0086040C" w:rsidRPr="00A9434B">
        <w:t xml:space="preserve"> social factors, needed to achieve the goals </w:t>
      </w:r>
      <w:r w:rsidR="001C1880" w:rsidRPr="00A9434B">
        <w:t>enshrined in</w:t>
      </w:r>
      <w:r w:rsidR="0086040C" w:rsidRPr="00A9434B">
        <w:t xml:space="preserve"> </w:t>
      </w:r>
      <w:r w:rsidR="00F372B4" w:rsidRPr="00A9434B">
        <w:t>multilateral</w:t>
      </w:r>
      <w:r w:rsidR="0086040C" w:rsidRPr="00A9434B">
        <w:t xml:space="preserve"> agreements and national strategies. </w:t>
      </w:r>
    </w:p>
    <w:p w14:paraId="490FE1AB" w14:textId="10CFCC9B" w:rsidR="0086040C" w:rsidRPr="00A9434B" w:rsidRDefault="68DB0B31" w:rsidP="007D5DC6">
      <w:pPr>
        <w:pStyle w:val="Heading2"/>
      </w:pPr>
      <w:bookmarkStart w:id="636" w:name="_Toc86782735"/>
      <w:bookmarkStart w:id="637" w:name="_Toc1604642030"/>
      <w:bookmarkStart w:id="638" w:name="_Toc133428363"/>
      <w:bookmarkStart w:id="639" w:name="_Toc133428808"/>
      <w:bookmarkStart w:id="640" w:name="_Toc147417603"/>
      <w:r w:rsidRPr="00A9434B">
        <w:t xml:space="preserve">Integrated governance can bring about </w:t>
      </w:r>
      <w:r w:rsidR="0D6E83B1" w:rsidRPr="00A9434B">
        <w:t xml:space="preserve">transformative change </w:t>
      </w:r>
      <w:r w:rsidRPr="00A9434B">
        <w:t>that improves</w:t>
      </w:r>
      <w:r w:rsidR="0D6E83B1" w:rsidRPr="00A9434B">
        <w:t xml:space="preserve"> </w:t>
      </w:r>
      <w:bookmarkEnd w:id="636"/>
      <w:bookmarkEnd w:id="637"/>
      <w:r w:rsidR="00AA37F8" w:rsidRPr="00A9434B">
        <w:t xml:space="preserve">the management of </w:t>
      </w:r>
      <w:r w:rsidR="00C25B36" w:rsidRPr="00A9434B">
        <w:t>biological invasions</w:t>
      </w:r>
      <w:bookmarkEnd w:id="638"/>
      <w:bookmarkEnd w:id="639"/>
      <w:bookmarkEnd w:id="640"/>
    </w:p>
    <w:p w14:paraId="1CBC3751" w14:textId="61062B6E" w:rsidR="006F2BE1" w:rsidRDefault="0086040C" w:rsidP="006F2BE1">
      <w:r w:rsidRPr="00A9434B">
        <w:t xml:space="preserve">To bring about </w:t>
      </w:r>
      <w:r w:rsidR="005E6E24" w:rsidRPr="00A9434B">
        <w:t xml:space="preserve">such system-wide </w:t>
      </w:r>
      <w:r w:rsidR="61D457FE" w:rsidRPr="00A9434B">
        <w:t>reorganization</w:t>
      </w:r>
      <w:r w:rsidR="00B81F02" w:rsidRPr="00A9434B">
        <w:t xml:space="preserve"> for </w:t>
      </w:r>
      <w:r w:rsidR="00F47010" w:rsidRPr="00A9434B">
        <w:t>manag</w:t>
      </w:r>
      <w:r w:rsidR="00B81F02" w:rsidRPr="00A9434B">
        <w:t>ing biological invasions</w:t>
      </w:r>
      <w:r w:rsidRPr="00A9434B">
        <w:t>, the approach</w:t>
      </w:r>
      <w:r w:rsidR="004341FD" w:rsidRPr="00A9434B">
        <w:t xml:space="preserve"> </w:t>
      </w:r>
      <w:r w:rsidR="007804B8">
        <w:t>could</w:t>
      </w:r>
      <w:r w:rsidR="00F14B69" w:rsidRPr="00A9434B">
        <w:t xml:space="preserve"> </w:t>
      </w:r>
      <w:r w:rsidRPr="00A9434B">
        <w:t xml:space="preserve">focus on the </w:t>
      </w:r>
      <w:r w:rsidR="006F6E1F" w:rsidRPr="00A9434B">
        <w:t>“</w:t>
      </w:r>
      <w:r w:rsidRPr="00A9434B">
        <w:t>deeper system properties</w:t>
      </w:r>
      <w:r w:rsidR="006F6E1F" w:rsidRPr="00A9434B">
        <w:t>”</w:t>
      </w:r>
      <w:r w:rsidRPr="00A9434B">
        <w:t xml:space="preserve"> </w:t>
      </w:r>
      <w:r w:rsidR="004821A4" w:rsidRPr="00A9434B">
        <w:fldChar w:fldCharType="begin"/>
      </w:r>
      <w:r w:rsidR="002D2756">
        <w:instrText xml:space="preserve"> ADDIN ZOTERO_ITEM CSL_CITATION {"citationID":"aqnl01hqr1","properties":{"formattedCitation":"(Leventon et al., 2021; Meadows, 1999)","plainCitation":"(Leventon et al., 2021; Meadows, 1999)","noteIndex":0},"citationItems":[{"id":10824,"uris":["http://zotero.org/groups/2352922/items/FIJXM97V"],"itemData":{"id":10824,"type":"article-journal","abstract":"Abstract\n            The concept of leverage points offers great potential to consider how we can intervene in systems to create transformations for sustainability. In this special issue, we draw together a diverse collection of research that engages with this central idea. The papers cover three broad topics: (1) the use of a ‘leverage points lens’ for systems framings and understandings; (2) how individual interventions can be understood and critiqued from a leverage points perspective; and (3) the implications of a leverage points approach for research practice and action. Across these topics, we present the papers, and embed them within current critical debate in sustainability science. In doing so, we produce nine guiding questions to shape the research and practice of leverage points for sustainability transformation. These nine questions introduce conceptual clarity to untangle some of the deeper questions around which system we are engaging with, whose system counts, and whose sustainability we are seeking to create. They further shape how we deliver a leverage points research practice. We intend, therefore, that our guiding questions open up exploration across systems and worldviews, and help us to dance with systems.","container-title":"Sustainability Science","DOI":"10.1007/s11625-021-00961-8","ISSN":"1862-4065, 1862-4057","issue":"3","journalAbbreviation":"Sustain Sci","language":"en","page":"721-726","source":"DOI.org (Crossref)","title":"Leverage points for sustainability transformations: nine guiding questions for sustainability science and practice","title-short":"Leverage points for sustainability transformations","URL":"https://link.springer.com/10.1007/s11625-021-00961-8","volume":"16","author":[{"family":"Leventon","given":"Julia"},{"family":"Abson","given":"Dave J."},{"family":"Lang","given":"Daniel J."}],"accessed":{"date-parts":[["2021",6,16]]},"issued":{"date-parts":[["2021",5]]}},"label":"page"},{"id":53886,"uris":["http://zotero.org/groups/2352922/items/P88NYRE5"],"itemData":{"id":53886,"type":"document","note":"type: Generic\npublisher-place: Hartland Four Corners, Vermont","publisher":"The sustainability Institute","title":"Leverage points: places to intervene in a system","URL":"https://donellameadows.org/wp-content/userfiles/Leverage_Points.pdf","author":[{"family":"Meadows","given":"D H"}],"issued":{"date-parts":[["1999"]]}},"label":"page"}],"schema":"https://github.com/citation-style-language/schema/raw/master/csl-citation.json"} </w:instrText>
      </w:r>
      <w:r w:rsidR="004821A4" w:rsidRPr="00A9434B">
        <w:fldChar w:fldCharType="separate"/>
      </w:r>
      <w:r w:rsidR="00C71E80" w:rsidRPr="00A9434B">
        <w:t>(Leventon et al., 2021; Meadows, 1999)</w:t>
      </w:r>
      <w:r w:rsidR="004821A4" w:rsidRPr="00A9434B">
        <w:fldChar w:fldCharType="end"/>
      </w:r>
      <w:r w:rsidR="00433C8B" w:rsidRPr="00A9434B">
        <w:t xml:space="preserve"> </w:t>
      </w:r>
      <w:r w:rsidRPr="00A9434B">
        <w:t>that characteri</w:t>
      </w:r>
      <w:r w:rsidR="00B87CCA" w:rsidRPr="00A9434B">
        <w:t>z</w:t>
      </w:r>
      <w:r w:rsidRPr="00A9434B">
        <w:t xml:space="preserve">e </w:t>
      </w:r>
      <w:r w:rsidR="007D5DC6" w:rsidRPr="006F2BE1">
        <w:rPr>
          <w:color w:val="000000" w:themeColor="text1"/>
        </w:rPr>
        <w:t xml:space="preserve">biological invasion </w:t>
      </w:r>
      <w:r w:rsidRPr="00A9434B">
        <w:t xml:space="preserve">governance. The full suite of governance models, policy instruments and support tools </w:t>
      </w:r>
      <w:r w:rsidR="00C436F4" w:rsidRPr="00A9434B">
        <w:t>and methods identified in this c</w:t>
      </w:r>
      <w:r w:rsidRPr="00A9434B">
        <w:t xml:space="preserve">hapter </w:t>
      </w:r>
      <w:r w:rsidR="00FE19DC" w:rsidRPr="00A9434B">
        <w:t>(</w:t>
      </w:r>
      <w:r w:rsidR="00363D20" w:rsidRPr="006F2BE1">
        <w:rPr>
          <w:b/>
          <w:iCs/>
        </w:rPr>
        <w:fldChar w:fldCharType="begin"/>
      </w:r>
      <w:r w:rsidR="00363D20" w:rsidRPr="006F2BE1">
        <w:rPr>
          <w:b/>
          <w:iCs/>
        </w:rPr>
        <w:instrText xml:space="preserve"> REF _Ref104892309 \h  \* MERGEFORMAT </w:instrText>
      </w:r>
      <w:r w:rsidR="00363D20" w:rsidRPr="006F2BE1">
        <w:rPr>
          <w:b/>
          <w:iCs/>
        </w:rPr>
      </w:r>
      <w:r w:rsidR="00363D20" w:rsidRPr="006F2BE1">
        <w:rPr>
          <w:b/>
          <w:iCs/>
        </w:rPr>
        <w:fldChar w:fldCharType="separate"/>
      </w:r>
      <w:r w:rsidR="0011368C" w:rsidRPr="006F2BE1">
        <w:rPr>
          <w:b/>
          <w:iCs/>
        </w:rPr>
        <w:t>Table 6.1</w:t>
      </w:r>
      <w:r w:rsidR="00363D20" w:rsidRPr="006F2BE1">
        <w:rPr>
          <w:b/>
          <w:iCs/>
        </w:rPr>
        <w:fldChar w:fldCharType="end"/>
      </w:r>
      <w:r w:rsidR="00FE19DC" w:rsidRPr="00A9434B">
        <w:t xml:space="preserve">) </w:t>
      </w:r>
      <w:r w:rsidRPr="00A9434B">
        <w:t xml:space="preserve">are available as </w:t>
      </w:r>
      <w:r w:rsidRPr="00A9434B">
        <w:lastRenderedPageBreak/>
        <w:t>options which</w:t>
      </w:r>
      <w:r w:rsidR="001F1091" w:rsidRPr="00A9434B">
        <w:t>,</w:t>
      </w:r>
      <w:r w:rsidRPr="00A9434B">
        <w:t xml:space="preserve"> in combination</w:t>
      </w:r>
      <w:r w:rsidR="001F1091" w:rsidRPr="00A9434B">
        <w:t>,</w:t>
      </w:r>
      <w:r w:rsidRPr="00A9434B">
        <w:t xml:space="preserve"> can be drawn on to achieve this ambition</w:t>
      </w:r>
      <w:r w:rsidR="00A55441" w:rsidRPr="00A9434B">
        <w:t>. These include</w:t>
      </w:r>
      <w:r w:rsidR="005E6E24" w:rsidRPr="00A9434B">
        <w:t xml:space="preserve"> </w:t>
      </w:r>
      <w:r w:rsidR="00506845" w:rsidRPr="00A9434B">
        <w:t>(</w:t>
      </w:r>
      <w:r w:rsidR="00506845" w:rsidRPr="006F2BE1">
        <w:rPr>
          <w:i/>
          <w:iCs/>
        </w:rPr>
        <w:t>sensu</w:t>
      </w:r>
      <w:r w:rsidR="008F26EC" w:rsidRPr="00A9434B">
        <w:t xml:space="preserve"> </w:t>
      </w:r>
      <w:r w:rsidR="008F26EC" w:rsidRPr="00A9434B">
        <w:fldChar w:fldCharType="begin"/>
      </w:r>
      <w:r w:rsidR="002D2756">
        <w:instrText xml:space="preserve"> ADDIN ZOTERO_ITEM CSL_CITATION {"citationID":"c4I3ClaJ","properties":{"formattedCitation":"(Scoones et al., 2020)","plainCitation":"(Scoones et al., 2020)","dontUpdate":true,"noteIndex":0},"citationItems":[{"id":53352,"uris":["http://zotero.org/groups/2352922/items/HBIASQ7F"],"itemData":{"id":53352,"type":"article-journal","container-title":"Current Opinion in Environmental Sustainability","DOI":"10.1016/j.cosust.2019.12.004","note":"ISBN: 1877-3435\npublisher: Elsevier","page":"65-75","title":"Transformations to sustainability: combining structural, systemic and enabling approaches","volume":"42","author":[{"family":"Scoones","given":"Ian"},{"family":"Stirling","given":"Andrew"},{"family":"Abrol","given":"Dinesh"},{"family":"Atela","given":"Joanes"},{"family":"Charli-Joseph","given":"Lakshmi"},{"family":"Eakin","given":"Hallie"},{"family":"Ely","given":"Adrian"},{"family":"Olsson","given":"Per"},{"family":"Pereira","given":"Laura"},{"family":"Priya","given":"Ritu"},{"family":"Zwanenberg","given":"Patrick","non-dropping-particle":"van"},{"family":"Yang","given":"Lichao"}],"issued":{"date-parts":[["2020"]]}},"label":"page"}],"schema":"https://github.com/citation-style-language/schema/raw/master/csl-citation.json"} </w:instrText>
      </w:r>
      <w:r w:rsidR="008F26EC" w:rsidRPr="00A9434B">
        <w:fldChar w:fldCharType="separate"/>
      </w:r>
      <w:r w:rsidR="00F55BC6" w:rsidRPr="00F55BC6">
        <w:t>Scoones et al., 2020)</w:t>
      </w:r>
      <w:r w:rsidR="008F26EC" w:rsidRPr="00A9434B">
        <w:fldChar w:fldCharType="end"/>
      </w:r>
      <w:r w:rsidR="00BC607C" w:rsidRPr="00A9434B">
        <w:t>:</w:t>
      </w:r>
      <w:r w:rsidR="009339B5" w:rsidRPr="00A9434B">
        <w:t xml:space="preserve"> </w:t>
      </w:r>
    </w:p>
    <w:p w14:paraId="015135D7" w14:textId="58D6E126" w:rsidR="00A42B50" w:rsidRPr="00A9434B" w:rsidRDefault="00B8653B" w:rsidP="006F2BE1">
      <w:pPr>
        <w:pStyle w:val="ListParagraph"/>
        <w:numPr>
          <w:ilvl w:val="0"/>
          <w:numId w:val="58"/>
        </w:numPr>
      </w:pPr>
      <w:r w:rsidRPr="00A9434B">
        <w:t xml:space="preserve">structural </w:t>
      </w:r>
      <w:r w:rsidR="00C62D19" w:rsidRPr="00A9434B">
        <w:t>options</w:t>
      </w:r>
      <w:r w:rsidR="003D34E9" w:rsidRPr="00A9434B">
        <w:t xml:space="preserve"> that involve</w:t>
      </w:r>
      <w:r w:rsidR="005E6E24" w:rsidRPr="00A9434B">
        <w:t xml:space="preserve"> </w:t>
      </w:r>
      <w:r w:rsidR="00C92BFD" w:rsidRPr="00A9434B">
        <w:t xml:space="preserve">fundamental changes </w:t>
      </w:r>
      <w:r w:rsidR="006D2FBB" w:rsidRPr="00A9434B">
        <w:t xml:space="preserve">to the way </w:t>
      </w:r>
      <w:r w:rsidR="00585F86" w:rsidRPr="00A9434B">
        <w:t>policy and management</w:t>
      </w:r>
      <w:r w:rsidR="009339B5" w:rsidRPr="00A9434B">
        <w:t xml:space="preserve"> of biological invasions</w:t>
      </w:r>
      <w:r w:rsidR="00585F86" w:rsidRPr="00A9434B">
        <w:t xml:space="preserve"> i</w:t>
      </w:r>
      <w:r w:rsidR="00761B77" w:rsidRPr="00A9434B">
        <w:t>s organi</w:t>
      </w:r>
      <w:r w:rsidR="00B87CCA" w:rsidRPr="00A9434B">
        <w:t>z</w:t>
      </w:r>
      <w:r w:rsidR="00761B77" w:rsidRPr="00A9434B">
        <w:t>ed,</w:t>
      </w:r>
      <w:r w:rsidR="00585F86" w:rsidRPr="00A9434B">
        <w:t xml:space="preserve"> </w:t>
      </w:r>
      <w:r w:rsidR="00761B77" w:rsidRPr="00A9434B">
        <w:t>legislated, regulated</w:t>
      </w:r>
      <w:r w:rsidR="005E6E24" w:rsidRPr="00A9434B">
        <w:t xml:space="preserve"> </w:t>
      </w:r>
      <w:r w:rsidR="00F806B6" w:rsidRPr="00A9434B">
        <w:t>(</w:t>
      </w:r>
      <w:r w:rsidR="005E6E24" w:rsidRPr="006F2BE1">
        <w:rPr>
          <w:b/>
          <w:iCs/>
        </w:rPr>
        <w:t>section</w:t>
      </w:r>
      <w:r w:rsidR="00901AE1" w:rsidRPr="006F2BE1">
        <w:rPr>
          <w:b/>
          <w:iCs/>
        </w:rPr>
        <w:t>s</w:t>
      </w:r>
      <w:r w:rsidR="005E6E24" w:rsidRPr="006F2BE1">
        <w:rPr>
          <w:b/>
          <w:iCs/>
        </w:rPr>
        <w:t xml:space="preserve"> 6.3</w:t>
      </w:r>
      <w:r w:rsidR="00BA56BB" w:rsidRPr="006F2BE1">
        <w:rPr>
          <w:b/>
        </w:rPr>
        <w:t xml:space="preserve"> </w:t>
      </w:r>
      <w:r w:rsidR="00BA56BB" w:rsidRPr="00EB1D37">
        <w:t>and</w:t>
      </w:r>
      <w:r w:rsidR="005E6E24" w:rsidRPr="006F2BE1">
        <w:rPr>
          <w:iCs/>
        </w:rPr>
        <w:t xml:space="preserve"> </w:t>
      </w:r>
      <w:r w:rsidR="005E6E24" w:rsidRPr="006F2BE1">
        <w:rPr>
          <w:b/>
          <w:iCs/>
        </w:rPr>
        <w:t>6.5</w:t>
      </w:r>
      <w:r w:rsidR="005E6E24" w:rsidRPr="00A9434B">
        <w:t>)</w:t>
      </w:r>
      <w:r w:rsidR="003E05EE" w:rsidRPr="00A9434B">
        <w:t>;</w:t>
      </w:r>
      <w:r w:rsidRPr="00A9434B">
        <w:t xml:space="preserve"> </w:t>
      </w:r>
    </w:p>
    <w:p w14:paraId="2AB1EC09" w14:textId="77777777" w:rsidR="00017C04" w:rsidRDefault="00F50AF9" w:rsidP="007D5DC6">
      <w:pPr>
        <w:pStyle w:val="ListParagraph"/>
        <w:numPr>
          <w:ilvl w:val="0"/>
          <w:numId w:val="58"/>
        </w:numPr>
      </w:pPr>
      <w:r w:rsidRPr="007D5DC6">
        <w:t>systemic options that involve “changes targeted at the interdependencies of specific institutions, technologies and constellations of actors across scales and geography to steer complex systems” of stakeholders and Indigenous Peoples and local communities contributing to, influencing and affected by invasive alien species (</w:t>
      </w:r>
      <w:r w:rsidRPr="007D5DC6">
        <w:rPr>
          <w:b/>
        </w:rPr>
        <w:t xml:space="preserve">sections 6.2 </w:t>
      </w:r>
      <w:r w:rsidRPr="007D5DC6">
        <w:t>and</w:t>
      </w:r>
      <w:r w:rsidRPr="007D5DC6">
        <w:rPr>
          <w:b/>
        </w:rPr>
        <w:t xml:space="preserve"> 6.6</w:t>
      </w:r>
      <w:r w:rsidRPr="007D5DC6">
        <w:t>); and</w:t>
      </w:r>
    </w:p>
    <w:p w14:paraId="06B8EFB6" w14:textId="77777777" w:rsidR="00017C04" w:rsidRDefault="00F50AF9" w:rsidP="007D5DC6">
      <w:pPr>
        <w:pStyle w:val="ListParagraph"/>
        <w:numPr>
          <w:ilvl w:val="0"/>
          <w:numId w:val="58"/>
        </w:numPr>
      </w:pPr>
      <w:r w:rsidRPr="007D5DC6">
        <w:t>enabling options that “foster the human agency, values and capacities necessary to manage uncertainty, act collectively, identify and enact pathways” to futures where the risks and negative impacts of invasive alien species are substantially reduced (</w:t>
      </w:r>
      <w:r w:rsidRPr="007D5DC6">
        <w:rPr>
          <w:b/>
        </w:rPr>
        <w:t xml:space="preserve">sections 6.2 </w:t>
      </w:r>
      <w:r w:rsidRPr="007D5DC6">
        <w:t>and</w:t>
      </w:r>
      <w:r w:rsidRPr="007D5DC6">
        <w:rPr>
          <w:b/>
        </w:rPr>
        <w:t xml:space="preserve"> 6.4</w:t>
      </w:r>
      <w:r w:rsidRPr="007D5DC6">
        <w:t xml:space="preserve">). </w:t>
      </w:r>
    </w:p>
    <w:p w14:paraId="7FD0D5CE" w14:textId="29EFBB29" w:rsidR="00017C04" w:rsidRDefault="00F50AF9" w:rsidP="56C59A3A">
      <w:r>
        <w:t xml:space="preserve">As defined in </w:t>
      </w:r>
      <w:r w:rsidR="008F26EC" w:rsidRPr="00673554">
        <w:rPr>
          <w:b/>
          <w:iCs/>
        </w:rPr>
        <w:fldChar w:fldCharType="begin"/>
      </w:r>
      <w:r w:rsidR="008F26EC" w:rsidRPr="00673554">
        <w:rPr>
          <w:b/>
          <w:iCs/>
        </w:rPr>
        <w:instrText xml:space="preserve"> REF _Ref104898465 \h  \* MERGEFORMAT </w:instrText>
      </w:r>
      <w:r w:rsidR="008F26EC" w:rsidRPr="00673554">
        <w:rPr>
          <w:b/>
          <w:iCs/>
        </w:rPr>
      </w:r>
      <w:r w:rsidR="008F26EC" w:rsidRPr="00673554">
        <w:rPr>
          <w:b/>
          <w:iCs/>
        </w:rPr>
        <w:fldChar w:fldCharType="separate"/>
      </w:r>
      <w:r w:rsidR="0011368C" w:rsidRPr="00673554">
        <w:rPr>
          <w:b/>
          <w:iCs/>
        </w:rPr>
        <w:t>Box 6.5</w:t>
      </w:r>
      <w:r w:rsidR="008F26EC" w:rsidRPr="00673554">
        <w:rPr>
          <w:b/>
          <w:iCs/>
        </w:rPr>
        <w:fldChar w:fldCharType="end"/>
      </w:r>
      <w:r w:rsidR="008F26EC" w:rsidRPr="00EB1D37">
        <w:t>,</w:t>
      </w:r>
      <w:r>
        <w:t xml:space="preserve"> integrated governance for biological invasions means establishing relationships between the roles of actors, institutions</w:t>
      </w:r>
      <w:r w:rsidR="00EB415D">
        <w:t xml:space="preserve"> and</w:t>
      </w:r>
      <w:r>
        <w:t xml:space="preserve"> instruments and involving, as appropriate</w:t>
      </w:r>
      <w:r w:rsidR="00D41F66">
        <w:t xml:space="preserve"> (in other words the specific features will depend on the </w:t>
      </w:r>
      <w:r w:rsidR="00C72AF4">
        <w:t>national and local contexts)</w:t>
      </w:r>
      <w:r>
        <w:t>, all those elements of the socioecological system that characterize biological invasion and its management, for the purpose of identifying the strategic interventions needed to improve prevention and control outcomes (</w:t>
      </w:r>
      <w:r w:rsidR="006245B7" w:rsidRPr="00673554">
        <w:rPr>
          <w:b/>
          <w:iCs/>
        </w:rPr>
        <w:t>Figure</w:t>
      </w:r>
      <w:r w:rsidRPr="56C59A3A">
        <w:rPr>
          <w:b/>
          <w:bCs/>
        </w:rPr>
        <w:t xml:space="preserve"> 6.21</w:t>
      </w:r>
      <w:r>
        <w:t>). While at face value this appears to be a monumental task, many of the processes and elements for preventing and controlling</w:t>
      </w:r>
      <w:r w:rsidR="3AE5B1B0">
        <w:t xml:space="preserve"> invasive alien species</w:t>
      </w:r>
      <w:r>
        <w:t xml:space="preserve"> are already established and in play. Enhancing, strengthening</w:t>
      </w:r>
      <w:r w:rsidR="00EB415D">
        <w:t xml:space="preserve"> and</w:t>
      </w:r>
      <w:r>
        <w:t xml:space="preserve"> improving implementation and better integrating the actions and system properties that make up integrated governance for biological invasions could bring about a step change in progress.</w:t>
      </w:r>
    </w:p>
    <w:p w14:paraId="09A744FD" w14:textId="3F2E05B5" w:rsidR="00017C04" w:rsidRDefault="2F958343" w:rsidP="0B8DB0CC">
      <w:pPr>
        <w:rPr>
          <w:b/>
          <w:bCs/>
        </w:rPr>
      </w:pPr>
      <w:r>
        <w:t xml:space="preserve">Integrated governance for biological invasions </w:t>
      </w:r>
      <w:r w:rsidR="006F2BE1">
        <w:t xml:space="preserve">is </w:t>
      </w:r>
      <w:r>
        <w:t>also establishing relationships between the roles of actors, institutions</w:t>
      </w:r>
      <w:r w:rsidR="00EB415D">
        <w:t xml:space="preserve"> and</w:t>
      </w:r>
      <w:r>
        <w:t xml:space="preserve"> instruments to ensure a shared, connected, coherent</w:t>
      </w:r>
      <w:r w:rsidR="00EB415D">
        <w:t xml:space="preserve"> and</w:t>
      </w:r>
      <w:r>
        <w:t xml:space="preserve"> differentiated effort to manage </w:t>
      </w:r>
      <w:r w:rsidR="007D5DC6">
        <w:t xml:space="preserve">biological invasions </w:t>
      </w:r>
      <w:r w:rsidR="009C75C5" w:rsidRPr="00A9434B">
        <w:t>(</w:t>
      </w:r>
      <w:r w:rsidR="009C75C5" w:rsidRPr="00673554">
        <w:rPr>
          <w:b/>
          <w:iCs/>
        </w:rPr>
        <w:t>Figure 6.23</w:t>
      </w:r>
      <w:r w:rsidR="009C75C5" w:rsidRPr="00A9434B">
        <w:t xml:space="preserve">). It also involves the engagement of all the appropriate elements of the </w:t>
      </w:r>
      <w:r w:rsidR="0024113D" w:rsidRPr="00A9434B">
        <w:t>socioecological</w:t>
      </w:r>
      <w:r w:rsidR="009C75C5" w:rsidRPr="00A9434B">
        <w:t xml:space="preserve"> system that characterize biological invasion and </w:t>
      </w:r>
      <w:r w:rsidR="006F2BE1">
        <w:t>their</w:t>
      </w:r>
      <w:r w:rsidR="009C75C5" w:rsidRPr="00A9434B">
        <w:t xml:space="preserve"> management to define the best strategies in those areas when invasive alien species impose socio-economic impacts </w:t>
      </w:r>
      <w:r w:rsidR="008F26EC" w:rsidRPr="00A9434B">
        <w:fldChar w:fldCharType="begin"/>
      </w:r>
      <w:r w:rsidR="002D2756">
        <w:instrText xml:space="preserve"> ADDIN ZOTERO_ITEM CSL_CITATION {"citationID":"ak72r43d3n","properties":{"formattedCitation":"(Bacher et al., 2018)","plainCitation":"(Bacher et al., 2018)","noteIndex":0},"citationItems":[{"id":28786,"uris":["http://zotero.org/groups/2352922/items/FH3FMGIH"],"itemData":{"id":28786,"type":"article-journal","abstract":"Many alien taxa are known to cause socio-economic impacts by affecting the different constituents of human well-being (security; material and non-material assets; health; social, spiritual and cultural relations; freedom of choice and action). Attempts to quantify socio-economic impacts in monetary terms are unlikely to provide a useful basis for evaluating and comparing impacts of alien taxa because they are notoriously difficult to measure and important aspects of human well-being are ignored. Here, we propose a novel standardised method for classifying alien taxa in terms of the magnitude of their impacts on human well-being, based on the capability approach from welfare economics. The core characteristic of this approach is that it uses changes in peoples' activities as a common metric for evaluating impacts on well-being. Impacts are assigned to one of five levels, from Minimal Concern to Massive, according to semi-quantitative scenarios that describe the severity of the impacts. Taxa are then classified according to the highest level of deleterious impact that they have been recorded to cause on any constituent of human well-being. The scheme also includes categories for taxa that are not evaluated, have no alien population, or are data deficient, and a method for assigning uncertainty to all the classifications. To demonstrate the utility of the system, we classified impacts of amphibians globally. These showed a variety of impacts on human well-being, with the cane toad (Rhinella marina) scoring Major impacts. For most species, however, no studies reporting impacts on human well-being were found, i.e. these species were data deficient. The classification provides a consistent procedure for translating the broad range of measures and types of impact into ranked levels of socio-economic impact, assigns alien taxa on the basis of the best available evidence of their documented deleterious impacts, and is applicable across taxa and at a range of spatial scales. The system was designed to align closely with the Environmental Impact Classification for Alien Taxa (EICAT) and the Red List, both of which have been adopted by the International Union of Nature Conservation (IUCN), and could therefore be readily integrated into international practices and policies. © 2017 The Authors. Methods in Ecology and Evolution © 2017 British Ecological Society","container-title":"Methods in Ecology and Evolution","DOI":"10.1111/2041-210X.12844","ISSN":"2041210X","issue":"1","journalAbbreviation":"Methods Ecol Evol","language":"en","page":"159-168","source":"DOI.org (Crossref)","title":"Socio-economic impact classification of alien taxa (SEICAT)","URL":"http://doi.wiley.com/10.1111/2041-210X.12844","volume":"9","author":[{"family":"Bacher","given":"Sven"},{"family":"Blackburn","given":"Tim M."},{"family":"Essl","given":"Franz"},{"family":"Genovesi","given":"Piero"},{"family":"Heikkilä","given":"Jaakko"},{"family":"Jeschke","given":"Jonathan M."},{"family":"Jones","given":"Glyn"},{"family":"Keller","given":"Reuben"},{"family":"Kenis","given":"Marc"},{"family":"Kueffer","given":"Christoph"},{"family":"Martinou","given":"Angeliki F."},{"family":"Nentwig","given":"Wolfgang"},{"family":"Pergl","given":"Jan"},{"family":"Pyšek","given":"Petr"},{"family":"Rabitsch","given":"Wolfgang"},{"family":"Richardson","given":"David M."},{"family":"Roy","given":"Helen E."},{"family":"Saul","given":"Wolf-Christian"},{"family":"Scalera","given":"Riccardo"},{"family":"Vilà","given":"Montserrat"},{"family":"Wilson","given":"John R. U."},{"family":"Kumschick","given":"Sabrina"}],"editor":[{"family":"Ramula","given":"Satu"}],"accessed":{"date-parts":[["2019",8,22]]},"issued":{"date-parts":[["2018"]]}},"label":"page"}],"schema":"https://github.com/citation-style-language/schema/raw/master/csl-citation.json"} </w:instrText>
      </w:r>
      <w:r w:rsidR="008F26EC" w:rsidRPr="00A9434B">
        <w:fldChar w:fldCharType="separate"/>
      </w:r>
      <w:r w:rsidR="00C71E80" w:rsidRPr="00A9434B">
        <w:t>(Bacher et al., 2018)</w:t>
      </w:r>
      <w:r w:rsidR="008F26EC" w:rsidRPr="00A9434B">
        <w:fldChar w:fldCharType="end"/>
      </w:r>
      <w:r w:rsidR="009C75C5" w:rsidRPr="00A9434B">
        <w:t xml:space="preserve">. Last, it acknowledges that good governance, while essential to achieving sustainable outcomes for the prevention and control of invasive alien species, is somewhat of an experiment </w:t>
      </w:r>
      <w:r w:rsidR="008F26EC" w:rsidRPr="00A9434B">
        <w:fldChar w:fldCharType="begin"/>
      </w:r>
      <w:r w:rsidR="002D2756">
        <w:instrText xml:space="preserve"> ADDIN ZOTERO_ITEM CSL_CITATION {"citationID":"aduirous86","properties":{"formattedCitation":"(Clark &amp; Harley, 2020)","plainCitation":"(Clark &amp; Harley, 2020)","noteIndex":0},"citationItems":[{"id":10826,"uris":["http://zotero.org/groups/2352922/items/7TPK5I9V"],"itemData":{"id":10826,"type":"article-journal","abstract":"This review synthesizes diverse approaches that researchers have brought to bear on the challenge of sustainable development. We construct an integrated framework highlighting the union set of elements and relationships that those approaches have shown to be useful in explaining nature–society interactions in multiple contexts. Compelling evidence has accumulated that those interactions should be viewed as a globally interconnected, complex adaptive system in which heterogeneity, nonlinearity, and innovation play formative roles. The long-term evolution of that system cannot be predicted but can be understood and partially guided through dynamic interventions. Research has identified six capacities necessary to support such interventions in guiding development pathways toward sustainability. These are capacities to ( a) measure sustainable development, ( b) promote equity, ( c) adapt to shocks and surprises, ( d) transform the system into more sustainable development pathways, ( e) link knowledge with action, and ( f) devise governance arrangements that allow people to work together in exercising the other capacities.","container-title":"Annual Review of Environment and Resources","DOI":"10.1146/annurev-environ-012420-043621","ISSN":"1543-5938, 1545-2050","issue":"1","journalAbbreviation":"Annu. Rev. Environ. Resour.","language":"en","page":"331-386","source":"DOI.org (Crossref)","title":"Sustainability Science: Toward a Synthesis","title-short":"Sustainability Science","URL":"https://www.annualreviews.org/doi/10.1146/annurev-environ-012420-043621","volume":"45","author":[{"family":"Clark","given":"William C."},{"family":"Harley","given":"Alicia G."}],"accessed":{"date-parts":[["2021",6,16]]},"issued":{"date-parts":[["2020",10,17]]}},"label":"page"}],"schema":"https://github.com/citation-style-language/schema/raw/master/csl-citation.json"} </w:instrText>
      </w:r>
      <w:r w:rsidR="008F26EC" w:rsidRPr="00A9434B">
        <w:fldChar w:fldCharType="separate"/>
      </w:r>
      <w:r w:rsidR="00C71E80" w:rsidRPr="00A9434B">
        <w:t>(Clark &amp; Harley, 2020)</w:t>
      </w:r>
      <w:r w:rsidR="008F26EC" w:rsidRPr="00A9434B">
        <w:fldChar w:fldCharType="end"/>
      </w:r>
      <w:r w:rsidR="009C75C5" w:rsidRPr="00A9434B">
        <w:t xml:space="preserve"> and would therefore need </w:t>
      </w:r>
      <w:r w:rsidR="00653EA4" w:rsidRPr="00A9434B">
        <w:t>to be adaptive</w:t>
      </w:r>
      <w:r w:rsidR="009C75C5" w:rsidRPr="00A9434B">
        <w:t xml:space="preserve"> as well as coordin</w:t>
      </w:r>
      <w:r w:rsidR="00653EA4" w:rsidRPr="00A9434B">
        <w:t>ated to</w:t>
      </w:r>
      <w:r w:rsidR="009C75C5" w:rsidRPr="00A9434B">
        <w:t xml:space="preserve"> facilitate learning </w:t>
      </w:r>
      <w:r w:rsidR="008F26EC" w:rsidRPr="00A9434B">
        <w:fldChar w:fldCharType="begin"/>
      </w:r>
      <w:r w:rsidR="002D2756">
        <w:instrText xml:space="preserve"> ADDIN ZOTERO_ITEM CSL_CITATION {"citationID":"a2d17dn23va","properties":{"formattedCitation":"(Brauman et al., 2020)","plainCitation":"(Brauman et al., 2020)","noteIndex":0},"citationItems":[{"id":31925,"uris":["http://zotero.org/groups/2352922/items/J3RKWW7H"],"itemData":{"id":31925,"type":"chapter","abstract":"This document contains Chapter 2 NCP of the IPBES Global Assessment on Biodiversity and Ecosystem Services.","language":"en","license":"Creative Commons Attribution 4.0 International, Open Access","note":"DOI: 10.5281/ZENODO.3832035","publisher":"Zenodo","source":"DOI.org (Datacite)","title":"IPBES Global Assessment Report on Biodiversity and Ecosystem Services Chapter 2.3. Status and Trends -Nature's Contributions to People (NCP)","URL":"https://zenodo.org/record/3832035","author":[{"family":"Brauman","given":"Kate A."},{"family":"Garibaldi","given":"Lucas Alejandro"},{"family":"Polasky","given":"Stephen"},{"family":"Zayas","given":"Cynthia N."},{"family":"Aumeeruddy Thomas","given":"Yildiz"},{"family":"Brancalion","given":"Pedro"},{"family":"Declerck","given":"Fabrice"},{"family":"Mastrangelo","given":"Matías"},{"family":"Nkongolo","given":"Nsalambi"},{"family":"Palang","given":"Hannes"},{"family":"Shannon","given":"Lynne"},{"family":"Verma","given":"Madhu"},{"family":"Shrestha","given":"Uttam Babu"}],"accessed":{"date-parts":[["2021",7,6]]},"issued":{"date-parts":[["2020",5,18]]}}}],"schema":"https://github.com/citation-style-language/schema/raw/master/csl-citation.json"} </w:instrText>
      </w:r>
      <w:r w:rsidR="008F26EC" w:rsidRPr="00A9434B">
        <w:fldChar w:fldCharType="separate"/>
      </w:r>
      <w:r w:rsidR="00C71E80" w:rsidRPr="00A9434B">
        <w:t>(Brauman et al., 2020)</w:t>
      </w:r>
      <w:r w:rsidR="008F26EC" w:rsidRPr="00A9434B">
        <w:fldChar w:fldCharType="end"/>
      </w:r>
      <w:r w:rsidR="009C75C5" w:rsidRPr="00A9434B">
        <w:t>.</w:t>
      </w:r>
      <w:r w:rsidR="00DB299B" w:rsidRPr="00A9434B">
        <w:rPr>
          <w:rFonts w:eastAsia="Calibri Light"/>
          <w:b/>
          <w:bCs/>
        </w:rPr>
        <w:t xml:space="preserve"> </w:t>
      </w:r>
      <w:r w:rsidR="00DB299B" w:rsidRPr="00673554">
        <w:rPr>
          <w:rFonts w:eastAsia="Calibri Light"/>
          <w:b/>
          <w:iCs/>
        </w:rPr>
        <w:t>Figure 6.21</w:t>
      </w:r>
      <w:r w:rsidR="005E6E24" w:rsidRPr="00A9434B">
        <w:rPr>
          <w:rFonts w:eastAsia="Calibri Light"/>
          <w:b/>
          <w:bCs/>
        </w:rPr>
        <w:t xml:space="preserve"> </w:t>
      </w:r>
      <w:r w:rsidR="005E6E24" w:rsidRPr="00A9434B">
        <w:rPr>
          <w:rFonts w:eastAsia="Calibri Light"/>
        </w:rPr>
        <w:t>illustrates</w:t>
      </w:r>
      <w:r w:rsidR="00445F97" w:rsidRPr="00A9434B">
        <w:t xml:space="preserve"> </w:t>
      </w:r>
      <w:r w:rsidR="005E6E24" w:rsidRPr="00A9434B">
        <w:t xml:space="preserve">“integrated governance for </w:t>
      </w:r>
      <w:r w:rsidR="007D5DC6">
        <w:t>biological invasions</w:t>
      </w:r>
      <w:r w:rsidR="005E6E24" w:rsidRPr="00A9434B">
        <w:t xml:space="preserve">” </w:t>
      </w:r>
      <w:r w:rsidR="009D1F47" w:rsidRPr="00A9434B">
        <w:t>as</w:t>
      </w:r>
      <w:r w:rsidR="005E6E24" w:rsidRPr="00A9434B">
        <w:t xml:space="preserve"> the framework by which </w:t>
      </w:r>
      <w:r w:rsidR="00175295" w:rsidRPr="00A9434B">
        <w:t>transformative</w:t>
      </w:r>
      <w:r w:rsidR="00544030" w:rsidRPr="00A9434B">
        <w:t xml:space="preserve"> </w:t>
      </w:r>
      <w:r w:rsidR="00156AA5" w:rsidRPr="00A9434B">
        <w:t>g</w:t>
      </w:r>
      <w:r w:rsidR="005F7EE5" w:rsidRPr="00A9434B">
        <w:t>overnance</w:t>
      </w:r>
      <w:r w:rsidR="008322B6" w:rsidRPr="00A9434B">
        <w:t xml:space="preserve"> </w:t>
      </w:r>
      <w:r w:rsidR="00F806B6" w:rsidRPr="00A9434B">
        <w:t>(</w:t>
      </w:r>
      <w:r w:rsidR="00EB1D37">
        <w:rPr>
          <w:b/>
          <w:iCs/>
        </w:rPr>
        <w:t>G</w:t>
      </w:r>
      <w:r w:rsidR="008322B6" w:rsidRPr="00673554">
        <w:rPr>
          <w:b/>
          <w:iCs/>
        </w:rPr>
        <w:t>lossary</w:t>
      </w:r>
      <w:r>
        <w:t xml:space="preserve">) for invasive alien species could be achieved, encompassing seven strategic actions and four governance system properties. </w:t>
      </w:r>
    </w:p>
    <w:p w14:paraId="4C0D6361" w14:textId="2B209CED" w:rsidR="00017C04" w:rsidRDefault="007B5DBB" w:rsidP="00CB2957">
      <w:pPr>
        <w:keepNext/>
        <w:pBdr>
          <w:top w:val="nil"/>
          <w:left w:val="nil"/>
          <w:bottom w:val="nil"/>
          <w:right w:val="nil"/>
          <w:between w:val="nil"/>
        </w:pBdr>
        <w:rPr>
          <w:b/>
          <w:color w:val="000000"/>
        </w:rPr>
      </w:pPr>
      <w:bookmarkStart w:id="641" w:name="_heading=h.49gfa85" w:colFirst="0" w:colLast="0"/>
      <w:bookmarkStart w:id="642" w:name="_Ref104897767"/>
      <w:bookmarkEnd w:id="641"/>
      <w:r w:rsidRPr="007B5DBB">
        <w:rPr>
          <w:b/>
          <w:noProof/>
          <w:color w:val="000000"/>
        </w:rPr>
        <w:lastRenderedPageBreak/>
        <w:drawing>
          <wp:inline distT="0" distB="0" distL="0" distR="0" wp14:anchorId="1D30FBC7" wp14:editId="019DFAE6">
            <wp:extent cx="6111240" cy="831088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11240" cy="8310880"/>
                    </a:xfrm>
                    <a:prstGeom prst="rect">
                      <a:avLst/>
                    </a:prstGeom>
                  </pic:spPr>
                </pic:pic>
              </a:graphicData>
            </a:graphic>
          </wp:inline>
        </w:drawing>
      </w:r>
    </w:p>
    <w:p w14:paraId="59B5784B" w14:textId="27005E5D" w:rsidR="00936986" w:rsidRPr="00936986" w:rsidRDefault="2F958343" w:rsidP="0B8DB0CC">
      <w:pPr>
        <w:keepNext/>
        <w:pBdr>
          <w:top w:val="nil"/>
          <w:left w:val="nil"/>
          <w:bottom w:val="nil"/>
          <w:right w:val="nil"/>
          <w:between w:val="nil"/>
        </w:pBdr>
        <w:rPr>
          <w:color w:val="000000"/>
        </w:rPr>
      </w:pPr>
      <w:bookmarkStart w:id="643" w:name="_heading=h.2olpkfy"/>
      <w:bookmarkStart w:id="644" w:name="_Toc147418316"/>
      <w:bookmarkEnd w:id="643"/>
      <w:r w:rsidRPr="007D5DC6">
        <w:rPr>
          <w:b/>
          <w:color w:val="000000" w:themeColor="text1"/>
        </w:rPr>
        <w:t>Figure 6</w:t>
      </w:r>
      <w:r w:rsidR="003162B9" w:rsidRPr="007D5DC6">
        <w:rPr>
          <w:b/>
        </w:rPr>
        <w:t>.</w:t>
      </w:r>
      <w:r w:rsidR="009D1F47" w:rsidRPr="007D5DC6">
        <w:rPr>
          <w:b/>
        </w:rPr>
        <w:fldChar w:fldCharType="begin"/>
      </w:r>
      <w:r w:rsidR="009D1F47" w:rsidRPr="007D5DC6">
        <w:rPr>
          <w:b/>
        </w:rPr>
        <w:instrText xml:space="preserve"> SEQ Figure_6. \* ARABIC </w:instrText>
      </w:r>
      <w:r w:rsidR="009D1F47" w:rsidRPr="007D5DC6">
        <w:rPr>
          <w:b/>
        </w:rPr>
        <w:fldChar w:fldCharType="separate"/>
      </w:r>
      <w:r w:rsidR="0011368C" w:rsidRPr="007D5DC6">
        <w:rPr>
          <w:b/>
          <w:noProof/>
        </w:rPr>
        <w:t>21</w:t>
      </w:r>
      <w:r w:rsidR="009D1F47" w:rsidRPr="007D5DC6">
        <w:rPr>
          <w:b/>
        </w:rPr>
        <w:fldChar w:fldCharType="end"/>
      </w:r>
      <w:bookmarkEnd w:id="642"/>
      <w:r w:rsidR="00DB299B" w:rsidRPr="00A9434B">
        <w:t>.</w:t>
      </w:r>
      <w:r w:rsidRPr="007D5DC6">
        <w:t xml:space="preserve"> </w:t>
      </w:r>
      <w:r w:rsidRPr="00C12647">
        <w:rPr>
          <w:color w:val="000000" w:themeColor="text1"/>
        </w:rPr>
        <w:t xml:space="preserve">Integrated governance </w:t>
      </w:r>
      <w:r w:rsidR="007D5DC6" w:rsidRPr="0B8DB0CC">
        <w:rPr>
          <w:color w:val="000000" w:themeColor="text1"/>
        </w:rPr>
        <w:t>for</w:t>
      </w:r>
      <w:r w:rsidR="007D5DC6" w:rsidRPr="007D5DC6">
        <w:rPr>
          <w:color w:val="000000" w:themeColor="text1"/>
        </w:rPr>
        <w:t xml:space="preserve"> </w:t>
      </w:r>
      <w:r w:rsidRPr="00C12647">
        <w:rPr>
          <w:color w:val="000000" w:themeColor="text1"/>
        </w:rPr>
        <w:t>biological invasions</w:t>
      </w:r>
      <w:r w:rsidR="06AEDF8F" w:rsidRPr="0B8DB0CC">
        <w:rPr>
          <w:color w:val="000000" w:themeColor="text1"/>
        </w:rPr>
        <w:t xml:space="preserve">. </w:t>
      </w:r>
      <w:r w:rsidR="00D2D86C" w:rsidRPr="0B8DB0CC">
        <w:rPr>
          <w:color w:val="000000" w:themeColor="text1"/>
        </w:rPr>
        <w:t xml:space="preserve">A context-specific </w:t>
      </w:r>
      <w:r w:rsidR="006F2BE1">
        <w:rPr>
          <w:color w:val="000000" w:themeColor="text1"/>
        </w:rPr>
        <w:t>i</w:t>
      </w:r>
      <w:r w:rsidR="00D2D86C" w:rsidRPr="0B8DB0CC">
        <w:rPr>
          <w:color w:val="000000" w:themeColor="text1"/>
        </w:rPr>
        <w:t xml:space="preserve">ntegrated governance approach of biological invasions is enabled by </w:t>
      </w:r>
      <w:r w:rsidR="00D2D86C" w:rsidRPr="00C12647">
        <w:rPr>
          <w:color w:val="000000" w:themeColor="text1"/>
        </w:rPr>
        <w:t xml:space="preserve">a </w:t>
      </w:r>
      <w:r w:rsidR="00D2D86C" w:rsidRPr="0B8DB0CC">
        <w:rPr>
          <w:color w:val="000000" w:themeColor="text1"/>
        </w:rPr>
        <w:t xml:space="preserve">governance system with properties that </w:t>
      </w:r>
      <w:r w:rsidR="00D2D86C" w:rsidRPr="0B8DB0CC">
        <w:rPr>
          <w:color w:val="000000" w:themeColor="text1"/>
        </w:rPr>
        <w:lastRenderedPageBreak/>
        <w:t>support integration</w:t>
      </w:r>
      <w:r w:rsidR="00EB415D">
        <w:rPr>
          <w:color w:val="000000" w:themeColor="text1"/>
        </w:rPr>
        <w:t xml:space="preserve"> and</w:t>
      </w:r>
      <w:r w:rsidR="00D2D86C" w:rsidRPr="0B8DB0CC">
        <w:rPr>
          <w:color w:val="000000" w:themeColor="text1"/>
        </w:rPr>
        <w:t xml:space="preserve"> a set of strategic actions that together are designed</w:t>
      </w:r>
      <w:r w:rsidR="00D2D86C" w:rsidRPr="00C12647">
        <w:rPr>
          <w:color w:val="000000" w:themeColor="text1"/>
        </w:rPr>
        <w:t xml:space="preserve"> to bring about the </w:t>
      </w:r>
      <w:r w:rsidR="00D2D86C" w:rsidRPr="0B8DB0CC">
        <w:rPr>
          <w:color w:val="000000" w:themeColor="text1"/>
        </w:rPr>
        <w:t xml:space="preserve">progress </w:t>
      </w:r>
      <w:r w:rsidR="00D2D86C" w:rsidRPr="00C12647">
        <w:rPr>
          <w:color w:val="000000" w:themeColor="text1"/>
        </w:rPr>
        <w:t xml:space="preserve">needed to meet national and international goals </w:t>
      </w:r>
      <w:r w:rsidR="06AEDF8F" w:rsidRPr="00C12647">
        <w:rPr>
          <w:color w:val="000000" w:themeColor="text1"/>
        </w:rPr>
        <w:t xml:space="preserve">and targets for biological invasions. Integrated governance is rooted </w:t>
      </w:r>
      <w:r w:rsidR="06AEDF8F" w:rsidRPr="0B8DB0CC">
        <w:rPr>
          <w:color w:val="000000" w:themeColor="text1"/>
        </w:rPr>
        <w:t xml:space="preserve">(below) </w:t>
      </w:r>
      <w:r w:rsidR="06AEDF8F" w:rsidRPr="00C12647">
        <w:rPr>
          <w:color w:val="000000" w:themeColor="text1"/>
        </w:rPr>
        <w:t xml:space="preserve">in four essential properties of governance systems that support </w:t>
      </w:r>
      <w:r w:rsidR="06AEDF8F" w:rsidRPr="0B8DB0CC">
        <w:rPr>
          <w:color w:val="000000" w:themeColor="text1"/>
        </w:rPr>
        <w:t>the strategic actions (above) to be achieved. Together, the properties and actions will bring about the step change needed for effective and sustainable management of biological invasions. Integrated governance for biological invasions reinforces</w:t>
      </w:r>
      <w:r w:rsidR="06AEDF8F" w:rsidRPr="00C12647">
        <w:rPr>
          <w:color w:val="000000" w:themeColor="text1"/>
        </w:rPr>
        <w:t xml:space="preserve"> the enabling conditions </w:t>
      </w:r>
      <w:r w:rsidR="06AEDF8F" w:rsidRPr="0B8DB0CC">
        <w:rPr>
          <w:color w:val="000000" w:themeColor="text1"/>
        </w:rPr>
        <w:t>identified as necessary to fulfil the 2030 mission of the Kunming-Montreal Global Biodiversity Framework. An</w:t>
      </w:r>
      <w:r w:rsidR="06AEDF8F" w:rsidRPr="00C12647">
        <w:rPr>
          <w:color w:val="000000" w:themeColor="text1"/>
        </w:rPr>
        <w:t xml:space="preserve"> integrated governance </w:t>
      </w:r>
      <w:r w:rsidR="06AEDF8F" w:rsidRPr="0B8DB0CC">
        <w:rPr>
          <w:color w:val="000000" w:themeColor="text1"/>
        </w:rPr>
        <w:t xml:space="preserve">approach activates specific strategic actions that promote transformative change to meet the goals of preventing and controlling </w:t>
      </w:r>
      <w:r w:rsidR="06AEDF8F" w:rsidRPr="00C12647">
        <w:rPr>
          <w:color w:val="000000" w:themeColor="text1"/>
        </w:rPr>
        <w:t>biological invasions</w:t>
      </w:r>
      <w:r w:rsidR="06AEDF8F" w:rsidRPr="0B8DB0CC">
        <w:rPr>
          <w:color w:val="000000" w:themeColor="text1"/>
        </w:rPr>
        <w:t>.</w:t>
      </w:r>
      <w:bookmarkEnd w:id="644"/>
    </w:p>
    <w:p w14:paraId="21D4AD24" w14:textId="68D267E8" w:rsidR="00936986" w:rsidRPr="00936986" w:rsidRDefault="00936986" w:rsidP="00936986">
      <w:pPr>
        <w:keepNext/>
        <w:pBdr>
          <w:top w:val="nil"/>
          <w:left w:val="nil"/>
          <w:bottom w:val="nil"/>
          <w:right w:val="nil"/>
          <w:between w:val="nil"/>
        </w:pBdr>
        <w:rPr>
          <w:color w:val="000000"/>
        </w:rPr>
      </w:pPr>
      <w:r w:rsidRPr="00936986">
        <w:rPr>
          <w:color w:val="000000"/>
        </w:rPr>
        <w:t>The</w:t>
      </w:r>
      <w:r w:rsidRPr="00C12647">
        <w:rPr>
          <w:color w:val="000000"/>
        </w:rPr>
        <w:t xml:space="preserve"> strategic actions </w:t>
      </w:r>
      <w:r w:rsidRPr="00936986">
        <w:rPr>
          <w:color w:val="000000"/>
        </w:rPr>
        <w:t>(branches) are:</w:t>
      </w:r>
    </w:p>
    <w:p w14:paraId="7702F406" w14:textId="77777777" w:rsidR="00936986" w:rsidRPr="00936986" w:rsidRDefault="00936986" w:rsidP="000E1D15">
      <w:pPr>
        <w:keepNext/>
        <w:pBdr>
          <w:top w:val="nil"/>
          <w:left w:val="nil"/>
          <w:bottom w:val="nil"/>
          <w:right w:val="nil"/>
          <w:between w:val="nil"/>
        </w:pBdr>
        <w:spacing w:before="0" w:after="0"/>
        <w:contextualSpacing/>
        <w:rPr>
          <w:color w:val="000000"/>
        </w:rPr>
      </w:pPr>
      <w:r w:rsidRPr="00936986">
        <w:rPr>
          <w:color w:val="000000"/>
        </w:rPr>
        <w:t>1. Enhance coordination and collaboration across international and regional mechanisms.</w:t>
      </w:r>
    </w:p>
    <w:p w14:paraId="475881FD" w14:textId="77777777" w:rsidR="00936986" w:rsidRPr="00936986" w:rsidRDefault="00936986" w:rsidP="000E1D15">
      <w:pPr>
        <w:keepNext/>
        <w:pBdr>
          <w:top w:val="nil"/>
          <w:left w:val="nil"/>
          <w:bottom w:val="nil"/>
          <w:right w:val="nil"/>
          <w:between w:val="nil"/>
        </w:pBdr>
        <w:spacing w:before="0" w:after="0"/>
        <w:contextualSpacing/>
        <w:rPr>
          <w:color w:val="000000"/>
        </w:rPr>
      </w:pPr>
      <w:r w:rsidRPr="00936986">
        <w:rPr>
          <w:color w:val="000000"/>
        </w:rPr>
        <w:t>2. Develop and adopt effective and achievable national implementation strategies.</w:t>
      </w:r>
    </w:p>
    <w:p w14:paraId="297FB1D6" w14:textId="6746D2CF" w:rsidR="00936986" w:rsidRPr="00936986" w:rsidRDefault="00936986" w:rsidP="000E1D15">
      <w:pPr>
        <w:keepNext/>
        <w:pBdr>
          <w:top w:val="nil"/>
          <w:left w:val="nil"/>
          <w:bottom w:val="nil"/>
          <w:right w:val="nil"/>
          <w:between w:val="nil"/>
        </w:pBdr>
        <w:spacing w:before="0" w:after="0"/>
        <w:contextualSpacing/>
        <w:rPr>
          <w:color w:val="000000"/>
        </w:rPr>
      </w:pPr>
      <w:r w:rsidRPr="00936986">
        <w:rPr>
          <w:color w:val="000000"/>
        </w:rPr>
        <w:t>3. Share efforts and commitments, and understanding of the specific roles of all actors.</w:t>
      </w:r>
    </w:p>
    <w:p w14:paraId="22D619F0" w14:textId="77777777" w:rsidR="00936986" w:rsidRPr="00936986" w:rsidRDefault="00936986" w:rsidP="000E1D15">
      <w:pPr>
        <w:keepNext/>
        <w:pBdr>
          <w:top w:val="nil"/>
          <w:left w:val="nil"/>
          <w:bottom w:val="nil"/>
          <w:right w:val="nil"/>
          <w:between w:val="nil"/>
        </w:pBdr>
        <w:spacing w:before="0" w:after="0"/>
        <w:contextualSpacing/>
        <w:rPr>
          <w:color w:val="000000"/>
        </w:rPr>
      </w:pPr>
      <w:r w:rsidRPr="00936986">
        <w:rPr>
          <w:color w:val="000000"/>
        </w:rPr>
        <w:t>4. Improve policy coherence.</w:t>
      </w:r>
    </w:p>
    <w:p w14:paraId="0AADD2B3" w14:textId="6AE91AE0" w:rsidR="00936986" w:rsidRPr="00936986" w:rsidRDefault="00936986" w:rsidP="00273868">
      <w:pPr>
        <w:keepNext/>
        <w:pBdr>
          <w:top w:val="nil"/>
          <w:left w:val="nil"/>
          <w:bottom w:val="nil"/>
          <w:right w:val="nil"/>
          <w:between w:val="nil"/>
        </w:pBdr>
        <w:spacing w:before="0" w:after="0"/>
        <w:contextualSpacing/>
        <w:rPr>
          <w:color w:val="000000"/>
        </w:rPr>
      </w:pPr>
      <w:r w:rsidRPr="00936986">
        <w:rPr>
          <w:color w:val="000000"/>
        </w:rPr>
        <w:t>5. Engage broadly across governmental sectors, industry,</w:t>
      </w:r>
      <w:r w:rsidRPr="00C12647">
        <w:rPr>
          <w:color w:val="000000"/>
        </w:rPr>
        <w:t xml:space="preserve"> the </w:t>
      </w:r>
      <w:r w:rsidRPr="00936986">
        <w:rPr>
          <w:color w:val="000000"/>
        </w:rPr>
        <w:t>scientific community, Indigenous Peoples and local communities and the wider public.</w:t>
      </w:r>
    </w:p>
    <w:p w14:paraId="4978CD95" w14:textId="77777777" w:rsidR="00936986" w:rsidRPr="00936986" w:rsidRDefault="00936986" w:rsidP="00273868">
      <w:pPr>
        <w:keepNext/>
        <w:pBdr>
          <w:top w:val="nil"/>
          <w:left w:val="nil"/>
          <w:bottom w:val="nil"/>
          <w:right w:val="nil"/>
          <w:between w:val="nil"/>
        </w:pBdr>
        <w:spacing w:before="0" w:after="0"/>
        <w:contextualSpacing/>
        <w:rPr>
          <w:color w:val="000000"/>
        </w:rPr>
      </w:pPr>
      <w:r w:rsidRPr="00936986">
        <w:rPr>
          <w:color w:val="000000"/>
        </w:rPr>
        <w:t>6. Support, fund and mobilize resources for innovation, research and environmentally sound technology.</w:t>
      </w:r>
    </w:p>
    <w:p w14:paraId="324FB274" w14:textId="0210C123" w:rsidR="00273868" w:rsidRDefault="00936986" w:rsidP="00273868">
      <w:pPr>
        <w:keepNext/>
        <w:pBdr>
          <w:top w:val="nil"/>
          <w:left w:val="nil"/>
          <w:bottom w:val="nil"/>
          <w:right w:val="nil"/>
          <w:between w:val="nil"/>
        </w:pBdr>
        <w:spacing w:before="0" w:after="0"/>
        <w:contextualSpacing/>
        <w:rPr>
          <w:color w:val="000000"/>
        </w:rPr>
      </w:pPr>
      <w:r w:rsidRPr="00936986">
        <w:rPr>
          <w:color w:val="000000"/>
        </w:rPr>
        <w:t>7. Support information</w:t>
      </w:r>
      <w:r w:rsidRPr="00C12647">
        <w:rPr>
          <w:color w:val="000000"/>
        </w:rPr>
        <w:t xml:space="preserve"> systems</w:t>
      </w:r>
      <w:r w:rsidRPr="00936986">
        <w:rPr>
          <w:color w:val="000000"/>
        </w:rPr>
        <w:t>, infrastructures and data sharing</w:t>
      </w:r>
      <w:r w:rsidRPr="00C12647">
        <w:rPr>
          <w:color w:val="000000"/>
        </w:rPr>
        <w:t>.</w:t>
      </w:r>
    </w:p>
    <w:p w14:paraId="7BA7736A" w14:textId="57CE0659" w:rsidR="00017C04" w:rsidRPr="000E1D15" w:rsidRDefault="00936986" w:rsidP="00C12647">
      <w:pPr>
        <w:rPr>
          <w:rFonts w:eastAsia="Times New Roman"/>
          <w:b/>
          <w:i/>
        </w:rPr>
      </w:pPr>
      <w:r w:rsidRPr="00C12647">
        <w:rPr>
          <w:color w:val="000000" w:themeColor="text1"/>
        </w:rPr>
        <w:t>The proposed strategic actions are enabled when the system-wide properties of governance (roots) are robust</w:t>
      </w:r>
      <w:r w:rsidRPr="00936986">
        <w:t>, equitable and inclusive, responsive</w:t>
      </w:r>
      <w:r w:rsidR="00EB415D">
        <w:t xml:space="preserve"> and</w:t>
      </w:r>
      <w:r w:rsidRPr="00936986">
        <w:t xml:space="preserve"> focused on effective implementation. The numbers on the branches do not imply a ranking.</w:t>
      </w:r>
    </w:p>
    <w:p w14:paraId="6203AD74" w14:textId="1587ABA0" w:rsidR="00017C04" w:rsidRDefault="00F50AF9" w:rsidP="008521D1">
      <w:pPr>
        <w:pStyle w:val="Heading2"/>
      </w:pPr>
      <w:bookmarkStart w:id="645" w:name="_Toc954206423"/>
      <w:bookmarkStart w:id="646" w:name="_Toc133428364"/>
      <w:bookmarkStart w:id="647" w:name="_Toc133428809"/>
      <w:bookmarkStart w:id="648" w:name="_Toc147417604"/>
      <w:r>
        <w:t>Strategic actions</w:t>
      </w:r>
      <w:bookmarkEnd w:id="645"/>
      <w:bookmarkEnd w:id="646"/>
      <w:bookmarkEnd w:id="647"/>
      <w:bookmarkEnd w:id="648"/>
    </w:p>
    <w:p w14:paraId="42223666" w14:textId="70480228" w:rsidR="00017C04" w:rsidRDefault="009E1C65" w:rsidP="00C12647">
      <w:pPr>
        <w:pStyle w:val="Heading3"/>
        <w:ind w:left="720"/>
      </w:pPr>
      <w:bookmarkStart w:id="649" w:name="_heading=h.3nqndbk"/>
      <w:bookmarkStart w:id="650" w:name="_Toc175359179"/>
      <w:bookmarkStart w:id="651" w:name="_Toc133428365"/>
      <w:bookmarkEnd w:id="649"/>
      <w:r>
        <w:t>E</w:t>
      </w:r>
      <w:r w:rsidR="005E2391">
        <w:t xml:space="preserve">nhancing coordination and </w:t>
      </w:r>
      <w:bookmarkEnd w:id="650"/>
      <w:bookmarkEnd w:id="651"/>
      <w:r w:rsidR="005E2391">
        <w:t xml:space="preserve">collaboration across international and regional mechanisms </w:t>
      </w:r>
    </w:p>
    <w:p w14:paraId="358DB92D" w14:textId="7BA12170" w:rsidR="00017C04" w:rsidRDefault="00F50AF9">
      <w:r>
        <w:t xml:space="preserve">The most important proactive (e.g., border control) and reactive (e.g., eradication) measures to address biological invasions are administered at the national or subnational level. However, the nature of biological invasions means that multilateral and transnational approaches are also needed. While there is no shortage of organizations focused on addressing the problem of biological invasions, one of their main limitations has been their disconnected nature. Cooperation amongst different regional and national efforts will not arise spontaneously and will need concerted leadership, resourcing and commitment from governments and institutions at the highest level </w:t>
      </w:r>
      <w:r w:rsidR="0027687D" w:rsidRPr="00A9434B">
        <w:fldChar w:fldCharType="begin"/>
      </w:r>
      <w:r w:rsidR="002D2756">
        <w:instrText xml:space="preserve"> ADDIN ZOTERO_ITEM CSL_CITATION {"citationID":"q7x5pWmx","properties":{"formattedCitation":"(Lecl\\uc0\\u232{}re et al., 2020; Ruckelshaus et al., 2020)","plainCitation":"(Leclère et al., 2020; Ruckelshaus et al., 2020)","dontUpdate":true,"noteIndex":0},"citationItems":[{"id":53345,"uris":["http://zotero.org/groups/2352922/items/4E8TKIL5"],"itemData":{"id":53345,"type":"article-journal","container-title":"Nature","DOI":"10.1038/s41586-020-2705-y","ISSN":"0028-0836, 1476-4687","issue":"7826","journalAbbreviation":"Nature","language":"en","page":"551-556","source":"DOI.org (Crossref)","title":"Bending the curve of terrestrial biodiversity needs an integrated strategy","URL":"https://www.nature.com/articles/s41586-020-2705-y","volume":"585","author":[{"family":"Leclère","given":"David"},{"family":"Obersteiner","given":"Michael"},{"family":"Barrett","given":"Mike"},{"family":"Butchart","given":"Stuart H. M."},{"family":"Chaudhary","given":"Abhishek"},{"family":"De Palma","given":"Adriana"},{"family":"DeClerck","given":"Fabrice A. J."},{"family":"Di Marco","given":"Moreno"},{"family":"Doelman","given":"Jonathan C."},{"family":"Dürauer","given":"Martina"},{"family":"Freeman","given":"Robin"},{"family":"Harfoot","given":"Michael"},{"family":"Hasegawa","given":"Tomoko"},{"family":"Hellweg","given":"Stefanie"},{"family":"Hilbers","given":"Jelle P."},{"family":"Hill","given":"Samantha L. L."},{"family":"Humpenöder","given":"Florian"},{"family":"Jennings","given":"Nancy"},{"family":"Krisztin","given":"Tamás"},{"family":"Mace","given":"Georgina M."},{"family":"Ohashi","given":"Haruka"},{"family":"Popp","given":"Alexander"},{"family":"Purvis","given":"Andy"},{"family":"Schipper","given":"Aafke M."},{"family":"Tabeau","given":"Andrzej"},{"family":"Valin","given":"Hugo"},{"family":"Meijl","given":"Hans","non-dropping-particle":"van"},{"family":"Zeist","given":"Willem-Jan","non-dropping-particle":"van"},{"family":"Visconti","given":"Piero"},{"family":"Alkemade","given":"Rob"},{"family":"Almond","given":"Rosamunde"},{"family":"Bunting","given":"Gill"},{"family":"Burgess","given":"Neil D."},{"family":"Cornell","given":"Sarah E."},{"family":"Di Fulvio","given":"Fulvio"},{"family":"Ferrier","given":"Simon"},{"family":"Fritz","given":"Steffen"},{"family":"Fujimori","given":"Shinichiro"},{"family":"Grooten","given":"Monique"},{"family":"Harwood","given":"Thomas"},{"family":"Havlík","given":"Petr"},{"family":"Herrero","given":"Mario"},{"family":"Hoskins","given":"Andrew J."},{"family":"Jung","given":"Martin"},{"family":"Kram","given":"Tom"},{"family":"Lotze-Campen","given":"Hermann"},{"family":"Matsui","given":"Tetsuya"},{"family":"Meyer","given":"Carsten"},{"family":"Nel","given":"Deon"},{"family":"Newbold","given":"Tim"},{"family":"Schmidt-Traub","given":"Guido"},{"family":"Stehfest","given":"Elke"},{"family":"Strassburg","given":"Bernardo B. N."},{"family":"Vuuren","given":"Detlef P.","non-dropping-particle":"van"},{"family":"Ware","given":"Chris"},{"family":"Watson","given":"James E. M."},{"family":"Wu","given":"Wenchao"},{"family":"Young","given":"Lucy"}],"accessed":{"date-parts":[["2022",9,15]]},"issued":{"date-parts":[["2020",9,24]]}},"label":"page"},{"id":21803,"uris":["http://zotero.org/groups/2352922/items/KCCN3I8F"],"itemData":{"id":21803,"type":"article-journal","container-title":"Trends in Ecology &amp; Evolution","DOI":"10.1016/j.tree.2020.01.009","ISSN":"01695347","issue":"5","journalAbbreviation":"Trends in Ecology &amp; Evolution","language":"en","page":"407-414","source":"DOI.org (Crossref)","title":"The IPBES Global Assessment: Pathways to Action","title-short":"The IPBES Global Assessment","URL":"https://linkinghub.elsevier.com/retrieve/pii/S0169534720300112","volume":"35","author":[{"family":"Ruckelshaus","given":"Mary H."},{"family":"Jackson","given":"Stephen T."},{"family":"Mooney","given":"Harold A."},{"family":"Jacobs","given":"Katharine L."},{"family":"Kassam","given":"Karim-Aly S."},{"family":"Arroyo","given":"Mary T.K."},{"family":"Báldi","given":"András"},{"family":"Bartuska","given":"Ann M."},{"family":"Boyd","given":"James"},{"family":"Joppa","given":"Lucas N."},{"family":"Kovács-Hostyánszki","given":"Anikó"},{"family":"Parsons","given":"Jill Petraglia"},{"family":"Scholes","given":"Robert J."},{"family":"Shogren","given":"Jason F."},{"family":"Ouyang","given":"Zhiyun"}],"accessed":{"date-parts":[["2020",2,24]]},"issued":{"date-parts":[["2020",2]]}},"label":"page"}],"schema":"https://github.com/citation-style-language/schema/raw/master/csl-citation.json"} </w:instrText>
      </w:r>
      <w:r w:rsidR="0027687D" w:rsidRPr="00A9434B">
        <w:fldChar w:fldCharType="separate"/>
      </w:r>
      <w:r w:rsidR="00F55BC6" w:rsidRPr="00F55BC6">
        <w:t>(Leclère et al., 2020; Ruckelshaus et al., 2020</w:t>
      </w:r>
      <w:r w:rsidR="0027687D" w:rsidRPr="00A9434B">
        <w:fldChar w:fldCharType="end"/>
      </w:r>
      <w:r w:rsidR="00EE662A" w:rsidRPr="00A9434B">
        <w:t>;</w:t>
      </w:r>
      <w:r w:rsidR="00BC71A3" w:rsidRPr="00A9434B">
        <w:t xml:space="preserve"> </w:t>
      </w:r>
      <w:r w:rsidR="0027687D" w:rsidRPr="00673554">
        <w:rPr>
          <w:b/>
          <w:iCs/>
        </w:rPr>
        <w:t>section 6.2.</w:t>
      </w:r>
      <w:r w:rsidR="003A5013" w:rsidRPr="00673554">
        <w:rPr>
          <w:b/>
          <w:iCs/>
        </w:rPr>
        <w:t>3</w:t>
      </w:r>
      <w:r w:rsidR="0027687D" w:rsidRPr="00673554">
        <w:rPr>
          <w:b/>
          <w:iCs/>
        </w:rPr>
        <w:t>.1</w:t>
      </w:r>
      <w:r w:rsidR="0027687D" w:rsidRPr="00A9434B">
        <w:t xml:space="preserve">). </w:t>
      </w:r>
      <w:r w:rsidR="003F3380">
        <w:t>Therefore, establishing or enhancing</w:t>
      </w:r>
      <w:r w:rsidR="00EA4111">
        <w:t xml:space="preserve"> </w:t>
      </w:r>
      <w:r w:rsidR="003F3380">
        <w:t xml:space="preserve">global coordination mechanisms (similar to the Convention on the Conservation of Migratory Species of Wild Animals (CMS)) for biological invasions, or embedding this role into existing coordinating bodies (e.g., the CBD), are options for achieving one of the key strategic actions for transformative progress </w:t>
      </w:r>
      <w:r>
        <w:t>(</w:t>
      </w:r>
      <w:r w:rsidR="0027687D" w:rsidRPr="00673554">
        <w:rPr>
          <w:b/>
          <w:iCs/>
        </w:rPr>
        <w:t>Figure</w:t>
      </w:r>
      <w:r>
        <w:rPr>
          <w:b/>
        </w:rPr>
        <w:t xml:space="preserve"> 6.21</w:t>
      </w:r>
      <w:r>
        <w:t xml:space="preserve">). </w:t>
      </w:r>
      <w:r w:rsidR="006F2BE1">
        <w:t>Such</w:t>
      </w:r>
      <w:r>
        <w:t xml:space="preserve"> coordination mechanism could promote the exchange of best practices and other knowledge between regions and nations, help to establish the appropriate roles and responsibilities of actors </w:t>
      </w:r>
      <w:r w:rsidR="0027687D" w:rsidRPr="00A9434B">
        <w:fldChar w:fldCharType="begin"/>
      </w:r>
      <w:r w:rsidR="002D2756">
        <w:instrText xml:space="preserve"> ADDIN ZOTERO_ITEM CSL_CITATION {"citationID":"a1gg44c82fa","properties":{"formattedCitation":"(Stoett, 2007)","plainCitation":"(Stoett, 2007)","noteIndex":0},"citationItems":[{"id":56669,"uris":["http://zotero.org/groups/2352922/items/6MYVB4YP","http://zotero.org/groups/2352922/items/AADLXSAH","http://zotero.org/groups/2352922/items/GSRMTZSR"],"itemData":{"id":56669,"type":"article-journal","container-title":"Environmental Politics","DOI":"10.1080/09644010701251672","ISSN":"0964-4016, 1743-8934","issue":"3","journalAbbreviation":"Environmental Politics","language":"en","page":"433-452","source":"DOI.org (Crossref)","title":"Counter-bioinvasion: Conceptual and governance challenges","title-short":"Counter-bioinvasion","URL":"http://www.tandfonline.com/doi/full/10.1080/09644010701251672","volume":"16","author":[{"family":"Stoett","given":"Peter"}],"accessed":{"date-parts":[["2023",6,8]]},"issued":{"date-parts":[["2007",6]]}},"label":"page"}],"schema":"https://github.com/citation-style-language/schema/raw/master/csl-citation.json"} </w:instrText>
      </w:r>
      <w:r w:rsidR="0027687D" w:rsidRPr="00A9434B">
        <w:fldChar w:fldCharType="separate"/>
      </w:r>
      <w:r w:rsidR="0006613E" w:rsidRPr="0006613E">
        <w:t>(Stoett, 2007)</w:t>
      </w:r>
      <w:r w:rsidR="0027687D" w:rsidRPr="00A9434B">
        <w:fldChar w:fldCharType="end"/>
      </w:r>
      <w:r w:rsidR="007D2197" w:rsidRPr="00A9434B">
        <w:t>,</w:t>
      </w:r>
      <w:r>
        <w:t xml:space="preserve"> enable global species listings</w:t>
      </w:r>
      <w:r w:rsidR="00EB415D">
        <w:t xml:space="preserve"> and</w:t>
      </w:r>
      <w:r>
        <w:t xml:space="preserve"> strengthen the effectiveness of the Inter-Agency Liaison Group on Invasive Alien Species. While the CBD currently covers invasive alien species as a cross-cutting issue, this assessment has amassed sufficient evidence to suggest the theme needs a more pronounced coordinating mechanism at the global level.</w:t>
      </w:r>
    </w:p>
    <w:p w14:paraId="41049EB3" w14:textId="5E621D85" w:rsidR="00017C04" w:rsidRDefault="005A1202" w:rsidP="00C12647">
      <w:pPr>
        <w:pStyle w:val="Heading3"/>
        <w:ind w:left="720"/>
      </w:pPr>
      <w:bookmarkStart w:id="652" w:name="_heading=h.22vxnjd"/>
      <w:bookmarkStart w:id="653" w:name="_Toc1721694837"/>
      <w:bookmarkStart w:id="654" w:name="_Toc133428367"/>
      <w:bookmarkEnd w:id="652"/>
      <w:r>
        <w:lastRenderedPageBreak/>
        <w:t>Develop</w:t>
      </w:r>
      <w:r w:rsidR="00B12BC7">
        <w:t>ing</w:t>
      </w:r>
      <w:r>
        <w:t xml:space="preserve"> and adopt</w:t>
      </w:r>
      <w:r w:rsidR="00B12BC7">
        <w:t>ing</w:t>
      </w:r>
      <w:r>
        <w:t xml:space="preserve"> effective and achievable national implementation strategies</w:t>
      </w:r>
      <w:bookmarkEnd w:id="653"/>
      <w:bookmarkEnd w:id="654"/>
    </w:p>
    <w:p w14:paraId="6949181C" w14:textId="0E4293F1" w:rsidR="00017C04" w:rsidRDefault="2F958343">
      <w:r>
        <w:t xml:space="preserve">Failure to adopt existing guiding principles (e.g., </w:t>
      </w:r>
      <w:r w:rsidR="003162B9" w:rsidRPr="00673554">
        <w:rPr>
          <w:b/>
          <w:iCs/>
        </w:rPr>
        <w:fldChar w:fldCharType="begin"/>
      </w:r>
      <w:r w:rsidR="003162B9" w:rsidRPr="00673554">
        <w:rPr>
          <w:b/>
          <w:iCs/>
        </w:rPr>
        <w:instrText xml:space="preserve"> REF _Ref104892405 \h  \* MERGEFORMAT </w:instrText>
      </w:r>
      <w:r w:rsidR="003162B9" w:rsidRPr="00673554">
        <w:rPr>
          <w:b/>
          <w:iCs/>
        </w:rPr>
      </w:r>
      <w:r w:rsidR="003162B9" w:rsidRPr="00673554">
        <w:rPr>
          <w:b/>
          <w:iCs/>
        </w:rPr>
        <w:fldChar w:fldCharType="separate"/>
      </w:r>
      <w:r w:rsidR="0011368C" w:rsidRPr="00673554">
        <w:rPr>
          <w:b/>
          <w:iCs/>
        </w:rPr>
        <w:t>Table 6.3</w:t>
      </w:r>
      <w:r w:rsidR="003162B9" w:rsidRPr="00673554">
        <w:rPr>
          <w:b/>
          <w:iCs/>
        </w:rPr>
        <w:fldChar w:fldCharType="end"/>
      </w:r>
      <w:r w:rsidR="62A6E4DA" w:rsidRPr="00A9434B">
        <w:t>),</w:t>
      </w:r>
      <w:r>
        <w:t xml:space="preserve"> and to implement legislation and action plans, have been a central impediment to progress on invasive alien species targets (</w:t>
      </w:r>
      <w:r w:rsidRPr="0B8DB0CC">
        <w:rPr>
          <w:b/>
          <w:bCs/>
        </w:rPr>
        <w:t>sections 6.2.2</w:t>
      </w:r>
      <w:r>
        <w:t xml:space="preserve"> and</w:t>
      </w:r>
      <w:r w:rsidRPr="0B8DB0CC">
        <w:rPr>
          <w:b/>
          <w:bCs/>
        </w:rPr>
        <w:t xml:space="preserve"> 6.3.1.4</w:t>
      </w:r>
      <w:r>
        <w:t xml:space="preserve">). Implementation focused strategies for </w:t>
      </w:r>
      <w:r w:rsidR="0378382B">
        <w:t xml:space="preserve">biological invasion </w:t>
      </w:r>
      <w:r>
        <w:t>management can assist in overcoming this hurdle (</w:t>
      </w:r>
      <w:r w:rsidR="00696075" w:rsidRPr="00673554">
        <w:rPr>
          <w:b/>
          <w:iCs/>
        </w:rPr>
        <w:t>Figure</w:t>
      </w:r>
      <w:r w:rsidRPr="0B8DB0CC">
        <w:rPr>
          <w:b/>
          <w:bCs/>
        </w:rPr>
        <w:t xml:space="preserve"> 6.21</w:t>
      </w:r>
      <w:r>
        <w:t xml:space="preserve">). This can be achieved by revisiting implementation strategies at all levels of governance, and in particular at those most relevant to the strategic actions identified in </w:t>
      </w:r>
      <w:r w:rsidR="00086695" w:rsidRPr="00673554">
        <w:rPr>
          <w:b/>
          <w:iCs/>
        </w:rPr>
        <w:t>Figure 6.2</w:t>
      </w:r>
      <w:r w:rsidR="004946C9" w:rsidRPr="00673554">
        <w:rPr>
          <w:b/>
          <w:iCs/>
        </w:rPr>
        <w:t>1</w:t>
      </w:r>
      <w:r w:rsidR="00086695" w:rsidRPr="00A9434B">
        <w:t xml:space="preserve">. </w:t>
      </w:r>
      <w:r w:rsidR="003162B9" w:rsidRPr="00A9434B">
        <w:t xml:space="preserve">Options for this include, amongst others, consistent enforcement of relevant law </w:t>
      </w:r>
      <w:r w:rsidR="008F26EC" w:rsidRPr="00A9434B">
        <w:fldChar w:fldCharType="begin"/>
      </w:r>
      <w:r w:rsidR="002D2756">
        <w:instrText xml:space="preserve"> ADDIN ZOTERO_ITEM CSL_CITATION {"citationID":"a2f62i3kke0","properties":{"formattedCitation":"(Chan et al., 2020)","plainCitation":"(Chan et al., 2020)","noteIndex":0},"citationItems":[{"id":10825,"uris":["http://zotero.org/groups/2352922/items/GEYYUP8J"],"itemData":{"id":10825,"type":"article-journal","container-title":"People and Nature","DOI":"10.1002/pan3.10124","ISSN":"2575-8314, 2575-8314","issue":"3","journalAbbreviation":"People and Nature","language":"en","page":"693-717","source":"DOI.org (Crossref)","title":"Levers and leverage points for pathways to sustainability","URL":"https://onlinelibrary.wiley.com/doi/10.1002/pan3.10124","volume":"2","author":[{"family":"Chan","given":"Kai M. A."},{"family":"Boyd","given":"David R."},{"family":"Gould","given":"Rachelle K."},{"family":"Jetzkowitz","given":"Jens"},{"family":"Liu","given":"Jianguo"},{"family":"Muraca","given":"Barbara"},{"family":"Naidoo","given":"Robin"},{"family":"Olmsted","given":"Paige"},{"family":"Satterfield","given":"Terre"},{"family":"Selomane","given":"Odirilwe"},{"family":"Singh","given":"Gerald G."},{"family":"Sumaila","given":"Rashid"},{"family":"Ngo","given":"Hien T."},{"family":"Boedhihartono","given":"Agni Klintuni"},{"family":"Agard","given":"John"},{"family":"Aguiar","give</w:instrText>
      </w:r>
      <w:r w:rsidR="002D2756">
        <w:rPr>
          <w:rFonts w:hint="eastAsia"/>
        </w:rPr>
        <w:instrText>n":"Ana Paula D."},{"family":"Armenteras","given":"Dolors"},{"family":"Balint","given":"Lenke"},{"family":"Barrington</w:instrText>
      </w:r>
      <w:r w:rsidR="002D2756">
        <w:rPr>
          <w:rFonts w:hint="eastAsia"/>
        </w:rPr>
        <w:instrText>‐</w:instrText>
      </w:r>
      <w:r w:rsidR="002D2756">
        <w:rPr>
          <w:rFonts w:hint="eastAsia"/>
        </w:rPr>
        <w:instrText>Leigh","given":"Christopher"},{"family":"Cheung","given":"William W. L."},{"family":"Díaz","given":"Sandra"},{"family":"Driscoll","given"</w:instrText>
      </w:r>
      <w:r w:rsidR="002D2756">
        <w:instrText>:"John"},{"family":"Esler","given":"Karen"},{"family":"Eyster","given":"Harold"},{"family":"Gregr","given":"Edward J."},{"family":"Hashimoto","given":"Shizuka"},{"family":"Hernández Pedraza","given":"Gladys Cecilia"},{"family":"Hickler","given":"Thomas"},</w:instrText>
      </w:r>
      <w:r w:rsidR="002D2756">
        <w:rPr>
          <w:rFonts w:hint="eastAsia"/>
        </w:rPr>
        <w:instrText>{"family":"Kok","given":"Marcel"},{"family":"Lazarova","given":"Tanya"},{"family":"Mohamed","given":"Assem A. A."},{"family":"Murray</w:instrText>
      </w:r>
      <w:r w:rsidR="002D2756">
        <w:rPr>
          <w:rFonts w:hint="eastAsia"/>
        </w:rPr>
        <w:instrText>‐</w:instrText>
      </w:r>
      <w:r w:rsidR="002D2756">
        <w:rPr>
          <w:rFonts w:hint="eastAsia"/>
        </w:rPr>
        <w:instrText>Hudson","given":"Mike"},{"family":"O'Farrell","given":"Patrick"},{"family":"Palomo","given":"Ignacio"},{"family":"Saysel",</w:instrText>
      </w:r>
      <w:r w:rsidR="002D2756">
        <w:instrText xml:space="preserve">"given":"Ali Kerem"},{"family":"Seppelt","given":"Ralf"},{"family":"Settele","given":"Josef"},{"family":"Strassburg","given":"Bernardo"},{"family":"Xue","given":"Dayuan"},{"family":"Brondízio","given":"Eduardo S."}],"editor":[{"family":"Bridgewater","given":"Peter"}],"accessed":{"date-parts":[["2021",6,16]]},"issued":{"date-parts":[["2020",9]]}},"label":"page"}],"schema":"https://github.com/citation-style-language/schema/raw/master/csl-citation.json"} </w:instrText>
      </w:r>
      <w:r w:rsidR="008F26EC" w:rsidRPr="00A9434B">
        <w:fldChar w:fldCharType="separate"/>
      </w:r>
      <w:r w:rsidR="00C71E80" w:rsidRPr="00A9434B">
        <w:t>(Chan et al., 2020)</w:t>
      </w:r>
      <w:r w:rsidR="008F26EC" w:rsidRPr="00A9434B">
        <w:fldChar w:fldCharType="end"/>
      </w:r>
      <w:r w:rsidR="003162B9" w:rsidRPr="00A9434B">
        <w:t xml:space="preserve"> and investment in monitoring and learning from the successes and failures of interventions (</w:t>
      </w:r>
      <w:r w:rsidR="003162B9" w:rsidRPr="00673554">
        <w:rPr>
          <w:b/>
          <w:iCs/>
        </w:rPr>
        <w:t>Box 6.2</w:t>
      </w:r>
      <w:r w:rsidR="00977335" w:rsidRPr="00673554">
        <w:rPr>
          <w:b/>
          <w:iCs/>
        </w:rPr>
        <w:t>3</w:t>
      </w:r>
      <w:r w:rsidR="003162B9" w:rsidRPr="00A9434B">
        <w:t>).</w:t>
      </w:r>
      <w:r>
        <w:t xml:space="preserve"> </w:t>
      </w:r>
    </w:p>
    <w:p w14:paraId="342ED745" w14:textId="2D110701" w:rsidR="00017C04" w:rsidRDefault="00F50AF9">
      <w:pPr>
        <w:rPr>
          <w:highlight w:val="yellow"/>
        </w:rPr>
      </w:pPr>
      <w:r>
        <w:t xml:space="preserve">Feeding this information into response-focused theory of change indicators, including indicators that track the allocation of resource inputs, the establishment and uptake of implementation processes, and the outputs and outcomes of these interventions </w:t>
      </w:r>
      <w:r w:rsidR="006F2BE1">
        <w:t>are</w:t>
      </w:r>
      <w:r>
        <w:t xml:space="preserve"> in line with the Kunming-Montreal Global Biodiversity Framework </w:t>
      </w:r>
      <w:r w:rsidR="00022EB9">
        <w:fldChar w:fldCharType="begin"/>
      </w:r>
      <w:r w:rsidR="002D2756">
        <w:instrText xml:space="preserve"> ADDIN ZOTERO_ITEM CSL_CITATION {"citationID":"UcwImnH9","properties":{"formattedCitation":"(CBD, 2022a; OECD, 2019; J. R. U. Wilson et al., 2018)","plainCitation":"(CBD, 2022a; OECD, 2019; J. R. U. Wilson et al., 2018)","dontUpdate":true,"noteIndex":0},"citationItems":[{"id":54145,"uris":["http://zotero.org/groups/2352922/items/95AEP2XN"],"itemData":{"id":54145,"type":"paper-conference","collection-title":"CBD/COP/DEC/15/4","container-title":"Decision adopted by the conference of the parties to the convention on biological diversity","event-place":"Montreal, Canada","event-title":"Fifteenth meeting (Part II) of Conference of the parties to the Convention on Biological Diversity","language":"EN","publisher":"Convention on Biodiversity, United Nations Environment Programme","publisher-place":"Montreal, Canada","title":"15/4. Kunming-Montreal Global Biodiversity Framework","URL":"https://www.cbd.int/doc/decisions/cop-15/cop-15-dec-04-en.pdf","author":[{"literal":"CBD"}],"issued":{"date-parts":[["2022"]]}},"label":"page"},{"id":30941,"uris":["http://zotero.org/groups/2352922/items/YFB3Q6LP"],"itemData":{"id":30941,"type":"report","genre":"November version","title":"The Post-2020 Biodiversity Framework: Targets, indicators and measurability implications at global and national level","URL":"https://www.oecd.org/environment/resources/biodiversity/report-the-post-2020-biodiversity-framework-targets-indicators-and-measurability-implications-at-global-and-national-level.pdf","author":[{"literal":"OECD"}],"accessed":{"date-parts":[["2021",11,10]]},"issued":{"date-parts":[["2019"]]}},"label":"page"},{"id":29165,"uris":["http://zotero.org/groups/2352922/items/WF8FIGDG","http://zotero.org/groups/2352922/items/MT5VVIIE"],"itemData":{"id":29165,"type":"article-journal","container-title":"Journal of Applied Ecology","DOI":"10.1111/1365-2664.13251","ISSN":"0021-8901, 1365-2664","issue":"6","journalAbbreviation":"J Appl Ecol","language":"en","page":"2612-2620","source":"DOI.org (Crossref)","title":"Indicators for monitoring biological invasions at a national level","URL":"https://onlinelibrary.wiley.com/doi/abs/10.1111/1365-2664.13251","volume":"55","author":[{"family":"Wilson","given":"John R. U."},{"family":"Faulkner","given":"Katelyn T."},{"family":"Rahlao","given":"Sebataolo J."},{"family":"Richardson","given":"David M."},{"family":"Zengeya","given":"Tsungai A."},{"family":"Wilgen","given":"Brian W.","non-dropping-particle":"van"}],"editor":[{"family":"Bellard","given":"Céline"}],"accessed":{"date-parts":[["2019",12,2]]},"issued":{"date-parts":[["2018",11]]}},"label":"page"}],"schema":"https://github.com/citation-style-language/schema/raw/master/csl-citation.json"} </w:instrText>
      </w:r>
      <w:r w:rsidR="00022EB9">
        <w:fldChar w:fldCharType="separate"/>
      </w:r>
      <w:r w:rsidR="00DE3A1E" w:rsidRPr="00DE3A1E">
        <w:t>(CBD, 2022a; OECD, 2019; J. R. U. Wilson et al., 2018</w:t>
      </w:r>
      <w:r w:rsidR="00022EB9">
        <w:fldChar w:fldCharType="end"/>
      </w:r>
      <w:r w:rsidR="00022EB9">
        <w:t>;</w:t>
      </w:r>
      <w:r w:rsidR="0020535A">
        <w:t xml:space="preserve"> </w:t>
      </w:r>
      <w:r w:rsidR="0020535A" w:rsidRPr="00590330">
        <w:rPr>
          <w:b/>
          <w:bCs/>
        </w:rPr>
        <w:t>Table 6.11</w:t>
      </w:r>
      <w:r w:rsidR="0020535A">
        <w:t>;</w:t>
      </w:r>
      <w:r w:rsidR="003162B9" w:rsidRPr="00A9434B">
        <w:rPr>
          <w:i/>
          <w:iCs/>
        </w:rPr>
        <w:t xml:space="preserve"> </w:t>
      </w:r>
      <w:r w:rsidR="00351A46">
        <w:rPr>
          <w:b/>
          <w:bCs/>
        </w:rPr>
        <w:t>Box 6.23</w:t>
      </w:r>
      <w:r w:rsidR="00022EB9" w:rsidRPr="00673554">
        <w:rPr>
          <w:bCs/>
        </w:rPr>
        <w:t>)</w:t>
      </w:r>
      <w:r w:rsidR="00A4049F" w:rsidRPr="00A9434B">
        <w:t>.</w:t>
      </w:r>
      <w:r>
        <w:t xml:space="preserve"> While a strategy is necessary for effective governance at multiple levels and in multiple sectors (</w:t>
      </w:r>
      <w:r>
        <w:rPr>
          <w:b/>
        </w:rPr>
        <w:t>section 6.3</w:t>
      </w:r>
      <w:r>
        <w:t xml:space="preserve">), national scale strategy can be particularly instrumental in achieving the scope and cohesion needed to implement action both above (multilateral) and below (at local and subnational) national government. </w:t>
      </w:r>
    </w:p>
    <w:p w14:paraId="04053787" w14:textId="6F656A2F" w:rsidR="00017C04" w:rsidRDefault="00F50AF9" w:rsidP="003F3380">
      <w:pPr>
        <w:pBdr>
          <w:top w:val="single" w:sz="4" w:space="1" w:color="auto"/>
          <w:left w:val="single" w:sz="4" w:space="4" w:color="auto"/>
          <w:bottom w:val="single" w:sz="4" w:space="1" w:color="auto"/>
          <w:right w:val="single" w:sz="4" w:space="4" w:color="auto"/>
        </w:pBdr>
        <w:shd w:val="clear" w:color="auto" w:fill="E7E6E6" w:themeFill="background2"/>
        <w:rPr>
          <w:b/>
        </w:rPr>
      </w:pPr>
      <w:bookmarkStart w:id="655" w:name="_heading=h.1h65qms" w:colFirst="0" w:colLast="0"/>
      <w:bookmarkStart w:id="656" w:name="_Ref114158478"/>
      <w:bookmarkStart w:id="657" w:name="_Toc147418632"/>
      <w:bookmarkEnd w:id="655"/>
      <w:r>
        <w:rPr>
          <w:b/>
        </w:rPr>
        <w:t>Box 6</w:t>
      </w:r>
      <w:r w:rsidR="003162B9" w:rsidRPr="00A9434B">
        <w:rPr>
          <w:rFonts w:eastAsia="Batang"/>
          <w:b/>
          <w:bCs/>
          <w:lang w:eastAsia="en-NZ"/>
        </w:rPr>
        <w:t>.</w:t>
      </w:r>
      <w:r w:rsidR="003162B9" w:rsidRPr="00A9434B">
        <w:rPr>
          <w:rFonts w:eastAsia="Batang"/>
          <w:b/>
          <w:bCs/>
          <w:lang w:eastAsia="en-NZ"/>
        </w:rPr>
        <w:fldChar w:fldCharType="begin"/>
      </w:r>
      <w:r w:rsidR="003162B9" w:rsidRPr="00A9434B">
        <w:rPr>
          <w:rFonts w:eastAsia="Batang"/>
          <w:b/>
          <w:bCs/>
          <w:lang w:eastAsia="en-NZ"/>
        </w:rPr>
        <w:instrText xml:space="preserve"> SEQ Box_6. \* ARABIC </w:instrText>
      </w:r>
      <w:r w:rsidR="003162B9" w:rsidRPr="00A9434B">
        <w:rPr>
          <w:rFonts w:eastAsia="Batang"/>
          <w:b/>
          <w:bCs/>
          <w:lang w:eastAsia="en-NZ"/>
        </w:rPr>
        <w:fldChar w:fldCharType="separate"/>
      </w:r>
      <w:r w:rsidR="0011368C">
        <w:rPr>
          <w:rFonts w:eastAsia="Batang"/>
          <w:b/>
          <w:bCs/>
          <w:noProof/>
          <w:lang w:eastAsia="en-NZ"/>
        </w:rPr>
        <w:t>23</w:t>
      </w:r>
      <w:r w:rsidR="003162B9" w:rsidRPr="00A9434B">
        <w:rPr>
          <w:rFonts w:eastAsia="Batang"/>
          <w:b/>
          <w:bCs/>
          <w:lang w:eastAsia="en-NZ"/>
        </w:rPr>
        <w:fldChar w:fldCharType="end"/>
      </w:r>
      <w:bookmarkEnd w:id="656"/>
      <w:r w:rsidR="00DB299B" w:rsidRPr="00A9434B">
        <w:rPr>
          <w:rFonts w:eastAsia="Batang"/>
          <w:b/>
          <w:bCs/>
          <w:lang w:eastAsia="en-NZ"/>
        </w:rPr>
        <w:t>.</w:t>
      </w:r>
      <w:r>
        <w:rPr>
          <w:b/>
        </w:rPr>
        <w:t xml:space="preserve"> Overcoming the implementation gap for invasive alien species</w:t>
      </w:r>
      <w:bookmarkEnd w:id="657"/>
      <w:r>
        <w:rPr>
          <w:b/>
        </w:rPr>
        <w:t xml:space="preserve"> </w:t>
      </w:r>
    </w:p>
    <w:p w14:paraId="572FF821" w14:textId="77777777" w:rsidR="00017C04" w:rsidRDefault="00F50AF9" w:rsidP="003F3380">
      <w:pPr>
        <w:pBdr>
          <w:top w:val="single" w:sz="4" w:space="1" w:color="auto"/>
          <w:left w:val="single" w:sz="4" w:space="4" w:color="auto"/>
          <w:bottom w:val="single" w:sz="4" w:space="1" w:color="auto"/>
          <w:right w:val="single" w:sz="4" w:space="4" w:color="auto"/>
        </w:pBdr>
        <w:shd w:val="clear" w:color="auto" w:fill="E7E6E6" w:themeFill="background2"/>
        <w:spacing w:after="0"/>
      </w:pPr>
      <w:r>
        <w:t>Two key hurdles to improving the management of invasive alien species, are:</w:t>
      </w:r>
    </w:p>
    <w:p w14:paraId="664EEBC5" w14:textId="3A9B996E" w:rsidR="00017C04" w:rsidRDefault="00F50AF9" w:rsidP="003F3380">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E7E6E6" w:themeFill="background2"/>
        <w:spacing w:before="0"/>
      </w:pPr>
      <w:r w:rsidRPr="003F3380">
        <w:t xml:space="preserve">the need for more effective prioritization of where and when to intervene, and </w:t>
      </w:r>
    </w:p>
    <w:p w14:paraId="7CB7BFFA" w14:textId="7E59E746" w:rsidR="00017C04" w:rsidRDefault="00F50AF9" w:rsidP="003F3380">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E7E6E6" w:themeFill="background2"/>
      </w:pPr>
      <w:r w:rsidRPr="003F3380">
        <w:t xml:space="preserve">the lack of information on which interventions are most successful and in which contexts. </w:t>
      </w:r>
    </w:p>
    <w:p w14:paraId="304CCABD" w14:textId="0AE18845" w:rsidR="00017C04" w:rsidRDefault="00F50AF9" w:rsidP="003F3380">
      <w:pPr>
        <w:pBdr>
          <w:top w:val="single" w:sz="4" w:space="1" w:color="auto"/>
          <w:left w:val="single" w:sz="4" w:space="4" w:color="auto"/>
          <w:bottom w:val="single" w:sz="4" w:space="1" w:color="auto"/>
          <w:right w:val="single" w:sz="4" w:space="4" w:color="auto"/>
        </w:pBdr>
        <w:shd w:val="clear" w:color="auto" w:fill="E7E6E6" w:themeFill="background2"/>
      </w:pPr>
      <w:r>
        <w:t xml:space="preserve">Both these hurdles can be overcome by generating essential data and knowledge on resource inputs, processes, outputs and outcomes </w:t>
      </w:r>
      <w:r w:rsidR="00A91326" w:rsidRPr="00A9434B">
        <w:fldChar w:fldCharType="begin"/>
      </w:r>
      <w:r w:rsidR="002D2756">
        <w:instrText xml:space="preserve"> ADDIN ZOTERO_ITEM CSL_CITATION {"citationID":"a12jnjt9k2l","properties":{"formattedCitation":"(OECD, 2019)","plainCitation":"(OECD, 2019)","noteIndex":0},"citationItems":[{"id":30941,"uris":["http://zotero.org/groups/2352922/items/YFB3Q6LP"],"itemData":{"id":30941,"type":"report","genre":"November version","title":"The Post-2020 Biodiversity Framework: Targets, indicators and measurability implications at global and national level","URL":"https://www.oecd.org/environment/resources/biodiversity/report-the-post-2020-biodiversity-framework-targets-indicators-and-measurability-implications-at-global-and-national-level.pdf","author":[{"literal":"OECD"}],"accessed":{"date-parts":[["2021",11,10]]},"issued":{"date-parts":[["2019"]]}}}],"schema":"https://github.com/citation-style-language/schema/raw/master/csl-citation.json"} </w:instrText>
      </w:r>
      <w:r w:rsidR="00A91326" w:rsidRPr="00A9434B">
        <w:fldChar w:fldCharType="separate"/>
      </w:r>
      <w:r w:rsidR="00C71E80" w:rsidRPr="00A9434B">
        <w:t>(OECD, 2019)</w:t>
      </w:r>
      <w:r w:rsidR="00A91326" w:rsidRPr="00A9434B">
        <w:fldChar w:fldCharType="end"/>
      </w:r>
      <w:r w:rsidR="003162B9" w:rsidRPr="00A9434B">
        <w:t xml:space="preserve"> of efforts to manage invasive alien species (</w:t>
      </w:r>
      <w:r w:rsidR="003162B9" w:rsidRPr="00673554">
        <w:rPr>
          <w:b/>
          <w:bCs/>
          <w:iCs/>
        </w:rPr>
        <w:t>Box 6.6</w:t>
      </w:r>
      <w:r w:rsidR="0006059A" w:rsidRPr="00D32F9A">
        <w:rPr>
          <w:bCs/>
        </w:rPr>
        <w:t>;</w:t>
      </w:r>
      <w:r w:rsidR="003162B9" w:rsidRPr="00673554">
        <w:rPr>
          <w:b/>
          <w:bCs/>
          <w:iCs/>
        </w:rPr>
        <w:t xml:space="preserve"> Figure 6.2</w:t>
      </w:r>
      <w:r w:rsidR="000B5738" w:rsidRPr="00673554">
        <w:rPr>
          <w:b/>
          <w:bCs/>
          <w:iCs/>
        </w:rPr>
        <w:t>2</w:t>
      </w:r>
      <w:r w:rsidR="003162B9" w:rsidRPr="00A9434B">
        <w:t>).</w:t>
      </w:r>
      <w:r>
        <w:t xml:space="preserve"> </w:t>
      </w:r>
    </w:p>
    <w:p w14:paraId="0D0A8450" w14:textId="77777777" w:rsidR="00017C04" w:rsidRDefault="00F50AF9" w:rsidP="003F3380">
      <w:pPr>
        <w:pBdr>
          <w:top w:val="single" w:sz="4" w:space="1" w:color="auto"/>
          <w:left w:val="single" w:sz="4" w:space="4" w:color="auto"/>
          <w:bottom w:val="single" w:sz="4" w:space="1" w:color="auto"/>
          <w:right w:val="single" w:sz="4" w:space="4" w:color="auto"/>
        </w:pBdr>
        <w:shd w:val="clear" w:color="auto" w:fill="E7E6E6" w:themeFill="background2"/>
      </w:pPr>
      <w:r>
        <w:rPr>
          <w:b/>
        </w:rPr>
        <w:t>Resource inputs</w:t>
      </w:r>
      <w:r>
        <w:t>: How much are governments and other responsible actors spending on invasive alien species management? What are the gaps in appropriately qualified, existing capacity and expertise that can be filled?</w:t>
      </w:r>
    </w:p>
    <w:p w14:paraId="6782A7C2" w14:textId="77777777" w:rsidR="00017C04" w:rsidRDefault="00F50AF9" w:rsidP="003F3380">
      <w:pPr>
        <w:pBdr>
          <w:top w:val="single" w:sz="4" w:space="1" w:color="auto"/>
          <w:left w:val="single" w:sz="4" w:space="4" w:color="auto"/>
          <w:bottom w:val="single" w:sz="4" w:space="1" w:color="auto"/>
          <w:right w:val="single" w:sz="4" w:space="4" w:color="auto"/>
        </w:pBdr>
        <w:shd w:val="clear" w:color="auto" w:fill="E7E6E6" w:themeFill="background2"/>
      </w:pPr>
      <w:r>
        <w:rPr>
          <w:b/>
        </w:rPr>
        <w:t>Processes</w:t>
      </w:r>
      <w:r>
        <w:t>: What coordination and oversight mechanisms are in place, from local communities to governments, to enable investment and ensure effective implementation of invasive alien species management?</w:t>
      </w:r>
    </w:p>
    <w:p w14:paraId="1A6AAE3F" w14:textId="77777777" w:rsidR="00017C04" w:rsidRDefault="00F50AF9" w:rsidP="003F3380">
      <w:pPr>
        <w:pBdr>
          <w:top w:val="single" w:sz="4" w:space="1" w:color="auto"/>
          <w:left w:val="single" w:sz="4" w:space="4" w:color="auto"/>
          <w:bottom w:val="single" w:sz="4" w:space="1" w:color="auto"/>
          <w:right w:val="single" w:sz="4" w:space="4" w:color="auto"/>
        </w:pBdr>
        <w:shd w:val="clear" w:color="auto" w:fill="E7E6E6" w:themeFill="background2"/>
      </w:pPr>
      <w:r>
        <w:rPr>
          <w:b/>
        </w:rPr>
        <w:t>Outputs and actions</w:t>
      </w:r>
      <w:r>
        <w:t>: What new or strengthened instruments are in place to improve policy coherence, to guide strategic investment and to adequately share and differentiate responsibilities for invasive alien species prevention and control?</w:t>
      </w:r>
    </w:p>
    <w:p w14:paraId="09AB6887" w14:textId="77777777" w:rsidR="00017C04" w:rsidRDefault="00F50AF9" w:rsidP="003F3380">
      <w:pPr>
        <w:pBdr>
          <w:top w:val="single" w:sz="4" w:space="1" w:color="auto"/>
          <w:left w:val="single" w:sz="4" w:space="4" w:color="auto"/>
          <w:bottom w:val="single" w:sz="4" w:space="1" w:color="auto"/>
          <w:right w:val="single" w:sz="4" w:space="4" w:color="auto"/>
        </w:pBdr>
        <w:shd w:val="clear" w:color="auto" w:fill="E7E6E6" w:themeFill="background2"/>
      </w:pPr>
      <w:r>
        <w:t>Outcomes: Has the rate of new introductions and newly established invasive alien species declined? Has their spread and impact been reduced?</w:t>
      </w:r>
    </w:p>
    <w:p w14:paraId="4E9AF208" w14:textId="77777777" w:rsidR="00C53EDD" w:rsidRDefault="00F50AF9" w:rsidP="003F3380">
      <w:pPr>
        <w:pBdr>
          <w:top w:val="single" w:sz="4" w:space="1" w:color="auto"/>
          <w:left w:val="single" w:sz="4" w:space="4" w:color="auto"/>
          <w:bottom w:val="single" w:sz="4" w:space="1" w:color="auto"/>
          <w:right w:val="single" w:sz="4" w:space="4" w:color="auto"/>
        </w:pBdr>
        <w:shd w:val="clear" w:color="auto" w:fill="E7E6E6" w:themeFill="background2"/>
      </w:pPr>
      <w:r>
        <w:t>A sustained information platform for invasive alien species can then deliver this information when it is needed and to where it is needed (</w:t>
      </w:r>
      <w:r>
        <w:rPr>
          <w:b/>
        </w:rPr>
        <w:t>section 6.6.2.4</w:t>
      </w:r>
      <w:r>
        <w:t xml:space="preserve">). With the data that are collated, instrumental indicators will be able to report on progress and, based on the knowledge they provide, to iteratively refine and improve the efficiency of responses (i.e., adaptive governance, planning and management; </w:t>
      </w:r>
      <w:r w:rsidR="00F27FC5" w:rsidRPr="00F27FC5">
        <w:rPr>
          <w:b/>
          <w:bCs/>
        </w:rPr>
        <w:t>Figure</w:t>
      </w:r>
      <w:r>
        <w:rPr>
          <w:b/>
        </w:rPr>
        <w:t xml:space="preserve"> 6.22</w:t>
      </w:r>
      <w:r>
        <w:t xml:space="preserve">). Together, this approach can catalyse the collection of the information most needed to manage invasive alien species, reduce uncertainty and improve efficiency in </w:t>
      </w:r>
      <w:r>
        <w:lastRenderedPageBreak/>
        <w:t>decision-making.</w:t>
      </w:r>
      <w:r>
        <w:rPr>
          <w:vertAlign w:val="superscript"/>
        </w:rPr>
        <w:t xml:space="preserve"> </w:t>
      </w:r>
      <w:r>
        <w:t>It can also support reporting on sustainable development and progress to meeting national and multilateral goals and targets for invasive alien species. Clearly linked to and embedded in national strategies for invasive alien species, this approach can leverage the responses needed to overcome current implementation gaps and provide a backbone for integrated governance.</w:t>
      </w:r>
      <w:bookmarkStart w:id="658" w:name="_heading=h.415t9al" w:colFirst="0" w:colLast="0"/>
      <w:bookmarkStart w:id="659" w:name="_Ref114158570"/>
      <w:bookmarkEnd w:id="658"/>
      <w:r>
        <w:rPr>
          <w:noProof/>
        </w:rPr>
        <w:drawing>
          <wp:inline distT="0" distB="0" distL="0" distR="0" wp14:anchorId="4A43845A" wp14:editId="1B394788">
            <wp:extent cx="6111240" cy="4714240"/>
            <wp:effectExtent l="0" t="0" r="0" b="0"/>
            <wp:docPr id="1868808419" name="image151.png" descr="A diagram of a strateg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1.png" descr="A diagram of a strategy&#10;&#10;Description automatically generated"/>
                    <pic:cNvPicPr preferRelativeResize="0"/>
                  </pic:nvPicPr>
                  <pic:blipFill>
                    <a:blip r:embed="rId58"/>
                    <a:srcRect/>
                    <a:stretch>
                      <a:fillRect/>
                    </a:stretch>
                  </pic:blipFill>
                  <pic:spPr>
                    <a:xfrm>
                      <a:off x="0" y="0"/>
                      <a:ext cx="6111240" cy="4714240"/>
                    </a:xfrm>
                    <a:prstGeom prst="rect">
                      <a:avLst/>
                    </a:prstGeom>
                    <a:ln/>
                  </pic:spPr>
                </pic:pic>
              </a:graphicData>
            </a:graphic>
          </wp:inline>
        </w:drawing>
      </w:r>
      <w:bookmarkStart w:id="660" w:name="_heading=h.2gb3jie" w:colFirst="0" w:colLast="0"/>
      <w:bookmarkEnd w:id="660"/>
    </w:p>
    <w:p w14:paraId="2B1CDDBE" w14:textId="3CE8EB62" w:rsidR="00017C04" w:rsidRDefault="00F50AF9" w:rsidP="00C53EDD">
      <w:pPr>
        <w:pBdr>
          <w:top w:val="single" w:sz="4" w:space="1" w:color="auto"/>
          <w:left w:val="single" w:sz="4" w:space="4" w:color="auto"/>
          <w:bottom w:val="single" w:sz="4" w:space="1" w:color="auto"/>
          <w:right w:val="single" w:sz="4" w:space="4" w:color="auto"/>
        </w:pBdr>
        <w:shd w:val="clear" w:color="auto" w:fill="E7E6E6" w:themeFill="background2"/>
      </w:pPr>
      <w:bookmarkStart w:id="661" w:name="_Toc147418317"/>
      <w:r>
        <w:rPr>
          <w:b/>
        </w:rPr>
        <w:t>Figure 6</w:t>
      </w:r>
      <w:r w:rsidR="003162B9" w:rsidRPr="00A9434B">
        <w:rPr>
          <w:rFonts w:eastAsia="Batang"/>
          <w:b/>
          <w:bCs/>
          <w:lang w:eastAsia="en-NZ"/>
        </w:rPr>
        <w:t>.</w:t>
      </w:r>
      <w:r w:rsidR="003162B9" w:rsidRPr="00A9434B">
        <w:rPr>
          <w:rFonts w:eastAsia="Batang"/>
          <w:b/>
          <w:bCs/>
          <w:lang w:eastAsia="en-NZ"/>
        </w:rPr>
        <w:fldChar w:fldCharType="begin"/>
      </w:r>
      <w:r w:rsidR="003162B9" w:rsidRPr="00A9434B">
        <w:rPr>
          <w:rFonts w:eastAsia="Batang"/>
          <w:b/>
          <w:bCs/>
          <w:lang w:eastAsia="en-NZ"/>
        </w:rPr>
        <w:instrText xml:space="preserve"> SEQ Figure_6. \* ARABIC </w:instrText>
      </w:r>
      <w:r w:rsidR="003162B9" w:rsidRPr="00A9434B">
        <w:rPr>
          <w:rFonts w:eastAsia="Batang"/>
          <w:b/>
          <w:bCs/>
          <w:lang w:eastAsia="en-NZ"/>
        </w:rPr>
        <w:fldChar w:fldCharType="separate"/>
      </w:r>
      <w:r w:rsidR="0011368C">
        <w:rPr>
          <w:rFonts w:eastAsia="Batang"/>
          <w:b/>
          <w:bCs/>
          <w:noProof/>
          <w:lang w:eastAsia="en-NZ"/>
        </w:rPr>
        <w:t>22</w:t>
      </w:r>
      <w:r w:rsidR="003162B9" w:rsidRPr="00A9434B">
        <w:rPr>
          <w:rFonts w:eastAsia="Batang"/>
          <w:b/>
          <w:bCs/>
          <w:lang w:eastAsia="en-NZ"/>
        </w:rPr>
        <w:fldChar w:fldCharType="end"/>
      </w:r>
      <w:bookmarkEnd w:id="659"/>
      <w:r w:rsidR="00DB299B" w:rsidRPr="00A9434B">
        <w:rPr>
          <w:rFonts w:eastAsia="Batang"/>
          <w:b/>
          <w:bCs/>
          <w:lang w:eastAsia="en-NZ"/>
        </w:rPr>
        <w:t>.</w:t>
      </w:r>
      <w:r>
        <w:rPr>
          <w:b/>
        </w:rPr>
        <w:t xml:space="preserve"> </w:t>
      </w:r>
      <w:r>
        <w:t>Monitoring progress in four types of responses to invasive alien species to leverage activity to overcome the implementation challenge.</w:t>
      </w:r>
      <w:r>
        <w:rPr>
          <w:b/>
        </w:rPr>
        <w:t xml:space="preserve"> </w:t>
      </w:r>
      <w:r>
        <w:t>If these responses are effective, they should manifest in a reduction in the numbers, spread, impacts and costs of invasive alien species.</w:t>
      </w:r>
      <w:bookmarkEnd w:id="661"/>
      <w:r>
        <w:t xml:space="preserve"> </w:t>
      </w:r>
    </w:p>
    <w:p w14:paraId="18F204B5" w14:textId="1D9F7F62" w:rsidR="003F3380" w:rsidRDefault="003F3380" w:rsidP="00C12647">
      <w:pPr>
        <w:pStyle w:val="Heading3"/>
        <w:ind w:left="720"/>
      </w:pPr>
      <w:r>
        <w:t>Sharing efforts and commitment, and understanding the specific role of all actors across governments, Indigenous Peoples and local communities, and industries</w:t>
      </w:r>
    </w:p>
    <w:p w14:paraId="17AB5F96" w14:textId="0B7446CC" w:rsidR="003F3380" w:rsidRDefault="003F3380" w:rsidP="003F3380">
      <w:r>
        <w:t>The principle of shared, connected</w:t>
      </w:r>
      <w:r w:rsidR="00EB415D">
        <w:t xml:space="preserve"> and</w:t>
      </w:r>
      <w:r>
        <w:t xml:space="preserve"> specific roles builds on the fact that individuals, communities, industry</w:t>
      </w:r>
      <w:r w:rsidR="00EB415D">
        <w:t xml:space="preserve"> and</w:t>
      </w:r>
      <w:r>
        <w:t xml:space="preserve"> governments share the benefits from nature and therefore also share the responsibility of mitigating the risks imposed by drivers of change such as invasive alien species. This definition is a contextual application of the international environmental law principle of common but differentiated responsibilities </w:t>
      </w:r>
      <w:r w:rsidRPr="00A9434B">
        <w:fldChar w:fldCharType="begin"/>
      </w:r>
      <w:r w:rsidR="002D2756">
        <w:instrText xml:space="preserve"> ADDIN ZOTERO_ITEM CSL_CITATION {"citationID":"a1tqgabhtbu","properties":{"formattedCitation":"(Stone, 2004)","plainCitation":"(Stone, 2004)","noteIndex":0},"citationItems":[{"id":53869,"uris":["http://zotero.org/groups/2352922/items/5XCRC4WF"],"itemData":{"id":53869,"type":"article-journal","container-title":"American Journal of International Law","DOI":"10.2307/3176729","ISSN":"0002-9300","issue":"2","note":"type: Journal Article","page":"276-301","title":"Common but differentiated responsibilities in international law","URL":"&lt;Go to ISI&gt;://WOS:000221520500002","volume":"98","author":[{"family":"Stone","given":"C. D."}],"issued":{"date-parts":[["2004"]]}},"label":"page"}],"schema":"https://github.com/citation-style-language/schema/raw/master/csl-citation.json"} </w:instrText>
      </w:r>
      <w:r w:rsidRPr="00A9434B">
        <w:fldChar w:fldCharType="separate"/>
      </w:r>
      <w:r w:rsidRPr="00A9434B">
        <w:t>(Stone, 2004)</w:t>
      </w:r>
      <w:r w:rsidRPr="00A9434B">
        <w:fldChar w:fldCharType="end"/>
      </w:r>
      <w:r>
        <w:t xml:space="preserve"> as it considers all parties as equally responsible for addressing the problem, but their knowledge and tasks are clearly differentiated based on their relationship to the problem; this is fundamental for a successful application of integrated governance for biological invasions (</w:t>
      </w:r>
      <w:r w:rsidRPr="00673554">
        <w:rPr>
          <w:b/>
          <w:iCs/>
        </w:rPr>
        <w:t>Figure</w:t>
      </w:r>
      <w:r w:rsidRPr="56C59A3A">
        <w:rPr>
          <w:b/>
          <w:bCs/>
        </w:rPr>
        <w:t xml:space="preserve"> 6.23</w:t>
      </w:r>
      <w:r>
        <w:t>).</w:t>
      </w:r>
    </w:p>
    <w:p w14:paraId="247EAA14" w14:textId="765E5F66" w:rsidR="003F3380" w:rsidRDefault="003F3380" w:rsidP="003F3380">
      <w:bookmarkStart w:id="662" w:name="_heading=h.4ekz59m"/>
      <w:bookmarkEnd w:id="662"/>
      <w:r>
        <w:t>The management of biological invasions is a collective effort where individuals, communities, industry</w:t>
      </w:r>
      <w:r w:rsidR="00EB415D">
        <w:t xml:space="preserve"> and</w:t>
      </w:r>
      <w:r>
        <w:t xml:space="preserve"> governmental agencies play a unique but coordinated role. Such coordination builds </w:t>
      </w:r>
      <w:r>
        <w:lastRenderedPageBreak/>
        <w:t>from engagement of all actors concerned with the mitigation needed to avoid environmental, economic</w:t>
      </w:r>
      <w:r w:rsidR="00EB415D">
        <w:t xml:space="preserve"> and</w:t>
      </w:r>
      <w:r>
        <w:t xml:space="preserve"> health impacts from invasive alien species (</w:t>
      </w:r>
      <w:r>
        <w:rPr>
          <w:b/>
          <w:bCs/>
        </w:rPr>
        <w:t>F</w:t>
      </w:r>
      <w:r w:rsidRPr="0B8DB0CC">
        <w:rPr>
          <w:b/>
          <w:bCs/>
        </w:rPr>
        <w:t>igure 6.23</w:t>
      </w:r>
      <w:r>
        <w:t xml:space="preserve">). </w:t>
      </w:r>
      <w:bookmarkStart w:id="663" w:name="_Hlk129683177"/>
      <w:r>
        <w:t>This can be achieved through a co-production approach that acknowledges that all stakeholders involved hold relevant knowledge and expertise; and that defines strategic connections between people, knowledge, governance approaches</w:t>
      </w:r>
      <w:r w:rsidR="00EB415D">
        <w:t xml:space="preserve"> and</w:t>
      </w:r>
      <w:r>
        <w:t xml:space="preserve"> policy instruments </w:t>
      </w:r>
      <w:r w:rsidRPr="00A9434B">
        <w:fldChar w:fldCharType="begin"/>
      </w:r>
      <w:r w:rsidR="002D2756">
        <w:instrText xml:space="preserve"> ADDIN ZOTERO_ITEM CSL_CITATION {"citationID":"YjktJfQo","properties":{"formattedCitation":"(Lemos et al., 2018; Turnhout et al., 2020)","plainCitation":"(Lemos et al., 2018; Turnhout et al., 2020)","noteIndex":0},"citationItems":[{"id":54810,"uris":["http://zotero.org/groups/2352922/items/WB8CCLVT"],"itemData":{"id":54810,"type":"article-journal","container-title":"Nature Sustainability","DOI":"10.1038/s41893-018-0191-0","issue":"12","note":"ISBN: 2398-9629\npublisher: Nature Publishing Group UK London","page":"722-724","title":"To co-produce or not to co-produce","volume":"1","author":[{"family":"Lemos","given":"Maria Carmen"},{"family":"Arnott","given":"James C."},{"family":"Ardoin","given":"Nicole M."},{"family":"Baja","given":"Kristin"},{"family":"Bednarek","given":"Angela T."},{"family":"Dewulf","given":"Art"},{"family":"Fieseler","given":"Clare"},{"family":"Goodrich","given":"Kristen A."},{"family":"Jagannathan","given":"Kripa"},{"family":"Klenk","given":"Nicole"},{"family":"Mach","given":"Katharine J."},{"family":"Meadow","given":"Alison M."},{"family":"Meyer","given":"Ryan"},{"family":"Moss","given":"Richard"},{"family":"Nichols","given":"Leah"},{"family":"Sjostrom","given":"K. Dana"},{"family":"Stults","given":"Missy"},{"family":"Turnhout","given":"Esther"},{"family":"Vaughan","given":"Catherine"},{"family":"Wong-Parodi","given":"Gabrielle"},{"family":"Wyborn","given":"Carina"}],"issued":{"date-parts":[["2018"]]}},"label":"page"},{"id":54815,"uris":["http://zotero.org/groups/2352922/items/4GX7PSPG"],"itemData":{"id":54815,"type":"article-journal","container-title":"Current Opinion in Environmental Sustainability","DOI":"10.1016/j.cosust.2019.11.009","note":"ISBN: 1877-3435\npublisher: Elsevier","page":"15-21","title":"The politics of co-production: participation, power, and transformation","volume":"42","author":[{"family":"Turnhout","given":"Esther"},{"family":"Metze","given":"Tamara"},{"family":"Wyborn","given":"Carina"},{"family":"Klenk","given":"Nicole"},{"family":"Louder","given":"Elena"}],"issued":{"date-parts":[["2020"]]}},"label":"page"}],"schema":"https://github.com/citation-style-language/schema/raw/master/csl-citation.json"} </w:instrText>
      </w:r>
      <w:r w:rsidRPr="00A9434B">
        <w:fldChar w:fldCharType="separate"/>
      </w:r>
      <w:r w:rsidRPr="00A9434B">
        <w:t>(Lemos et al., 2018; Turnhout et al., 2020)</w:t>
      </w:r>
      <w:r w:rsidRPr="00A9434B">
        <w:fldChar w:fldCharType="end"/>
      </w:r>
      <w:r w:rsidRPr="00A9434B">
        <w:t>.</w:t>
      </w:r>
      <w:bookmarkEnd w:id="663"/>
    </w:p>
    <w:p w14:paraId="2A4F77AA" w14:textId="4EB3D55A" w:rsidR="003F3380" w:rsidRDefault="003F3380" w:rsidP="003F3380">
      <w:r>
        <w:t>Concrete actions by industries involved in potential pathways for invasive alien species are necessary to increase compliance with current legislation, and voluntary codes of practice can limit the biosecurity risks posed by industrial actors. International organizations can help here: for example, tourism can operate as a pathway</w:t>
      </w:r>
      <w:r w:rsidR="00EB415D">
        <w:t xml:space="preserve"> and</w:t>
      </w:r>
      <w:r>
        <w:t xml:space="preserve"> the World Tourism Organization (UNWTO) was asked </w:t>
      </w:r>
      <w:r w:rsidR="006F2BE1">
        <w:t>at CBD</w:t>
      </w:r>
      <w:r>
        <w:t xml:space="preserve"> COP15 to examine collaborative efforts to reduce invasive alien species introductions. The engagement of the general public via citizen science platforms, awareness campaigns, or community-driven eradication campaigns is critical for generating shared </w:t>
      </w:r>
      <w:r w:rsidRPr="0B8DB0CC">
        <w:rPr>
          <w:color w:val="000000" w:themeColor="text1"/>
        </w:rPr>
        <w:t xml:space="preserve">efforts </w:t>
      </w:r>
      <w:r w:rsidRPr="00C12647">
        <w:rPr>
          <w:color w:val="000000" w:themeColor="text1"/>
        </w:rPr>
        <w:t xml:space="preserve">and </w:t>
      </w:r>
      <w:r w:rsidRPr="0B8DB0CC">
        <w:rPr>
          <w:color w:val="000000" w:themeColor="text1"/>
        </w:rPr>
        <w:t xml:space="preserve">commitments by understanding the specific role of all actors play </w:t>
      </w:r>
      <w:r>
        <w:t>for addressing the invasive alien species problem. Also critical is the context-contingent involvement of specific stakeholders (e.g., agriculture producers, hobby associations, leisure groups) and Indigenous Peoples and local communities. The engagement and empowering of Indigenous Peoples and local communities is a crucial part of developing inclusive systems that recognize the rights of these communities and their knowledge, practices</w:t>
      </w:r>
      <w:r w:rsidR="00EB415D">
        <w:t xml:space="preserve"> and</w:t>
      </w:r>
      <w:r>
        <w:t xml:space="preserve"> values in the management of biological invasions. Such engagement strategies can generate ownership of biological invasion management while supplementing surveillance and management efforts.</w:t>
      </w:r>
    </w:p>
    <w:p w14:paraId="45AE89A7" w14:textId="3CE6AAA3" w:rsidR="003F3380" w:rsidRDefault="00CB2957" w:rsidP="003F3380">
      <w:pPr>
        <w:keepNext/>
        <w:jc w:val="both"/>
      </w:pPr>
      <w:r w:rsidRPr="00CB2957">
        <w:rPr>
          <w:noProof/>
        </w:rPr>
        <w:drawing>
          <wp:inline distT="0" distB="0" distL="0" distR="0" wp14:anchorId="7D2E23B0" wp14:editId="59AF61B2">
            <wp:extent cx="6111240" cy="4326255"/>
            <wp:effectExtent l="0" t="0" r="0" b="4445"/>
            <wp:docPr id="6" name="Picture 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diagram&#10;&#10;Description automatically generated"/>
                    <pic:cNvPicPr/>
                  </pic:nvPicPr>
                  <pic:blipFill>
                    <a:blip r:embed="rId59"/>
                    <a:stretch>
                      <a:fillRect/>
                    </a:stretch>
                  </pic:blipFill>
                  <pic:spPr>
                    <a:xfrm>
                      <a:off x="0" y="0"/>
                      <a:ext cx="6111240" cy="4326255"/>
                    </a:xfrm>
                    <a:prstGeom prst="rect">
                      <a:avLst/>
                    </a:prstGeom>
                  </pic:spPr>
                </pic:pic>
              </a:graphicData>
            </a:graphic>
          </wp:inline>
        </w:drawing>
      </w:r>
    </w:p>
    <w:p w14:paraId="53E39DCA" w14:textId="0FAE751D" w:rsidR="003F3380" w:rsidRPr="00C12647" w:rsidRDefault="003F3380" w:rsidP="003F3380">
      <w:pPr>
        <w:keepNext/>
        <w:pBdr>
          <w:top w:val="nil"/>
          <w:left w:val="nil"/>
          <w:bottom w:val="nil"/>
          <w:right w:val="nil"/>
          <w:between w:val="nil"/>
        </w:pBdr>
        <w:rPr>
          <w:color w:val="000000"/>
        </w:rPr>
      </w:pPr>
      <w:bookmarkStart w:id="664" w:name="_heading=h.2tq9fhf" w:colFirst="0" w:colLast="0"/>
      <w:bookmarkStart w:id="665" w:name="_Toc147418318"/>
      <w:bookmarkEnd w:id="664"/>
      <w:r w:rsidRPr="003F3380">
        <w:rPr>
          <w:b/>
          <w:color w:val="000000"/>
        </w:rPr>
        <w:t>Figure 6</w:t>
      </w:r>
      <w:r w:rsidRPr="003F3380">
        <w:rPr>
          <w:b/>
        </w:rPr>
        <w:t>.</w:t>
      </w:r>
      <w:r w:rsidRPr="003F3380">
        <w:rPr>
          <w:b/>
        </w:rPr>
        <w:fldChar w:fldCharType="begin"/>
      </w:r>
      <w:r w:rsidRPr="003F3380">
        <w:rPr>
          <w:b/>
        </w:rPr>
        <w:instrText xml:space="preserve"> SEQ Figure_6. \* ARABIC </w:instrText>
      </w:r>
      <w:r w:rsidRPr="003F3380">
        <w:rPr>
          <w:b/>
        </w:rPr>
        <w:fldChar w:fldCharType="separate"/>
      </w:r>
      <w:r w:rsidRPr="003F3380">
        <w:rPr>
          <w:b/>
          <w:noProof/>
        </w:rPr>
        <w:t>23</w:t>
      </w:r>
      <w:r w:rsidRPr="003F3380">
        <w:rPr>
          <w:b/>
        </w:rPr>
        <w:fldChar w:fldCharType="end"/>
      </w:r>
      <w:r w:rsidRPr="003F3380">
        <w:rPr>
          <w:b/>
        </w:rPr>
        <w:t>.</w:t>
      </w:r>
      <w:r w:rsidRPr="00A9434B">
        <w:t xml:space="preserve"> Shar</w:t>
      </w:r>
      <w:r>
        <w:t>ing</w:t>
      </w:r>
      <w:r w:rsidRPr="00C12647">
        <w:rPr>
          <w:color w:val="000000"/>
        </w:rPr>
        <w:t xml:space="preserve"> </w:t>
      </w:r>
      <w:r w:rsidR="00351A46">
        <w:rPr>
          <w:color w:val="000000"/>
        </w:rPr>
        <w:t xml:space="preserve">efforts </w:t>
      </w:r>
      <w:r w:rsidRPr="00C12647">
        <w:rPr>
          <w:color w:val="000000"/>
        </w:rPr>
        <w:t xml:space="preserve">and </w:t>
      </w:r>
      <w:r w:rsidRPr="008824DA">
        <w:rPr>
          <w:color w:val="000000"/>
        </w:rPr>
        <w:t>commitment</w:t>
      </w:r>
      <w:r w:rsidR="00351A46">
        <w:rPr>
          <w:color w:val="000000"/>
        </w:rPr>
        <w:t>s</w:t>
      </w:r>
      <w:r>
        <w:rPr>
          <w:color w:val="000000"/>
        </w:rPr>
        <w:t>,</w:t>
      </w:r>
      <w:r w:rsidRPr="008824DA">
        <w:rPr>
          <w:color w:val="000000"/>
        </w:rPr>
        <w:t xml:space="preserve"> and understanding the specific role of all actors </w:t>
      </w:r>
      <w:r w:rsidRPr="00C12647">
        <w:rPr>
          <w:color w:val="000000"/>
        </w:rPr>
        <w:t>for the prevention and control of invasive alien species</w:t>
      </w:r>
      <w:r>
        <w:rPr>
          <w:color w:val="000000"/>
        </w:rPr>
        <w:t>. This approach</w:t>
      </w:r>
      <w:r w:rsidRPr="00C12647">
        <w:rPr>
          <w:color w:val="000000"/>
        </w:rPr>
        <w:t xml:space="preserve"> emphasizes that people, knowledge, governance</w:t>
      </w:r>
      <w:r w:rsidR="00EB415D">
        <w:rPr>
          <w:color w:val="000000"/>
        </w:rPr>
        <w:t xml:space="preserve"> and</w:t>
      </w:r>
      <w:r w:rsidRPr="00C12647">
        <w:rPr>
          <w:color w:val="000000"/>
        </w:rPr>
        <w:t xml:space="preserve"> policy instruments have a specific role and need to be connected. The </w:t>
      </w:r>
      <w:r w:rsidRPr="00C12647">
        <w:rPr>
          <w:color w:val="000000"/>
        </w:rPr>
        <w:lastRenderedPageBreak/>
        <w:t xml:space="preserve">shared </w:t>
      </w:r>
      <w:r w:rsidRPr="009E60F2">
        <w:rPr>
          <w:color w:val="000000"/>
        </w:rPr>
        <w:t>efforts and commitments</w:t>
      </w:r>
      <w:r>
        <w:rPr>
          <w:color w:val="000000"/>
        </w:rPr>
        <w:t xml:space="preserve"> </w:t>
      </w:r>
      <w:r w:rsidRPr="00C12647">
        <w:rPr>
          <w:color w:val="000000"/>
        </w:rPr>
        <w:t xml:space="preserve">principle means that all actors are part of the solution, so that actions to manage invasive alien species are connected (i.e., there is effective flow of communication between all </w:t>
      </w:r>
      <w:r>
        <w:rPr>
          <w:color w:val="000000"/>
        </w:rPr>
        <w:t>actors</w:t>
      </w:r>
      <w:r w:rsidRPr="00C12647">
        <w:rPr>
          <w:color w:val="000000"/>
        </w:rPr>
        <w:t>) between people, knowledge, governance approaches</w:t>
      </w:r>
      <w:r w:rsidR="00EB415D">
        <w:rPr>
          <w:color w:val="000000"/>
        </w:rPr>
        <w:t xml:space="preserve"> and</w:t>
      </w:r>
      <w:r w:rsidRPr="00C12647">
        <w:rPr>
          <w:color w:val="000000"/>
        </w:rPr>
        <w:t xml:space="preserve"> policy instruments. </w:t>
      </w:r>
      <w:r>
        <w:rPr>
          <w:color w:val="000000"/>
        </w:rPr>
        <w:t xml:space="preserve">The </w:t>
      </w:r>
      <w:r w:rsidRPr="009E60F2">
        <w:rPr>
          <w:color w:val="000000"/>
        </w:rPr>
        <w:t>understanding of the specific roles of all actors</w:t>
      </w:r>
      <w:r>
        <w:rPr>
          <w:color w:val="000000"/>
        </w:rPr>
        <w:t>, is an idea</w:t>
      </w:r>
      <w:r w:rsidRPr="00C12647">
        <w:rPr>
          <w:color w:val="000000"/>
        </w:rPr>
        <w:t xml:space="preserve"> based on the principle that every institution and stakeholder have a specific part to play in the coordinated and coherent strategy that is the integrated governance for biological invasions.</w:t>
      </w:r>
      <w:bookmarkEnd w:id="665"/>
      <w:r w:rsidRPr="00C12647">
        <w:rPr>
          <w:color w:val="000000"/>
        </w:rPr>
        <w:t xml:space="preserve"> </w:t>
      </w:r>
    </w:p>
    <w:p w14:paraId="6FBD41B0" w14:textId="16BFFC36" w:rsidR="003F3380" w:rsidRDefault="003F3380" w:rsidP="003F3380">
      <w:pPr>
        <w:pStyle w:val="Heading3"/>
        <w:ind w:left="720"/>
      </w:pPr>
      <w:r>
        <w:t>Improving policy coherence</w:t>
      </w:r>
    </w:p>
    <w:p w14:paraId="4A8DEF21" w14:textId="77777777" w:rsidR="003F3380" w:rsidRDefault="003F3380" w:rsidP="003F3380">
      <w:pPr>
        <w:pStyle w:val="Heading5"/>
      </w:pPr>
      <w:r>
        <w:t>Global environmental change (with climate change as an example)</w:t>
      </w:r>
    </w:p>
    <w:p w14:paraId="421B97EF" w14:textId="364446F1" w:rsidR="003F3380" w:rsidRDefault="003F3380" w:rsidP="003F3380">
      <w:pPr>
        <w:spacing w:before="0"/>
      </w:pPr>
      <w:r>
        <w:t xml:space="preserve">Invasive alien species impacts can compound the negative effects of climate change on good quality of life, acknowledging that this outcome is dependent on the species, regions and local conditions involved (e.g., </w:t>
      </w:r>
      <w:r w:rsidRPr="00A9434B">
        <w:fldChar w:fldCharType="begin"/>
      </w:r>
      <w:r w:rsidR="002D2756">
        <w:instrText xml:space="preserve"> ADDIN ZOTERO_ITEM CSL_CITATION {"citationID":"5OhYtHxI","properties":{"formattedCitation":"(Bradley &amp; Wilcove, 2009; Shabani et al., 2020)","plainCitation":"(Bradley &amp; Wilcove, 2009; Shabani et al., 2020)","dontUpdate":true,"noteIndex":0},"citationItems":[{"id":15306,"uris":["http://zotero.org/groups/2352922/items/LDUXNQQ7"],"itemData":{"id":15306,"type":"article-journal","abstract":"Most ecologists believe that climate change poses a significant threat to the persistence of native species. However, in some areas climate change may reduce or eliminate non-native invasive species, creating opportunities for restoration. If invasive species are no longer suited to novel climate conditions, the native communities that they replaced may not be viable either. If neither invasive nor native species are climatically viable, a type of “transformative” restoration will be required, involving the translocation of novel species that can survive and reproduce under new climate conditions. Here, we illustrate one approach for restoration planning by using bioclimatic envelope modeling to identify restoration opportunities in the western United States, where the invasive plant cheatgrass (Bromus tectorum) is no longer climatically viable under 2100 conditions projected by the Geophysical Fluid Dynamics Laboratory (GFDL2.1) coupled atmosphere-ocean general circulation model. We then select one example of a restoration target area and identify novel plant species that could become viable at the site in the wake of climate change. We do so by identifying the closest sites that currently have climate conditions similar to those projected at the restoration target area in 2100. This approach is a first step toward identifying appropriate species for transformative restoration.","container-title":"Restoration Ecology","DOI":"10.1111/j.1526-100X.2009.00586.x","ISSN":"1526-100X","issue":"5","language":"en","license":"© 2009 Society for Ecological Restoration International","page":"715-721","source":"Wiley Online Library","title":"When Invasive Plants Disappear: Transformative Restoration Possibilities in the Western United States Resulting from Climate Change","title-short":"When Invasive Plants Disappear","URL":"https://onlinelibrary.wiley.com/doi/abs/10.1111/j.1526-100X.2009.00586.x","volume":"17","author":[{"family":"Bradley","given":"Bethany A."},{"family":"Wilcove","given":"David S."}],"accessed":{"date-parts":[["2019",9,20]]},"issued":{"date-parts":[["2009"]]}},"label":"page"},{"id":53872,"uris":["http://zotero.org/groups/2352922/items/JCM8YQP5"],"itemData":{"id":53872,"type":"article-journal","abstract":"Invasive weed species (IWS) threaten ecosystems, the distribution of specific plant species, as well as agricultural productivity. Predicting the impact of climate change on the current and future distributions of these unwanted species forms an important category of ecological research. Our study investigated 32 globally important IWS to assess whether climate alteration may lead to spatial changes in the overlapping of specific IWS globally. We utilized the versatile species distribution model MaxEnt, coupled with Geographic Information Systems, to evaluate the potential alterations (gain/loss/static) in the number of potential ecoregion invasions by IWS, under four Representative Concentration Pathways, which differ in terms of predicted year of peak greenhouse gas emission. We based our projection on a forecast of climatic variables (extracted from WorldClim) from two global circulation models (CCSM4 and MIROC-ESM). Initially, we modeled current climatic suitability of habitat, individually for each of the 32 IWS, identifying those with a common spatial range of suitability. Thereafter, we modeled the suitability of all 32 species under the projected climate for 2050, incorporating each of the four Representative Concentration Pathways (2.6, 4.5, 6.0, and 8.5) in separate models, again examining the common spatial overlaps. The discrimination capacity and accuracy of the model were assessed for all 32 IWS individually, using the area under the curve and true skill statistic rate, with results averaging 0.87 and 0.75 respectively, indicating a high level of accuracy. Our final methodological step compared the extent of the overlaps and alterations under the current and future projected climates. Our results mainly predicted decrease on a global scale, in areas of habitat suitable for most IWS, under future climatic conditions, excluding European countries, northern Brazil, eastern US, and south-eastern Australia. The following should be considered when interpreting these results: there are many inherent assumptions and limitations in presence-only data of this type, as well as with the modeling techniques projecting climate conditions, and the envelopes themselves, such as scale and resolution mismatches, dispersal barriers, lack of documentation on potential disturbances, and unknown or unforeseen biotic interactions.","container-title":"Ecological Indicators","DOI":"10.1016/j.ecolind.2020.106436","ISSN":"1470-160x","note":"type: Journal Article","page":"106436","title":"Invasive weed species' threats to global biodiversity: Future scenarios of changes in the number of invasive species in a changing climate","URL":"&lt;Go to ISI&gt;://WOS:000540274100001","volume":"116","author":[{"family":"Shabani","given":"F."},{"family":"Ahmadi","given":"M."},{"family":"Kumar","given":"L."},{"family":"Solhjouy-fard","given":"S."},{"family":"Tehrany","given":"M. S."},{"family":"Shabani","given":"F."},{"family":"Kalantar","given":"B."},{"family":"Esmaeili","given":"A."}],"issued":{"date-parts":[["2020"]]}},"label":"page"}],"schema":"https://github.com/citation-style-language/schema/raw/master/csl-citation.json"} </w:instrText>
      </w:r>
      <w:r w:rsidRPr="00A9434B">
        <w:fldChar w:fldCharType="separate"/>
      </w:r>
      <w:r w:rsidRPr="00F55BC6">
        <w:t>Bradley &amp; Wilcove, 2009; Shabani et al., 2020)</w:t>
      </w:r>
      <w:r w:rsidRPr="00A9434B">
        <w:fldChar w:fldCharType="end"/>
      </w:r>
      <w:r w:rsidRPr="00A9434B">
        <w:t xml:space="preserve">. It is important that the transformative change needed to prevent and control </w:t>
      </w:r>
      <w:r>
        <w:t xml:space="preserve">invasive alien species </w:t>
      </w:r>
      <w:r w:rsidRPr="00A9434B">
        <w:t>is not neglected in the current context of a necessarily strong policy focus on climate change.</w:t>
      </w:r>
      <w:r>
        <w:t xml:space="preserve"> The direct effect</w:t>
      </w:r>
      <w:r w:rsidR="006F2BE1">
        <w:t>s</w:t>
      </w:r>
      <w:r>
        <w:t xml:space="preserve"> of invasive alien species on biodiversity are one of the ways in which the consequences of climate change are translated into direct negative outcomes for nature’s contributions to people and good quality of life. Although invasive alien species and climate change are projected to affect fewer species than land-use change, these drivers can interact to become critically important at local scales and can impact people directly </w:t>
      </w:r>
      <w:r w:rsidRPr="00A9434B">
        <w:fldChar w:fldCharType="begin"/>
      </w:r>
      <w:r w:rsidR="002D2756">
        <w:instrText xml:space="preserve"> ADDIN ZOTERO_ITEM CSL_CITATION {"citationID":"aegnupomtk","properties":{"formattedCitation":"(Lecl\\uc0\\u232{}re et al., 2020)","plainCitation":"(Leclère et al., 2020)","noteIndex":0},"citationItems":[{"id":53345,"uris":["http://zotero.org/groups/2352922/items/4E8TKIL5"],"itemData":{"id":53345,"type":"article-journal","container-title":"Nature","DOI":"10.1038/s41586-020-2705-y","ISSN":"0028-0836, 1476-4687","issue":"7826","journalAbbreviation":"Nature","language":"en","page":"551-556","source":"DOI.org (Crossref)","title":"Bending the curve of terrestrial biodiversity needs an integrated strategy","URL":"https://www.nature.com/articles/s41586-020-2705-y","volume":"585","author":[{"family":"Leclère","given":"David"},{"family":"Obersteiner","given":"Michael"},{"family":"Barrett","given":"Mike"},{"family":"Butchart","given":"Stuart H. M."},{"family":"Chaudhary","given":"Abhishek"},{"family":"De Palma","given":"Adriana"},{"family":"DeClerck","given":"Fabrice A. J."},{"family":"Di Marco","given":"Moreno"},{"family":"Doelman","given":"Jonathan C."},{"family":"Dürauer","given":"Martina"},{"family":"Freeman","given":"Robin"},{"family":"Harfoot","given":"Michael"},{"family":"Hasegawa","given":"Tomoko"},{"family":"Hellweg","given":"Stefanie"},{"family":"Hilbers","given":"Jelle P."},{"family":"Hill","given":"Samantha L. L."},{"family":"Humpenöder","given":"Florian"},{"family":"Jennings","given":"Nancy"},{"family":"Krisztin","given":"Tamás"},{"family":"Mace","given":"Georgina M."},{"family":"Ohashi","given":"Haruka"},{"family":"Popp","given":"Alexander"},{"family":"Purvis","given":"Andy"},{"family":"Schipper","given":"Aafke M."},{"family":"Tabeau","given":"Andrzej"},{"family":"Valin","given":"Hugo"},{"family":"Meijl","given":"Hans","non-dropping-particle":"van"},{"family":"Zeist","given":"Willem-Jan","non-dropping-particle":"van"},{"family":"Visconti","given":"Piero"},{"family":"Alkemade","given":"Rob"},{"family":"Almond","given":"Rosamunde"},{"family":"Bunting","given":"Gill"},{"family":"Burgess","given":"Neil D."},{"family":"Cornell","given":"Sarah E."},{"family":"Di Fulvio","given":"Fulvio"},{"family":"Ferrier","given":"Simon"},{"family":"Fritz","given":"Steffen"},{"family":"Fujimori","given":"Shinichiro"},{"family":"Grooten","given":"Monique"},{"family":"Harwood","given":"Thomas"},{"family":"Havlík","given":"Petr"},{"family":"Herrero","given":"Mario"},{"family":"Hoskins","given":"Andrew J."},{"family":"Jung","given":"Martin"},{"family":"Kram","given":"Tom"},{"family":"Lotze-Campen","given":"Hermann"},{"family":"Matsui","given":"Tetsuya"},{"family":"Meyer","given":"Carsten"},{"family":"Nel","given":"Deon"},{"family":"Newbold","given":"Tim"},{"family":"Schmidt-Traub","given":"Guido"},{"family":"Stehfest","given":"Elke"},{"family":"Strassburg","given":"Bernardo B. N."},{"family":"Vuuren","given":"Detlef P.","non-dropping-particle":"van"},{"family":"Ware","given":"Chris"},{"family":"Watson","given":"James E. M."},{"family":"Wu","given":"Wenchao"},{"family":"Young","given":"Lucy"}],"accessed":{"date-parts":[["2022",9,15]]},"issued":{"date-parts":[["2020",9,24]]}},"label":"page"}],"schema":"https://github.com/citation-style-language/schema/raw/master/csl-citation.json"} </w:instrText>
      </w:r>
      <w:r w:rsidRPr="00A9434B">
        <w:fldChar w:fldCharType="separate"/>
      </w:r>
      <w:r w:rsidRPr="00A9434B">
        <w:t>(Leclère et al., 2020)</w:t>
      </w:r>
      <w:r w:rsidRPr="00A9434B">
        <w:fldChar w:fldCharType="end"/>
      </w:r>
      <w:r w:rsidRPr="00A9434B">
        <w:t>.</w:t>
      </w:r>
      <w:r>
        <w:t xml:space="preserve"> The integration of invasive alien species and climate change policy considerations through environmental governance more broadly are options supported by a groundswell in forward-looking thinking and strategy on how to achieve environmental sustainability. </w:t>
      </w:r>
      <w:bookmarkStart w:id="666" w:name="_Hlk86690003"/>
      <w:r>
        <w:t>The integrated governance approach that focusses attention on the intersections, linkages</w:t>
      </w:r>
      <w:r w:rsidR="00EB415D">
        <w:t xml:space="preserve"> and</w:t>
      </w:r>
      <w:r>
        <w:t xml:space="preserve"> trade-offs </w:t>
      </w:r>
      <w:bookmarkEnd w:id="666"/>
      <w:r>
        <w:t xml:space="preserve">– and the research, policy and governance instruments needed to achieve complex objectives – is an option for advancing this ambition </w:t>
      </w:r>
      <w:r w:rsidRPr="00A9434B">
        <w:fldChar w:fldCharType="begin"/>
      </w:r>
      <w:r w:rsidR="002D2756">
        <w:instrText xml:space="preserve"> ADDIN ZOTERO_ITEM CSL_CITATION {"citationID":"a27jb8305hr","properties":{"formattedCitation":"(J. Liu, Dou, et al., 2018)","plainCitation":"(J. Liu, Dou, et al., 2018)","noteIndex":0},"citationItems":[{"id":24033,"uris":["http://zotero.org/groups/2352922/items/BG76YHBC"],"itemData":{"id":24033,"type":"article-journal","container-title":"Current Opinion in Environmental Sustainability","DOI":"10.1016/j.cosust.2018.04.009","ISSN":"1877-3435","page":"58-69","title":"Spillover systems in a telecoupled Anthropocene: typology, methods, and governance for global sustainability","volume":"33","author":[{"family":"Liu","given":"Jianguo"},{"family":"Dou","given":"Yue"},{"family":"Batistella","given":"Mateus"},{"family":"Challies","given":"Edward"},{"family":"Connor","given":"Thomas"},{"family":"Friis","given":"Cecilie"},{"family":"Millington","given":"James D. A."},{"family":"Parish","given":"Esther"},{"family":"Romulo","given":"Chelsie L."},{"family":"Bicudo Silva","given":"Ramon Felipe"},{"family":"Triezenberg","given":"Heather"},{"family":"Yang","given":"Hongbo"},{"family":"Zhao","given":"Zhiqiang"},{"family":"Zimmerer","given":"Karl S."},{"family":"Huettmann","given":"Falk"},{"family":"Treglia","given":"Michael L."},{"family":"Basher","given":"Zeenatul"},{"family":"Chung","given":"Min Gon"},{"family":"Herzberger","given":"Anna"},{"family":"Lenschow","given":"Andrea"},{"family":"Mechiche-Alami","given":"Altaaf"},{"family":"Newig","given":"Jens"},{"family":"Roche","given":"James"},{"family":"Sun","given":"Jing"}],"issued":{"date-parts":[["2018",8]]}},"label":"page"}],"schema":"https://github.com/citation-style-language/schema/raw/master/csl-citation.json"} </w:instrText>
      </w:r>
      <w:r w:rsidRPr="00A9434B">
        <w:fldChar w:fldCharType="separate"/>
      </w:r>
      <w:r w:rsidRPr="00A9434B">
        <w:t>(J. Liu, Dou, et al., 2018)</w:t>
      </w:r>
      <w:r w:rsidRPr="00A9434B">
        <w:fldChar w:fldCharType="end"/>
      </w:r>
      <w:r w:rsidRPr="00A9434B">
        <w:t xml:space="preserve">. </w:t>
      </w:r>
      <w:r>
        <w:t xml:space="preserve">The exploration of governance arrangements across many different goals and drivers of change is an option for overcoming the multiple needs for building and maintaining reflexive (learning by self-reflection) governance capacity </w:t>
      </w:r>
      <w:r w:rsidRPr="00A9434B">
        <w:fldChar w:fldCharType="begin"/>
      </w:r>
      <w:r w:rsidR="002D2756">
        <w:instrText xml:space="preserve"> ADDIN ZOTERO_ITEM CSL_CITATION {"citationID":"ao8vjluv8f","properties":{"formattedCitation":"(Clark &amp; Harley, 2020)","plainCitation":"(Clark &amp; Harley, 2020)","noteIndex":0},"citationItems":[{"id":10826,"uris":["http://zotero.org/groups/2352922/items/7TPK5I9V"],"itemData":{"id":10826,"type":"article-journal","abstract":"This review synthesizes diverse approaches that researchers have brought to bear on the challenge of sustainable development. We construct an integrated framework highlighting the union set of elements and relationships that those approaches have shown to be useful in explaining nature–society interactions in multiple contexts. Compelling evidence has accumulated that those interactions should be viewed as a globally interconnected, complex adaptive system in which heterogeneity, nonlinearity, and innovation play formative roles. The long-term evolution of that system cannot be predicted but can be understood and partially guided through dynamic interventions. Research has identified six capacities necessary to support such interventions in guiding development pathways toward sustainability. These are capacities to ( a) measure sustainable development, ( b) promote equity, ( c) adapt to shocks and surprises, ( d) transform the system into more sustainable development pathways, ( e) link knowledge with action, and ( f) devise governance arrangements that allow people to work together in exercising the other capacities.","container-title":"Annual Review of Environment and Resources","DOI":"10.1146/annurev-environ-012420-043621","ISSN":"1543-5938, 1545-2050","issue":"1","journalAbbreviation":"Annu. Rev. Environ. Resour.","language":"en","page":"331-386","source":"DOI.org (Crossref)","title":"Sustainability Science: Toward a Synthesis","title-short":"Sustainability Science","URL":"https://www.annualreviews.org/doi/10.1146/annurev-environ-012420-043621","volume":"45","author":[{"family":"Clark","given":"William C."},{"family":"Harley","given":"Alicia G."}],"accessed":{"date-parts":[["2021",6,16]]},"issued":{"date-parts":[["2020",10,17]]}},"label":"page"}],"schema":"https://github.com/citation-style-language/schema/raw/master/csl-citation.json"} </w:instrText>
      </w:r>
      <w:r w:rsidRPr="00A9434B">
        <w:fldChar w:fldCharType="separate"/>
      </w:r>
      <w:r w:rsidRPr="00A9434B">
        <w:t>(Clark &amp; Harley, 2020)</w:t>
      </w:r>
      <w:r w:rsidRPr="00A9434B">
        <w:fldChar w:fldCharType="end"/>
      </w:r>
      <w:r w:rsidRPr="00A9434B">
        <w:t>.</w:t>
      </w:r>
    </w:p>
    <w:p w14:paraId="37A08896" w14:textId="77777777" w:rsidR="003F3380" w:rsidRDefault="003F3380" w:rsidP="003F3380">
      <w:pPr>
        <w:pStyle w:val="Heading5"/>
      </w:pPr>
      <w:r>
        <w:t>Coherence between sectorial policies and institutions</w:t>
      </w:r>
    </w:p>
    <w:p w14:paraId="47CB7511" w14:textId="3B4A49BF" w:rsidR="003F3380" w:rsidRPr="00C12647" w:rsidRDefault="003F3380" w:rsidP="003F3380">
      <w:pPr>
        <w:spacing w:before="0"/>
      </w:pPr>
      <w:r>
        <w:t>One of the main reasons behind the current failures to address biological invasions has been the strong</w:t>
      </w:r>
      <w:r w:rsidR="006F2BE1">
        <w:t xml:space="preserve"> sectoral</w:t>
      </w:r>
      <w:r>
        <w:t xml:space="preserve"> silos between sectors that characterize policy regimes. This division has resulted in disjointed decision-making (</w:t>
      </w:r>
      <w:r w:rsidRPr="56C59A3A">
        <w:rPr>
          <w:b/>
          <w:bCs/>
        </w:rPr>
        <w:t>section 6.3.1.1</w:t>
      </w:r>
      <w:r>
        <w:t xml:space="preserve">). </w:t>
      </w:r>
      <w:r w:rsidRPr="00A9434B">
        <w:t xml:space="preserve">The development of a coordinated biosecurity approach that blurs the traditional boundaries between sectors would help address environmental, health and agricultural challenges </w:t>
      </w:r>
      <w:r w:rsidRPr="00A9434B">
        <w:fldChar w:fldCharType="begin"/>
      </w:r>
      <w:r w:rsidR="002D2756">
        <w:instrText xml:space="preserve"> ADDIN ZOTERO_ITEM CSL_CITATION {"citationID":"a1rucl5bviu","properties":{"formattedCitation":"(Hulme, 2021)","plainCitation":"(Hulme, 2021)","noteIndex":0},"citationItems":[{"id":56416,"uris":["http://zotero.org/groups/2352922/items/XXTWGTAR","http://zotero.org/groups/2352922/items/3QNB478G"],"itemData":{"id":56416,"type":"article-journal","container-title":"BioScience","DOI":"10.1093/biosci/biab019","ISSN":"0006-3568, 1525-3244","issue":"7","language":"en","page":"708-721","source":"DOI.org (Crossref)","title":"Advancing One Biosecurity to Address the Pandemic Risks of Biological Invasions","URL":"https://academic.oup.com/bioscience/article/71/7/708/6158362","volume":"71","author":[{"family":"Hulme","given":"Philip E"}],"accessed":{"date-parts":[["2023",6,8]]},"issued":{"date-parts":[["2021",7,1]]}},"label":"page"}],"schema":"https://github.com/citation-style-language/schema/raw/master/csl-citation.json"} </w:instrText>
      </w:r>
      <w:r w:rsidRPr="00A9434B">
        <w:fldChar w:fldCharType="separate"/>
      </w:r>
      <w:r w:rsidRPr="00A9434B">
        <w:t>(Hulme, 2021)</w:t>
      </w:r>
      <w:r w:rsidRPr="00A9434B">
        <w:fldChar w:fldCharType="end"/>
      </w:r>
      <w:r w:rsidRPr="00A9434B">
        <w:t>. This cross-sector coordinated approach could provide a better way forward but is not without challenges. Collaborative, multisectoral</w:t>
      </w:r>
      <w:r w:rsidR="00EB415D">
        <w:t xml:space="preserve"> and</w:t>
      </w:r>
      <w:r w:rsidRPr="00A9434B">
        <w:t xml:space="preserve"> transdisciplinary approaches such as One Health (</w:t>
      </w:r>
      <w:r>
        <w:rPr>
          <w:b/>
          <w:iCs/>
        </w:rPr>
        <w:t>G</w:t>
      </w:r>
      <w:r w:rsidRPr="00673554">
        <w:rPr>
          <w:b/>
          <w:iCs/>
        </w:rPr>
        <w:t>lossary</w:t>
      </w:r>
      <w:r w:rsidRPr="00A9434B">
        <w:t>), Eco Health</w:t>
      </w:r>
      <w:r w:rsidR="00EB415D">
        <w:t xml:space="preserve"> and</w:t>
      </w:r>
      <w:r w:rsidRPr="00A9434B">
        <w:t xml:space="preserve"> One Biosecurity provide frameworks to achieve coordination between multiple sectors as well as across economies and cultures. Such coordination would facilitate the prevention and mitigation of the growing threats posed by </w:t>
      </w:r>
      <w:r>
        <w:t>invasive alien species</w:t>
      </w:r>
      <w:r w:rsidRPr="00A9434B">
        <w:t>. Promoting relationships between stakeholders and institutions is one option for achieving one of the key levers for transformative progress (</w:t>
      </w:r>
      <w:r w:rsidRPr="00673554">
        <w:rPr>
          <w:b/>
          <w:iCs/>
        </w:rPr>
        <w:t>Figure 6.21</w:t>
      </w:r>
      <w:r w:rsidRPr="00A9434B">
        <w:t>). Improving policy coherence would help overcome current significant gaps in coverage of regulations targeting invasive alien species</w:t>
      </w:r>
      <w:r>
        <w:t xml:space="preserve">. It can also facilitate sharing efforts and commitment and understanding the specific role of all actors </w:t>
      </w:r>
      <w:r w:rsidRPr="00A9434B">
        <w:t>(</w:t>
      </w:r>
      <w:r w:rsidRPr="00673554">
        <w:rPr>
          <w:b/>
          <w:iCs/>
        </w:rPr>
        <w:t>section 6.7.2.5</w:t>
      </w:r>
      <w:r w:rsidRPr="00A9434B">
        <w:t xml:space="preserve">). </w:t>
      </w:r>
    </w:p>
    <w:p w14:paraId="5DFA55DB" w14:textId="13167744" w:rsidR="00E81E18" w:rsidRPr="00A9434B" w:rsidRDefault="00881AB9" w:rsidP="003F3380">
      <w:pPr>
        <w:pStyle w:val="Heading3"/>
      </w:pPr>
      <w:r>
        <w:t>Engaging broadly across governmental sectors, industry, the scientific community, Indigenous Peoples and local communities and the wider public</w:t>
      </w:r>
    </w:p>
    <w:p w14:paraId="35D127FC" w14:textId="33A9BA29" w:rsidR="003335C1" w:rsidRPr="00A9434B" w:rsidRDefault="00D85FB4" w:rsidP="006B3143">
      <w:r w:rsidRPr="00A9434B">
        <w:t>G</w:t>
      </w:r>
      <w:r w:rsidR="002C323D" w:rsidRPr="00A9434B">
        <w:t xml:space="preserve">eneral </w:t>
      </w:r>
      <w:r w:rsidRPr="00A9434B">
        <w:t>tools</w:t>
      </w:r>
      <w:r w:rsidR="00AB1628">
        <w:t xml:space="preserve"> and </w:t>
      </w:r>
      <w:r w:rsidRPr="00A9434B">
        <w:t>approaches</w:t>
      </w:r>
      <w:r w:rsidR="142D857E" w:rsidRPr="00A9434B">
        <w:t xml:space="preserve"> and frameworks</w:t>
      </w:r>
      <w:r w:rsidRPr="00A9434B">
        <w:t xml:space="preserve"> </w:t>
      </w:r>
      <w:r w:rsidR="2D159D0B" w:rsidRPr="00A9434B">
        <w:t xml:space="preserve">exist </w:t>
      </w:r>
      <w:r w:rsidRPr="00A9434B">
        <w:t xml:space="preserve">for </w:t>
      </w:r>
      <w:r w:rsidR="002C323D" w:rsidRPr="00A9434B">
        <w:t>stakeholder engagement (</w:t>
      </w:r>
      <w:r w:rsidR="00D32F9A">
        <w:rPr>
          <w:b/>
          <w:iCs/>
        </w:rPr>
        <w:t>C</w:t>
      </w:r>
      <w:r w:rsidR="002C323D" w:rsidRPr="00673554">
        <w:rPr>
          <w:b/>
          <w:iCs/>
        </w:rPr>
        <w:t xml:space="preserve">hapter </w:t>
      </w:r>
      <w:r w:rsidR="00A91326" w:rsidRPr="00673554">
        <w:rPr>
          <w:b/>
          <w:iCs/>
        </w:rPr>
        <w:t>5</w:t>
      </w:r>
      <w:r w:rsidR="00A91326" w:rsidRPr="00673554">
        <w:rPr>
          <w:iCs/>
        </w:rPr>
        <w:t>,</w:t>
      </w:r>
      <w:r w:rsidR="00A91326" w:rsidRPr="00673554">
        <w:rPr>
          <w:b/>
          <w:iCs/>
        </w:rPr>
        <w:t xml:space="preserve"> section </w:t>
      </w:r>
      <w:r w:rsidR="002C323D" w:rsidRPr="00673554">
        <w:rPr>
          <w:b/>
          <w:iCs/>
        </w:rPr>
        <w:t>5.2.1</w:t>
      </w:r>
      <w:r w:rsidR="002C323D" w:rsidRPr="00A9434B">
        <w:t>)</w:t>
      </w:r>
      <w:r w:rsidRPr="00A9434B">
        <w:t>. However, the purpose of engaging with different groups -</w:t>
      </w:r>
      <w:r w:rsidR="002C323D" w:rsidRPr="00A9434B">
        <w:t xml:space="preserve"> the industrial sectors, </w:t>
      </w:r>
      <w:r w:rsidR="002A0A3B" w:rsidRPr="00A9434B">
        <w:t xml:space="preserve">the general public, </w:t>
      </w:r>
      <w:r w:rsidR="001E7B2B" w:rsidRPr="00A9434B">
        <w:t>Indigenous Peoples</w:t>
      </w:r>
      <w:r w:rsidR="00A91326" w:rsidRPr="00A9434B">
        <w:t xml:space="preserve"> and local communities</w:t>
      </w:r>
      <w:r w:rsidR="00EB415D">
        <w:t xml:space="preserve"> and</w:t>
      </w:r>
      <w:r w:rsidR="002A0A3B" w:rsidRPr="00A9434B">
        <w:t xml:space="preserve"> the scientific community</w:t>
      </w:r>
      <w:r w:rsidRPr="00A9434B">
        <w:t xml:space="preserve"> –</w:t>
      </w:r>
      <w:r w:rsidR="002A0A3B" w:rsidRPr="00A9434B">
        <w:t xml:space="preserve"> </w:t>
      </w:r>
      <w:r w:rsidR="002C323D" w:rsidRPr="00A9434B">
        <w:t>differ (</w:t>
      </w:r>
      <w:r w:rsidR="00A91326" w:rsidRPr="00A9434B">
        <w:rPr>
          <w:i/>
          <w:iCs/>
        </w:rPr>
        <w:fldChar w:fldCharType="begin"/>
      </w:r>
      <w:r w:rsidR="00A91326" w:rsidRPr="00A9434B">
        <w:rPr>
          <w:i/>
          <w:iCs/>
        </w:rPr>
        <w:instrText xml:space="preserve"> REF _Ref114158640 \h  \* MERGEFORMAT </w:instrText>
      </w:r>
      <w:r w:rsidR="00A91326" w:rsidRPr="00A9434B">
        <w:rPr>
          <w:i/>
          <w:iCs/>
        </w:rPr>
      </w:r>
      <w:r w:rsidR="00A91326" w:rsidRPr="00A9434B">
        <w:rPr>
          <w:i/>
          <w:iCs/>
        </w:rPr>
        <w:fldChar w:fldCharType="separate"/>
      </w:r>
      <w:r w:rsidR="0011368C" w:rsidRPr="00673554">
        <w:rPr>
          <w:b/>
          <w:iCs/>
        </w:rPr>
        <w:t>Table 6.1</w:t>
      </w:r>
      <w:r w:rsidR="0011368C" w:rsidRPr="00881AB9">
        <w:rPr>
          <w:b/>
          <w:bCs/>
        </w:rPr>
        <w:t>2</w:t>
      </w:r>
      <w:r w:rsidR="00A91326" w:rsidRPr="00A9434B">
        <w:rPr>
          <w:i/>
          <w:iCs/>
        </w:rPr>
        <w:fldChar w:fldCharType="end"/>
      </w:r>
      <w:r w:rsidR="002C323D" w:rsidRPr="00A9434B">
        <w:t>)</w:t>
      </w:r>
      <w:r w:rsidR="00F03E8C" w:rsidRPr="00A9434B">
        <w:t>.</w:t>
      </w:r>
      <w:r w:rsidR="00F50AF9">
        <w:t xml:space="preserve"> The design of effective engagement strategies will have context dependent elements </w:t>
      </w:r>
      <w:r w:rsidR="00F50AF9">
        <w:lastRenderedPageBreak/>
        <w:t>and will take these different purposes into account (</w:t>
      </w:r>
      <w:r w:rsidR="00F50AF9">
        <w:rPr>
          <w:b/>
        </w:rPr>
        <w:t>Chapter 5</w:t>
      </w:r>
      <w:r w:rsidR="00F50AF9">
        <w:t>,</w:t>
      </w:r>
      <w:r w:rsidR="00F50AF9">
        <w:rPr>
          <w:b/>
        </w:rPr>
        <w:t xml:space="preserve"> section 5.2.1</w:t>
      </w:r>
      <w:r w:rsidR="00F50AF9">
        <w:t>). The funding of engagement activities can be built into management plans and budgets to support multiple purposes in the management of biological invasions. To be effective, engagement activities can also be included within monitoring and evaluation of invasive alien species management actions, so that progress can be tracked</w:t>
      </w:r>
      <w:r w:rsidR="00EB415D">
        <w:t xml:space="preserve"> and</w:t>
      </w:r>
      <w:r w:rsidR="00F50AF9">
        <w:t xml:space="preserve"> strategies refined over time. In this way, the effectiveness of engagement activity can also be refined and improved over time. All these elements are important for public engagement and inclusion activities to effectively contribute to implementing an integrated governance approach for biological invasions (</w:t>
      </w:r>
      <w:r w:rsidR="003335C1" w:rsidRPr="00673554">
        <w:rPr>
          <w:b/>
          <w:iCs/>
        </w:rPr>
        <w:t>Figure 6.2</w:t>
      </w:r>
      <w:r w:rsidR="000B5738" w:rsidRPr="00673554">
        <w:rPr>
          <w:b/>
          <w:iCs/>
        </w:rPr>
        <w:t>1</w:t>
      </w:r>
      <w:r w:rsidR="003335C1" w:rsidRPr="00A9434B">
        <w:t>).</w:t>
      </w:r>
    </w:p>
    <w:p w14:paraId="18344BF3" w14:textId="59AD61C2" w:rsidR="00A5705D" w:rsidRPr="00A9434B" w:rsidRDefault="2744BFD8" w:rsidP="006B3143">
      <w:r w:rsidRPr="00A9434B">
        <w:rPr>
          <w:lang w:eastAsia="en-US"/>
        </w:rPr>
        <w:t xml:space="preserve">An </w:t>
      </w:r>
      <w:r w:rsidR="00AB1628">
        <w:t xml:space="preserve">understanding </w:t>
      </w:r>
      <w:r w:rsidRPr="00A9434B">
        <w:rPr>
          <w:lang w:eastAsia="en-US"/>
        </w:rPr>
        <w:t xml:space="preserve">of stakeholder and </w:t>
      </w:r>
      <w:r w:rsidR="001E7B2B" w:rsidRPr="00A9434B">
        <w:rPr>
          <w:lang w:eastAsia="en-US"/>
        </w:rPr>
        <w:t>Indigenous Peoples</w:t>
      </w:r>
      <w:r w:rsidRPr="00A9434B">
        <w:rPr>
          <w:lang w:eastAsia="en-US"/>
        </w:rPr>
        <w:t xml:space="preserve"> and local communities influence and interests and how stakeholders are likely to be involved in different stages</w:t>
      </w:r>
      <w:r w:rsidR="7239BF09" w:rsidRPr="00A9434B">
        <w:rPr>
          <w:lang w:eastAsia="en-US"/>
        </w:rPr>
        <w:t xml:space="preserve"> of the biological invasion process</w:t>
      </w:r>
      <w:r w:rsidRPr="00A9434B">
        <w:rPr>
          <w:lang w:eastAsia="en-US"/>
        </w:rPr>
        <w:t xml:space="preserve"> is crucial to any attempt to engage, represent, empower and co-design </w:t>
      </w:r>
      <w:r w:rsidR="00881AB9">
        <w:t>biological invasion</w:t>
      </w:r>
      <w:r w:rsidR="00881AB9" w:rsidRPr="00A9434B">
        <w:rPr>
          <w:lang w:eastAsia="en-US"/>
        </w:rPr>
        <w:t xml:space="preserve"> </w:t>
      </w:r>
      <w:r w:rsidRPr="00A9434B">
        <w:rPr>
          <w:lang w:eastAsia="en-US"/>
        </w:rPr>
        <w:t>management plans, and directly engage stakeholders</w:t>
      </w:r>
      <w:r w:rsidR="412B3DE9" w:rsidRPr="00A9434B">
        <w:rPr>
          <w:lang w:eastAsia="en-US"/>
        </w:rPr>
        <w:t>, including citizens,</w:t>
      </w:r>
      <w:r w:rsidRPr="00A9434B">
        <w:rPr>
          <w:lang w:eastAsia="en-US"/>
        </w:rPr>
        <w:t xml:space="preserve"> as equal partners. It is clear that communicative and consultative approaches can deliver significant benefits </w:t>
      </w:r>
      <w:r w:rsidRPr="00A9434B">
        <w:rPr>
          <w:lang w:eastAsia="en-US"/>
        </w:rPr>
        <w:fldChar w:fldCharType="begin"/>
      </w:r>
      <w:r w:rsidR="002D2756">
        <w:rPr>
          <w:lang w:eastAsia="en-US"/>
        </w:rPr>
        <w:instrText xml:space="preserve"> ADDIN ZOTERO_ITEM CSL_CITATION {"citationID":"a1g6oh8kdql","properties":{"formattedCitation":"(Shackleton, Adriaens, et al., 2019)","plainCitation":"(Shackleton, Adriaens, et al., 2019)","noteIndex":0},"citationItems":[{"id":29948,"uris":["http://zotero.org/groups/2352922/items/AVRETIRN"],"itemData":{"id":29948,"type":"article-journal","container-title":"Journal of Environmental Management","DOI":"10.1016/j.jenvman.2018.04.044","ISSN":"03014797","journalAbbreviation":"Journal of Environmental Management","language":"en","page":"88-101","source":"DOI.org (Crossref)","title":"Stakeholder engagement in the study and management of invasive alien species","URL":"https://linkinghub.elsevier.com/retrieve/pii/S0301479718304262","volume":"229","author":[{"family":"Shackleton","given":"Ross T."},{"family":"Adriaens","given":"Tim"},{"family":"Brundu","given":"Giuseppe"},{"family":"Dehnen-Schmutz","given":"Katharina"},{"family":"Estévez","given":"Rodrigo A."},{"family":"Fried","given":"Jana"},{"family":"Larson","given":"Brendon M.H."},{"family":"Liu","given":"Shuang"},{"family":"Marchante","given":"Elizabete"},{"family":"Marchante","given":"Hélia"},{"family":"Moshobane","given":"Moleseng C."},{"family":"Novoa","given":"Ana"},{"family":"Reed","given":"Mark"},{"family":"Richardson","given":"David M."}],"accessed":{"date-parts":[["2021",8,16]]},"issued":{"date-parts":[["2019",1]]}}}],"schema":"https://github.com/citation-style-language/schema/raw/master/csl-citation.json"} </w:instrText>
      </w:r>
      <w:r w:rsidRPr="00A9434B">
        <w:rPr>
          <w:lang w:eastAsia="en-US"/>
        </w:rPr>
        <w:fldChar w:fldCharType="separate"/>
      </w:r>
      <w:r w:rsidR="00C71E80" w:rsidRPr="00A9434B">
        <w:t>(Shackleton, Adriaens, et al., 2019)</w:t>
      </w:r>
      <w:r w:rsidRPr="00A9434B">
        <w:rPr>
          <w:lang w:eastAsia="en-US"/>
        </w:rPr>
        <w:fldChar w:fldCharType="end"/>
      </w:r>
      <w:r w:rsidR="007D2197" w:rsidRPr="00A9434B">
        <w:rPr>
          <w:lang w:eastAsia="en-US"/>
        </w:rPr>
        <w:t>.</w:t>
      </w:r>
      <w:r w:rsidR="00F50AF9">
        <w:t xml:space="preserve"> In contexts where there are significant conflicts of values or mistrust between actors, or </w:t>
      </w:r>
      <w:r w:rsidR="006F2BE1">
        <w:t xml:space="preserve">where </w:t>
      </w:r>
      <w:r w:rsidR="00F50AF9">
        <w:t>significant buy-in will be required to implement governance measures, it is likely to be worthwhile investing in co-productive approaches. Policy design for dealing with the anticipated impacts of invasive alien species that is sensitive to the needs and perspectives of vulnerable groups, stakeholders</w:t>
      </w:r>
      <w:r w:rsidR="00EB415D">
        <w:t xml:space="preserve"> and</w:t>
      </w:r>
      <w:r w:rsidR="00F50AF9">
        <w:t xml:space="preserve"> Indigenous Peoples and local communities can also help achieve social justice </w:t>
      </w:r>
      <w:r w:rsidRPr="00A9434B">
        <w:rPr>
          <w:lang w:eastAsia="en-US"/>
        </w:rPr>
        <w:fldChar w:fldCharType="begin"/>
      </w:r>
      <w:r w:rsidR="002D2756">
        <w:rPr>
          <w:lang w:eastAsia="en-US"/>
        </w:rPr>
        <w:instrText xml:space="preserve"> ADDIN ZOTERO_ITEM CSL_CITATION {"citationID":"a16kg6d4r","properties":{"formattedCitation":"(Blythe et al., 2018; Patterson et al., 2018; Temper et al., 2018)","plainCitation":"(Blythe et al., 2018; Patterson et al., 2018; Temper et al., 2018)","noteIndex":0},"citationItems":[{"id":53351,"uris":["http://zotero.org/groups/2352922/items/52QDI63Y"],"itemData":{"id":53351,"type":"article-journal","container-title":"Antipode","DOI":"10.1111/anti.12405","issue":"5","note":"ISBN: 0066-4812\npublisher: Wiley Online Library","page":"1206-1223","title":"The dark side of transformation: latent risks in contemporary sustainability discourse","volume":"50","author":[{"family":"Blythe","given":"Jessica"},{"family":"Silver","given":"Jennifer"},{"family":"Evans","given":"Louisa"},{"family":"Armitage","given":"Derek"},{"family":"Bennett","given":"Nathan J."},{"family":"Moore","given":"Michele-Lee"},{"family":"Morrison","given":"Tiffany H."},{"family":"Brown","given":"Katrina"}],"issued":{"date-parts":[["2018"]]}},"label":"page"},{"id":53350,"uris":["http://zotero.org/groups/2352922/items/UR92DA9I"],"itemData":{"id":53350,"type":"article-journal","container-title":"Current Opinion in Environmental Sustainability","DOI":"10.1016/j.cosust.2017.11.002","note":"ISBN: 1877-3435\npublisher: Elsevier","page":"1-9","title":"Political feasibility of 1.5 C societal transformations: the role of social justice","volume":"31","author":[{"family":"Patterson","given":"James J."},{"family":"Thaler","given":"Thomas"},{"family":"Hoffmann","given":"Matthew"},{"family":"Hughes","given":"Sara"},{"family":"Oels","given":"Angela"},{"family":"Chu","given":"Eric"},{"family":"Mert","given":"Aysem"},{"family":"Huitema","given":"Dave"},{"family":"Burch","given":"Sarah"},{"family":"Jordan","given":"Andy"}],"issued":{"date-parts":[["2018"]]}},"label":"page"},{"id":53349,"uris":["http://zotero.org/groups/2352922/items/LWBCZJW5"],"itemData":{"id":53349,"type":"article-journal","container-title":"Sustainability Science","DOI":"10.1007/s11625-018-0543-8","issue":"3","note":"ISBN: 1862-4057\npublisher: Springer","page":"747-764","title":"A perspective on radical transformations to sustainability: resistances, movements and alternatives","volume":"13","author":[{"family":"Temper","given":"Leah"},{"family":"Walter","given":"Mariana"},{"family":"Rodriguez","given":"Iokiñe"},{"family":"Kothari","given":"Ashish"},{"family":"Turhan","given":"Ethemcan"}],"issued":{"date-parts":[["2018"]]}},"label":"page"}],"schema":"https://github.com/citation-style-language/schema/raw/master/csl-citation.json"} </w:instrText>
      </w:r>
      <w:r w:rsidRPr="00A9434B">
        <w:rPr>
          <w:lang w:eastAsia="en-US"/>
        </w:rPr>
        <w:fldChar w:fldCharType="separate"/>
      </w:r>
      <w:r w:rsidR="00C71E80" w:rsidRPr="00A9434B">
        <w:t>(Blythe et al., 2018; Patterson et al., 2018; Temper et al., 2018)</w:t>
      </w:r>
      <w:r w:rsidRPr="00A9434B">
        <w:rPr>
          <w:lang w:eastAsia="en-US"/>
        </w:rPr>
        <w:fldChar w:fldCharType="end"/>
      </w:r>
      <w:r w:rsidRPr="00A9434B">
        <w:rPr>
          <w:lang w:eastAsia="en-US"/>
        </w:rPr>
        <w:t xml:space="preserve">. </w:t>
      </w:r>
    </w:p>
    <w:p w14:paraId="44455AC9" w14:textId="584EAECF" w:rsidR="00881AB9" w:rsidRPr="00C12647" w:rsidRDefault="00A91326" w:rsidP="00C12647">
      <w:pPr>
        <w:keepNext/>
        <w:pBdr>
          <w:top w:val="nil"/>
          <w:left w:val="nil"/>
          <w:bottom w:val="nil"/>
          <w:right w:val="nil"/>
          <w:between w:val="nil"/>
        </w:pBdr>
        <w:rPr>
          <w:color w:val="000000"/>
        </w:rPr>
      </w:pPr>
      <w:bookmarkStart w:id="667" w:name="_Ref114158640"/>
      <w:bookmarkStart w:id="668" w:name="_Toc147418545"/>
      <w:r w:rsidRPr="00A9434B">
        <w:t>Table 6.</w:t>
      </w:r>
      <w:r w:rsidR="007C7AC3">
        <w:fldChar w:fldCharType="begin"/>
      </w:r>
      <w:r w:rsidR="007C7AC3">
        <w:instrText xml:space="preserve"> SEQ Table_6. \* ARABIC </w:instrText>
      </w:r>
      <w:r w:rsidR="007C7AC3">
        <w:fldChar w:fldCharType="separate"/>
      </w:r>
      <w:r w:rsidR="0011368C">
        <w:rPr>
          <w:noProof/>
        </w:rPr>
        <w:t>12</w:t>
      </w:r>
      <w:r w:rsidR="007C7AC3">
        <w:rPr>
          <w:noProof/>
        </w:rPr>
        <w:fldChar w:fldCharType="end"/>
      </w:r>
      <w:bookmarkEnd w:id="667"/>
      <w:r w:rsidR="00DB299B" w:rsidRPr="00A9434B">
        <w:t>.</w:t>
      </w:r>
      <w:r w:rsidR="00881AB9">
        <w:t xml:space="preserve"> </w:t>
      </w:r>
      <w:r w:rsidR="00881AB9" w:rsidRPr="00C12647">
        <w:rPr>
          <w:color w:val="000000"/>
        </w:rPr>
        <w:t>Engagement of stakeholders on biological invasions has a number of purposes and associated approaches and tools (options) that support the process</w:t>
      </w:r>
      <w:bookmarkEnd w:id="668"/>
      <w:r w:rsidR="00881AB9" w:rsidRPr="00C12647">
        <w:rPr>
          <w:b/>
          <w:color w:val="000000"/>
        </w:rPr>
        <w:t xml:space="preserve"> </w:t>
      </w:r>
    </w:p>
    <w:tbl>
      <w:tblPr>
        <w:tblW w:w="901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00" w:firstRow="0" w:lastRow="0" w:firstColumn="0" w:lastColumn="0" w:noHBand="0" w:noVBand="1"/>
      </w:tblPr>
      <w:tblGrid>
        <w:gridCol w:w="421"/>
        <w:gridCol w:w="2976"/>
        <w:gridCol w:w="5613"/>
      </w:tblGrid>
      <w:tr w:rsidR="00881AB9" w14:paraId="7135D27D" w14:textId="77777777" w:rsidTr="0010495D">
        <w:tc>
          <w:tcPr>
            <w:tcW w:w="421" w:type="dxa"/>
          </w:tcPr>
          <w:p w14:paraId="7200039E" w14:textId="77777777" w:rsidR="00881AB9" w:rsidRDefault="00881AB9" w:rsidP="0010495D"/>
        </w:tc>
        <w:tc>
          <w:tcPr>
            <w:tcW w:w="2976" w:type="dxa"/>
          </w:tcPr>
          <w:p w14:paraId="0597C162" w14:textId="77777777" w:rsidR="00881AB9" w:rsidRPr="00087AE7" w:rsidRDefault="00881AB9" w:rsidP="0010495D">
            <w:r w:rsidRPr="00087AE7">
              <w:t>Purpose of engagement to achieve:</w:t>
            </w:r>
          </w:p>
        </w:tc>
        <w:tc>
          <w:tcPr>
            <w:tcW w:w="5613" w:type="dxa"/>
          </w:tcPr>
          <w:p w14:paraId="29E27F2E" w14:textId="77777777" w:rsidR="00881AB9" w:rsidRPr="00087AE7" w:rsidRDefault="00881AB9" w:rsidP="0010495D">
            <w:r w:rsidRPr="00087AE7">
              <w:t>Example options</w:t>
            </w:r>
          </w:p>
        </w:tc>
      </w:tr>
      <w:tr w:rsidR="00881AB9" w14:paraId="252E7E89" w14:textId="77777777" w:rsidTr="0010495D">
        <w:tc>
          <w:tcPr>
            <w:tcW w:w="421" w:type="dxa"/>
          </w:tcPr>
          <w:p w14:paraId="38D8E9E4" w14:textId="77777777" w:rsidR="00881AB9" w:rsidRDefault="00881AB9" w:rsidP="0010495D">
            <w:pPr>
              <w:spacing w:before="0" w:after="0"/>
            </w:pPr>
            <w:r>
              <w:t>1</w:t>
            </w:r>
          </w:p>
        </w:tc>
        <w:tc>
          <w:tcPr>
            <w:tcW w:w="2976" w:type="dxa"/>
          </w:tcPr>
          <w:p w14:paraId="749199A1" w14:textId="77777777" w:rsidR="00881AB9" w:rsidRPr="00087AE7" w:rsidRDefault="00881AB9" w:rsidP="0010495D">
            <w:pPr>
              <w:spacing w:before="0" w:after="0"/>
            </w:pPr>
            <w:r w:rsidRPr="00087AE7">
              <w:t>Inclusive decision-making for biological invasions</w:t>
            </w:r>
          </w:p>
        </w:tc>
        <w:tc>
          <w:tcPr>
            <w:tcW w:w="5613" w:type="dxa"/>
          </w:tcPr>
          <w:p w14:paraId="10BFB279" w14:textId="77777777" w:rsidR="00881AB9" w:rsidRPr="00087AE7" w:rsidRDefault="00881AB9" w:rsidP="0010495D">
            <w:pPr>
              <w:spacing w:before="0" w:after="0"/>
            </w:pPr>
            <w:r w:rsidRPr="00087AE7">
              <w:t>Decision support tools (Chapter 5, sections 5.2 and 5.4), Deliberative multi-criteria analysis (Chapter 5, section 5.2.2.1.j), communication feedback systems (section 6.3.1.4(5))</w:t>
            </w:r>
          </w:p>
        </w:tc>
      </w:tr>
      <w:tr w:rsidR="00881AB9" w14:paraId="6E65E8E3" w14:textId="77777777" w:rsidTr="0010495D">
        <w:tc>
          <w:tcPr>
            <w:tcW w:w="421" w:type="dxa"/>
          </w:tcPr>
          <w:p w14:paraId="03B9188D" w14:textId="77777777" w:rsidR="00881AB9" w:rsidRDefault="00881AB9" w:rsidP="0010495D">
            <w:pPr>
              <w:spacing w:before="0" w:after="0"/>
            </w:pPr>
            <w:r>
              <w:t>2</w:t>
            </w:r>
          </w:p>
        </w:tc>
        <w:tc>
          <w:tcPr>
            <w:tcW w:w="2976" w:type="dxa"/>
          </w:tcPr>
          <w:p w14:paraId="6EEF9756" w14:textId="77777777" w:rsidR="00881AB9" w:rsidRPr="00087AE7" w:rsidRDefault="00881AB9" w:rsidP="0010495D">
            <w:pPr>
              <w:spacing w:before="0" w:after="0"/>
            </w:pPr>
            <w:r w:rsidRPr="00087AE7">
              <w:t>Public education and awareness raising about biological invasions</w:t>
            </w:r>
          </w:p>
        </w:tc>
        <w:tc>
          <w:tcPr>
            <w:tcW w:w="5613" w:type="dxa"/>
          </w:tcPr>
          <w:p w14:paraId="788DAE55" w14:textId="77777777" w:rsidR="00881AB9" w:rsidRPr="00087AE7" w:rsidRDefault="00881AB9" w:rsidP="0010495D">
            <w:pPr>
              <w:spacing w:before="0" w:after="0"/>
            </w:pPr>
            <w:r w:rsidRPr="00087AE7">
              <w:t>Training and risk-communication platforms (Chapter 5, section 5.2.2.1 and table 5.6)</w:t>
            </w:r>
          </w:p>
        </w:tc>
      </w:tr>
      <w:tr w:rsidR="00881AB9" w14:paraId="179D85E8" w14:textId="77777777" w:rsidTr="0010495D">
        <w:tc>
          <w:tcPr>
            <w:tcW w:w="421" w:type="dxa"/>
          </w:tcPr>
          <w:p w14:paraId="56A44FF7" w14:textId="77777777" w:rsidR="00881AB9" w:rsidRDefault="00881AB9" w:rsidP="0010495D">
            <w:pPr>
              <w:spacing w:before="0" w:after="0"/>
            </w:pPr>
            <w:r>
              <w:t>3</w:t>
            </w:r>
          </w:p>
        </w:tc>
        <w:tc>
          <w:tcPr>
            <w:tcW w:w="2976" w:type="dxa"/>
          </w:tcPr>
          <w:p w14:paraId="789C882D" w14:textId="77777777" w:rsidR="00881AB9" w:rsidRPr="00087AE7" w:rsidRDefault="00881AB9" w:rsidP="0010495D">
            <w:pPr>
              <w:spacing w:before="0" w:after="0"/>
            </w:pPr>
            <w:r w:rsidRPr="00087AE7">
              <w:t>Social learning and knowledge sharing about biological invasions; attempting to accommodate conflicting values</w:t>
            </w:r>
          </w:p>
        </w:tc>
        <w:tc>
          <w:tcPr>
            <w:tcW w:w="5613" w:type="dxa"/>
          </w:tcPr>
          <w:p w14:paraId="28211132" w14:textId="77777777" w:rsidR="00881AB9" w:rsidRPr="00087AE7" w:rsidRDefault="00881AB9" w:rsidP="0010495D">
            <w:pPr>
              <w:spacing w:before="0" w:after="0"/>
            </w:pPr>
            <w:r w:rsidRPr="00087AE7">
              <w:t>Co-design, co-creation and co-implementation of research and management actions (Chapter 5, section 5.2.1 and figure 5.19, section 6.4.2)</w:t>
            </w:r>
          </w:p>
        </w:tc>
      </w:tr>
      <w:tr w:rsidR="00881AB9" w14:paraId="509B63F1" w14:textId="77777777" w:rsidTr="0010495D">
        <w:tc>
          <w:tcPr>
            <w:tcW w:w="421" w:type="dxa"/>
          </w:tcPr>
          <w:p w14:paraId="1126C77D" w14:textId="77777777" w:rsidR="00881AB9" w:rsidRDefault="00881AB9" w:rsidP="0010495D">
            <w:pPr>
              <w:spacing w:before="0" w:after="0"/>
            </w:pPr>
            <w:r>
              <w:t>4</w:t>
            </w:r>
          </w:p>
        </w:tc>
        <w:tc>
          <w:tcPr>
            <w:tcW w:w="2976" w:type="dxa"/>
          </w:tcPr>
          <w:p w14:paraId="17BFAE5A" w14:textId="77777777" w:rsidR="00881AB9" w:rsidRPr="00087AE7" w:rsidRDefault="00881AB9" w:rsidP="0010495D">
            <w:pPr>
              <w:spacing w:before="0" w:after="0"/>
            </w:pPr>
            <w:r w:rsidRPr="00087AE7">
              <w:t>Coordination and collaboration for governance and management of biological invasions</w:t>
            </w:r>
          </w:p>
        </w:tc>
        <w:tc>
          <w:tcPr>
            <w:tcW w:w="5613" w:type="dxa"/>
          </w:tcPr>
          <w:p w14:paraId="2F905F0E" w14:textId="77777777" w:rsidR="00881AB9" w:rsidRPr="00087AE7" w:rsidRDefault="00881AB9" w:rsidP="0010495D">
            <w:pPr>
              <w:spacing w:before="0" w:after="0"/>
            </w:pPr>
            <w:r w:rsidRPr="00087AE7">
              <w:t>Build shared trust, community-based management using adaptive management approaches (sections 6.4.2, 6.4.4) and implementing appropriate, context-relevant network design for the governance structure (sections 6.4.4.2, 6.5.6)</w:t>
            </w:r>
          </w:p>
        </w:tc>
      </w:tr>
      <w:tr w:rsidR="00881AB9" w14:paraId="310AE780" w14:textId="77777777" w:rsidTr="0010495D">
        <w:tc>
          <w:tcPr>
            <w:tcW w:w="421" w:type="dxa"/>
          </w:tcPr>
          <w:p w14:paraId="7455F5CE" w14:textId="77777777" w:rsidR="00881AB9" w:rsidRDefault="00881AB9" w:rsidP="0010495D">
            <w:pPr>
              <w:spacing w:before="0" w:after="0"/>
            </w:pPr>
            <w:r>
              <w:t>5</w:t>
            </w:r>
          </w:p>
        </w:tc>
        <w:tc>
          <w:tcPr>
            <w:tcW w:w="2976" w:type="dxa"/>
          </w:tcPr>
          <w:p w14:paraId="20C3D733" w14:textId="77777777" w:rsidR="00881AB9" w:rsidRPr="00087AE7" w:rsidRDefault="00881AB9" w:rsidP="0010495D">
            <w:pPr>
              <w:spacing w:before="0" w:after="0"/>
            </w:pPr>
            <w:r w:rsidRPr="00087AE7">
              <w:t>Surveillance and monitoring for early detection, data generation and evaluating the effectiveness of interventions for invasive alien species</w:t>
            </w:r>
          </w:p>
        </w:tc>
        <w:tc>
          <w:tcPr>
            <w:tcW w:w="5613" w:type="dxa"/>
          </w:tcPr>
          <w:p w14:paraId="142380A5" w14:textId="77777777" w:rsidR="00881AB9" w:rsidRPr="00087AE7" w:rsidRDefault="00881AB9" w:rsidP="0010495D">
            <w:pPr>
              <w:spacing w:before="0" w:after="0"/>
            </w:pPr>
            <w:r w:rsidRPr="00087AE7">
              <w:t>Citizen science and citizen surveillance activities, including apps and data input portals (Chapter 1, figure 1.13 and box 1.15; Chapter 5, section 5.4.3.2 and table 5.6, section 6.6.2.1; box 6.20)</w:t>
            </w:r>
          </w:p>
        </w:tc>
      </w:tr>
    </w:tbl>
    <w:p w14:paraId="5C675A4D" w14:textId="2167CD92" w:rsidR="00881AB9" w:rsidRDefault="00881AB9" w:rsidP="00881AB9">
      <w:pPr>
        <w:pStyle w:val="Heading3"/>
        <w:ind w:left="720"/>
      </w:pPr>
      <w:bookmarkStart w:id="669" w:name="_heading=h.vgdtq7"/>
      <w:bookmarkStart w:id="670" w:name="_heading=h.3fg1ce0" w:colFirst="0" w:colLast="0"/>
      <w:bookmarkEnd w:id="669"/>
      <w:bookmarkEnd w:id="670"/>
      <w:r>
        <w:lastRenderedPageBreak/>
        <w:t xml:space="preserve">Supporting, funding and mobilizing resources for innovation, research and environmentally sound technology </w:t>
      </w:r>
    </w:p>
    <w:p w14:paraId="0400313D" w14:textId="77777777" w:rsidR="00881AB9" w:rsidRPr="00AB1628" w:rsidRDefault="00881AB9" w:rsidP="00881AB9">
      <w:pPr>
        <w:pStyle w:val="Heading5"/>
      </w:pPr>
      <w:r w:rsidRPr="00AB1628">
        <w:t>(1) Improved risk assessment</w:t>
      </w:r>
    </w:p>
    <w:p w14:paraId="166DAEE7" w14:textId="5E3D84BC" w:rsidR="00881AB9" w:rsidRPr="00A9434B" w:rsidRDefault="00881AB9" w:rsidP="00881AB9">
      <w:pPr>
        <w:spacing w:before="0"/>
      </w:pPr>
      <w:r w:rsidRPr="00A9434B">
        <w:t xml:space="preserve">There is wide variability in the capacity to respond to biological invasions amongst countries </w:t>
      </w:r>
      <w:r w:rsidRPr="00A9434B">
        <w:fldChar w:fldCharType="begin"/>
      </w:r>
      <w:r w:rsidR="002D2756">
        <w:instrText xml:space="preserve"> ADDIN ZOTERO_ITEM CSL_CITATION {"citationID":"a12eq5tmimo","properties":{"formattedCitation":"(Early et al., 2016)","plainCitation":"(Early et al., 2016)","noteIndex":0},"citationItems":[{"id":31649,"uris":["http://zotero.org/groups/2352922/items/XMNL6YLF"],"itemData":{"id":31649,"type":"article-journal","abstract":"Invasive alien species (IAS) threaten human livelihoods and biodiversity globally. Increasing globalization facilitates IAS arrival, and environmental changes, including climate change, facilitate IAS establishment. Here we provide the first global, spatial analysis of the terrestrial threat from IAS in light of twenty-first century globalization and environmental change, and evaluate national capacities to prevent and manage species invasions. We find that one-sixth of the global land surface is highly vulnerable to invasion, including substantial areas in developing economies and biodiversity hotspots. The dominant invasion vectors differ between high-income countries (imports, particularly of plants and pets) and low-income countries (air travel). Uniting data on the causes of introduction and establishment can improve early-warning and eradication schemes. Most countries have limited capacity to act against invasions. In particular, we reveal a clear need for proactive invasion strategies in areas with high poverty levels, high biodiversity and low historical levels of invasion.","container-title":"Nature Communications","DOI":"10.1038/ncomms12485","ISSN":"2041-1723","issue":"1","journalAbbreviation":"Nat Commun","language":"en","page":"12485","source":"DOI.org (Crossref)","title":"Global threats from invasive alien species in the twenty-first century and national response capacities","URL":"http://www.nature.com/articles/ncomms12485","volume":"7","author":[{"family":"Early","given":"Regan"},{"family":"Bradley","given":"Bethany A."},{"family":"Dukes","given":"Jeffrey S."},{"family":"Lawler","given":"Joshua J."},{"family":"Olden","given":"Julian D."},{"family":"Blumenthal","given":"Dana M."},{"family":"Gonzalez","given":"Patrick"},{"family":"Grosholz","given":"Edwin D."},{"family":"Ibañez","given":"Ines"},{"family":"Miller","given":"Luke P."},{"family":"Sorte","given":"Cascade J. B."},{"family":"Tatem","given":"Andrew J."}],"issued":{"date-parts":[["2016",8]]}},"label":"page"}],"schema":"https://github.com/citation-style-language/schema/raw/master/csl-citation.json"} </w:instrText>
      </w:r>
      <w:r w:rsidRPr="00A9434B">
        <w:fldChar w:fldCharType="separate"/>
      </w:r>
      <w:r w:rsidRPr="00A9434B">
        <w:t>(Early et al., 2016)</w:t>
      </w:r>
      <w:r w:rsidRPr="00A9434B">
        <w:fldChar w:fldCharType="end"/>
      </w:r>
      <w:r w:rsidRPr="00A9434B">
        <w:t xml:space="preserve">. Such variability showcases considerable imbalance in the knowledge base and implementation of best practices. Addressing such an imbalance means tracking biological invasions beyond country boundaries </w:t>
      </w:r>
      <w:r w:rsidRPr="00A9434B">
        <w:fldChar w:fldCharType="begin"/>
      </w:r>
      <w:r w:rsidR="002D2756">
        <w:instrText xml:space="preserve"> ADDIN ZOTERO_ITEM CSL_CITATION {"citationID":"a220hrn6u43","properties":{"formattedCitation":"(Latombe et al., 2017)","plainCitation":"(Latombe et al., 2017)","noteIndex":0},"citationItems":[{"id":28759,"uris":["http://zotero.org/groups/2352922/items/RDKZXX6M"],"itemData":{"id":28759,"type":"article-journal","abstract":"Managing biological invasions relies on good global coverage of species distributions. Accurate information on alien species distributions, obtained from international policy and cross-border co-operation, is required to evaluate trans-boundary and trading partnership risks. However, a standardized approach for systematically monitoring alien species and tracking biological invasions is still lacking. This Perspective presents a vision for global observation and monitoring of biological invasions. We show how the architecture for tracking biological invasions is provided by a minimum information set of Essential Variables, global collaboration on data sharing and infrastructure, and strategic contributions by countries. We show how this novel, synthetic approach to an observation system for alien species provides a tangible and attainable solution to delivering the information needed to slow the rate of new incursions and reduce the impacts of invaders. We identify three Essential Variables for Invasion Monitoring; alien species occurrence, species alien status and alien species impact. We outline how delivery of this minimum information set by joint, complementary contributions from countries and global community initiatives is possible. Country contributions are made feasible using a modular approach where all countries are able to participate and strategically build their contributions to a global information set over time. The vision we outline will deliver wide-ranging benefits to countries and international efforts to slow the rate of biological invasions and minimize their environmental impacts. These benefits will accrue over time as global coverage and information on alien species increases.","container-title":"Biological Conservation","DOI":"10.1016/j.biocon.2016.06.013","ISSN":"00063207","journalAbbreviation":"Biological Conservation","language":"en","page":"295-308","source":"DOI.org (Crossref)","title":"A vision for global monitoring of biological invasions","URL":"https://linkinghub.elsevier.com/retrieve/pii/S0006320716302373","volume":"213","author":[{"family":"Latombe","given":"Guillaume"},{"family":"Pyšek","given":"Petr"},{"family":"Jeschke","given":"Jonathan M."},{"family":"Blackburn","given":"Tim M."},{"family":"Bacher","given":"Sven"},{"family":"Capinha","given":"César"},{"family":"Costello","given":"Mark J."},{"family":"Fernández","given":"Miguel"},{"family":"Gregory","given":"Richard D."},{"family":"Hobern","given":"Donald"},{"family":"Hui","given":"Cang"},{"family":"Jetz","given":"Walter"},{"family":"Kumschick","given":"Sabrina"},{"family":"McGrannachan","given":"Chris"},{"family":"Pergl","given":"Jan"},{"family":"Roy","given":"Helen E."},{"family":"Scalera","given":"Riccardo"},{"family":"Squires","given":"Zoe E."},{"family":"Wilson","given":"John R.U."},{"family":"Winter","given":"Marten"},{"family":"Genovesi","given":"Piero"},{"family":"McGeoch","given":"Melodie A."}],"issued":{"date-parts":[["2017",9]]}},"label":"page"}],"schema":"https://github.com/citation-style-language/schema/raw/master/csl-citation.json"} </w:instrText>
      </w:r>
      <w:r w:rsidRPr="00A9434B">
        <w:fldChar w:fldCharType="separate"/>
      </w:r>
      <w:r w:rsidRPr="00A9434B">
        <w:t>(Latombe et al., 2017)</w:t>
      </w:r>
      <w:r w:rsidRPr="00A9434B">
        <w:fldChar w:fldCharType="end"/>
      </w:r>
      <w:r w:rsidRPr="00A9434B">
        <w:t>, building on the idea of connecting knowledge systems (</w:t>
      </w:r>
      <w:r w:rsidRPr="00A9434B">
        <w:rPr>
          <w:i/>
          <w:iCs/>
        </w:rPr>
        <w:t>point 3</w:t>
      </w:r>
      <w:r w:rsidRPr="00A9434B">
        <w:t xml:space="preserve">). However, knowledge sharing </w:t>
      </w:r>
      <w:r>
        <w:t>could</w:t>
      </w:r>
      <w:r w:rsidRPr="00A9434B">
        <w:t xml:space="preserve"> be paired with capacity</w:t>
      </w:r>
      <w:r w:rsidR="006F2BE1">
        <w:t>-</w:t>
      </w:r>
      <w:r w:rsidRPr="00A9434B">
        <w:t>building and transboundary and cross-sector risk assessment tools (</w:t>
      </w:r>
      <w:r w:rsidRPr="00673554">
        <w:rPr>
          <w:b/>
          <w:iCs/>
        </w:rPr>
        <w:t>Figure 6.21</w:t>
      </w:r>
      <w:r w:rsidRPr="00A9434B">
        <w:t>). For example, intervention strategies could focus on slowing the rates of new introductions tak</w:t>
      </w:r>
      <w:r w:rsidR="006F2BE1">
        <w:t>ing</w:t>
      </w:r>
      <w:r w:rsidRPr="00A9434B">
        <w:t xml:space="preserve"> place at a regional scale (e.g., African Union, European Union, MERCOSUR, USMCA/CUSMA). Thus, it is necessary to define the regions with capability deficits to determine where and how multilateral and bilateral partnerships could be forged to support those countries with limited biosecurity capabilities </w:t>
      </w:r>
      <w:r w:rsidRPr="00A9434B">
        <w:fldChar w:fldCharType="begin"/>
      </w:r>
      <w:r w:rsidR="002D2756">
        <w:instrText xml:space="preserve"> ADDIN ZOTERO_ITEM CSL_CITATION {"citationID":"a2pb09la2be","properties":{"formattedCitation":"(Hulme, 2021)","plainCitation":"(Hulme, 2021)","noteIndex":0},"citationItems":[{"id":56416,"uris":["http://zotero.org/groups/2352922/items/XXTWGTAR","http://zotero.org/groups/2352922/items/3QNB478G"],"itemData":{"id":56416,"type":"article-journal","container-title":"BioScience","DOI":"10.1093/biosci/biab019","ISSN":"0006-3568, 1525-3244","issue":"7","language":"en","page":"708-721","source":"DOI.org (Crossref)","title":"Advancing One Biosecurity to Address the Pandemic Risks of Biological Invasions","URL":"https://academic.oup.com/bioscience/article/71/7/708/6158362","volume":"71","author":[{"family":"Hulme","given":"Philip E"}],"accessed":{"date-parts":[["2023",6,8]]},"issued":{"date-parts":[["2021",7,1]]}},"label":"page"}],"schema":"https://github.com/citation-style-language/schema/raw/master/csl-citation.json"} </w:instrText>
      </w:r>
      <w:r w:rsidRPr="00A9434B">
        <w:fldChar w:fldCharType="separate"/>
      </w:r>
      <w:r w:rsidRPr="00A9434B">
        <w:t>(Hulme, 2021)</w:t>
      </w:r>
      <w:r w:rsidRPr="00A9434B">
        <w:fldChar w:fldCharType="end"/>
      </w:r>
      <w:r w:rsidRPr="00A9434B">
        <w:t xml:space="preserve">. Then, within connected regions, sharing insights on invasive alien species of relevance, border control principles and methods is critical for an effective regional approach to prevention </w:t>
      </w:r>
      <w:r w:rsidRPr="00A9434B">
        <w:fldChar w:fldCharType="begin"/>
      </w:r>
      <w:r w:rsidR="002D2756">
        <w:instrText xml:space="preserve"> ADDIN ZOTERO_ITEM CSL_CITATION {"citationID":"a11flk3rvh8","properties":{"formattedCitation":"(Hulme, 2011, 2020)","plainCitation":"(Hulme, 2011, 2020)","noteIndex":0},"citationItems":[{"id":32147,"uris":["http://zotero.org/groups/2352922/items/XMAE5LE6"],"itemData":{"id":32147,"type":"chapter","container-title":"Fifty years of invasion ecology: The legacy of Charles Elton","ISBN":"978-1-4443-2998-8","note":"DOI: 10.1002/9781444329988.ch23\npublisher: Wiley Oxford","page":"73-88","publisher":"Wiley-Blackwell","title":"Biosecurity: the changing face of invasion biology","author":[{"family":"Hulme","given":"Philip E."}],"editor":[{"family":"Richardson","given":"David M."}],"issued":{"date-parts":[["2011"]]}},"label":"page"},{"id":56418,"uris":["http://zotero.org/groups/2352922/items/22XLFGB4","http://zotero.org/groups/2352922/items/CFXAKMXQ"],"itemData":{"id":56418,"type":"article-journal","abstract":"In the wake of the SARS-CoV-2 pandemic, the world has woken up to the importance of biosecurity and the need to manage international borders. Yet strong sectorial identities exist within biosecurity that are associated with specific international standards, individual economic interests, specific research communities, and unique stakeholder involvement. Despite considerable research addressing human, animal, plant, and environmental health, the science connections between these sectors remain quite limited. One Biosecurity aims to address these limitations at global, national, and local scales. It is an interdisciplinary approach to biosecurity policy and research that builds on the interconnections between human, animal, plant, and environmental health to effectively prevent and mitigate the impacts of invasive alien species. It provides an integrated perspective to address the many biosecurity risks that transcend the traditional boundaries of health, agriculture, and the environment. Individual invasive alien plant and animal species often have multiple impacts across sectors: as hosts of zoonotic parasites, vectors of pathogens, pests of agriculture or forestry, as well as threats to biodiversity and ecosystem function. It is time these risks were addressed in a systematic way. One Biosecurity is essential to address several major sociological and environmental challenges to biosecurity: climate change, increasing urbanisation, agricultural intensification, human global mobility, loss of technical capability as well as public resistance to pesticides and vaccines. One Biosecurity will require the bringing together of taxonomists, population biologists, modellers, economists, chemists, engineers, and social scientists to engage in a new agenda that is shaped by politics, legislation, and public perceptions.","container-title":"Emerging Topics in Life Sciences","DOI":"10.1042/ETLS20200067","ISSN":"2397-8554, 2397-8562","issue":"5","language":"en","page":"539-549","source":"DOI.org (Crossref)","title":"One Biosecurity: a unified concept to integrate human, animal, plant, and environmental health","title-short":"One Biosecurity","URL":"https://portlandpress.com/emergtoplifesci/article/4/5/539/226789/One-Biosecurity-a-unified-concept-to-integrate","volume":"4","editor":[{"family":"MacLeod","given":"Alan"},{"family":"Spence","given":"Nicola"}],"author":[{"family":"Hulme","given":"Philip E."}],"accessed":{"date-parts":[["2023",6,8]]},"issued":{"date-parts":[["2020",12,15]]}},"label":"page"}],"schema":"https://github.com/citation-style-language/schema/raw/master/csl-citation.json"} </w:instrText>
      </w:r>
      <w:r w:rsidRPr="00A9434B">
        <w:fldChar w:fldCharType="separate"/>
      </w:r>
      <w:r w:rsidRPr="00A9434B">
        <w:t>(Hulme, 2011, 2020)</w:t>
      </w:r>
      <w:r w:rsidRPr="00A9434B">
        <w:fldChar w:fldCharType="end"/>
      </w:r>
      <w:r w:rsidRPr="00A9434B">
        <w:t>. More generally, a coordinated and nuanced approach to risk-assessments and intervention could be extended to a global context, taking lessons from the current efforts to prevent and contain the spread of the Severe Acute Respiratory Syndrome Coronavirus 2 (SARS-CoV-2).</w:t>
      </w:r>
    </w:p>
    <w:p w14:paraId="6CC2D2DF" w14:textId="10E66C3A" w:rsidR="00881AB9" w:rsidRDefault="00881AB9" w:rsidP="00881AB9">
      <w:r>
        <w:t>Developing new risk assessment tools (</w:t>
      </w:r>
      <w:r>
        <w:rPr>
          <w:b/>
        </w:rPr>
        <w:t>Chapter 5</w:t>
      </w:r>
      <w:r>
        <w:t>,</w:t>
      </w:r>
      <w:r>
        <w:rPr>
          <w:b/>
        </w:rPr>
        <w:t xml:space="preserve"> section 5.2.2.1.e</w:t>
      </w:r>
      <w:r>
        <w:t>) also means employing coordinated regulatory instruments that support coherent governance for biological invasions (</w:t>
      </w:r>
      <w:r w:rsidRPr="00673554">
        <w:rPr>
          <w:b/>
          <w:iCs/>
        </w:rPr>
        <w:t>Figure</w:t>
      </w:r>
      <w:r>
        <w:rPr>
          <w:b/>
        </w:rPr>
        <w:t xml:space="preserve"> 6.21</w:t>
      </w:r>
      <w:r>
        <w:t xml:space="preserve">) and address the fractured and disjointed approach to invasive alien species management resulting from policies that solely address issues within sectorial silos </w:t>
      </w:r>
      <w:r w:rsidRPr="00A9434B">
        <w:fldChar w:fldCharType="begin"/>
      </w:r>
      <w:r w:rsidR="002D2756">
        <w:instrText xml:space="preserve"> ADDIN ZOTERO_ITEM CSL_CITATION {"citationID":"a28nttu96mr","properties":{"unsorted":true,"formattedCitation":"(Shine, 2007; Outhwaite, 2013; Hulme, 2021)","plainCitation":"(Shine, 2007; Outhwaite, 2013; Hulme, 2021)","noteIndex":0},"citationItems":[{"id":32954,"uris":["http://zotero.org/groups/2352922/items/8EEN4FUP"],"itemData":{"id":32954,"type":"article-journal","abstract":"The paper outlines the multiple impacts of invasive alien species and explains the rationale for coordinated international action to minimize their environmental as well as economic effects. It describes the different components and current state of development of the international regulatory framework relevant to invasive alien species, with reference to plant pests and animal disease, biodiversity conservation and maritime and aviation transport. The paper summarises recent developments at the Euro-Mediterranean level with particular attention to the European Strategy on Invasive Alien Species adopted under the Bern Convention. It concludes by identifying some gaps and inconsistencies at global, regional and national levels, together with indicators for possible ways forward.","container-title":"EPPO Bulletin","DOI":"10.1111/j.1365-2338.2007.01087.x","ISSN":"1365-2338","issue":"1","language":"en","page":"103-113","source":"Wiley Online Library","title":"Invasive species in an international context: IPPC, CBD, European Strategy on Invasive Alien Species and other legal instruments","title-short":"Invasive species in an international context","URL":"https://onlinelibrary.wiley.com/doi/abs/10.1111/j.1365-2338.2007.01087.x","volume":"37","author":[{"family":"Shine","given":"C."}],"accessed":{"date-parts":[["2020",2,9]]},"issued":{"date-parts":[["2007"]]}},"label":"page"},{"id":32146,"uris":["http://zotero.org/groups/2352922/items/UGLCRR6N"],"itemData":{"id":32146,"type":"chapter","container-title":"Biosecurity: The Socio-Politics of Invasive Species and Infectious Diseases","ISBN":"0-203-11311-X","page":"89-104","publisher":"Routledge","title":"Legal frameworks for biosecurity","author":[{"family":"Outhwaite","given":"Opi"}],"editor":[{"family":"Dobson","given":"Andrew"},{"family":"Barker","given":"Kezia"},{"family":"Taylor","given":"Sarah L."}],"issued":{"date-parts":[["2013"]]}},"label":"page"},{"id":56416,"uris":["http://zotero.org/groups/2352922/items/XXTWGTAR","http://zotero.org/groups/2352922/items/3QNB478G"],"itemData":{"id":56416,"type":"article-journal","container-title":"BioScience","DOI":"10.1093/biosci/biab019","ISSN":"0006-3568, 1525-3244","issue":"7","language":"en","page":"708-721","source":"DOI.org (Crossref)","title":"Advancing One Biosecurity to Address the Pandemic Risks of Biological Invasions","URL":"https://academic.oup.com/bioscience/article/71/7/708/6158362","volume":"71","author":[{"family":"Hulme","given":"Philip E"}],"accessed":{"date-parts":[["2023",6,8]]},"issued":{"date-parts":[["2021",7,1]]}},"label":"page"}],"schema":"https://github.com/citation-style-language/schema/raw/master/csl-citation.json"} </w:instrText>
      </w:r>
      <w:r w:rsidRPr="00A9434B">
        <w:fldChar w:fldCharType="separate"/>
      </w:r>
      <w:r w:rsidRPr="00CB10DE">
        <w:t>(Shine, 2007; Outhwaite, 2013; Hulme, 2021)</w:t>
      </w:r>
      <w:r w:rsidRPr="00A9434B">
        <w:fldChar w:fldCharType="end"/>
      </w:r>
      <w:r w:rsidRPr="00A9434B">
        <w:t>.</w:t>
      </w:r>
      <w:r>
        <w:t xml:space="preserve"> As described in </w:t>
      </w:r>
      <w:r>
        <w:rPr>
          <w:b/>
        </w:rPr>
        <w:t>section 6.7.2.7</w:t>
      </w:r>
      <w:r>
        <w:t>, this integration could be achieved by focusing on the links between risk assessment tools of legal and regulatory instruments currently within human, animal, plant</w:t>
      </w:r>
      <w:r w:rsidR="00EB415D">
        <w:t xml:space="preserve"> and</w:t>
      </w:r>
      <w:r>
        <w:t xml:space="preserve"> environmental sectors. </w:t>
      </w:r>
    </w:p>
    <w:p w14:paraId="0920B691" w14:textId="77777777" w:rsidR="00881AB9" w:rsidRDefault="00881AB9" w:rsidP="00881AB9">
      <w:pPr>
        <w:pStyle w:val="Heading5"/>
      </w:pPr>
      <w:r>
        <w:t>(2) Forecasts, scenarios and models</w:t>
      </w:r>
    </w:p>
    <w:p w14:paraId="47088E66" w14:textId="03921DA0" w:rsidR="00881AB9" w:rsidRPr="00A9434B" w:rsidRDefault="00881AB9" w:rsidP="00881AB9">
      <w:pPr>
        <w:spacing w:before="0"/>
      </w:pPr>
      <w:r w:rsidRPr="00A9434B">
        <w:t xml:space="preserve">The development of forecasting tools based on drivers </w:t>
      </w:r>
      <w:r>
        <w:t xml:space="preserve">that facilitate </w:t>
      </w:r>
      <w:r w:rsidRPr="00A9434B">
        <w:t xml:space="preserve">biological invasions </w:t>
      </w:r>
      <w:r w:rsidRPr="00A9434B">
        <w:fldChar w:fldCharType="begin"/>
      </w:r>
      <w:r w:rsidR="002D2756">
        <w:instrText xml:space="preserve"> ADDIN ZOTERO_ITEM CSL_CITATION {"citationID":"a1l78lgn4v7","properties":{"formattedCitation":"(Essl, Lenzner, et al., 2020)","plainCitation":"(Essl, Lenzner, et al., 2020)","noteIndex":0},"citationItems":[{"id":56279,"uris":["http://zotero.org/groups/2352922/items/CYTIP7PS","http://zotero.org/groups/2352922/items/BWX57BB7"],"itemData":{"id":56279,"type":"article-journal","container-title":"Global Change Biology","DOI":"10.1111/gcb.15199","ISSN":"1354-1013, 1365-2486","issue":"9","journalAbbreviation":"Gl</w:instrText>
      </w:r>
      <w:r w:rsidR="002D2756">
        <w:rPr>
          <w:rFonts w:hint="eastAsia"/>
        </w:rPr>
        <w:instrText>ob Change Biol","language":"en","page":"4880-4893","source":"DOI.org (Crossref)","title":"Drivers of future alien species impacts: An expert</w:instrText>
      </w:r>
      <w:r w:rsidR="002D2756">
        <w:rPr>
          <w:rFonts w:hint="eastAsia"/>
        </w:rPr>
        <w:instrText>‐</w:instrText>
      </w:r>
      <w:r w:rsidR="002D2756">
        <w:rPr>
          <w:rFonts w:hint="eastAsia"/>
        </w:rPr>
        <w:instrText>based assessment","title-short":"Drivers of future alien species impacts","URL":"https://onlinelibrary.wiley.com/d</w:instrText>
      </w:r>
      <w:r w:rsidR="002D2756">
        <w:instrText>oi/10.1111/gcb.15199","volume":"26","author":[{"family":"Essl","given":"Franz"},{"family":"Lenzner","given":"Bernd"},{"family":"Bacher","given":"Sven"},{"family":"Bailey","given":"Sarah"},{"family":"Capinha","given":"Cesar"},{"family":"Daehler","given":"Curtis"},{"family":"Dullinger","given":"Stefan"},{"family":"Genovesi","given":"Piero"},{"family":"Hui","given":"Cang"},{"family":"Hulme","given":"Philip E."},{"family":"Jeschke","given":"Jonathan M."},{"family":"Katsanevakis","given":"Stelios"},{"family":"Kühn","given":"Ingolf"},{"family":"Leung","given":"Brian"},{"family":"Liebhold","given":"Andrew"},{"family":"Liu","given":"Chunlong"},{"family":"MacIsaac","given":"Hugh J."},{"family":"Meyerson","given":"Laura A."},{"family":"Nuñez","given":"Martin A."},{"family":"Pauchard","given":"Aníbal"},{"family":"Pyšek","given":"Petr"},{"family":"Rabitsch","given":"Wolfgang"},{"family":"Richardson","given":"David M."},{"family":"Roy","given":"Helen E."},{"family":"Ruiz","given":"Gregory M."},{"family":"Russell","given":"James C."},{"family":"Sanders","given":"Nathan J."},{"family":"Sax","given":"Dov F."},{"family":"Scalera","given":"Riccardo"},{"family":"Seebens","given":"Hanno"},{"family":"Springborn","given":"Michael"},{"family":"Turbelin","given":"Anna"},{"family</w:instrText>
      </w:r>
      <w:r w:rsidR="002D2756">
        <w:rPr>
          <w:rFonts w:hint="eastAsia"/>
        </w:rPr>
        <w:instrText>":"Kleunen","given":"Mark"},{"family":"Holle","given":"Betsy"},{"family":"Winter","given":"Marten"},{"family":"Zenni","given":"Rafael D."},{"family":"Mattsson","given":"Brady J."},{"family":"Roura</w:instrText>
      </w:r>
      <w:r w:rsidR="002D2756">
        <w:rPr>
          <w:rFonts w:hint="eastAsia"/>
        </w:rPr>
        <w:instrText>‐</w:instrText>
      </w:r>
      <w:r w:rsidR="002D2756">
        <w:rPr>
          <w:rFonts w:hint="eastAsia"/>
        </w:rPr>
        <w:instrText>Pascual","given":"Nuria"}],"accessed":{"date-parts":[["202</w:instrText>
      </w:r>
      <w:r w:rsidR="002D2756">
        <w:instrText xml:space="preserve">3",6,8]]},"issued":{"date-parts":[["2020",9]]}},"label":"page"}],"schema":"https://github.com/citation-style-language/schema/raw/master/csl-citation.json"} </w:instrText>
      </w:r>
      <w:r w:rsidRPr="00A9434B">
        <w:fldChar w:fldCharType="separate"/>
      </w:r>
      <w:r w:rsidRPr="00A9434B">
        <w:t>(Essl, Lenzner, et al., 2020)</w:t>
      </w:r>
      <w:r w:rsidRPr="00A9434B">
        <w:fldChar w:fldCharType="end"/>
      </w:r>
      <w:r w:rsidRPr="00A9434B">
        <w:t xml:space="preserve">, or mechanistic models </w:t>
      </w:r>
      <w:r w:rsidRPr="00A9434B">
        <w:fldChar w:fldCharType="begin"/>
      </w:r>
      <w:r w:rsidR="002D2756">
        <w:instrText xml:space="preserve"> ADDIN ZOTERO_ITEM CSL_CITATION {"citationID":"ae29vd0d5b","properties":{"unsorted":true,"formattedCitation":"(Sar\\uc0\\u224{} et al., 2013; Chapman et al., 2017)","plainCitation":"(Sarà et al., 2013; Chapman et al., 2017)","noteIndex":0},"citationItems"</w:instrText>
      </w:r>
      <w:r w:rsidR="002D2756">
        <w:rPr>
          <w:rFonts w:hint="eastAsia"/>
        </w:rPr>
        <w:instrText>:[{"id":32139,"uris":["http://zotero.org/groups/2352922/items/FZV9CLIR"],"itemData":{"id":32139,"type":"article-journal","abstract":"AimWe used a coupled biophysical ecology (BE)</w:instrText>
      </w:r>
      <w:r w:rsidR="002D2756">
        <w:rPr>
          <w:rFonts w:hint="eastAsia"/>
        </w:rPr>
        <w:instrText>‐</w:instrText>
      </w:r>
      <w:r w:rsidR="002D2756">
        <w:rPr>
          <w:rFonts w:hint="eastAsia"/>
        </w:rPr>
        <w:instrText>physiological mechanistic modelling approach based on the Dynamic Energy Bud</w:instrText>
      </w:r>
      <w:r w:rsidR="002D2756">
        <w:instrText>get theory (DEB, Dynamic energy budget theory for metabolic organisation, 2010, Cambridge University Press, Cambridge; DEB) to generate spatially explicit predictions of physiological performance (maximal size and reproductive output) for the invasive mussel, Brachidontes pharaonis. LocationWe examined 26 sites throughout the central Mediterranean Sea. Methods\nWe ran models under subtidal and intertidal conditions; hourly weather and water temperature data were obtained from the Italian Buoy Network, and</w:instrText>
      </w:r>
      <w:r w:rsidR="002D2756">
        <w:rPr>
          <w:rFonts w:hint="eastAsia"/>
        </w:rPr>
        <w:instrText xml:space="preserve"> monthly CHL</w:instrText>
      </w:r>
      <w:r w:rsidR="002D2756">
        <w:rPr>
          <w:rFonts w:hint="eastAsia"/>
        </w:rPr>
        <w:instrText>‐</w:instrText>
      </w:r>
      <w:r w:rsidR="002D2756">
        <w:rPr>
          <w:rFonts w:hint="eastAsia"/>
        </w:rPr>
        <w:instrText>a data were obtained from satellite imagery. ResultsMechanistic analysis of the B. pharaonis fundamental niche shows that subtidal sites in the Central Mediterranean are generally suitable for this invasive bivalve but that intertidal habitats appear to serve as genetic sinks. Main conclusionsA BE</w:instrText>
      </w:r>
      <w:r w:rsidR="002D2756">
        <w:rPr>
          <w:rFonts w:hint="eastAsia"/>
        </w:rPr>
        <w:instrText>‐</w:instrText>
      </w:r>
      <w:r w:rsidR="002D2756">
        <w:rPr>
          <w:rFonts w:hint="eastAsia"/>
        </w:rPr>
        <w:instrText>DEB approach enabled an assessment of how the physical environment affects the potential distribution of B. pharaonis. Combined with models of larval dispersal, this approach can provide estimates o</w:instrText>
      </w:r>
      <w:r w:rsidR="002D2756">
        <w:instrText xml:space="preserve">f the likelihood that an invasive species will become established.","container-title":"Diversity &amp; Distributions","DOI":"10.1111/ddi.12074","issue":"10","journalAbbreviation":"Diversity &amp; Distributions","page":"1235-1247","source":"ResearchGate","title":"Predicting biological invasions in marine habitats through eco-physiological mechanistic models: A case study with the bivalve &lt;i&gt;Brachidontes pharaonis&lt;/i&gt;","title-short":"Predicting biological invasions in marine habitats through eco-physiological mechanistic models","volume":"19","author":[{"family":"Sarà","given":"Gianluca"},{"family":"Palmeri","given":"V."},{"family":"Rinaldi","given":"Alessandro"},{"family":"Montalto","given":"Valeria"},{"family":"Helmuth","given":"Brian"}],"editor":[{"family":"Thuiller","given":"Wilfried"}],"issued":{"date-parts":[["2013",10,1]]}},"label":"page"},{"id":9803,"uris":["http://zotero.org/groups/2352922/items/UZKNDA94"],"itemData":{"id":9803,"type":"article-journal","abstract":"Niche shifts of nonnative plants can occur when they colonize novel climatic conditions. However, the mechanistic basis for niche shifts during invasion is poorly understood and has rarely been captured within species distribution models. We quantified the consequence of between-population variation in phenology for invasion of common ragweed (Ambrosia artemisiifolia L.) across Europe. Ragweed is of serious concern because of its harmful effects as a crop weed and because of its impact on public health as a major aeroallergen. We developed a forward mechanistic species distribution model based on responses of ragweed development rates to temperature and photoperiod. The model was parameterized and validated from the literature and by reanalyzing data from a reciprocal common garden experiment in which native and invasive populations were grown within and beyond the current invaded range. It could therefore accommodate between-population variation in the physiological requirements for flowering, and predict the potentially invaded ranges of individual populations. Northern-origin populations that were established outside the generally accepted climate envelope of the species had lower thermal requirements for bud development, suggesting local adaptation of phenology had occurred during the invasion. The model predicts that this will extend the potentially invaded range northward and increase the average suitability across Europe by 90% in the current climate and 20% in the future climate. Therefore, trait variation observed at the population scale can trigger a climatic niche shift at the biogeographic scale. For ragweed, earlier flowering phenology in established northern populations could allow the species to spread beyond its current invasive range, substantially increasing its risk to agriculture and public health. Mechanistic species distribution models offer the possibility to represent niche shifts by varying the traits and niche responses of individual populations. Ignoring such effects could substantially underestimate the extent and impact of invasions.","container-title":"Ecology","DOI":"10.1002/ecy.1835","ISSN":"0012-9658","issue":"6","journalAbbreviation":"Ecology","language":"eng","note":"PMID: 28369815","page":"1671-1680","source":"PubMed","title":"Mechanistic species distribution modeling reveals a niche shift during invasion","volume":"98","author":[{"family":"Chapman","given":"Daniel S."},{"family":"Scalone","given":"Romain"},{"family":"Štefanić","given":"Edita"},{"family":"Bullock","given":"James M."}],"issued":{"date-parts":[["2017",6]]}},"label":"page"}],"schema":"https://github.com/citation-style-language/schema/raw/master/csl-citation.json"} </w:instrText>
      </w:r>
      <w:r w:rsidRPr="00A9434B">
        <w:fldChar w:fldCharType="separate"/>
      </w:r>
      <w:r w:rsidRPr="00A9434B">
        <w:t>(Sarà et al., 2013; Chapman et al., 2017)</w:t>
      </w:r>
      <w:r w:rsidRPr="00A9434B">
        <w:fldChar w:fldCharType="end"/>
      </w:r>
      <w:r w:rsidRPr="00A9434B">
        <w:t xml:space="preserve"> is vital. These forecasting tools should also focus on predicting the impacts of </w:t>
      </w:r>
      <w:r>
        <w:t xml:space="preserve">invasive alien species </w:t>
      </w:r>
      <w:r w:rsidRPr="00A9434B">
        <w:t xml:space="preserve">by considering the synergies in interacting drivers including </w:t>
      </w:r>
      <w:r>
        <w:t>invasive alien species</w:t>
      </w:r>
      <w:r w:rsidRPr="00A9434B">
        <w:t>, invasive alien species interactions and impacts</w:t>
      </w:r>
      <w:r w:rsidR="006F2BE1">
        <w:t xml:space="preserve"> </w:t>
      </w:r>
      <w:r w:rsidRPr="00A9434B">
        <w:fldChar w:fldCharType="begin"/>
      </w:r>
      <w:r w:rsidR="002D2756">
        <w:instrText xml:space="preserve"> ADDIN ZOTERO_ITEM CSL_CITATION {"citationID":"a14tb8tp9qe","properties":{"formattedCitation":"(Gaertner et al., 2014)","plainCitation":"(Gaertner et al., 2014)","noteIndex":0},"citationItems":[{"id":30454,"uris":["http://zotero.org/groups/2352922/items/4S6AVSNH"],"itemData":{"id":30454,"type":"article-journal","container-title":"Diversity and Distributions","DOI":"10.1111/ddi.12182","ISSN":"13669516","issue":"7","journalAbbreviation":"Diversity Distrib.","language":"en","page":"733-744","source":"DOI.org (Crossref)","title":"Invasive plants as drivers of regime shifts: identifying high-priority invaders that alter feedback relationships","title-short":"Invasive plants as drivers of regime shifts","URL":"https://onlinelibrary.wiley.com/doi/10.1111/ddi.12182","volume":"20","author":[{"family":"Gaertner","given":"Mirijam"},{"family":"Biggs","given":"Reinette"},{"family":"Te Beest","given":"Mariska"},{"family":"Hui","given":"Cang"},{"family":"Molofsky","given":"Jane"},{"family":"Richardson","given":"David M."}],"editor":[{"family":"Kühn","given":"Ingolf"}],"accessed":{"date-parts":[["2021",8,23]]},"issued":{"date-parts":[["2014",7]]}},"label":"page"}],"schema":"https://github.com/citation-style-language/schema/raw/master/csl-citation.json"} </w:instrText>
      </w:r>
      <w:r w:rsidRPr="00A9434B">
        <w:fldChar w:fldCharType="separate"/>
      </w:r>
      <w:r w:rsidRPr="00A9434B">
        <w:t>(Gaertner et al., 2014)</w:t>
      </w:r>
      <w:r w:rsidRPr="00A9434B">
        <w:fldChar w:fldCharType="end"/>
      </w:r>
      <w:r w:rsidRPr="00A9434B">
        <w:t xml:space="preserve">. These tools would then need a description of the possible scenarios of change based on shifts of the drivers in </w:t>
      </w:r>
      <w:r>
        <w:t xml:space="preserve">facilitating </w:t>
      </w:r>
      <w:r w:rsidRPr="00A9434B">
        <w:t>biological invasions (</w:t>
      </w:r>
      <w:r>
        <w:rPr>
          <w:b/>
          <w:iCs/>
        </w:rPr>
        <w:t>C</w:t>
      </w:r>
      <w:r w:rsidRPr="00673554">
        <w:rPr>
          <w:b/>
          <w:iCs/>
        </w:rPr>
        <w:t>hapter 3</w:t>
      </w:r>
      <w:r w:rsidRPr="00D32F9A">
        <w:t>,</w:t>
      </w:r>
      <w:r w:rsidRPr="00673554">
        <w:rPr>
          <w:b/>
        </w:rPr>
        <w:t xml:space="preserve"> </w:t>
      </w:r>
      <w:r w:rsidRPr="00673554">
        <w:rPr>
          <w:b/>
          <w:iCs/>
        </w:rPr>
        <w:t>section 3.1.1</w:t>
      </w:r>
      <w:r w:rsidRPr="00A9434B">
        <w:t xml:space="preserve">). The scenarios would describe the alternative trajectories for biological invasions within the context of complex and uncertain future socioecological developments </w:t>
      </w:r>
      <w:r w:rsidRPr="00A9434B">
        <w:fldChar w:fldCharType="begin"/>
      </w:r>
      <w:r w:rsidR="002D2756">
        <w:instrText xml:space="preserve"> ADDIN ZOTERO_ITEM CSL_CITATION {"citationID":"a2anjfgfqq3","properties":{"formattedCitation":"(Alien scenarios, 2021; Roura-Pascual et al., 2021)","plainCitation":"(Alien scenarios, 2021; Roura-Pascual et al., 2021)","noteIndex":0},"citationItems":[{"id":53348,"uris":["http://zotero.org/groups/2352922/items/NEZZ6MDX"],"itemData":{"id":53348,"type":"webpage","title":"Developing and applying scenarios of biological invasions for the 21st century","URL":"https://alien-scenarios.org/","author":[{"literal":"Alien scenarios"}],"issued":{"date-parts":[["2021"]]}},"label":"page"},{"id":56593,"uris":["http://zotero.org/groups/2352922/items/KPK9SJDV","http://zotero.org/groups/2352922/items/X2LKL353","http://zotero.org/groups/2352922/items/9AZDLGMH"],"itemData":{"id":56593,"type":"article-journal","abstract":"Abstract\n            Scenario analysis has emerged as a key tool to analyze complex and uncertain future socio-ecological developments. However, currently existing global scenarios (narratives of how the world may develop) have neglected biological invasions, a major threat to biodiversity and the economy. Here, we use a novel participatory process to develop a diverse set of global biological invasion scenarios spanning a wide range of plausible global futures through to 2050. We adapted the widely used “two axes” scenario analysis approach to develop four families of four scenarios each, resulting in 16 scenarios that were later clustered into four contrasting sets of futures. Our analysis highlights that socioeconomic developments and technological innovation have the potential to shape biological invasions, in addition to well-known drivers, such as climate and human land use change and global trade. Our scenarios partially align with the shared socioeconomic pathways created by the climate change research community. Several factors that drive differences in biological invasions were underrepresented in the shared socioeconomic pathways; in particular, the implementation of biosecurity policies. We argue that including factors related to public environmental awareness and technological and trade development in global scenarios and models is essential to adequately consider biological invasions in global environmental assessments and thereby obtain a more integrative picture of future social–ecological developments.","container-title":"Sustainability Science","DOI":"10.1007/s11625-021-00963-6","ISSN":"1862-4065, 1862-4057","issue":"5","journalAbbreviation":"Sustain Sci","language":"en","page":"1637-1650","source":"DOI.org (Crossref)","title":"Alternative futures for global biological invasions","URL":"https://link.springer.com/10.1007/s11625-021-00963-6","volume":"16","author":[{"family":"Roura-Pascual","given":"Núria"},{"family":"Leung","given":"Brian"},{"family":"Rabitsch","given":"Wolfgang"},{"family":"Rutting","given":"Lucas"},{"family":"Vervoort","given":"Joost"},{"family":"Bacher","given":"Sven"},{"family":"Dullinger","given":"Stefan"},{"family":"Erb","given":"Karl-Heinz"},{"family":"Jeschke","given":"Jonathan M."},{"family":"Katsanevakis","given":"Stelios"},{"family":"Kühn","given":"Ingolf"},{"family":"Lenzner","given":"Bernd"},{"family":"Liebhold","given":"Andrew M."},{"family":"Obersteiner","given":"Michael"},{"family":"Pauchard","given":"Anibal"},{"family":"Peterson","given":"Garry D."},{"family":"Roy","given":"Helen E."},{"family":"Seebens","given":"Hanno"},{"family":"Winter","given":"Marten"},{"family":"Burgman","given":"Mark A."},{"family":"Genovesi","given":"Piero"},{"family":"Hulme","given":"Philip E."},{"family":"Keller","given":"Reuben P."},{"family":"Latombe","given":"Guillaume"},{"family":"McGeoch","given":"Melodie A."},{"family":"Ruiz","given":"Gregory M."},{"family":"Scalera","given":"Riccardo"},{"family":"Springborn","given":"Michael R."},{"family":"Von Holle","given":"Betsy"},{"family":"Essl","given":"Franz"}],"accessed":{"date-parts":[["2023",6,8]]},"issued":{"date-parts":[["2021",9]]}},"label":"page"}],"schema":"https://github.com/citation-style-language/schema/raw/master/csl-citation.json"} </w:instrText>
      </w:r>
      <w:r w:rsidRPr="00A9434B">
        <w:fldChar w:fldCharType="separate"/>
      </w:r>
      <w:r w:rsidRPr="00A9434B">
        <w:t>(Alien scenarios, 2021; Roura-Pascual et al., 2021)</w:t>
      </w:r>
      <w:r w:rsidRPr="00A9434B">
        <w:fldChar w:fldCharType="end"/>
      </w:r>
      <w:r w:rsidRPr="00A9434B">
        <w:t>.</w:t>
      </w:r>
    </w:p>
    <w:p w14:paraId="2E4BC1F6" w14:textId="33FB084F" w:rsidR="00881AB9" w:rsidRPr="00A9434B" w:rsidRDefault="00881AB9" w:rsidP="00881AB9">
      <w:r w:rsidRPr="00A9434B">
        <w:t xml:space="preserve">Incorporating a wide range of modelling and scenario techniques could enable assessment of multiple pathways across spatial scales and through integration of different domains (i.e., a nexus approach; </w:t>
      </w:r>
      <w:r w:rsidRPr="00A9434B">
        <w:fldChar w:fldCharType="begin"/>
      </w:r>
      <w:r w:rsidR="002D2756">
        <w:instrText xml:space="preserve"> ADDIN ZOTERO_ITEM CSL_CITATION {"citationID":"pJ1CgeTq","properties":{"formattedCitation":"(J. Liu, Hull, et al., 2018)","plainCitation":"(J. Liu, Hull, et al., 2018)","dontUpdate":true,"noteIndex":0},"citationItems":[{"id":53346,"uris":["http://zotero.org/groups/2352922/items/G4F87ZQX","http://zotero.org/groups/2352922/items/7HGS24ZC"],"itemData":{"id":53346,"type":"article-journal","container-title":"Nature Sustainability","DOI":"10.1038/s41893-018-0135-8","ISSN":"2398-9629","issue":"9","journalAbbreviation":"Nat Sustain","language":"en","page":"466-476","source":"DOI.org (Crossref)","title":"Nexus approaches to global sustainable development","URL":"http://www.nature.com/articles/s41893-018-0135-8","volume":"1","author":[{"family":"Liu","given":"Jianguo"},{"family":"Hull","given":"Vanessa"},{"family":"Godfray","given":"H. Charles J."},{"family":"Tilman","given":"David"},{"family":"Gleick","given":"Peter"},{"family":"Hoff","given":"Holger"},{"family":"Pahl-Wostl","given":"Claudia"},{"family":"Xu","given":"Zhenci"},{"family":"Chung","given":"Min Gon"},{"family":"Sun","given":"Jing"},{"family":"Li","given":"Shuxin"}],"accessed":{"date-parts":[["2022",9,15]]},"issued":{"date-parts":[["2018",9]]}},"label":"page"}],"schema":"https://github.com/citation-style-language/schema/raw/master/csl-citation.json"} </w:instrText>
      </w:r>
      <w:r w:rsidRPr="00A9434B">
        <w:fldChar w:fldCharType="separate"/>
      </w:r>
      <w:r w:rsidRPr="00F55BC6">
        <w:t>J. Liu, Hull, et al., 2018)</w:t>
      </w:r>
      <w:r w:rsidRPr="00A9434B">
        <w:fldChar w:fldCharType="end"/>
      </w:r>
      <w:r w:rsidRPr="00A9434B">
        <w:t>. Currently joint scenario and modelling studies have a strong focus on correlative modelling approaches using single driver assessments and exploratory scenarios</w:t>
      </w:r>
      <w:r w:rsidRPr="00FD65B1">
        <w:rPr>
          <w:rStyle w:val="FootnoteReference"/>
        </w:rPr>
        <w:footnoteReference w:id="20"/>
      </w:r>
      <w:r w:rsidRPr="00A9434B">
        <w:t xml:space="preserve"> (</w:t>
      </w:r>
      <w:r>
        <w:rPr>
          <w:b/>
          <w:iCs/>
        </w:rPr>
        <w:t>C</w:t>
      </w:r>
      <w:r w:rsidRPr="00673554">
        <w:rPr>
          <w:b/>
          <w:iCs/>
        </w:rPr>
        <w:t>hapter 1</w:t>
      </w:r>
      <w:r w:rsidRPr="00673554">
        <w:rPr>
          <w:iCs/>
        </w:rPr>
        <w:t>,</w:t>
      </w:r>
      <w:r w:rsidRPr="00673554">
        <w:rPr>
          <w:b/>
          <w:iCs/>
        </w:rPr>
        <w:t xml:space="preserve"> section 1.6.7.3</w:t>
      </w:r>
      <w:r w:rsidRPr="00A9434B">
        <w:t xml:space="preserve">). Other gaps, such as the vast absence of policy-screening and target-seeking scenarios, quantifiable sustainability and policy targets for biological invasions or the widespread lack of process-based models have to be filled in order to understand the needs for and development of transformative change pathways that account for the adverse effects of </w:t>
      </w:r>
      <w:r>
        <w:t xml:space="preserve">invasive alien species </w:t>
      </w:r>
      <w:r w:rsidRPr="00A9434B">
        <w:t>on biodiversity, nature’s contribution to people and good quality of life (</w:t>
      </w:r>
      <w:r w:rsidRPr="00673554">
        <w:rPr>
          <w:b/>
          <w:iCs/>
        </w:rPr>
        <w:t>section 6.6.1.6</w:t>
      </w:r>
      <w:r w:rsidRPr="00A9434B">
        <w:t xml:space="preserve">). Existing initiatives for transformative change related to biodiversity change </w:t>
      </w:r>
      <w:r w:rsidRPr="00A9434B">
        <w:fldChar w:fldCharType="begin"/>
      </w:r>
      <w:r w:rsidR="002D2756">
        <w:instrText xml:space="preserve"> ADDIN ZOTERO_ITEM CSL_CITATION {"citationID":"a2n809j9so3","properties":{"formattedCitation":"(Lecl\\uc0\\u232{}re et al., 2020)","plainCitation":"(Leclère et al., 2020)","noteIndex":0},"citationItems":[{"id":53345,"uris":["http://zotero.org/groups/2352922/items/4E8TKIL5"],"itemData":{"id":53345,"type":"article-journal","container-title":"Nature","DOI":"10.1038/s41586-020-2705-y","ISSN":"0028-0836, 1476-4687","issue":"7826","journalAbbreviation":"Nature","language":"en","page":"551-556","source":"DOI.org (Crossref)","title":"Bending the curve of terrestrial biodiversity needs an integrated strategy","URL":"https://www.nature.com/articles/s41586-020-2705-y","volume":"585","author":[{"family":"Leclère","given":"David"},{"family":"Obersteiner","given":"Michael"},{"family":"Barrett","given":"Mike"},{"family":"Butchart","given":"Stuart H. M."},{"family":"Chaudhary","given":"Abhishek"},{"family":"De Palma","given":"Adriana"},{"family":"DeClerck","given":"Fabrice A. J."},{"family":"Di Marco","given":"Moreno"},{"family":"Doelman","given":"Jonathan C."},{"family":"Dürauer","given":"Martina"},{"family":"Freeman","given":"Robin"},{"family":"Harfoot","given":"Michael"},{"family":"Hasegawa","given":"Tomoko"},{"family":"Hellweg","given":"Stefanie"},{"family":"Hilbers","given":"Jelle P."},{"family":"Hill","given":"Samantha L. L."},{"family":"Humpenöder","given":"Florian"},{"family":"Jennings","given":"Nancy"},{"family":"Krisztin","given":"Tamás"},{"family":"Mace","given":"Georgina M."},{"family":"Ohashi","given":"Haruka"},{"family":"Popp","given":"Alexander"},{"family":"Purvis","given":"Andy"},{"family":"Schipper","given":"Aafke M."},{"family":"Tabeau","given":"Andrzej"},{"family":"Valin","given":"Hugo"},{"family":"Meijl","given":"Hans","non-dropping-particle":"van"},{"family":"Zeist","given":"Willem-Jan","non-dropping-particle":"van"},{"family":"Visconti","given":"Piero"},{"family":"Alkemade","given":"Rob"},{"family":"Almond","given":"Rosamunde"},{"family":"Bunting","given":"Gill"},{"family":"Burgess","given":"Neil D."},{"family":"Cornell","given":"Sarah E."},{"family":"Di Fulvio","given":"Fulvio"},{"family":"Ferrier","given":"Simon"},{"family":"Fritz","given":"Steffen"},{"family":"Fujimori","given":"Shinichiro"},{"family":"Grooten","given":"Monique"},{"family":"Harwood","given":"Thomas"},{"family":"Havlík","given":"Petr"},{"family":"Herrero","given":"Mario"},{"family":"Hoskins","given":"Andrew J."},{"family":"Jung","given":"Martin"},{"family":"Kram","given":"Tom"},{"family":"Lotze-Campen","given":"Hermann"},{"family":"Matsui","given":"Tetsuya"},{"family":"Meyer","given":"Carsten"},{"family":"Nel","given":"Deon"},{"family":"Newbold","given":"Tim"},{"family":"Schmidt-Traub","given":"Guido"},{"family":"Stehfest","given":"Elke"},{"family":"Strassburg","given":"Bernardo B. N."},{"family":"Vuuren","given":"Detlef P.","non-dropping-particle":"van"},{"family":"Ware","given":"Chris"},{"family":"Watson","given":"James E. M."},{"family":"Wu","given":"Wenchao"},{"family":"Young","given":"Lucy"}],"accessed":{"date-parts":[["2022",9,15]]},"issued":{"date-parts":[["2020",9,24]]}},"label":"page"}],"schema":"https://github.com/citation-style-language/schema/raw/master/csl-citation.json"} </w:instrText>
      </w:r>
      <w:r w:rsidRPr="00A9434B">
        <w:fldChar w:fldCharType="separate"/>
      </w:r>
      <w:r w:rsidRPr="00A9434B">
        <w:t>(Leclère et al., 2020)</w:t>
      </w:r>
      <w:r w:rsidRPr="00A9434B">
        <w:fldChar w:fldCharType="end"/>
      </w:r>
      <w:r w:rsidRPr="00A9434B">
        <w:t xml:space="preserve">, climate change (e.g., </w:t>
      </w:r>
      <w:r w:rsidRPr="00A9434B">
        <w:fldChar w:fldCharType="begin"/>
      </w:r>
      <w:r w:rsidR="002D2756">
        <w:instrText xml:space="preserve"> ADDIN ZOTERO_ITEM CSL_CITATION {"citationID":"a27r6jvpc3n","properties":{"formattedCitation":"(Burch et al., 2014; Schot &amp; Steinmueller, 2018)","plainCitation":"(Burch et al., 2014; Schot &amp; Steinmueller, 2018)","dontUpdate":true,"noteIndex":0},"citationItems":[{"id":53344,"uris":["http://zotero.org/groups/2352922/items/G6ZKEZQX"],"itemData":{"id":53344,"type":"article-journal","container-title":"Climate policy","DOI":"10.1080/14693062.2014.876342","issue":"4","note":"ISBN: 1469-3062\npublisher: Taylor &amp; Francis","page":"467-487","title":"Triggering transformative change: a development path approach to climate change response in communities","volume":"14","author":[{"family":"Burch","given":"Sarah"},{"family":"Shaw","given":"Alison"},{"family":"Dale","given":"Ann"},{"family":"Robinson","given":"John"}],"issued":{"date-parts":[["2014"]]}},"label":"page"},{"id":53343,"uris":["http://zotero.org/groups/2352922/items/2MY2FZJG"],"itemData":{"id":53343,"type":"article-journal","container-title":"Research Policy","DOI":"10.1016/j.respol.2018.08.011","ISSN":"00487333","issue":"9","journalAbbreviation":"Research Policy","language":"en","page":"1554-1567","source":"DOI.org (Crossref)","title":"Three frames for innovation policy: R&amp;D, systems of innovation and transformative change","title-short":"Three frames for innovation policy","URL":"https://linkinghub.elsevier.com/retrieve/pii/S0048733318301987","volume":"47","author":[{"family":"Schot","given":"Johan"},{"family":"Steinmueller","given":"W. Edward"}],"accessed":{"date-parts":[["2022",9,15]]},"issued":{"date-parts":[["2018",11]]}},"label":"page"}],"schema":"https://github.com/citation-style-language/schema/raw/master/csl-citation.json"} </w:instrText>
      </w:r>
      <w:r w:rsidRPr="00A9434B">
        <w:fldChar w:fldCharType="separate"/>
      </w:r>
      <w:r w:rsidRPr="00A9434B">
        <w:t>Burch et al., 2014; Schot &amp; Steinmueller, 2018)</w:t>
      </w:r>
      <w:r w:rsidRPr="00A9434B">
        <w:fldChar w:fldCharType="end"/>
      </w:r>
      <w:r w:rsidRPr="00A9434B">
        <w:t xml:space="preserve"> or food </w:t>
      </w:r>
      <w:r w:rsidRPr="00A9434B">
        <w:lastRenderedPageBreak/>
        <w:t xml:space="preserve">security </w:t>
      </w:r>
      <w:r w:rsidRPr="00A9434B">
        <w:fldChar w:fldCharType="begin"/>
      </w:r>
      <w:r w:rsidR="002D2756">
        <w:instrText xml:space="preserve"> ADDIN ZOTERO_ITEM CSL_CITATION {"citationID":"a23ul1s1924","properties":{"formattedCitation":"(A. Muller et al., 2017)","plainCitation":"(A. Muller et al., 2017)","noteIndex":0},"citationItems":[{"id":53342,"uris":["http://zotero.org/groups/2352922/items/BHWBTC5U","http://zotero.org/groups/2352922/items/L2GMC2GB"],"itemData":{"id":53342,"type":"article-journal","container-title":"Nature communications","DOI":"10.1038/s41467-017-01410-w","issue":"1","note":"ISBN: 2041-1723\npublisher: Nature Publishing Group","page":"1290","title":"Strategies for feeding the world more sustainably with organic agriculture","volume":"8","author":[{"family":"Muller","given":"Adrian"},{"family":"Schader","given":"Christian"},{"family":"El-Hage Scialabba","given":"Nadia"},{"family":"Brüggemann","given":"Judith"},{"family":"Isensee","given":"Anne"},{"family":"Erb","given":"Karl-Heinz"},{"family":"Smith","given":"Pete"},{"family":"Klocke","given":"Peter"},{"family":"Leiber","given":"Florian"},{"family":"Stolze","given":"Matthias"},{"family":"Niggli","given":"Urs"}],"issued":{"date-parts":[["2017"]]}},"label":"page"}],"schema":"https://github.com/citation-style-language/schema/raw/master/csl-citation.json"} </w:instrText>
      </w:r>
      <w:r w:rsidRPr="00A9434B">
        <w:fldChar w:fldCharType="separate"/>
      </w:r>
      <w:r w:rsidRPr="00A9434B">
        <w:t>(A. Muller et al., 2017)</w:t>
      </w:r>
      <w:r w:rsidRPr="00A9434B">
        <w:fldChar w:fldCharType="end"/>
      </w:r>
      <w:r w:rsidRPr="00A9434B">
        <w:t xml:space="preserve"> can be taken as blueprints for the steps that can be taken to use scenarios and models to support transformative change.</w:t>
      </w:r>
    </w:p>
    <w:p w14:paraId="15EBA89C" w14:textId="38A067E0" w:rsidR="00881AB9" w:rsidRDefault="00881AB9" w:rsidP="00881AB9">
      <w:pPr>
        <w:pStyle w:val="Heading5"/>
      </w:pPr>
      <w:r>
        <w:t>(3) Innovative science and environmentally sound technologies to support prevention and control</w:t>
      </w:r>
    </w:p>
    <w:p w14:paraId="06A54715" w14:textId="7A1C8984" w:rsidR="00881AB9" w:rsidRDefault="00881AB9" w:rsidP="00881AB9">
      <w:pPr>
        <w:spacing w:before="0"/>
      </w:pPr>
      <w:r w:rsidRPr="00A9434B">
        <w:t>The continued increasing rate in invasive alien species introductions (</w:t>
      </w:r>
      <w:r>
        <w:rPr>
          <w:b/>
          <w:iCs/>
        </w:rPr>
        <w:t>C</w:t>
      </w:r>
      <w:r w:rsidRPr="00673554">
        <w:rPr>
          <w:b/>
          <w:iCs/>
        </w:rPr>
        <w:t>hapter 2</w:t>
      </w:r>
      <w:r w:rsidRPr="00A9434B">
        <w:t xml:space="preserve">) </w:t>
      </w:r>
      <w:r>
        <w:t>highlights</w:t>
      </w:r>
      <w:r w:rsidRPr="00A9434B">
        <w:t xml:space="preserve"> the need </w:t>
      </w:r>
      <w:r>
        <w:t>for</w:t>
      </w:r>
      <w:r w:rsidRPr="00A9434B">
        <w:t xml:space="preserve"> innovat</w:t>
      </w:r>
      <w:r>
        <w:t>ive</w:t>
      </w:r>
      <w:r w:rsidRPr="00A9434B">
        <w:t xml:space="preserve"> science and technologies to support the detection of and rapid response to </w:t>
      </w:r>
      <w:r>
        <w:t xml:space="preserve">invasive alien species </w:t>
      </w:r>
      <w:r w:rsidRPr="00A9434B">
        <w:fldChar w:fldCharType="begin"/>
      </w:r>
      <w:r w:rsidR="002D2756">
        <w:instrText xml:space="preserve"> ADDIN ZOTERO_ITEM CSL_CITATION {"citationID":"a161ob6cnti","properties":{"formattedCitation":"(Chown et al., 2015; NISC, 2016)","plainCitation":"(Chown et al., 2015; NISC, 2016)","noteIndex":0},"citationItems":[{"id":30230,"uris":["http://zotero.org/groups/2352922/items/96FXPPKQ"],"itemData":{"id":30230,"type":"article-journal","abstract":"The rate of biological invasions is expected to increase as the effects of climate change on biological communities become widespread. Climate change enhances habitat disturbance which facilitates the establishment of invasive species, which in turn provides opportunities for hybridization and introgression. These effects influence local biodiversity that can be tracked through genetic and genomic approaches. Metabarcoding and metagenomic approaches provide a way of monitoring some types of communities under climate change for the appearance of invasives. Introgression and hybridization can be followed by the analysis of entire genomes so that rapidly changing areas of the genome are identified and instances of genetic pollution monitored. Genomic markers enable accurate tracking of invasive species' geographic origin well beyond what was previously possible. New genomic tools are promoting fresh insights into classic questions about invading organisms under climate change, such as the role of genetic variation, local adaptation and climate pre-adaptation in successful invasions. These tools are providing managers with often more effective means to identify potential threats, improve surveillance and assess impacts on communities. We provide a framework for the application of genomic techniques within a management context and also indicate some important limitations in what can be achieved.","container-title":"Evolutionary Applications","DOI":"10.1111/eva.12234","ISSN":"1752-4571","issue":"1","journalAbbreviation":"Evol. Appl.","page":"23-46","title":"Biological invasions, climate change and genomics","volume":"8","author":[{"family":"Chown","given":"Steven L."},{"family":"Hodgins","given":"K. A."},{"family":"Griffin","given":"P. C."},{"family":"Oakeshott","given":"J. G."},{"family":"Byrne","given":"M."},{"family":"Hoffmann","given":"A. A."}],"issued":{"date-parts":[["2015",1]]}},"label":"page"},{"id":32145,"uris":["http://zotero.org/groups/2352922/items/L8XDKXY9"],"itemData":{"id":32145,"type":"document","language":"en","publisher":"National Invasive Species Council","source":"Zotero","title":"Management Plan: 2016–2018","URL":"https://www.doi.gov/sites/doi.gov/files/uploads/2016-2018-nisc-management-plan.pdf","author":[{"literal":"NISC"}],"issued":{"date-parts":[["2016"]]}},"label":"page"}],"schema":"https://github.com/citation-style-language/schema/raw/master/csl-citation.json"} </w:instrText>
      </w:r>
      <w:r w:rsidRPr="00A9434B">
        <w:fldChar w:fldCharType="separate"/>
      </w:r>
      <w:r w:rsidR="0014002B" w:rsidRPr="0014002B">
        <w:t>(Chown et al., 2015; NISC, 2016)</w:t>
      </w:r>
      <w:r w:rsidRPr="00A9434B">
        <w:fldChar w:fldCharType="end"/>
      </w:r>
      <w:r w:rsidRPr="00A9434B">
        <w:t>. There is a need for development of new approaches but also improvements in the effectiveness and cost-efficiencies of existing methods. In the context of technological innovations (</w:t>
      </w:r>
      <w:r w:rsidRPr="00673554">
        <w:rPr>
          <w:b/>
          <w:iCs/>
        </w:rPr>
        <w:t>Figure 6.21</w:t>
      </w:r>
      <w:r w:rsidRPr="00A9434B">
        <w:t xml:space="preserve">), these might come from efforts or programmes focused on detection (using visual, chemical, acoustic, or genetic attributes) and/or identification for military intelligence, or human health purposes, which have not traditionally focused on invasive alien species </w:t>
      </w:r>
      <w:r w:rsidRPr="00A9434B">
        <w:fldChar w:fldCharType="begin"/>
      </w:r>
      <w:r w:rsidR="002D2756">
        <w:instrText xml:space="preserve"> ADDIN ZOTERO_ITEM CSL_CITATION {"citationID":"ahdccuamfd","properties":{"unsorted":true,"formattedCitation":"(Martinez et al., 2020; Conservation X Labs, 2017)","plainCitation":"(Martinez et al., 2020; Conservation X Labs, 2017)","noteIndex":0},"citationItems":[{"id":56516,"uris":["http://zotero.org/groups/2352922/items/G4LGXB4D","http://zotero.org/groups/2352922/items/XRS6UM5S"],"itemData":{"id":56516,"type":"article-journal","abstract":"Abstract\n            \n              The\n              2016\n              –\n              2018\n              National Invasive Species Council\n              (\n              NISC\n              )\n              Management Plan\n              and Executive Order 13751 call for US federal agencies to foster technology development and application to address invasive species and their impacts. This paper complements and draws on an Innovation Summit, review of advanced biotechnologies applicable to invasive species management, and a survey of federal agencies that respond to these high-level directives. We provide an assessment of federal government capacities for the early detection of and rapid response to invasive species (EDRR) through advances in technology application; examples of emerging technologies for the detection, identification, reporting, and response to invasive species; and guidance for fostering further advancements in applicable technologies. Throughout the paper, we provide examples of how federal agencies are applying technologies to improve programmatic effectiveness and cost-efficiencies. We also highlight the outstanding technology-related needs identified by federal agencies to overcome barriers to enacting EDRR. Examples include improvements in research facility infrastructure, data mobilization across a wide range of invasive species parameters (from genetic to landscape scales), promotion of and support for filling key gaps in technological capacity (e.g., portable, field-ready devices with automated capacities), and greater investments in technology prizes and challenge competitions.","container-title":"Biological Invasions","DOI":"10.1007/s10530-019-02146-y","ISSN":"1387-3547, 1573-1464","issue":"1","journalAbbreviation":"Biol Invasions","language":"en","page":"75-100","source":"DOI.org (Crossref)","title":"Technology innovation: advancing capacities for the early detection of and rapid response to invasive species","title-short":"Technology innovation","URL":"http://link.springer.com/10.1007/s10530-019-02146-y","volume":"22","author":[{"family":"Martinez","given":"Barbara"},{"family":"Reaser","given":"Jamie K."},{"family":"Dehgan","given":"Alex"},{"family":"Zamft","given":"Brad"},{"family":"Baisch","given":"David"},{"family":"McCormick","given":"Colin"},{"family":"Giordano","given":"Anthony J."},{"family":"Aicher","given":"Rebecca"},{"family":"Selbe","given":"Shah"}],"accessed":{"date-parts":[["2023",6,8]]},"issued":{"date-parts":[["2020",1]]}},"label":"page"},{"id":32144,"uris":["http://zotero.org/groups/2352922/items/3AW97JMB"],"itemData":{"id":32144,"type":"report","event-place":"Washington, DC","publisher":"National Invasive Species Council","publisher-place":"Washington, DC","title":"The innovation summit: Overcoming the invasive species challenge","URL":"https://on.doi.gov/2pmGXCp","author":[{"literal":"Conservation X Labs"}],"issued":{"date-parts":[["2017"]]}},"label":"page"}],"schema":"https://github.com/citation-style-language/schema/raw/master/csl-citation.json"} </w:instrText>
      </w:r>
      <w:r w:rsidRPr="00A9434B">
        <w:fldChar w:fldCharType="separate"/>
      </w:r>
      <w:r w:rsidRPr="00A9434B">
        <w:t>(Martinez et al., 2020; Conservation X Labs, 2017)</w:t>
      </w:r>
      <w:r w:rsidRPr="00A9434B">
        <w:fldChar w:fldCharType="end"/>
      </w:r>
      <w:r w:rsidRPr="00A9434B">
        <w:t>. The deployment of artificial intelligence driven internet monitoring system</w:t>
      </w:r>
      <w:r w:rsidR="006F2BE1">
        <w:t>s</w:t>
      </w:r>
      <w:r w:rsidRPr="00A9434B">
        <w:t xml:space="preserve"> for invasive species is another powerful technological advancement for the early detection of sources of known invasive alien species prior to their potential entry </w:t>
      </w:r>
      <w:r w:rsidRPr="00A9434B">
        <w:fldChar w:fldCharType="begin"/>
      </w:r>
      <w:r w:rsidR="002D2756">
        <w:instrText xml:space="preserve"> ADDIN ZOTERO_ITEM CSL_CITATION {"citationID":"a25hk267i71","properties":{"formattedCitation":"(Suiter &amp; Sferrazza, 2007)","plainCitation":"(Suiter &amp; Sferrazza, 2007)","dontUpdate":true,"noteIndex":0},"citationItems":[{"id":32143,"uris":["http://zotero.org/groups/2352922/items/I4V99UW4"],"itemData":{"id":32143,"type":"article-journal","container-title":"Managing Vertebrate Invasive Species","title":"Monitoring the sale and trafficking of invasive vertebrate species using automated internet search and surveillance tools","URL":"https://digitalcommons.unl.edu/nwrcinvasive/51","volume":"51","author":[{"family":"Suiter","given":"Karl"},{"family":"Sferrazza","given":"Sanda"}],"issued":{"date-parts":[["2007"]]}},"label":"page"}],"schema":"https://github.com/citation-style-language/schema/raw/master/csl-citation.json"} </w:instrText>
      </w:r>
      <w:r w:rsidRPr="00A9434B">
        <w:fldChar w:fldCharType="separate"/>
      </w:r>
      <w:r w:rsidRPr="00A9434B">
        <w:t>(Suiter &amp; Sferrazza</w:t>
      </w:r>
      <w:r>
        <w:t xml:space="preserve"> (</w:t>
      </w:r>
      <w:r w:rsidRPr="00A9434B">
        <w:t>2007)</w:t>
      </w:r>
      <w:r w:rsidRPr="00A9434B">
        <w:fldChar w:fldCharType="end"/>
      </w:r>
      <w:r w:rsidRPr="00A9434B">
        <w:t xml:space="preserve"> for an example of the application of such technology). A fundamental dimension of this development is to ensure the applicability of current technologies in diverse contexts </w:t>
      </w:r>
      <w:r w:rsidRPr="00A9434B">
        <w:fldChar w:fldCharType="begin"/>
      </w:r>
      <w:r w:rsidR="002D2756">
        <w:instrText xml:space="preserve"> ADDIN ZOTERO_ITEM CSL_CITATION {"citationID":"I6YVgFhF","properties":{"unsorted":true,"formattedCitation":"(Martinez et al., 2020; Kamenova et al., 2017)","plainCitation":"(Martinez et al., 2020; Kamenova et al., 2017)","dontUpdate":true,"noteIndex":0},"citationItems":[{"id":56516,"uris":["http://zotero.org/groups/2352922/items/G4LGXB4D","http://zotero.org/groups/2352922/items/XRS6UM5S"],"itemData":{"id":56516,"type":"article-journal","abstract":"Abstract\n            \n              The\n              2016\n              –\n              2018\n              National Invasive Species Council\n              (\n              NISC\n              )\n              Management Plan\n              and Executive Order 13751 call for US federal agencies to foster technology development and application to address invasive species and their impacts. This paper complements and draws on an Innovation Summit, review of advanced biotechnologies applicable to invasive species management, and a survey of federal agencies that respond to these high-level directives. We provide an assessment of federal government capacities for the early detection of and rapid response to invasive species (EDRR) through advances in technology application; examples of emerging technologies for the detection, identification, reporting, and response to invasive species; and guidance for fostering further advancements in applicable technologies. Throughout the paper, we provide examples of how federal agencies are applying technologies to improve programmatic effectiveness and cost-efficiencies. We also highlight the outstanding technology-related needs identified by federal agencies to overcome barriers to enacting EDRR. Examples include improvements in research facility infrastructure, data mobilization across a wide range of invasive species parameters (from genetic to landscape scales), promotion of and support for filling key gaps in technological capacity (e.g., portable, field-ready devices with automated capacities), and greater investments in technology prizes and challenge competitions.","container-title":"Biological Invasions","DOI":"10.1007/s10530-019-02146-y","ISSN":"1387-3547, 1573-1464","issue":"1","journalAbbreviation":"Biol Invasions","language":"en","page":"75-100","source":"DOI.org (Crossref)","title":"Technology innovation: advancing capacities for the early detection of and rapid response to invasive species","title-short":"Technology innovation","URL":"http://link.springer.com/10.1007/s10530-019-02146-y","volume":"22","author":[{"family":"Martinez","given":"Barbara"},{"family":"Reaser","given":"Jamie K."},{"family":"Dehgan","given":"Alex"},{"family":"Zamft","given":"Brad"},{"family":"Baisch","given":"David"},{"family":"McCormick","given":"Colin"},{"family":"Giordano","given":"Anthony J."},{"family":"Aicher","given":"Rebecca"},{"family":"Selbe","given":"Shah"}],"accessed":{"date-parts":[["2023",6,8]]},"issued":{"date-parts":[["2020",1]]}},"label":"page"},{"id":32142,"uris":["http://zotero.org/groups/2352922/items/XQDAGW74"],"itemData":{"id":32142,"type":"chapter","abstract":"Biological invasions exert multiple pervasive effects on ecosystems, potentially disrupting species interactions and global ecological processes. Our ability to successfully predict and manage the ecosystem-level impacts of biological invasions is strongly dependent on our capacity to empirically characterize complex biological interactions and their spatiotemporal dynamics. In this chapter, we argue that the comprehensive integration of multiple complementary tools within the explicit context of ecological networks is essential for providing mechanistic insight into invasion processes and their impact across organizational levels. We provide an overview of traditional (stable isotopes, populations genetics) and emerging (metabarcoding, citizen science) techniques and methods, and their practical implementation in the context of biological invasions. We also present several currently available models and machine-learning approaches that could be used for predicting novel or undocumented interactions, thus allowing a more robust and cost-effective forecast of network and ecosystem stability. Finally, we discuss the importance of methodological advancements on the emergence of scientific and societal challenges for investigating local and global species histories with several skill sets.","collection-title":"Networks of Invasion: A Synthesis of Concepts","container-title":"Advances in Ecological Research","language":"en","note":"DOI: 10.1016/bs.aecr.2016.10.009","page":"85-182","publisher":"Academic Press","source":"ScienceDirect","title":"Chapter Three - Invasions Toolkit: Current Methods for Tracking the Spread and Impact of Invasive Species","title-short":"Chapter Three - Invasions Toolkit","URL":"https://www.sciencedirect.com/science/article/pii/S0065250416300587","volume":"56","author":[{"family":"Kamenova","given":"S."},{"family":"Bartley","given":"T. J."},{"family":"Bohan","given":"D. A."},{"family":"Boutain","given":"J. R."},{"family":"Colautti","given":"R. I."},{"family":"Domaizon","given":"I."},{"family":"Fontaine","given":"C."},{"family":"Lemainque","given":"A."},{"family":"Le Viol","given":"I."},{"family":"Mollot","given":"G."},{"family":"Perga","given":"M. -E."},{"family":"Ravigné","given":"V."},{"family":"Massol","given":"F."}],"editor":[{"family":"Bohan","given":"David A."},{"family":"Dumbrell","given":"Alex J."},{"family":"Massol","given":"François"}],"accessed":{"date-parts":[["2021",12,6]]},"issued":{"date-parts":[["2017",1,1]]}},"label":"page"}],"schema":"https://github.com/citation-style-language/schema/raw/master/csl-citation.json"} </w:instrText>
      </w:r>
      <w:r w:rsidRPr="00A9434B">
        <w:fldChar w:fldCharType="separate"/>
      </w:r>
      <w:r w:rsidRPr="00B76A5E">
        <w:t>(Martinez et al., 2020; Kamenova et al., 2017</w:t>
      </w:r>
      <w:r w:rsidRPr="00A9434B">
        <w:fldChar w:fldCharType="end"/>
      </w:r>
      <w:r w:rsidRPr="00A9434B">
        <w:t xml:space="preserve">; </w:t>
      </w:r>
      <w:r w:rsidRPr="00673554">
        <w:rPr>
          <w:b/>
          <w:iCs/>
        </w:rPr>
        <w:t xml:space="preserve">section </w:t>
      </w:r>
      <w:r w:rsidRPr="00673554">
        <w:rPr>
          <w:b/>
        </w:rPr>
        <w:t>6.3.1.4</w:t>
      </w:r>
      <w:r w:rsidRPr="00A9434B">
        <w:t>).</w:t>
      </w:r>
    </w:p>
    <w:p w14:paraId="7C70E38A" w14:textId="24F69A65" w:rsidR="00881AB9" w:rsidRDefault="00881AB9" w:rsidP="00881AB9">
      <w:pPr>
        <w:pStyle w:val="Heading3"/>
        <w:ind w:left="720"/>
      </w:pPr>
      <w:r>
        <w:t>Support information systems, infrastructures and data sharing to connect knowledge systems using digital processes and international partnerships</w:t>
      </w:r>
    </w:p>
    <w:p w14:paraId="0C446553" w14:textId="173879F6" w:rsidR="00AB1628" w:rsidRDefault="00881AB9" w:rsidP="00AB1628">
      <w:pPr>
        <w:rPr>
          <w:i/>
        </w:rPr>
      </w:pPr>
      <w:r>
        <w:t>Current understanding of the biological invasion process is adequate for taking preventive effective action. However, there remain key data, information</w:t>
      </w:r>
      <w:r w:rsidR="00EB415D">
        <w:t xml:space="preserve"> and</w:t>
      </w:r>
      <w:r>
        <w:t xml:space="preserve"> knowledge gaps in invasion biology and social science for bringing about widespread progress across invasion stages that could be beneficial in maximizing the efficacy of actions </w:t>
      </w:r>
      <w:r w:rsidR="00F806B6" w:rsidRPr="00A9434B">
        <w:t>(</w:t>
      </w:r>
      <w:r w:rsidR="009718E8" w:rsidRPr="00673554">
        <w:rPr>
          <w:b/>
          <w:iCs/>
        </w:rPr>
        <w:fldChar w:fldCharType="begin"/>
      </w:r>
      <w:r w:rsidR="009718E8" w:rsidRPr="00673554">
        <w:rPr>
          <w:b/>
          <w:iCs/>
        </w:rPr>
        <w:instrText xml:space="preserve"> REF _Ref104892706 \h  \* MERGEFORMAT </w:instrText>
      </w:r>
      <w:r w:rsidR="009718E8" w:rsidRPr="00673554">
        <w:rPr>
          <w:b/>
          <w:iCs/>
        </w:rPr>
      </w:r>
      <w:r w:rsidR="009718E8" w:rsidRPr="00673554">
        <w:rPr>
          <w:b/>
          <w:iCs/>
        </w:rPr>
        <w:fldChar w:fldCharType="separate"/>
      </w:r>
      <w:r w:rsidR="0011368C" w:rsidRPr="00673554">
        <w:rPr>
          <w:b/>
          <w:iCs/>
        </w:rPr>
        <w:t>Table 6.10</w:t>
      </w:r>
      <w:r w:rsidR="009718E8" w:rsidRPr="00673554">
        <w:rPr>
          <w:b/>
          <w:iCs/>
        </w:rPr>
        <w:fldChar w:fldCharType="end"/>
      </w:r>
      <w:r w:rsidR="009718E8" w:rsidRPr="00A9434B">
        <w:t xml:space="preserve">). Information systems and sharing are essential for the integrated governance </w:t>
      </w:r>
      <w:r w:rsidR="00D6699F" w:rsidRPr="00A9434B">
        <w:t>for biological invasions</w:t>
      </w:r>
      <w:r w:rsidR="009718E8" w:rsidRPr="00A9434B">
        <w:t xml:space="preserve"> (</w:t>
      </w:r>
      <w:r w:rsidR="00067EA8" w:rsidRPr="00673554">
        <w:rPr>
          <w:b/>
          <w:iCs/>
        </w:rPr>
        <w:t>Figures 6.21</w:t>
      </w:r>
      <w:r w:rsidR="00067EA8" w:rsidRPr="00A9434B">
        <w:rPr>
          <w:i/>
          <w:iCs/>
        </w:rPr>
        <w:t xml:space="preserve"> </w:t>
      </w:r>
      <w:r w:rsidR="00A13B9F" w:rsidRPr="00A9434B">
        <w:t>and</w:t>
      </w:r>
      <w:r w:rsidR="00A13B9F" w:rsidRPr="00A9434B">
        <w:rPr>
          <w:i/>
          <w:iCs/>
        </w:rPr>
        <w:t xml:space="preserve"> </w:t>
      </w:r>
      <w:r w:rsidR="002E0007" w:rsidRPr="00673554">
        <w:rPr>
          <w:b/>
          <w:iCs/>
        </w:rPr>
        <w:t>6.23</w:t>
      </w:r>
      <w:r w:rsidR="009718E8" w:rsidRPr="00A9434B">
        <w:t>) as these would (i) provide direction for filling key data and information gaps, (ii) enable open and equitable access to information across well and poorly resourced regions and stakeholders</w:t>
      </w:r>
      <w:r w:rsidR="006F2BE1">
        <w:t>,</w:t>
      </w:r>
      <w:r w:rsidR="00EB415D">
        <w:t xml:space="preserve"> </w:t>
      </w:r>
      <w:r w:rsidR="009718E8" w:rsidRPr="00A9434B">
        <w:t>(iii) facilitate the research and capacity-building needed to respond to ongoing and changing demands for information on the multiple dimensions of the problem of invasive alien species</w:t>
      </w:r>
      <w:r w:rsidR="00EB415D">
        <w:t xml:space="preserve"> and</w:t>
      </w:r>
      <w:r w:rsidR="009718E8" w:rsidRPr="00A9434B">
        <w:t xml:space="preserve"> (iv) mobili</w:t>
      </w:r>
      <w:r w:rsidR="00B87CCA" w:rsidRPr="00A9434B">
        <w:t>z</w:t>
      </w:r>
      <w:r w:rsidR="009718E8" w:rsidRPr="00A9434B">
        <w:t xml:space="preserve">e the knowledge needed to support effective implementation of prevention and control measures </w:t>
      </w:r>
      <w:r w:rsidR="00B66048" w:rsidRPr="00F27FC5">
        <w:fldChar w:fldCharType="begin"/>
      </w:r>
      <w:r w:rsidR="002D2756">
        <w:instrText xml:space="preserve"> ADDIN ZOTERO_ITEM CSL_CITATION {"citationID":"aa4g4gb84o","properties":{"formattedCitation":"(Caniglia et al., 2021)","plainCitation":"(Caniglia et al., 2021)","noteIndex":0},"citationItems":[{"id":54764,"uris":["http://zotero.org/groups/2352922/items/EFFD65JS"],"itemData":{"id":54764,"type":"article-journal","container-title":"Nature Sustainability","DOI":"10.1038/s41893-020-00616-z","issue":"2","note":"ISBN: 2398-9629\npublisher: Nature Publishing Group UK London","page":"93-100","title":"A pluralistic and integrated approach to action-oriented knowledge for sustainability","volume":"4","author":[{"family":"Caniglia","given":"Guido"},{"family":"Luederitz","given":"Christopher"},{"family":"Wirth","given":"Timo","non-dropping-particle":"von"},{"family":"Fazey","given":"Ioan"},{"family":"Martin-López","given":"Berta"},{"family":"Hondrila","given":"Kristina"},{"family":"König","given":"Ariane"},{"family":"Wehrden","given":"Henrik","non-dropping-particle":"von"},{"family":"Schäpke","given":"N. A."},{"family":"Laubichler","given":"M. D."},{"family":"Lang","given":"D.J."}],"issued":{"date-parts":[["2021"]]}}}],"schema":"https://github.com/citation-style-language/schema/raw/master/csl-citation.json"} </w:instrText>
      </w:r>
      <w:r w:rsidR="00B66048" w:rsidRPr="00F27FC5">
        <w:fldChar w:fldCharType="separate"/>
      </w:r>
      <w:r w:rsidR="00C71E80" w:rsidRPr="0073042B">
        <w:t>(Caniglia et al., 2021)</w:t>
      </w:r>
      <w:r w:rsidR="00B66048" w:rsidRPr="00F27FC5">
        <w:fldChar w:fldCharType="end"/>
      </w:r>
      <w:r w:rsidR="00B66048" w:rsidRPr="00F27FC5">
        <w:t>.</w:t>
      </w:r>
      <w:r w:rsidR="00AB1628">
        <w:t xml:space="preserve"> Importantly, to avoid wasted investment in information platforms that collapse as resourcing changes across funding cycles, a mechanism for long-term, sustained support for an information sharing system is desirable (</w:t>
      </w:r>
      <w:r w:rsidR="00AB1628">
        <w:rPr>
          <w:b/>
        </w:rPr>
        <w:t>sections 6.2.3.1(3)</w:t>
      </w:r>
      <w:r w:rsidR="00AB1628">
        <w:t xml:space="preserve"> and</w:t>
      </w:r>
      <w:r w:rsidR="00AB1628">
        <w:rPr>
          <w:i/>
        </w:rPr>
        <w:t xml:space="preserve"> </w:t>
      </w:r>
      <w:r w:rsidR="00AB1628">
        <w:rPr>
          <w:b/>
        </w:rPr>
        <w:t>6.6</w:t>
      </w:r>
      <w:r w:rsidR="00AB1628">
        <w:t>).</w:t>
      </w:r>
    </w:p>
    <w:p w14:paraId="505276CE" w14:textId="20C6FC3A" w:rsidR="003162B9" w:rsidRPr="00A9434B" w:rsidRDefault="1ADA9252" w:rsidP="00881AB9">
      <w:pPr>
        <w:pStyle w:val="Heading2"/>
      </w:pPr>
      <w:bookmarkStart w:id="671" w:name="_Toc631034792"/>
      <w:bookmarkStart w:id="672" w:name="_Toc133428372"/>
      <w:bookmarkStart w:id="673" w:name="_Toc133428810"/>
      <w:bookmarkStart w:id="674" w:name="_Toc147417605"/>
      <w:r w:rsidRPr="00A9434B">
        <w:t>Promoting a conducive environment and enabling conditions</w:t>
      </w:r>
      <w:r w:rsidR="69732916" w:rsidRPr="00A9434B">
        <w:t xml:space="preserve"> for </w:t>
      </w:r>
      <w:r w:rsidR="1E777BBA" w:rsidRPr="00A9434B">
        <w:t>integrated governance and transformative change</w:t>
      </w:r>
      <w:bookmarkEnd w:id="671"/>
      <w:bookmarkEnd w:id="672"/>
      <w:bookmarkEnd w:id="673"/>
      <w:bookmarkEnd w:id="674"/>
    </w:p>
    <w:p w14:paraId="51BE5F5E" w14:textId="36E98F71" w:rsidR="00017C04" w:rsidRDefault="003162B9">
      <w:r w:rsidRPr="00A9434B">
        <w:t xml:space="preserve">Creating </w:t>
      </w:r>
      <w:r w:rsidR="00973A4E" w:rsidRPr="00A9434B">
        <w:t>a</w:t>
      </w:r>
      <w:r w:rsidRPr="00A9434B">
        <w:t xml:space="preserve"> </w:t>
      </w:r>
      <w:r w:rsidR="00973A4E" w:rsidRPr="00A9434B">
        <w:t xml:space="preserve">conducive </w:t>
      </w:r>
      <w:r w:rsidRPr="00A9434B">
        <w:t>environment to achiev</w:t>
      </w:r>
      <w:r w:rsidR="00973A4E" w:rsidRPr="00A9434B">
        <w:t>e</w:t>
      </w:r>
      <w:r w:rsidRPr="00A9434B">
        <w:t xml:space="preserve"> the change that is needed is an important part of effective prevention and control of invasive alien species</w:t>
      </w:r>
      <w:r w:rsidR="00A405F4" w:rsidRPr="00A9434B">
        <w:t xml:space="preserve"> (</w:t>
      </w:r>
      <w:r w:rsidR="00A405F4" w:rsidRPr="00673554">
        <w:rPr>
          <w:b/>
          <w:iCs/>
        </w:rPr>
        <w:t>Figure 6.2</w:t>
      </w:r>
      <w:r w:rsidR="00973A4E" w:rsidRPr="00673554">
        <w:rPr>
          <w:b/>
          <w:iCs/>
        </w:rPr>
        <w:t>4</w:t>
      </w:r>
      <w:r w:rsidR="00A405F4" w:rsidRPr="00A9434B">
        <w:t>)</w:t>
      </w:r>
      <w:r w:rsidRPr="00A9434B">
        <w:t>.</w:t>
      </w:r>
      <w:r w:rsidR="00F50AF9">
        <w:t xml:space="preserve"> Good governance systems are characterized by being effective, robust, responsive</w:t>
      </w:r>
      <w:r w:rsidR="00EB415D">
        <w:t xml:space="preserve"> and</w:t>
      </w:r>
      <w:r w:rsidR="00F50AF9">
        <w:t xml:space="preserve"> equitable </w:t>
      </w:r>
      <w:r w:rsidRPr="00A9434B">
        <w:rPr>
          <w:b/>
          <w:bCs/>
        </w:rPr>
        <w:fldChar w:fldCharType="begin"/>
      </w:r>
      <w:r w:rsidR="002D2756">
        <w:rPr>
          <w:b/>
          <w:bCs/>
        </w:rPr>
        <w:instrText xml:space="preserve"> ADDIN ZOTERO_ITEM CSL_CITATION {"citationID":"a2lbdddnv9q","properties":{"formattedCitation":"(Bennett &amp; Satterfield, 2018)","plainCitation":"(Bennett &amp; Satterfield, 2018)","noteIndex":0},"citationItems":[{"id":32745,"uris":["http://zotero.org/groups/2352922/items/LN6UG9GJ"],"itemData":{"id":32745,"type":"article-journal","abstract":"Governance is one of the most important factors for ensuring effective environmental management and conservation actions. Yet, there is still a relative paucity of comprehensive and practicable guidance that can be used to frame the evaluation, design, and analysis of systems of environmental governance. This conceptual review and synthesis article seeks to addresses this problem through resituating the broad body of governance literature into a practical framework for environmental governance. Our framework builds on a rich history of governance scholarship to propose that environmental governance has four general aims or objectives – to be effective, to be equitable, to be responsive, and to be robust. Each of these four objectives need to be considered simultaneously across the institutional, structural, and procedural elements of environmental governance. Through a review of the literature, we developed a set of attributes for each of these objectives and relate these to the overall capacity, functioning, and performance of environmental governance. Our aim is to provide a practical and adaptable framework that can be applied to the design, evaluation, and analysis of environmental governance in different social and political contexts, to diverse environmental problems and modes of governance, and at a range of scales.","container-title":"Conservation Letters","DOI":"10.1111/conl.12600","ISSN":"1755-263X","issue":"6","language":"en","note":"_eprint: https://conbio.onlinelibrary.wiley.com/doi/pdf/10.1111/conl.12600","page":"e12600","source":"Wiley Online Library","title":"Environmental governance: A practical framework to guide design, evaluation, and analysis","title-short":"Environmental governance","URL":"https://doi.org/10.1111/conl.12600","volume":"11","author":[{"family":"Bennett","given":"Nathan J."},{"family":"Satterfield","given":"Terre"}],"accessed":{"date-parts":[["2021",8,25]]},"issued":{"date-parts":[["2018"]]}},"label":"page"}],"schema":"https://github.com/citation-style-language/schema/raw/master/csl-citation.json"} </w:instrText>
      </w:r>
      <w:r w:rsidRPr="00A9434B">
        <w:rPr>
          <w:b/>
          <w:bCs/>
        </w:rPr>
        <w:fldChar w:fldCharType="separate"/>
      </w:r>
      <w:r w:rsidR="00C71E80" w:rsidRPr="00A9434B">
        <w:t>(Bennett &amp; Satterfield, 2018)</w:t>
      </w:r>
      <w:r w:rsidRPr="00A9434B">
        <w:rPr>
          <w:b/>
          <w:bCs/>
        </w:rPr>
        <w:fldChar w:fldCharType="end"/>
      </w:r>
      <w:r w:rsidR="534A541C" w:rsidRPr="00F27FC5">
        <w:t>,</w:t>
      </w:r>
      <w:r w:rsidR="00F50AF9">
        <w:rPr>
          <w:b/>
        </w:rPr>
        <w:t xml:space="preserve"> </w:t>
      </w:r>
      <w:r w:rsidR="00F50AF9">
        <w:t>and employing the strategic actions and priority interventions that bring about these characteristics (</w:t>
      </w:r>
      <w:r w:rsidR="00A405F4" w:rsidRPr="00673554">
        <w:rPr>
          <w:b/>
          <w:iCs/>
        </w:rPr>
        <w:t>Figure</w:t>
      </w:r>
      <w:r w:rsidR="00F50AF9">
        <w:rPr>
          <w:b/>
        </w:rPr>
        <w:t xml:space="preserve"> 6.24</w:t>
      </w:r>
      <w:r w:rsidR="00F50AF9">
        <w:t>). These four qualities can be achieved by drawing on a broad suite of policy instruments, methods</w:t>
      </w:r>
      <w:r w:rsidR="00EB415D">
        <w:t xml:space="preserve"> and</w:t>
      </w:r>
      <w:r w:rsidR="00F50AF9">
        <w:t xml:space="preserve"> support tools, using formal and informal decision-making structures</w:t>
      </w:r>
      <w:r w:rsidR="00EB415D">
        <w:t xml:space="preserve"> and</w:t>
      </w:r>
      <w:r w:rsidR="00F50AF9">
        <w:t xml:space="preserve"> facilitated by processes such as negotiation, conflict resolution and knowledge sharing, particularly at local scales. </w:t>
      </w:r>
    </w:p>
    <w:p w14:paraId="0F5D7709" w14:textId="0C16B16D" w:rsidR="00017C04" w:rsidRDefault="2F958343">
      <w:pPr>
        <w:spacing w:after="0"/>
      </w:pPr>
      <w:r>
        <w:lastRenderedPageBreak/>
        <w:t>Designing, building</w:t>
      </w:r>
      <w:r w:rsidR="009D2FA3">
        <w:t xml:space="preserve"> and</w:t>
      </w:r>
      <w:r>
        <w:t xml:space="preserve"> strengthening governance systems for </w:t>
      </w:r>
      <w:r w:rsidR="408525AC">
        <w:t xml:space="preserve">biological invasions </w:t>
      </w:r>
      <w:r>
        <w:t>with effective, robust, responsive</w:t>
      </w:r>
      <w:r w:rsidR="009D2FA3">
        <w:t xml:space="preserve"> and</w:t>
      </w:r>
      <w:r>
        <w:t xml:space="preserve"> equitable purposes in mind is, therefore, likely to be one of the most important determinants of progress to achieving goals for invasive alien species management. Indeed, several of the factors identified in this section, based on invasive alien species evidence, reinforce the enabling conditions identified as necessary to the 2030 mission for the </w:t>
      </w:r>
      <w:r w:rsidR="006F2BE1">
        <w:t>Kunming Montreal</w:t>
      </w:r>
      <w:r>
        <w:t xml:space="preserve"> Global Biodiversity Framework </w:t>
      </w:r>
      <w:r w:rsidR="003162B9" w:rsidRPr="00A9434B">
        <w:fldChar w:fldCharType="begin"/>
      </w:r>
      <w:r w:rsidR="002D2756">
        <w:instrText xml:space="preserve"> ADDIN ZOTERO_ITEM CSL_CITATION {"citationID":"a2qs2t6c603","properties":{"formattedCitation":"(CBD, 2021b)","plainCitation":"(CBD, 2021b)(CBD, 2021a)","dontUpdate":true,"noteIndex":0},"citationItems":[{"id":31927,"uris":["http://zotero.org/groups/2352922/items/VTCP8FLJ"],"itemData":{"id":31927,"type":"document","language":"en","publisher":"Convention on Biodiversity, United Nations Environment Programme","source":"Zotero","title":"CBD/WG2020/3/3: First draft of the post-2020 global biodiversity framework","URL":"https://www.cbd.int/doc/c/abb5/591f/2e46096d3f0330b08ce87a45/wg2020-03-03-en.pdf","author":[{"literal":"CBD"}],"issued":{"date-parts":[["2021",7,5]]}},"label":"page"}],"schema":"https://github.com/citation-style-language/schema/raw/master/csl-citation.json"} </w:instrText>
      </w:r>
      <w:r w:rsidR="003162B9" w:rsidRPr="00A9434B">
        <w:fldChar w:fldCharType="separate"/>
      </w:r>
      <w:r w:rsidR="00173699">
        <w:t>(CBD, 2021b)</w:t>
      </w:r>
      <w:r w:rsidR="003162B9" w:rsidRPr="00A9434B">
        <w:fldChar w:fldCharType="end"/>
      </w:r>
      <w:r w:rsidR="003162B9" w:rsidRPr="00A9434B">
        <w:t>, namely:</w:t>
      </w:r>
      <w:r>
        <w:t xml:space="preserve"> </w:t>
      </w:r>
    </w:p>
    <w:p w14:paraId="0FAC5E9A" w14:textId="4D690B33" w:rsidR="00017C04" w:rsidRDefault="006F2BE1" w:rsidP="00881AB9">
      <w:pPr>
        <w:pStyle w:val="ListParagraph"/>
        <w:numPr>
          <w:ilvl w:val="0"/>
          <w:numId w:val="60"/>
        </w:numPr>
        <w:spacing w:before="0"/>
      </w:pPr>
      <w:r>
        <w:t>B</w:t>
      </w:r>
      <w:r w:rsidR="00F50AF9" w:rsidRPr="00881AB9">
        <w:t>uilding participation of all stakeholders, including Indigenous Peoples and local communities;</w:t>
      </w:r>
    </w:p>
    <w:p w14:paraId="62B5F49D" w14:textId="1CADBDCC" w:rsidR="00017C04" w:rsidRDefault="006F2BE1" w:rsidP="00881AB9">
      <w:pPr>
        <w:pStyle w:val="ListParagraph"/>
        <w:numPr>
          <w:ilvl w:val="0"/>
          <w:numId w:val="60"/>
        </w:numPr>
      </w:pPr>
      <w:r>
        <w:t>I</w:t>
      </w:r>
      <w:r w:rsidR="00F50AF9" w:rsidRPr="00881AB9">
        <w:t>nclusion of multiple sectors in decision-making;</w:t>
      </w:r>
    </w:p>
    <w:p w14:paraId="79760D7D" w14:textId="36D16B34" w:rsidR="00017C04" w:rsidRDefault="006F2BE1" w:rsidP="00881AB9">
      <w:pPr>
        <w:pStyle w:val="ListParagraph"/>
        <w:numPr>
          <w:ilvl w:val="0"/>
          <w:numId w:val="60"/>
        </w:numPr>
      </w:pPr>
      <w:r>
        <w:t>T</w:t>
      </w:r>
      <w:r w:rsidR="00F50AF9" w:rsidRPr="00881AB9">
        <w:t>he need for synergies across relevant multilateral agreements and policy coherence and effectiveness monitoring;</w:t>
      </w:r>
    </w:p>
    <w:p w14:paraId="40F0682D" w14:textId="79983AB4" w:rsidR="00017C04" w:rsidRDefault="006F2BE1" w:rsidP="00881AB9">
      <w:pPr>
        <w:pStyle w:val="ListParagraph"/>
        <w:numPr>
          <w:ilvl w:val="0"/>
          <w:numId w:val="60"/>
        </w:numPr>
      </w:pPr>
      <w:r>
        <w:t>T</w:t>
      </w:r>
      <w:r w:rsidR="00F50AF9" w:rsidRPr="00881AB9">
        <w:t xml:space="preserve">he establishment of cooperation mechanisms that enable collective action; </w:t>
      </w:r>
    </w:p>
    <w:p w14:paraId="61D95240" w14:textId="06C6111D" w:rsidR="00017C04" w:rsidRDefault="006F2BE1" w:rsidP="00881AB9">
      <w:pPr>
        <w:pStyle w:val="ListParagraph"/>
        <w:numPr>
          <w:ilvl w:val="0"/>
          <w:numId w:val="60"/>
        </w:numPr>
      </w:pPr>
      <w:r>
        <w:t>A</w:t>
      </w:r>
      <w:r w:rsidR="00F50AF9" w:rsidRPr="00881AB9">
        <w:t>ctive involvement of sub-national and local decision-making nodes and clear assignment of roles and responsibilities;</w:t>
      </w:r>
    </w:p>
    <w:p w14:paraId="69353B29" w14:textId="32B81E08" w:rsidR="00017C04" w:rsidRDefault="006F2BE1" w:rsidP="00881AB9">
      <w:pPr>
        <w:pStyle w:val="ListParagraph"/>
        <w:numPr>
          <w:ilvl w:val="0"/>
          <w:numId w:val="60"/>
        </w:numPr>
      </w:pPr>
      <w:r>
        <w:t>P</w:t>
      </w:r>
      <w:r w:rsidR="00F50AF9" w:rsidRPr="00881AB9">
        <w:t xml:space="preserve">reventing indirect and negative telecoupling effects (also called spill over processes), such as </w:t>
      </w:r>
      <w:r w:rsidR="4F4DB504">
        <w:t>invasive alien species</w:t>
      </w:r>
      <w:r w:rsidR="00F50AF9" w:rsidRPr="56C59A3A">
        <w:rPr>
          <w:color w:val="000000" w:themeColor="text1"/>
        </w:rPr>
        <w:t xml:space="preserve"> </w:t>
      </w:r>
      <w:r w:rsidR="5BB176E2" w:rsidRPr="56C59A3A">
        <w:rPr>
          <w:color w:val="000000" w:themeColor="text1"/>
        </w:rPr>
        <w:t>themselves</w:t>
      </w:r>
      <w:r w:rsidR="00F50AF9" w:rsidRPr="00C12647">
        <w:rPr>
          <w:color w:val="000000" w:themeColor="text1"/>
        </w:rPr>
        <w:t xml:space="preserve">; </w:t>
      </w:r>
    </w:p>
    <w:p w14:paraId="3A2B92E6" w14:textId="251539D7" w:rsidR="00017C04" w:rsidRDefault="006F2BE1" w:rsidP="00881AB9">
      <w:pPr>
        <w:pStyle w:val="ListParagraph"/>
        <w:numPr>
          <w:ilvl w:val="0"/>
          <w:numId w:val="60"/>
        </w:numPr>
      </w:pPr>
      <w:r>
        <w:t>R</w:t>
      </w:r>
      <w:r w:rsidR="00F50AF9" w:rsidRPr="00881AB9">
        <w:t xml:space="preserve">ecognition of the challenges at the highest levels of government and political will to act. </w:t>
      </w:r>
    </w:p>
    <w:p w14:paraId="36302DFB" w14:textId="1448B1A4" w:rsidR="00890D86" w:rsidRPr="00A9434B" w:rsidRDefault="00881AB9" w:rsidP="00AF06BF">
      <w:pPr>
        <w:jc w:val="center"/>
      </w:pPr>
      <w:r>
        <w:rPr>
          <w:noProof/>
        </w:rPr>
        <w:drawing>
          <wp:inline distT="0" distB="0" distL="0" distR="0" wp14:anchorId="43D39660" wp14:editId="7CDC6810">
            <wp:extent cx="6111240" cy="4735195"/>
            <wp:effectExtent l="0" t="0" r="0" b="1905"/>
            <wp:docPr id="1868808421" name="image156.png" descr="A white and orange text on a white surfac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6.png" descr="A white and orange text on a white surface&#10;&#10;Description automatically generated"/>
                    <pic:cNvPicPr preferRelativeResize="0"/>
                  </pic:nvPicPr>
                  <pic:blipFill>
                    <a:blip r:embed="rId60"/>
                    <a:srcRect/>
                    <a:stretch>
                      <a:fillRect/>
                    </a:stretch>
                  </pic:blipFill>
                  <pic:spPr>
                    <a:xfrm>
                      <a:off x="0" y="0"/>
                      <a:ext cx="6111240" cy="4735195"/>
                    </a:xfrm>
                    <a:prstGeom prst="rect">
                      <a:avLst/>
                    </a:prstGeom>
                    <a:ln/>
                  </pic:spPr>
                </pic:pic>
              </a:graphicData>
            </a:graphic>
          </wp:inline>
        </w:drawing>
      </w:r>
    </w:p>
    <w:p w14:paraId="34AF56D3" w14:textId="6C268B3D" w:rsidR="00017C04" w:rsidRPr="00881AB9" w:rsidRDefault="10E9694C" w:rsidP="00881AB9">
      <w:pPr>
        <w:pStyle w:val="Caption"/>
        <w:rPr>
          <w:b w:val="0"/>
          <w:bCs w:val="0"/>
          <w:iCs/>
        </w:rPr>
      </w:pPr>
      <w:bookmarkStart w:id="675" w:name="_Ref104897582"/>
      <w:bookmarkStart w:id="676" w:name="_Hlk137726725"/>
      <w:bookmarkStart w:id="677" w:name="_Toc147418319"/>
      <w:r w:rsidRPr="00A9434B">
        <w:t>Figure 6.</w:t>
      </w:r>
      <w:r w:rsidR="007C7AC3">
        <w:fldChar w:fldCharType="begin"/>
      </w:r>
      <w:r w:rsidR="007C7AC3">
        <w:instrText xml:space="preserve"> SEQ Figure_6. \* ARABIC </w:instrText>
      </w:r>
      <w:r w:rsidR="007C7AC3">
        <w:fldChar w:fldCharType="separate"/>
      </w:r>
      <w:r w:rsidR="0011368C">
        <w:rPr>
          <w:noProof/>
        </w:rPr>
        <w:t>24</w:t>
      </w:r>
      <w:r w:rsidR="007C7AC3">
        <w:rPr>
          <w:noProof/>
        </w:rPr>
        <w:fldChar w:fldCharType="end"/>
      </w:r>
      <w:bookmarkEnd w:id="675"/>
      <w:r w:rsidR="006A3E20" w:rsidRPr="00A9434B">
        <w:t>.</w:t>
      </w:r>
      <w:r w:rsidRPr="00A9434B">
        <w:t xml:space="preserve"> </w:t>
      </w:r>
      <w:r w:rsidR="596FEC2C" w:rsidRPr="00881AB9">
        <w:rPr>
          <w:b w:val="0"/>
          <w:bCs w:val="0"/>
        </w:rPr>
        <w:t xml:space="preserve">The conditions that support integrated governance for </w:t>
      </w:r>
      <w:r w:rsidR="00881AB9" w:rsidRPr="00881AB9">
        <w:rPr>
          <w:b w:val="0"/>
          <w:bCs w:val="0"/>
          <w:color w:val="000000" w:themeColor="text1"/>
        </w:rPr>
        <w:t>biological invasions</w:t>
      </w:r>
      <w:r w:rsidR="00F27F4C">
        <w:rPr>
          <w:b w:val="0"/>
          <w:bCs w:val="0"/>
          <w:color w:val="000000" w:themeColor="text1"/>
        </w:rPr>
        <w:t xml:space="preserve"> </w:t>
      </w:r>
      <w:r w:rsidR="00881AB9" w:rsidRPr="00881AB9">
        <w:rPr>
          <w:b w:val="0"/>
          <w:bCs w:val="0"/>
          <w:color w:val="000000" w:themeColor="text1"/>
        </w:rPr>
        <w:t>reflecting the desirable, inter-dependent qualities of governance systems (i.e.</w:t>
      </w:r>
      <w:r w:rsidR="00F27F4C">
        <w:rPr>
          <w:b w:val="0"/>
          <w:bCs w:val="0"/>
          <w:color w:val="000000" w:themeColor="text1"/>
        </w:rPr>
        <w:t>,</w:t>
      </w:r>
      <w:r w:rsidR="00881AB9" w:rsidRPr="00881AB9">
        <w:rPr>
          <w:b w:val="0"/>
          <w:bCs w:val="0"/>
          <w:color w:val="000000" w:themeColor="text1"/>
        </w:rPr>
        <w:t xml:space="preserve"> the properties of governance </w:t>
      </w:r>
      <w:r w:rsidR="00881AB9" w:rsidRPr="00881AB9">
        <w:rPr>
          <w:b w:val="0"/>
          <w:bCs w:val="0"/>
          <w:color w:val="000000" w:themeColor="text1"/>
        </w:rPr>
        <w:lastRenderedPageBreak/>
        <w:t xml:space="preserve">systems in </w:t>
      </w:r>
      <w:r w:rsidR="00881AB9" w:rsidRPr="00881AB9">
        <w:rPr>
          <w:color w:val="000000" w:themeColor="text1"/>
        </w:rPr>
        <w:t>Figure 6.21</w:t>
      </w:r>
      <w:r w:rsidR="00881AB9" w:rsidRPr="00881AB9">
        <w:rPr>
          <w:b w:val="0"/>
          <w:bCs w:val="0"/>
          <w:color w:val="000000" w:themeColor="text1"/>
        </w:rPr>
        <w:t>).</w:t>
      </w:r>
      <w:r w:rsidR="00881AB9" w:rsidRPr="0B8DB0CC">
        <w:rPr>
          <w:color w:val="000000" w:themeColor="text1"/>
        </w:rPr>
        <w:t xml:space="preserve"> </w:t>
      </w:r>
      <w:r w:rsidR="00EE6385" w:rsidRPr="009730B2">
        <w:rPr>
          <w:b w:val="0"/>
          <w:bCs w:val="0"/>
          <w:iCs/>
        </w:rPr>
        <w:t>Adapted from</w:t>
      </w:r>
      <w:r w:rsidR="00EF6BCD" w:rsidRPr="009730B2">
        <w:rPr>
          <w:b w:val="0"/>
          <w:bCs w:val="0"/>
        </w:rPr>
        <w:t xml:space="preserve"> </w:t>
      </w:r>
      <w:r w:rsidR="00EF6BCD" w:rsidRPr="009730B2">
        <w:rPr>
          <w:b w:val="0"/>
          <w:bCs w:val="0"/>
          <w:iCs/>
        </w:rPr>
        <w:t xml:space="preserve">Bennett &amp; Satterfield </w:t>
      </w:r>
      <w:r w:rsidR="005A5D3E" w:rsidRPr="00B76A5E">
        <w:rPr>
          <w:b w:val="0"/>
          <w:bCs w:val="0"/>
          <w:iCs/>
        </w:rPr>
        <w:fldChar w:fldCharType="begin"/>
      </w:r>
      <w:r w:rsidR="002D2756">
        <w:rPr>
          <w:b w:val="0"/>
          <w:bCs w:val="0"/>
          <w:iCs/>
        </w:rPr>
        <w:instrText xml:space="preserve"> ADDIN ZOTERO_ITEM CSL_CITATION {"citationID":"cQCHkE0b","properties":{"formattedCitation":"(2018)","plainCitation":"(2018)","noteIndex":0},"citationItems":[{"id":32745,"uris":["http://zotero.org/groups/2352922/items/LN6UG9GJ"],"itemData":{"id":32745,"type":"article-journal","abstract":"Governance is one of the most important factors for ensuring effective environmental management and conservation actions. Yet, there is still a relative paucity of comprehensive and practicable guidance that can be used to frame the evaluation, design, and analysis of systems of environmental governance. This conceptual review and synthesis article seeks to addresses this problem through resituating the broad body of governance literature into a practical framework for environmental governance. Our framework builds on a rich history of governance scholarship to propose that environmental governance has four general aims or objectives – to be effective, to be equitable, to be responsive, and to be robust. Each of these four objectives need to be considered simultaneously across the institutional, structural, and procedural elements of environmental governance. Through a review of the literature, we developed a set of attributes for each of these objectives and relate these to the overall capacity, functioning, and performance of environmental governance. Our aim is to provide a practical and adaptable framework that can be applied to the design, evaluation, and analysis of environmental governance in different social and political contexts, to diverse environmental problems and modes of governance, and at a range of scales.","container-title":"Conservation Letters","DOI":"10.1111/conl.12600","ISSN":"1755-263X","issue":"6","language":"en","note":"_eprint: https://conbio.onlinelibrary.wiley.com/doi/pdf/10.1111/conl.12600","page":"e12600","source":"Wiley Online Library","title":"Environmental governance: A practical framework to guide design, evaluation, and analysis","title-short":"Environmental governance","URL":"https://doi.org/10.1111/conl.12600","volume":"11","author":[{"family":"Bennett","given":"Nathan J."},{"family":"Satterfield","given":"Terre"}],"accessed":{"date-parts":[["2021",8,25]]},"issued":{"date-parts":[["2018"]]}},"label":"page","suppress-author":true}],"schema":"https://github.com/citation-style-language/schema/raw/master/csl-citation.json"} </w:instrText>
      </w:r>
      <w:r w:rsidR="005A5D3E" w:rsidRPr="00B76A5E">
        <w:rPr>
          <w:b w:val="0"/>
          <w:bCs w:val="0"/>
          <w:iCs/>
        </w:rPr>
        <w:fldChar w:fldCharType="separate"/>
      </w:r>
      <w:r w:rsidR="00B76A5E" w:rsidRPr="00B76A5E">
        <w:rPr>
          <w:b w:val="0"/>
        </w:rPr>
        <w:t>(2018)</w:t>
      </w:r>
      <w:r w:rsidR="005A5D3E" w:rsidRPr="00B76A5E">
        <w:rPr>
          <w:b w:val="0"/>
          <w:bCs w:val="0"/>
          <w:iCs/>
        </w:rPr>
        <w:fldChar w:fldCharType="end"/>
      </w:r>
      <w:r w:rsidR="006146B5">
        <w:rPr>
          <w:b w:val="0"/>
          <w:bCs w:val="0"/>
          <w:iCs/>
        </w:rPr>
        <w:t xml:space="preserve">, </w:t>
      </w:r>
      <w:hyperlink r:id="rId61" w:history="1">
        <w:r w:rsidR="006146B5" w:rsidRPr="006A0CE1">
          <w:rPr>
            <w:rStyle w:val="Hyperlink"/>
            <w:b w:val="0"/>
            <w:bCs w:val="0"/>
            <w:iCs/>
          </w:rPr>
          <w:t>https://doi.org/10.1111/conl.12600</w:t>
        </w:r>
      </w:hyperlink>
      <w:r w:rsidR="006146B5">
        <w:rPr>
          <w:b w:val="0"/>
          <w:bCs w:val="0"/>
          <w:iCs/>
        </w:rPr>
        <w:t xml:space="preserve">, </w:t>
      </w:r>
      <w:r w:rsidR="00922CCE">
        <w:rPr>
          <w:b w:val="0"/>
          <w:bCs w:val="0"/>
          <w:iCs/>
        </w:rPr>
        <w:t>under license CC BY 4.0</w:t>
      </w:r>
      <w:r w:rsidR="00FC504C" w:rsidRPr="00B76A5E">
        <w:rPr>
          <w:b w:val="0"/>
          <w:bCs w:val="0"/>
          <w:iCs/>
        </w:rPr>
        <w:t>.</w:t>
      </w:r>
      <w:bookmarkEnd w:id="676"/>
      <w:bookmarkEnd w:id="677"/>
    </w:p>
    <w:p w14:paraId="0C90A4D9" w14:textId="3C49BEE6" w:rsidR="00017C04" w:rsidRDefault="00F50AF9" w:rsidP="008521D1">
      <w:pPr>
        <w:pStyle w:val="Heading2"/>
      </w:pPr>
      <w:bookmarkStart w:id="678" w:name="_heading=h.n5rssn"/>
      <w:bookmarkStart w:id="679" w:name="_Toc86782739"/>
      <w:bookmarkStart w:id="680" w:name="_Toc703663472"/>
      <w:bookmarkStart w:id="681" w:name="_Toc133428373"/>
      <w:bookmarkStart w:id="682" w:name="_Toc133428811"/>
      <w:bookmarkStart w:id="683" w:name="_Toc147417606"/>
      <w:bookmarkEnd w:id="678"/>
      <w:r>
        <w:t>Conclusion</w:t>
      </w:r>
      <w:bookmarkEnd w:id="679"/>
      <w:bookmarkEnd w:id="680"/>
      <w:bookmarkEnd w:id="681"/>
      <w:bookmarkEnd w:id="682"/>
      <w:bookmarkEnd w:id="683"/>
    </w:p>
    <w:p w14:paraId="2410D035" w14:textId="1ADD2803" w:rsidR="00017C04" w:rsidRDefault="2F958343" w:rsidP="56C59A3A">
      <w:r>
        <w:t>This chapter, supported by evidence from policy studies and other fields, and reflecting knowledge gained from previous chapters, has identified numerous options which could substantially improve invasive alien species prevention and control across multiple scales, levels of governance</w:t>
      </w:r>
      <w:r w:rsidR="009D2FA3">
        <w:t xml:space="preserve"> and</w:t>
      </w:r>
      <w:r>
        <w:t xml:space="preserve"> sectors. It is important </w:t>
      </w:r>
      <w:r w:rsidRPr="0B8DB0CC">
        <w:rPr>
          <w:color w:val="000000" w:themeColor="text1"/>
        </w:rPr>
        <w:t>not to underestimate the immense threat to nature, nature’s contributions to people</w:t>
      </w:r>
      <w:r w:rsidR="009D2FA3">
        <w:rPr>
          <w:color w:val="000000" w:themeColor="text1"/>
        </w:rPr>
        <w:t xml:space="preserve"> and</w:t>
      </w:r>
      <w:r w:rsidRPr="0B8DB0CC">
        <w:rPr>
          <w:color w:val="000000" w:themeColor="text1"/>
        </w:rPr>
        <w:t xml:space="preserve"> good quality of life posed by i</w:t>
      </w:r>
      <w:r>
        <w:t xml:space="preserve">nvasive alien species, which, at their worst are a form of persistent or irreversible pollution </w:t>
      </w:r>
      <w:r w:rsidR="006F2BE1">
        <w:t xml:space="preserve">that </w:t>
      </w:r>
      <w:r>
        <w:t xml:space="preserve">can be considered as a “kind of calculable oppression” of future generations </w:t>
      </w:r>
      <w:r w:rsidR="445A0BDA" w:rsidRPr="00A9434B">
        <w:fldChar w:fldCharType="begin"/>
      </w:r>
      <w:r w:rsidR="0006613E">
        <w:instrText xml:space="preserve"> ADDIN ZOTERO_ITEM CSL_CITATION {"citationID":"a1g34k7gv6l","properties":{"formattedCitation":"(Dasgupta, 2021; Sen, 1982)","plainCitation":"(Dasgupta, 2021; Sen, 1982)","noteIndex":0},"citationItems":[{"id":32816,"uris":["http://zotero.org/groups/2352922/items/CTLVUFTG"],"itemData":{"id":32816,"type":"report","event-place":"London: HM Treasury","language":"en","page":"103","publisher-place":"London: HM Treasury","source":"Zotero","title":"The Economics of Biodiversity:The Dasgupta Review. Abridged Version","URL":"https://www.gov.uk/government/publications/the-economics-of-biodiversity-the-dasgupta-review-abridged-version-translations","author":[{"family":"Dasgupta","given":"P."}],"issued":{"date-parts":[["2021"]]}},"label":"page"},{"id":53448,"uris":["http://zotero.org/groups/2352922/items/JYMMYVIS"],"itemData":{"id":53448,"type":"chapter","collection-title":"Resources for the Future","container-title":"Discounting for Time an Risk in Energy Policy","event-place":"Wasington D.C.","ISBN":"0-8018-2709-4","publisher":"Taylor &amp; Francis Inc","publisher-place":"Wasington D.C.","title":"Approaches to the choice of discount rates for social cost benefit analysis","URL":"https://scholar.harvard.edu/sen/publications/approaches-choice-discount-rates-social-cost-benefit-analysis","author":[{"family":"Sen","given":"A."}],"editor":[{"family":"Lind","given":"R. C."}],"issued":{"date-parts":[["1982"]]}},"label":"page"}],"schema":"https://github.com/citation-style-language/schema/raw/master/csl-citation.json"} </w:instrText>
      </w:r>
      <w:r w:rsidR="445A0BDA" w:rsidRPr="00A9434B">
        <w:fldChar w:fldCharType="separate"/>
      </w:r>
      <w:r w:rsidR="00017441" w:rsidRPr="00017441">
        <w:t>(Dasgupta, 2021; Sen, 1982)</w:t>
      </w:r>
      <w:r w:rsidR="445A0BDA" w:rsidRPr="00A9434B">
        <w:fldChar w:fldCharType="end"/>
      </w:r>
      <w:r w:rsidR="25BA9238" w:rsidRPr="00A9434B">
        <w:t>.</w:t>
      </w:r>
      <w:r>
        <w:t xml:space="preserve"> Optimal governance and policy-making conditions can be formed by policymakers, experts</w:t>
      </w:r>
      <w:r w:rsidR="009D2FA3">
        <w:t xml:space="preserve"> and</w:t>
      </w:r>
      <w:r>
        <w:t xml:space="preserve"> citizens who are cognizant of the diverse existing approaches. Implementing integrated governance for </w:t>
      </w:r>
      <w:r w:rsidR="1591EA98">
        <w:t xml:space="preserve">biological invasions </w:t>
      </w:r>
      <w:r>
        <w:t>will only be achieved through deep cross-disciplinary discussions and planning and sustained, vigilant effort. A new focus on integrated governance stands to benefit not only invasive alien species management, but provides exciting paths towards new mechanisms and opportunities for communities to sustain good quality of life while addressing the intertwined threats to biodiversity that also threaten human civilization.</w:t>
      </w:r>
    </w:p>
    <w:p w14:paraId="34103DA6" w14:textId="18AE42DE" w:rsidR="00017C04" w:rsidRDefault="00F50AF9" w:rsidP="56C59A3A">
      <w:r>
        <w:t xml:space="preserve">The overarching message of this chapter and of the IPBES invasive alien species assessment is clear: </w:t>
      </w:r>
      <w:r w:rsidRPr="56C59A3A">
        <w:rPr>
          <w:color w:val="000000" w:themeColor="text1"/>
        </w:rPr>
        <w:t>though there has been success in understanding</w:t>
      </w:r>
      <w:r w:rsidR="4F5174CF" w:rsidRPr="56C59A3A">
        <w:rPr>
          <w:color w:val="000000" w:themeColor="text1"/>
        </w:rPr>
        <w:t xml:space="preserve"> </w:t>
      </w:r>
      <w:r w:rsidRPr="56C59A3A">
        <w:rPr>
          <w:color w:val="000000" w:themeColor="text1"/>
        </w:rPr>
        <w:t xml:space="preserve">and managing biological invasions, a robust, sustained and socially inclusive global commitment is necessary to avoid the most harmful impacts of </w:t>
      </w:r>
      <w:r w:rsidR="66A56694">
        <w:t>invasive alien species</w:t>
      </w:r>
      <w:r w:rsidR="66A56694" w:rsidRPr="00C12647">
        <w:t xml:space="preserve"> </w:t>
      </w:r>
      <w:r w:rsidRPr="56C59A3A">
        <w:rPr>
          <w:color w:val="000000" w:themeColor="text1"/>
        </w:rPr>
        <w:t xml:space="preserve">on nature and people. The goals on reducing invasive alien species adopted by the </w:t>
      </w:r>
      <w:r w:rsidR="006F2BE1">
        <w:rPr>
          <w:color w:val="000000" w:themeColor="text1"/>
        </w:rPr>
        <w:t>p</w:t>
      </w:r>
      <w:r w:rsidRPr="56C59A3A">
        <w:rPr>
          <w:color w:val="000000" w:themeColor="text1"/>
        </w:rPr>
        <w:t xml:space="preserve">arties </w:t>
      </w:r>
      <w:r w:rsidR="00273868">
        <w:rPr>
          <w:color w:val="000000" w:themeColor="text1"/>
        </w:rPr>
        <w:t>to</w:t>
      </w:r>
      <w:r w:rsidR="00273868" w:rsidRPr="56C59A3A">
        <w:rPr>
          <w:color w:val="000000" w:themeColor="text1"/>
        </w:rPr>
        <w:t xml:space="preserve"> </w:t>
      </w:r>
      <w:r w:rsidRPr="56C59A3A">
        <w:rPr>
          <w:color w:val="000000" w:themeColor="text1"/>
        </w:rPr>
        <w:t>the CBD as part of the Kunming-Montreal Global Biodiversity Framework in late 2022 are attainable, but there is no time to waste in their earnest pursuit.</w:t>
      </w:r>
    </w:p>
    <w:p w14:paraId="6E19CC37" w14:textId="77777777" w:rsidR="00017C04" w:rsidRDefault="00017C04"/>
    <w:p w14:paraId="6EBC3BAF" w14:textId="77777777" w:rsidR="00017C04" w:rsidRDefault="00F50AF9">
      <w:pPr>
        <w:spacing w:before="0" w:after="0"/>
        <w:rPr>
          <w:rFonts w:ascii="-webkit-standard" w:eastAsia="-webkit-standard" w:hAnsi="-webkit-standard" w:cs="-webkit-standard"/>
          <w:color w:val="000000"/>
        </w:rPr>
      </w:pPr>
      <w:r>
        <w:br w:type="page"/>
      </w:r>
    </w:p>
    <w:p w14:paraId="464AA362" w14:textId="77777777" w:rsidR="00017C04" w:rsidRDefault="00F50AF9" w:rsidP="00972190">
      <w:pPr>
        <w:pStyle w:val="Heading1"/>
        <w:ind w:left="720" w:hanging="720"/>
      </w:pPr>
      <w:bookmarkStart w:id="684" w:name="_Toc1390242813"/>
      <w:bookmarkStart w:id="685" w:name="_Toc133428374"/>
      <w:bookmarkStart w:id="686" w:name="_Toc133428812"/>
      <w:bookmarkStart w:id="687" w:name="_Toc147417607"/>
      <w:r>
        <w:lastRenderedPageBreak/>
        <w:t>References</w:t>
      </w:r>
      <w:bookmarkEnd w:id="684"/>
      <w:bookmarkEnd w:id="685"/>
      <w:bookmarkEnd w:id="686"/>
      <w:bookmarkEnd w:id="687"/>
    </w:p>
    <w:p w14:paraId="2AD6B202" w14:textId="77777777" w:rsidR="002D2756" w:rsidRPr="001523EB" w:rsidRDefault="00EA1962" w:rsidP="001523EB">
      <w:pPr>
        <w:pStyle w:val="Bibliography"/>
        <w:spacing w:before="0" w:after="0" w:line="240" w:lineRule="auto"/>
        <w:rPr>
          <w:rFonts w:ascii="Times New Roman" w:hAnsi="Times New Roman"/>
        </w:rPr>
      </w:pPr>
      <w:r w:rsidRPr="001523EB">
        <w:rPr>
          <w:rFonts w:ascii="Times New Roman" w:hAnsi="Times New Roman"/>
          <w:lang w:eastAsia="ko-KR"/>
        </w:rPr>
        <w:fldChar w:fldCharType="begin"/>
      </w:r>
      <w:r w:rsidR="002D2756" w:rsidRPr="001523EB">
        <w:rPr>
          <w:rFonts w:ascii="Times New Roman" w:hAnsi="Times New Roman"/>
          <w:lang w:eastAsia="ko-KR"/>
        </w:rPr>
        <w:instrText xml:space="preserve"> ADDIN ZOTERO_BIBL {"uncited":[],"omitted":[],"custom":[]} CSL_BIBLIOGRAPHY </w:instrText>
      </w:r>
      <w:r w:rsidRPr="001523EB">
        <w:rPr>
          <w:rFonts w:ascii="Times New Roman" w:hAnsi="Times New Roman"/>
          <w:lang w:eastAsia="ko-KR"/>
        </w:rPr>
        <w:fldChar w:fldCharType="separate"/>
      </w:r>
      <w:r w:rsidR="002D2756" w:rsidRPr="001523EB">
        <w:rPr>
          <w:rFonts w:ascii="Times New Roman" w:hAnsi="Times New Roman"/>
        </w:rPr>
        <w:t xml:space="preserve">Abrahams, B., Sitas, N., &amp; Esler, K. J. (2019). Exploring the dynamics of research collaborations by mapping social networks in invasion science. </w:t>
      </w:r>
      <w:r w:rsidR="002D2756" w:rsidRPr="001523EB">
        <w:rPr>
          <w:rFonts w:ascii="Times New Roman" w:hAnsi="Times New Roman"/>
          <w:i/>
          <w:iCs/>
        </w:rPr>
        <w:t>Journal of Environmental Management</w:t>
      </w:r>
      <w:r w:rsidR="002D2756" w:rsidRPr="001523EB">
        <w:rPr>
          <w:rFonts w:ascii="Times New Roman" w:hAnsi="Times New Roman"/>
        </w:rPr>
        <w:t xml:space="preserve">, </w:t>
      </w:r>
      <w:r w:rsidR="002D2756" w:rsidRPr="001523EB">
        <w:rPr>
          <w:rFonts w:ascii="Times New Roman" w:hAnsi="Times New Roman"/>
          <w:i/>
          <w:iCs/>
        </w:rPr>
        <w:t>229</w:t>
      </w:r>
      <w:r w:rsidR="002D2756" w:rsidRPr="001523EB">
        <w:rPr>
          <w:rFonts w:ascii="Times New Roman" w:hAnsi="Times New Roman"/>
        </w:rPr>
        <w:t>, 27–37. https://doi.org/10.1016/j.jenvman.2018.06.051</w:t>
      </w:r>
    </w:p>
    <w:p w14:paraId="0977C78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Aceves-Bueno, E., Adeleye, A. S., Bradley, D., Tyler Brandt, W., Callery, P., Feraud, M., Garner, K. L., Gentry, R., Huang, Y., McCullough, I., Pearlman, I., Sutherland, S. A., Wilkinson, W., Yang, Y., Zink, T., Anderson, S. E., &amp; Tague, C. (2015). Citizen Science as an Approach for Overcoming Insufficient Monitoring and Inadequate Stakeholder Buy-in in Adaptive Management: Criteria and Evidence. </w:t>
      </w:r>
      <w:r w:rsidRPr="001523EB">
        <w:rPr>
          <w:rFonts w:ascii="Times New Roman" w:hAnsi="Times New Roman"/>
          <w:i/>
          <w:iCs/>
        </w:rPr>
        <w:t>Ecosystems</w:t>
      </w:r>
      <w:r w:rsidRPr="001523EB">
        <w:rPr>
          <w:rFonts w:ascii="Times New Roman" w:hAnsi="Times New Roman"/>
        </w:rPr>
        <w:t xml:space="preserve">, </w:t>
      </w:r>
      <w:r w:rsidRPr="001523EB">
        <w:rPr>
          <w:rFonts w:ascii="Times New Roman" w:hAnsi="Times New Roman"/>
          <w:i/>
          <w:iCs/>
        </w:rPr>
        <w:t>18</w:t>
      </w:r>
      <w:r w:rsidRPr="001523EB">
        <w:rPr>
          <w:rFonts w:ascii="Times New Roman" w:hAnsi="Times New Roman"/>
        </w:rPr>
        <w:t>(3), 493–506. https://doi.org/10.1007/s10021-015-9842-4</w:t>
      </w:r>
    </w:p>
    <w:p w14:paraId="532D4BF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Adams, L. B. (2014). </w:t>
      </w:r>
      <w:r w:rsidRPr="001523EB">
        <w:rPr>
          <w:rFonts w:ascii="Times New Roman" w:hAnsi="Times New Roman"/>
          <w:i/>
          <w:iCs/>
        </w:rPr>
        <w:t>Victorian Rabbit Management Collaboration Initiative</w:t>
      </w:r>
      <w:r w:rsidRPr="001523EB">
        <w:rPr>
          <w:rFonts w:ascii="Times New Roman" w:hAnsi="Times New Roman"/>
        </w:rPr>
        <w:t>. Invasive Animals Cooperative Research Centre, University of Canberra. https://pestsmart.org.au/?s=Victorian+rabbit+management+collaboration+initiative</w:t>
      </w:r>
    </w:p>
    <w:p w14:paraId="0BC94EF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Adams, L. B., Alter, T. R., Parkes, M. W., Reid, M., &amp; Woolnough, A. P. (2019). Political economics, collective action and wicked socio-ecological problems: A practice story from the field. </w:t>
      </w:r>
      <w:r w:rsidRPr="001523EB">
        <w:rPr>
          <w:rFonts w:ascii="Times New Roman" w:hAnsi="Times New Roman"/>
          <w:i/>
          <w:iCs/>
        </w:rPr>
        <w:t>Gateways: International Journal of Community Research and Engagement</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(1). https://doi.org/10.5130/ijcre.v12i1.6496</w:t>
      </w:r>
    </w:p>
    <w:p w14:paraId="44E6ADE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Adams, V. M., Douglas, M. M., Jackson, S. E., Scheepers, K., Kool, J. T., &amp; Setterfield, S. A. (2018). Conserving biodiversity and Indigenous bush tucker: Practical application of the strategic foresight framework to invasive alien species management planning. </w:t>
      </w:r>
      <w:r w:rsidRPr="001523EB">
        <w:rPr>
          <w:rFonts w:ascii="Times New Roman" w:hAnsi="Times New Roman"/>
          <w:i/>
          <w:iCs/>
        </w:rPr>
        <w:t>Conservation Letters</w:t>
      </w:r>
      <w:r w:rsidRPr="001523EB">
        <w:rPr>
          <w:rFonts w:ascii="Times New Roman" w:hAnsi="Times New Roman"/>
        </w:rPr>
        <w:t xml:space="preserve">, </w:t>
      </w:r>
      <w:r w:rsidRPr="001523EB">
        <w:rPr>
          <w:rFonts w:ascii="Times New Roman" w:hAnsi="Times New Roman"/>
          <w:i/>
          <w:iCs/>
        </w:rPr>
        <w:t>11</w:t>
      </w:r>
      <w:r w:rsidRPr="001523EB">
        <w:rPr>
          <w:rFonts w:ascii="Times New Roman" w:hAnsi="Times New Roman"/>
        </w:rPr>
        <w:t>(4), e12441. https://doi.org/10.1111/conl.12441</w:t>
      </w:r>
    </w:p>
    <w:p w14:paraId="60AA206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Adriaens, T., Sutton-Croft, M., Owen, K., Brosens, D., Valkenburg, J. van, Kilbey, D., Groom, Q., Ehmig, C., Thürkow, F., Hende, P. V., &amp; Schneider, K. (2015). Trying to engage the crowd in recording invasive alien species in Europe: Experiences from two smartphone applications in northwest Europe.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6</w:t>
      </w:r>
      <w:r w:rsidRPr="001523EB">
        <w:rPr>
          <w:rFonts w:ascii="Times New Roman" w:hAnsi="Times New Roman"/>
        </w:rPr>
        <w:t>(2), 215–225. https://doi.org/10.3391/mbi.2015.6.2.12</w:t>
      </w:r>
    </w:p>
    <w:p w14:paraId="79AAE78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Akerlof, G. A. (1970). The market for “lemons”: Quality uncertainty and the market mechanism. </w:t>
      </w:r>
      <w:r w:rsidRPr="001523EB">
        <w:rPr>
          <w:rFonts w:ascii="Times New Roman" w:hAnsi="Times New Roman"/>
          <w:i/>
          <w:iCs/>
        </w:rPr>
        <w:t>The Quarterly Journal of Economics</w:t>
      </w:r>
      <w:r w:rsidRPr="001523EB">
        <w:rPr>
          <w:rFonts w:ascii="Times New Roman" w:hAnsi="Times New Roman"/>
        </w:rPr>
        <w:t xml:space="preserve">, </w:t>
      </w:r>
      <w:r w:rsidRPr="001523EB">
        <w:rPr>
          <w:rFonts w:ascii="Times New Roman" w:hAnsi="Times New Roman"/>
          <w:i/>
          <w:iCs/>
        </w:rPr>
        <w:t>84</w:t>
      </w:r>
      <w:r w:rsidRPr="001523EB">
        <w:rPr>
          <w:rFonts w:ascii="Times New Roman" w:hAnsi="Times New Roman"/>
        </w:rPr>
        <w:t>(3), 488–500. https://doi.org/10.2307/1879431</w:t>
      </w:r>
    </w:p>
    <w:p w14:paraId="2C8263B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Alexander, J. M., Kueffer, C., Daehler, C. C., Edwards, P. J., Pauchard, A., Seipel, T., &amp; MIREN Consortium. (2011). Assembly of nonnative floras along elevational gradients explained by directional ecological filtering. </w:t>
      </w:r>
      <w:r w:rsidRPr="001523EB">
        <w:rPr>
          <w:rFonts w:ascii="Times New Roman" w:hAnsi="Times New Roman"/>
          <w:i/>
          <w:iCs/>
        </w:rPr>
        <w:t>Proceedings of the National Academy of Sciences</w:t>
      </w:r>
      <w:r w:rsidRPr="001523EB">
        <w:rPr>
          <w:rFonts w:ascii="Times New Roman" w:hAnsi="Times New Roman"/>
        </w:rPr>
        <w:t xml:space="preserve">, </w:t>
      </w:r>
      <w:r w:rsidRPr="001523EB">
        <w:rPr>
          <w:rFonts w:ascii="Times New Roman" w:hAnsi="Times New Roman"/>
          <w:i/>
          <w:iCs/>
        </w:rPr>
        <w:t>108</w:t>
      </w:r>
      <w:r w:rsidRPr="001523EB">
        <w:rPr>
          <w:rFonts w:ascii="Times New Roman" w:hAnsi="Times New Roman"/>
        </w:rPr>
        <w:t>(2), 656–661. https://doi.org/10.1073/pnas.1013136108</w:t>
      </w:r>
    </w:p>
    <w:p w14:paraId="21384C9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Alexander, S. M., Andrachuk, M., &amp; Armitage, D. (2016). Navigating governance networks for community-based conservation. </w:t>
      </w:r>
      <w:r w:rsidRPr="001523EB">
        <w:rPr>
          <w:rFonts w:ascii="Times New Roman" w:hAnsi="Times New Roman"/>
          <w:i/>
          <w:iCs/>
        </w:rPr>
        <w:t>Frontiers in Ecology and the Environment</w:t>
      </w:r>
      <w:r w:rsidRPr="001523EB">
        <w:rPr>
          <w:rFonts w:ascii="Times New Roman" w:hAnsi="Times New Roman"/>
        </w:rPr>
        <w:t xml:space="preserve">, </w:t>
      </w:r>
      <w:r w:rsidRPr="001523EB">
        <w:rPr>
          <w:rFonts w:ascii="Times New Roman" w:hAnsi="Times New Roman"/>
          <w:i/>
          <w:iCs/>
        </w:rPr>
        <w:t>14</w:t>
      </w:r>
      <w:r w:rsidRPr="001523EB">
        <w:rPr>
          <w:rFonts w:ascii="Times New Roman" w:hAnsi="Times New Roman"/>
        </w:rPr>
        <w:t>(3), 155–164. https://doi.org/10.1002/fee.1251</w:t>
      </w:r>
    </w:p>
    <w:p w14:paraId="07DFAA1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Alexander, S. M., Armitage, D., Carrington, P. J., &amp; Bodin, Ö. (2017). Examining horizontal and vertical social ties to achieve social-ecological fit in an emerging marine reserve network. </w:t>
      </w:r>
      <w:r w:rsidRPr="001523EB">
        <w:rPr>
          <w:rFonts w:ascii="Times New Roman" w:hAnsi="Times New Roman"/>
          <w:i/>
          <w:iCs/>
        </w:rPr>
        <w:t>Aquatic Conservation: Marine and Freshwater Ecosystems</w:t>
      </w:r>
      <w:r w:rsidRPr="001523EB">
        <w:rPr>
          <w:rFonts w:ascii="Times New Roman" w:hAnsi="Times New Roman"/>
        </w:rPr>
        <w:t xml:space="preserve">, </w:t>
      </w:r>
      <w:r w:rsidRPr="001523EB">
        <w:rPr>
          <w:rFonts w:ascii="Times New Roman" w:hAnsi="Times New Roman"/>
          <w:i/>
          <w:iCs/>
        </w:rPr>
        <w:t>27</w:t>
      </w:r>
      <w:r w:rsidRPr="001523EB">
        <w:rPr>
          <w:rFonts w:ascii="Times New Roman" w:hAnsi="Times New Roman"/>
        </w:rPr>
        <w:t>(6), 1209–1223. https://doi.org/10.1002/aqc.2775</w:t>
      </w:r>
    </w:p>
    <w:p w14:paraId="2A8C9DF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Alexander, S. M., Armitage, D., &amp; Charles, A. (2015). Social networks and transitions to co-management in Jamaican marine reserves and small-scale fisheries. </w:t>
      </w:r>
      <w:r w:rsidRPr="001523EB">
        <w:rPr>
          <w:rFonts w:ascii="Times New Roman" w:hAnsi="Times New Roman"/>
          <w:i/>
          <w:iCs/>
        </w:rPr>
        <w:t>Global Environmental Change</w:t>
      </w:r>
      <w:r w:rsidRPr="001523EB">
        <w:rPr>
          <w:rFonts w:ascii="Times New Roman" w:hAnsi="Times New Roman"/>
        </w:rPr>
        <w:t xml:space="preserve">, </w:t>
      </w:r>
      <w:r w:rsidRPr="001523EB">
        <w:rPr>
          <w:rFonts w:ascii="Times New Roman" w:hAnsi="Times New Roman"/>
          <w:i/>
          <w:iCs/>
        </w:rPr>
        <w:t>35</w:t>
      </w:r>
      <w:r w:rsidRPr="001523EB">
        <w:rPr>
          <w:rFonts w:ascii="Times New Roman" w:hAnsi="Times New Roman"/>
        </w:rPr>
        <w:t>, 213–225. https://doi.org/10.1016/j.gloenvcha.2015.09.001</w:t>
      </w:r>
    </w:p>
    <w:p w14:paraId="6F94679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Alexander, S. M., Epstein, G., Bodin, Ö., Armitage, D., &amp; Campbell, D. (2018). Participation in planning and social networks increase social monitoring in community-based conservation. </w:t>
      </w:r>
      <w:r w:rsidRPr="001523EB">
        <w:rPr>
          <w:rFonts w:ascii="Times New Roman" w:hAnsi="Times New Roman"/>
          <w:i/>
          <w:iCs/>
        </w:rPr>
        <w:t>Conservation Letters</w:t>
      </w:r>
      <w:r w:rsidRPr="001523EB">
        <w:rPr>
          <w:rFonts w:ascii="Times New Roman" w:hAnsi="Times New Roman"/>
        </w:rPr>
        <w:t xml:space="preserve">, </w:t>
      </w:r>
      <w:r w:rsidRPr="001523EB">
        <w:rPr>
          <w:rFonts w:ascii="Times New Roman" w:hAnsi="Times New Roman"/>
          <w:i/>
          <w:iCs/>
        </w:rPr>
        <w:t>11</w:t>
      </w:r>
      <w:r w:rsidRPr="001523EB">
        <w:rPr>
          <w:rFonts w:ascii="Times New Roman" w:hAnsi="Times New Roman"/>
        </w:rPr>
        <w:t>(5), e12562. https://doi.org/10.1111/conl.12562</w:t>
      </w:r>
    </w:p>
    <w:p w14:paraId="2B55FBE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Alien scenarios. (2021). </w:t>
      </w:r>
      <w:r w:rsidRPr="001523EB">
        <w:rPr>
          <w:rFonts w:ascii="Times New Roman" w:hAnsi="Times New Roman"/>
          <w:i/>
          <w:iCs/>
        </w:rPr>
        <w:t>Developing and applying scenarios of biological invasions for the 21st century</w:t>
      </w:r>
      <w:r w:rsidRPr="001523EB">
        <w:rPr>
          <w:rFonts w:ascii="Times New Roman" w:hAnsi="Times New Roman"/>
        </w:rPr>
        <w:t>. https://alien-scenarios.org/</w:t>
      </w:r>
    </w:p>
    <w:p w14:paraId="1CAE42E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Allen, A. (2017). </w:t>
      </w:r>
      <w:r w:rsidRPr="001523EB">
        <w:rPr>
          <w:rFonts w:ascii="Times New Roman" w:hAnsi="Times New Roman"/>
          <w:i/>
          <w:iCs/>
        </w:rPr>
        <w:t>Victorian rabbit action network: Impact analysis</w:t>
      </w:r>
      <w:r w:rsidRPr="001523EB">
        <w:rPr>
          <w:rFonts w:ascii="Times New Roman" w:hAnsi="Times New Roman"/>
        </w:rPr>
        <w:t>. Victorian Rabbit Action Network. https://vran.com.au/wp-content/uploads/2020/10/VRAN-Impact-Analysis.pdf</w:t>
      </w:r>
    </w:p>
    <w:p w14:paraId="6449A4A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Amano, T., Lamming, J. D. L., &amp; Sutherland, W. J. (2016). Spatial Gaps in Global Biodiversity Information and the Role of Citizen Science. </w:t>
      </w:r>
      <w:r w:rsidRPr="001523EB">
        <w:rPr>
          <w:rFonts w:ascii="Times New Roman" w:hAnsi="Times New Roman"/>
          <w:i/>
          <w:iCs/>
        </w:rPr>
        <w:t>BioScience</w:t>
      </w:r>
      <w:r w:rsidRPr="001523EB">
        <w:rPr>
          <w:rFonts w:ascii="Times New Roman" w:hAnsi="Times New Roman"/>
        </w:rPr>
        <w:t xml:space="preserve">, </w:t>
      </w:r>
      <w:r w:rsidRPr="001523EB">
        <w:rPr>
          <w:rFonts w:ascii="Times New Roman" w:hAnsi="Times New Roman"/>
          <w:i/>
          <w:iCs/>
        </w:rPr>
        <w:t>66</w:t>
      </w:r>
      <w:r w:rsidRPr="001523EB">
        <w:rPr>
          <w:rFonts w:ascii="Times New Roman" w:hAnsi="Times New Roman"/>
        </w:rPr>
        <w:t>(5), 393–400. https://doi.org/10.1093/biosci/biw022</w:t>
      </w:r>
    </w:p>
    <w:p w14:paraId="783DB95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Amorim, F., Carvalho, S. B., Honrado, J., &amp; Rebelo, H. (2014). Designing Optimized Multi-Species Monitoring Networks to Detect Range Shifts Driven by Climate Change: A Case Study with Bats in the North of Portugal.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(1), e87291. https://doi.org/10.1371/journal.pone.0087291</w:t>
      </w:r>
    </w:p>
    <w:p w14:paraId="72FBF3F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Anderies, J. M., Folke, C., Walker, B., &amp; Ostrom, E. (2013). Aligning Key Concepts for Global Change Policy: Robustness, Resilience, and Sustainability.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18</w:t>
      </w:r>
      <w:r w:rsidRPr="001523EB">
        <w:rPr>
          <w:rFonts w:ascii="Times New Roman" w:hAnsi="Times New Roman"/>
        </w:rPr>
        <w:t>(2), 8. https://doi.org/10.5751/ES-05178-180208</w:t>
      </w:r>
    </w:p>
    <w:p w14:paraId="46CABE1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Anderson, C., Low-Choy, S., Whittle, P., Taylor, S., Gambley, C., Smith, L., Gillespie, P., Löcker, H., Davis, R., &amp; Dominiak, B. (2017). Australian plant biosecurity surveillance systems. </w:t>
      </w:r>
      <w:r w:rsidRPr="001523EB">
        <w:rPr>
          <w:rFonts w:ascii="Times New Roman" w:hAnsi="Times New Roman"/>
          <w:i/>
          <w:iCs/>
        </w:rPr>
        <w:t>Crop Protection</w:t>
      </w:r>
      <w:r w:rsidRPr="001523EB">
        <w:rPr>
          <w:rFonts w:ascii="Times New Roman" w:hAnsi="Times New Roman"/>
        </w:rPr>
        <w:t xml:space="preserve">, </w:t>
      </w:r>
      <w:r w:rsidRPr="001523EB">
        <w:rPr>
          <w:rFonts w:ascii="Times New Roman" w:hAnsi="Times New Roman"/>
          <w:i/>
          <w:iCs/>
        </w:rPr>
        <w:t>100</w:t>
      </w:r>
      <w:r w:rsidRPr="001523EB">
        <w:rPr>
          <w:rFonts w:ascii="Times New Roman" w:hAnsi="Times New Roman"/>
        </w:rPr>
        <w:t>, 8–20. https://doi.org/10.1016/j.cropro.2017.05.023</w:t>
      </w:r>
    </w:p>
    <w:p w14:paraId="6AEA77B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Andonova, L. B., &amp; Mitchell, R. B. (2010). The Rescaling of Global Environmental Politics. </w:t>
      </w:r>
      <w:r w:rsidRPr="001523EB">
        <w:rPr>
          <w:rFonts w:ascii="Times New Roman" w:hAnsi="Times New Roman"/>
          <w:i/>
          <w:iCs/>
        </w:rPr>
        <w:t>Annual Review of Environment and Resources</w:t>
      </w:r>
      <w:r w:rsidRPr="001523EB">
        <w:rPr>
          <w:rFonts w:ascii="Times New Roman" w:hAnsi="Times New Roman"/>
        </w:rPr>
        <w:t xml:space="preserve">, </w:t>
      </w:r>
      <w:r w:rsidRPr="001523EB">
        <w:rPr>
          <w:rFonts w:ascii="Times New Roman" w:hAnsi="Times New Roman"/>
          <w:i/>
          <w:iCs/>
        </w:rPr>
        <w:t>35</w:t>
      </w:r>
      <w:r w:rsidRPr="001523EB">
        <w:rPr>
          <w:rFonts w:ascii="Times New Roman" w:hAnsi="Times New Roman"/>
        </w:rPr>
        <w:t>(1), 255–282. https://doi.org/10.1146/annurev-environ-100809-125346</w:t>
      </w:r>
    </w:p>
    <w:p w14:paraId="3FFF12F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Angulo, E., &amp; Gilna, B. (2008). When biotech crosses borders. </w:t>
      </w:r>
      <w:r w:rsidRPr="001523EB">
        <w:rPr>
          <w:rFonts w:ascii="Times New Roman" w:hAnsi="Times New Roman"/>
          <w:i/>
          <w:iCs/>
        </w:rPr>
        <w:t>Nature Biotechnology</w:t>
      </w:r>
      <w:r w:rsidRPr="001523EB">
        <w:rPr>
          <w:rFonts w:ascii="Times New Roman" w:hAnsi="Times New Roman"/>
        </w:rPr>
        <w:t xml:space="preserve">, </w:t>
      </w:r>
      <w:r w:rsidRPr="001523EB">
        <w:rPr>
          <w:rFonts w:ascii="Times New Roman" w:hAnsi="Times New Roman"/>
          <w:i/>
          <w:iCs/>
        </w:rPr>
        <w:t>26</w:t>
      </w:r>
      <w:r w:rsidRPr="001523EB">
        <w:rPr>
          <w:rFonts w:ascii="Times New Roman" w:hAnsi="Times New Roman"/>
        </w:rPr>
        <w:t>(3), 277–282. https://doi.org/10.1038/nbt0308-277</w:t>
      </w:r>
    </w:p>
    <w:p w14:paraId="3786D71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Arlidge, W. N., Bull, J. W., Addison, P. F. E., Burgass, M. J., Gianuca, D., Gorham, T. M., Jacob, C., Shumway, N., Sinclair, S. P., Watson, J. E., Wilcox, C., &amp; Milner-Gulland, E. J. (2018). A global mitigation hierarchy for nature conservation. </w:t>
      </w:r>
      <w:r w:rsidRPr="001523EB">
        <w:rPr>
          <w:rFonts w:ascii="Times New Roman" w:hAnsi="Times New Roman"/>
          <w:i/>
          <w:iCs/>
        </w:rPr>
        <w:t>BioScience</w:t>
      </w:r>
      <w:r w:rsidRPr="001523EB">
        <w:rPr>
          <w:rFonts w:ascii="Times New Roman" w:hAnsi="Times New Roman"/>
        </w:rPr>
        <w:t xml:space="preserve">, </w:t>
      </w:r>
      <w:r w:rsidRPr="001523EB">
        <w:rPr>
          <w:rFonts w:ascii="Times New Roman" w:hAnsi="Times New Roman"/>
          <w:i/>
          <w:iCs/>
        </w:rPr>
        <w:t>68</w:t>
      </w:r>
      <w:r w:rsidRPr="001523EB">
        <w:rPr>
          <w:rFonts w:ascii="Times New Roman" w:hAnsi="Times New Roman"/>
        </w:rPr>
        <w:t>(5), 336–347. https://doi.org/10.1093/biosci/biy029</w:t>
      </w:r>
    </w:p>
    <w:p w14:paraId="4AF7170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Aronson, R. B., Frederich, M., Price, R., &amp; Thatje, S. (2015). Prospects for the return of shell-crushing crabs to Antarctica. </w:t>
      </w:r>
      <w:r w:rsidRPr="001523EB">
        <w:rPr>
          <w:rFonts w:ascii="Times New Roman" w:hAnsi="Times New Roman"/>
          <w:i/>
          <w:iCs/>
        </w:rPr>
        <w:t>Journal of Biogeography</w:t>
      </w:r>
      <w:r w:rsidRPr="001523EB">
        <w:rPr>
          <w:rFonts w:ascii="Times New Roman" w:hAnsi="Times New Roman"/>
        </w:rPr>
        <w:t xml:space="preserve">, </w:t>
      </w:r>
      <w:r w:rsidRPr="001523EB">
        <w:rPr>
          <w:rFonts w:ascii="Times New Roman" w:hAnsi="Times New Roman"/>
          <w:i/>
          <w:iCs/>
        </w:rPr>
        <w:t>42</w:t>
      </w:r>
      <w:r w:rsidRPr="001523EB">
        <w:rPr>
          <w:rFonts w:ascii="Times New Roman" w:hAnsi="Times New Roman"/>
        </w:rPr>
        <w:t>(1), 1–7. https://doi.org/10.1111/jbi.12414</w:t>
      </w:r>
    </w:p>
    <w:p w14:paraId="043C2B5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Aslan, C. E., Hufford, M. B., Epanchin-Niell, R. S., Port, J. D., Sexton, J. P., &amp; Waring, T. M. (2009). Practical Challenges in Private Stewardship of Rangeland Ecosystems: Yellow Starthistle Control in Sierra Nevadan Foothills. </w:t>
      </w:r>
      <w:r w:rsidRPr="001523EB">
        <w:rPr>
          <w:rFonts w:ascii="Times New Roman" w:hAnsi="Times New Roman"/>
          <w:i/>
          <w:iCs/>
        </w:rPr>
        <w:t>Rangeland Ecology &amp; Management</w:t>
      </w:r>
      <w:r w:rsidRPr="001523EB">
        <w:rPr>
          <w:rFonts w:ascii="Times New Roman" w:hAnsi="Times New Roman"/>
        </w:rPr>
        <w:t xml:space="preserve">, </w:t>
      </w:r>
      <w:r w:rsidRPr="001523EB">
        <w:rPr>
          <w:rFonts w:ascii="Times New Roman" w:hAnsi="Times New Roman"/>
          <w:i/>
          <w:iCs/>
        </w:rPr>
        <w:t>62</w:t>
      </w:r>
      <w:r w:rsidRPr="001523EB">
        <w:rPr>
          <w:rFonts w:ascii="Times New Roman" w:hAnsi="Times New Roman"/>
        </w:rPr>
        <w:t>(1), 28–37. https://doi.org/10.2111/07-123</w:t>
      </w:r>
    </w:p>
    <w:p w14:paraId="13564A8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ATCM. (2006). </w:t>
      </w:r>
      <w:r w:rsidRPr="001523EB">
        <w:rPr>
          <w:rFonts w:ascii="Times New Roman" w:hAnsi="Times New Roman"/>
          <w:i/>
          <w:iCs/>
        </w:rPr>
        <w:t>Practical Guidelines for Ballast Water Exchange in the Antarctic Treaty Area. Annex to Resolution 3 of 2006 agreed by the Antarctic Treaty Consultative Parties</w:t>
      </w:r>
      <w:r w:rsidRPr="001523EB">
        <w:rPr>
          <w:rFonts w:ascii="Times New Roman" w:hAnsi="Times New Roman"/>
        </w:rPr>
        <w:t>. Antarctic Treaty Consultative  Meeting. http://www.ats.aq</w:t>
      </w:r>
    </w:p>
    <w:p w14:paraId="70759B7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ATCM. (2019). </w:t>
      </w:r>
      <w:r w:rsidRPr="001523EB">
        <w:rPr>
          <w:rFonts w:ascii="Times New Roman" w:hAnsi="Times New Roman"/>
          <w:i/>
          <w:iCs/>
        </w:rPr>
        <w:t>Non-Native Species Manual</w:t>
      </w:r>
      <w:r w:rsidRPr="001523EB">
        <w:rPr>
          <w:rFonts w:ascii="Times New Roman" w:hAnsi="Times New Roman"/>
        </w:rPr>
        <w:t>. Secretariat of the Antarctic Treaty. https://documents.ats.aq/ATCM42/WW/ATCM42_WW008_e.pdf</w:t>
      </w:r>
    </w:p>
    <w:p w14:paraId="6ADA2B8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Auerbach, N. A., Tulloch, A. I. T., &amp; Possingham, H. P. (2014). Informed actions: Where to cost effectively manage multiple threats to species to maximize return on investment. </w:t>
      </w:r>
      <w:r w:rsidRPr="001523EB">
        <w:rPr>
          <w:rFonts w:ascii="Times New Roman" w:hAnsi="Times New Roman"/>
          <w:i/>
          <w:iCs/>
        </w:rPr>
        <w:t>Ecological Applications</w:t>
      </w:r>
      <w:r w:rsidRPr="001523EB">
        <w:rPr>
          <w:rFonts w:ascii="Times New Roman" w:hAnsi="Times New Roman"/>
        </w:rPr>
        <w:t xml:space="preserve">, </w:t>
      </w:r>
      <w:r w:rsidRPr="001523EB">
        <w:rPr>
          <w:rFonts w:ascii="Times New Roman" w:hAnsi="Times New Roman"/>
          <w:i/>
          <w:iCs/>
        </w:rPr>
        <w:t>24</w:t>
      </w:r>
      <w:r w:rsidRPr="001523EB">
        <w:rPr>
          <w:rFonts w:ascii="Times New Roman" w:hAnsi="Times New Roman"/>
        </w:rPr>
        <w:t>(6), 1357–1373. https://doi.org/10.1890/13-0711.1</w:t>
      </w:r>
    </w:p>
    <w:p w14:paraId="4EC59BD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August, T., Harvey, M., Lightfoot, P., Kilbey, D., Papadopoulos, T., &amp; Jepson, P. (2015). Emerging technologies for biological recording. </w:t>
      </w:r>
      <w:r w:rsidRPr="001523EB">
        <w:rPr>
          <w:rFonts w:ascii="Times New Roman" w:hAnsi="Times New Roman"/>
          <w:i/>
          <w:iCs/>
        </w:rPr>
        <w:t>Biological Journal of the Linnean Society</w:t>
      </w:r>
      <w:r w:rsidRPr="001523EB">
        <w:rPr>
          <w:rFonts w:ascii="Times New Roman" w:hAnsi="Times New Roman"/>
        </w:rPr>
        <w:t xml:space="preserve">, </w:t>
      </w:r>
      <w:r w:rsidRPr="001523EB">
        <w:rPr>
          <w:rFonts w:ascii="Times New Roman" w:hAnsi="Times New Roman"/>
          <w:i/>
          <w:iCs/>
        </w:rPr>
        <w:t>115</w:t>
      </w:r>
      <w:r w:rsidRPr="001523EB">
        <w:rPr>
          <w:rFonts w:ascii="Times New Roman" w:hAnsi="Times New Roman"/>
        </w:rPr>
        <w:t>(3), 731–749. https://doi.org/10.1111/bij.12534</w:t>
      </w:r>
    </w:p>
    <w:p w14:paraId="0DF9267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Bach, T. M., Kull, C. A., &amp; Rangan, H. (2019). From killing lists to healthy country: Aboriginal approaches to weed control in the Kimberley, Western Australia.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229</w:t>
      </w:r>
      <w:r w:rsidRPr="001523EB">
        <w:rPr>
          <w:rFonts w:ascii="Times New Roman" w:hAnsi="Times New Roman"/>
        </w:rPr>
        <w:t>, 182–192. https://doi.org/10.1016/j.jenvman.2018.06.050</w:t>
      </w:r>
    </w:p>
    <w:p w14:paraId="2A4520A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Bacher, S., Blackburn, T. M., Essl, F., Genovesi, P., Heikkilä, J., Jeschke, J. M., Jones, G., Keller, R., Kenis, M., Kueffer, C., Martinou, A. F., Nentwig, W., Pergl, J., Pyšek, P., Rabitsch, W., Richardson, D. M., Roy, H. E., Saul, W.-C., Scalera, R., … Kumschick, S. (2018). Socio-economic impact classification of alien taxa (SEICAT). </w:t>
      </w:r>
      <w:r w:rsidRPr="001523EB">
        <w:rPr>
          <w:rFonts w:ascii="Times New Roman" w:hAnsi="Times New Roman"/>
          <w:i/>
          <w:iCs/>
        </w:rPr>
        <w:t>Methods in Ecology and Evolution</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(1), 159–168. https://doi.org/10.1111/2041-210X.12844</w:t>
      </w:r>
    </w:p>
    <w:p w14:paraId="3903ACA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Bagavathiannan, M. V., Graham, S., Ma, Z., Barney, J. N., Coutts, S. R., Caicedo, A. L., De Clerck-Floate, R., West, N. M., Blank, L., Metcalf, A. L., Lacoste, M., Moreno, C. R., Evans, J. A., Burke, I., &amp; Beckie, H. (2019). Considering weed management as a social </w:t>
      </w:r>
      <w:r w:rsidRPr="001523EB">
        <w:rPr>
          <w:rFonts w:ascii="Times New Roman" w:hAnsi="Times New Roman"/>
        </w:rPr>
        <w:lastRenderedPageBreak/>
        <w:t xml:space="preserve">dilemma bridges individual and collective interests. </w:t>
      </w:r>
      <w:r w:rsidRPr="001523EB">
        <w:rPr>
          <w:rFonts w:ascii="Times New Roman" w:hAnsi="Times New Roman"/>
          <w:i/>
          <w:iCs/>
        </w:rPr>
        <w:t>Nature Plants</w:t>
      </w:r>
      <w:r w:rsidRPr="001523EB">
        <w:rPr>
          <w:rFonts w:ascii="Times New Roman" w:hAnsi="Times New Roman"/>
        </w:rPr>
        <w:t xml:space="preserve">, </w:t>
      </w:r>
      <w:r w:rsidRPr="001523EB">
        <w:rPr>
          <w:rFonts w:ascii="Times New Roman" w:hAnsi="Times New Roman"/>
          <w:i/>
          <w:iCs/>
        </w:rPr>
        <w:t>5</w:t>
      </w:r>
      <w:r w:rsidRPr="001523EB">
        <w:rPr>
          <w:rFonts w:ascii="Times New Roman" w:hAnsi="Times New Roman"/>
        </w:rPr>
        <w:t>(4), 343–351. https://doi.org/10.1038/s41477-019-0395-y</w:t>
      </w:r>
    </w:p>
    <w:p w14:paraId="5D0406D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Bail, C., Falkner, R., &amp; Marquard, H. (2014). </w:t>
      </w:r>
      <w:r w:rsidRPr="001523EB">
        <w:rPr>
          <w:rFonts w:ascii="Times New Roman" w:hAnsi="Times New Roman"/>
          <w:i/>
          <w:iCs/>
        </w:rPr>
        <w:t>The Cartagena Protocol on Biosafety: Reconciling trade in biotechnology with environment and development</w:t>
      </w:r>
      <w:r w:rsidRPr="001523EB">
        <w:rPr>
          <w:rFonts w:ascii="Times New Roman" w:hAnsi="Times New Roman"/>
        </w:rPr>
        <w:t>.</w:t>
      </w:r>
    </w:p>
    <w:p w14:paraId="7E8672F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Baquero, R. A., Ayllón, D., &amp; Nicola, G. G. (2021). Are the EU biosecurity legislative frameworks sufficiently effective to prevent biological invasions in the Natura 2000 network?–A case study in Mediterranean Europe. </w:t>
      </w:r>
      <w:r w:rsidRPr="001523EB">
        <w:rPr>
          <w:rFonts w:ascii="Times New Roman" w:hAnsi="Times New Roman"/>
          <w:i/>
          <w:iCs/>
        </w:rPr>
        <w:t>Environmental Science &amp; Policy</w:t>
      </w:r>
      <w:r w:rsidRPr="001523EB">
        <w:rPr>
          <w:rFonts w:ascii="Times New Roman" w:hAnsi="Times New Roman"/>
        </w:rPr>
        <w:t xml:space="preserve">, </w:t>
      </w:r>
      <w:r w:rsidRPr="001523EB">
        <w:rPr>
          <w:rFonts w:ascii="Times New Roman" w:hAnsi="Times New Roman"/>
          <w:i/>
          <w:iCs/>
        </w:rPr>
        <w:t>120</w:t>
      </w:r>
      <w:r w:rsidRPr="001523EB">
        <w:rPr>
          <w:rFonts w:ascii="Times New Roman" w:hAnsi="Times New Roman"/>
        </w:rPr>
        <w:t>, 21–28. https://doi.org/10.1016/j.envsci.2021.02.007</w:t>
      </w:r>
    </w:p>
    <w:p w14:paraId="06F45A6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Baral, H.-O., Queloz, V., &amp; Hosoya, T. (2014). </w:t>
      </w:r>
      <w:r w:rsidRPr="001523EB">
        <w:rPr>
          <w:rFonts w:ascii="Times New Roman" w:hAnsi="Times New Roman"/>
          <w:i/>
          <w:iCs/>
        </w:rPr>
        <w:t>Hymenoscyphus fraxineus</w:t>
      </w:r>
      <w:r w:rsidRPr="001523EB">
        <w:rPr>
          <w:rFonts w:ascii="Times New Roman" w:hAnsi="Times New Roman"/>
        </w:rPr>
        <w:t xml:space="preserve">, the correct scientific name for the fungus causing ash dieback in Europe. </w:t>
      </w:r>
      <w:r w:rsidRPr="001523EB">
        <w:rPr>
          <w:rFonts w:ascii="Times New Roman" w:hAnsi="Times New Roman"/>
          <w:i/>
          <w:iCs/>
        </w:rPr>
        <w:t>IMA Fungus</w:t>
      </w:r>
      <w:r w:rsidRPr="001523EB">
        <w:rPr>
          <w:rFonts w:ascii="Times New Roman" w:hAnsi="Times New Roman"/>
        </w:rPr>
        <w:t xml:space="preserve">, </w:t>
      </w:r>
      <w:r w:rsidRPr="001523EB">
        <w:rPr>
          <w:rFonts w:ascii="Times New Roman" w:hAnsi="Times New Roman"/>
          <w:i/>
          <w:iCs/>
        </w:rPr>
        <w:t>5</w:t>
      </w:r>
      <w:r w:rsidRPr="001523EB">
        <w:rPr>
          <w:rFonts w:ascii="Times New Roman" w:hAnsi="Times New Roman"/>
        </w:rPr>
        <w:t>(1), 79–80. https://doi.org/10.5598/imafungus.2014.05.01.09</w:t>
      </w:r>
    </w:p>
    <w:p w14:paraId="673DB72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Barbour, A., Montgomery, M., Adamson, A., Díaz-Ferguson, E., &amp; Silliman, B. (2010). Mangrove use by the invasive lionfish </w:t>
      </w:r>
      <w:r w:rsidRPr="001523EB">
        <w:rPr>
          <w:rFonts w:ascii="Times New Roman" w:hAnsi="Times New Roman"/>
          <w:i/>
          <w:iCs/>
        </w:rPr>
        <w:t>Pterois volitans</w:t>
      </w:r>
      <w:r w:rsidRPr="001523EB">
        <w:rPr>
          <w:rFonts w:ascii="Times New Roman" w:hAnsi="Times New Roman"/>
        </w:rPr>
        <w:t xml:space="preserve">. </w:t>
      </w:r>
      <w:r w:rsidRPr="001523EB">
        <w:rPr>
          <w:rFonts w:ascii="Times New Roman" w:hAnsi="Times New Roman"/>
          <w:i/>
          <w:iCs/>
        </w:rPr>
        <w:t>Marine Ecology Progress Series</w:t>
      </w:r>
      <w:r w:rsidRPr="001523EB">
        <w:rPr>
          <w:rFonts w:ascii="Times New Roman" w:hAnsi="Times New Roman"/>
        </w:rPr>
        <w:t xml:space="preserve">, </w:t>
      </w:r>
      <w:r w:rsidRPr="001523EB">
        <w:rPr>
          <w:rFonts w:ascii="Times New Roman" w:hAnsi="Times New Roman"/>
          <w:i/>
          <w:iCs/>
        </w:rPr>
        <w:t>401</w:t>
      </w:r>
      <w:r w:rsidRPr="001523EB">
        <w:rPr>
          <w:rFonts w:ascii="Times New Roman" w:hAnsi="Times New Roman"/>
        </w:rPr>
        <w:t>, 291–294. https://doi.org/10.3354/meps08373</w:t>
      </w:r>
    </w:p>
    <w:p w14:paraId="45A9204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Barbour, R. C., Wise, S. L., McKinnon, G. E., Vaillancourt, R. E., Williamson, G. J., &amp; Potts, B. M. (2010). The potential for gene flow from exotic eucalypt plantations into Australia’s rare native eucalypts. </w:t>
      </w:r>
      <w:r w:rsidRPr="001523EB">
        <w:rPr>
          <w:rFonts w:ascii="Times New Roman" w:hAnsi="Times New Roman"/>
          <w:i/>
          <w:iCs/>
        </w:rPr>
        <w:t>Forest Ecology and Management</w:t>
      </w:r>
      <w:r w:rsidRPr="001523EB">
        <w:rPr>
          <w:rFonts w:ascii="Times New Roman" w:hAnsi="Times New Roman"/>
        </w:rPr>
        <w:t xml:space="preserve">, </w:t>
      </w:r>
      <w:r w:rsidRPr="001523EB">
        <w:rPr>
          <w:rFonts w:ascii="Times New Roman" w:hAnsi="Times New Roman"/>
          <w:i/>
          <w:iCs/>
        </w:rPr>
        <w:t>260</w:t>
      </w:r>
      <w:r w:rsidRPr="001523EB">
        <w:rPr>
          <w:rFonts w:ascii="Times New Roman" w:hAnsi="Times New Roman"/>
        </w:rPr>
        <w:t>(12), 2079–2087. https://doi.org/10.1016/j.foreco.2010.08.049</w:t>
      </w:r>
    </w:p>
    <w:p w14:paraId="0448F37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Baregheh, A., Rowley, J., &amp; Sambrook, S. (2009). Towards a multidisciplinary definition of innovation. </w:t>
      </w:r>
      <w:r w:rsidRPr="001523EB">
        <w:rPr>
          <w:rFonts w:ascii="Times New Roman" w:hAnsi="Times New Roman"/>
          <w:i/>
          <w:iCs/>
        </w:rPr>
        <w:t>Management Decision</w:t>
      </w:r>
      <w:r w:rsidRPr="001523EB">
        <w:rPr>
          <w:rFonts w:ascii="Times New Roman" w:hAnsi="Times New Roman"/>
        </w:rPr>
        <w:t xml:space="preserve">, </w:t>
      </w:r>
      <w:r w:rsidRPr="001523EB">
        <w:rPr>
          <w:rFonts w:ascii="Times New Roman" w:hAnsi="Times New Roman"/>
          <w:i/>
          <w:iCs/>
        </w:rPr>
        <w:t>47</w:t>
      </w:r>
      <w:r w:rsidRPr="001523EB">
        <w:rPr>
          <w:rFonts w:ascii="Times New Roman" w:hAnsi="Times New Roman"/>
        </w:rPr>
        <w:t>(8), 1323–1339. https://doi.org/10.1108/00251740910984578</w:t>
      </w:r>
    </w:p>
    <w:p w14:paraId="7DB1706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Barnard, P., &amp; Waage, J. K. (2004). </w:t>
      </w:r>
      <w:r w:rsidRPr="001523EB">
        <w:rPr>
          <w:rFonts w:ascii="Times New Roman" w:hAnsi="Times New Roman"/>
          <w:i/>
          <w:iCs/>
        </w:rPr>
        <w:t>Tackling species invasions around the world: Regional responses to the invasive alien species threat</w:t>
      </w:r>
      <w:r w:rsidRPr="001523EB">
        <w:rPr>
          <w:rFonts w:ascii="Times New Roman" w:hAnsi="Times New Roman"/>
        </w:rPr>
        <w:t>. Global Invasive Species Programme, Cape Town, South Africa. https://portals.iucn.org/library/node/28023</w:t>
      </w:r>
    </w:p>
    <w:p w14:paraId="1B32EF0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Barney, J. N., Schenk, T., Haak, D. C., Salom, S., Brown, B., &amp; Hotchkiss, E. R. (2019). Building Partnerships and Bridging Science and Policy to Address the Biological Invasions Crisis. </w:t>
      </w:r>
      <w:r w:rsidRPr="001523EB">
        <w:rPr>
          <w:rFonts w:ascii="Times New Roman" w:hAnsi="Times New Roman"/>
          <w:i/>
          <w:iCs/>
        </w:rPr>
        <w:t>Invasive Plant Science and Management</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(1), 74–78. https://doi.org/10.1017/inp.2018.33</w:t>
      </w:r>
    </w:p>
    <w:p w14:paraId="0C08828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Barney, J. N., Tekiela, D. R., Barrios-Garcia, M. N., Dimarco, R. D., Hufbauer, R. A., Leipzig-Scott, P., Nuñez, M. A., Pauchard, A., Pyšek, P., Vítková, M., &amp; Maxwell, B. D. (2015). Global Invader Impact Network (GIIN): Toward standardized evaluation of the ecological impacts of invasive plants. </w:t>
      </w:r>
      <w:r w:rsidRPr="001523EB">
        <w:rPr>
          <w:rFonts w:ascii="Times New Roman" w:hAnsi="Times New Roman"/>
          <w:i/>
          <w:iCs/>
        </w:rPr>
        <w:t>Ecology and Evolution</w:t>
      </w:r>
      <w:r w:rsidRPr="001523EB">
        <w:rPr>
          <w:rFonts w:ascii="Times New Roman" w:hAnsi="Times New Roman"/>
        </w:rPr>
        <w:t xml:space="preserve">, </w:t>
      </w:r>
      <w:r w:rsidRPr="001523EB">
        <w:rPr>
          <w:rFonts w:ascii="Times New Roman" w:hAnsi="Times New Roman"/>
          <w:i/>
          <w:iCs/>
        </w:rPr>
        <w:t>5</w:t>
      </w:r>
      <w:r w:rsidRPr="001523EB">
        <w:rPr>
          <w:rFonts w:ascii="Times New Roman" w:hAnsi="Times New Roman"/>
        </w:rPr>
        <w:t>(14), 2878–2889. https://doi.org/10.1002/ece3.1551</w:t>
      </w:r>
    </w:p>
    <w:p w14:paraId="3D8494F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Barnhill-Dilling, S. K., Serr, M., Blondel, D. V., &amp; Godwin, J. (2019). Sustainability as a framework for considering gene drive mice for invasive rodent eradication. </w:t>
      </w:r>
      <w:r w:rsidRPr="001523EB">
        <w:rPr>
          <w:rFonts w:ascii="Times New Roman" w:hAnsi="Times New Roman"/>
          <w:i/>
          <w:iCs/>
        </w:rPr>
        <w:t>Sustainability</w:t>
      </w:r>
      <w:r w:rsidRPr="001523EB">
        <w:rPr>
          <w:rFonts w:ascii="Times New Roman" w:hAnsi="Times New Roman"/>
        </w:rPr>
        <w:t xml:space="preserve">, </w:t>
      </w:r>
      <w:r w:rsidRPr="001523EB">
        <w:rPr>
          <w:rFonts w:ascii="Times New Roman" w:hAnsi="Times New Roman"/>
          <w:i/>
          <w:iCs/>
        </w:rPr>
        <w:t>11</w:t>
      </w:r>
      <w:r w:rsidRPr="001523EB">
        <w:rPr>
          <w:rFonts w:ascii="Times New Roman" w:hAnsi="Times New Roman"/>
        </w:rPr>
        <w:t>(5), 1334. https://doi.org/10.3390/su11051334</w:t>
      </w:r>
    </w:p>
    <w:p w14:paraId="2252ACD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Baskin, Y. (2002). The greening of horticulture: New codes of conduct aim to curb plant invasions. </w:t>
      </w:r>
      <w:r w:rsidRPr="001523EB">
        <w:rPr>
          <w:rFonts w:ascii="Times New Roman" w:hAnsi="Times New Roman"/>
          <w:i/>
          <w:iCs/>
        </w:rPr>
        <w:t>Bioscience</w:t>
      </w:r>
      <w:r w:rsidRPr="001523EB">
        <w:rPr>
          <w:rFonts w:ascii="Times New Roman" w:hAnsi="Times New Roman"/>
        </w:rPr>
        <w:t xml:space="preserve">, </w:t>
      </w:r>
      <w:r w:rsidRPr="001523EB">
        <w:rPr>
          <w:rFonts w:ascii="Times New Roman" w:hAnsi="Times New Roman"/>
          <w:i/>
          <w:iCs/>
        </w:rPr>
        <w:t>52</w:t>
      </w:r>
      <w:r w:rsidRPr="001523EB">
        <w:rPr>
          <w:rFonts w:ascii="Times New Roman" w:hAnsi="Times New Roman"/>
        </w:rPr>
        <w:t>(6), 464–471. https://doi.org/10.1641/0006-3568(2002)052[0464:Tgohnc]2.0.Co;2</w:t>
      </w:r>
    </w:p>
    <w:p w14:paraId="58BE161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BBOP. (2012). </w:t>
      </w:r>
      <w:r w:rsidRPr="001523EB">
        <w:rPr>
          <w:rFonts w:ascii="Times New Roman" w:hAnsi="Times New Roman"/>
          <w:i/>
          <w:iCs/>
        </w:rPr>
        <w:t>Business and Biodiversity Offsets Programme: Planning policies and projects to achieve a net gain of biodiversity</w:t>
      </w:r>
      <w:r w:rsidRPr="001523EB">
        <w:rPr>
          <w:rFonts w:ascii="Times New Roman" w:hAnsi="Times New Roman"/>
        </w:rPr>
        <w:t xml:space="preserve"> (Standard on Biodiversity Offsets). Business and Biodiversity Offsets Programme, Forest Trends. http://bbop.forest-trends.org/guidelines/Standard.pdf</w:t>
      </w:r>
    </w:p>
    <w:p w14:paraId="0F62439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Beaury, E. M., Fusco, E. J., Jackson, M. R., Laginhas, B. B., Morelli, T. L., Allen, J. M., Pasquarella, V. J., &amp; Bradley, B. A. (2020). Incorporating climate change into invasive species management: Insights from managers.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(2), 233–252. https://doi.org/10.1007/s10530-019-02087-6</w:t>
      </w:r>
    </w:p>
    <w:p w14:paraId="47C83D3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Beausoleil, N. J., Fisher, P., Littin, K. E., Warburton, B., Mellor, D. J., Dalefield, R. R., &amp; Cowan, P. (2016). A systematic approach to evaluating and ranking the relative animal welfare impacts of wildlife control methods: Poisons used for lethal control of brushtail possums (</w:t>
      </w:r>
      <w:r w:rsidRPr="001523EB">
        <w:rPr>
          <w:rFonts w:ascii="Times New Roman" w:hAnsi="Times New Roman"/>
          <w:i/>
          <w:iCs/>
        </w:rPr>
        <w:t>Trichosurus vulpecula</w:t>
      </w:r>
      <w:r w:rsidRPr="001523EB">
        <w:rPr>
          <w:rFonts w:ascii="Times New Roman" w:hAnsi="Times New Roman"/>
        </w:rPr>
        <w:t xml:space="preserve">) in New Zealand. </w:t>
      </w:r>
      <w:r w:rsidRPr="001523EB">
        <w:rPr>
          <w:rFonts w:ascii="Times New Roman" w:hAnsi="Times New Roman"/>
          <w:i/>
          <w:iCs/>
        </w:rPr>
        <w:t>Wildlife Research</w:t>
      </w:r>
      <w:r w:rsidRPr="001523EB">
        <w:rPr>
          <w:rFonts w:ascii="Times New Roman" w:hAnsi="Times New Roman"/>
        </w:rPr>
        <w:t xml:space="preserve">, </w:t>
      </w:r>
      <w:r w:rsidRPr="001523EB">
        <w:rPr>
          <w:rFonts w:ascii="Times New Roman" w:hAnsi="Times New Roman"/>
          <w:i/>
          <w:iCs/>
        </w:rPr>
        <w:t>43</w:t>
      </w:r>
      <w:r w:rsidRPr="001523EB">
        <w:rPr>
          <w:rFonts w:ascii="Times New Roman" w:hAnsi="Times New Roman"/>
        </w:rPr>
        <w:t>(7), 553–565. https://doi.org/10.1071/WR16041</w:t>
      </w:r>
    </w:p>
    <w:p w14:paraId="67E151C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Beça, P., &amp; Santos, R. (2010). Measuring sustainable welfare: A new approach to the ISEW. </w:t>
      </w:r>
      <w:r w:rsidRPr="001523EB">
        <w:rPr>
          <w:rFonts w:ascii="Times New Roman" w:hAnsi="Times New Roman"/>
          <w:i/>
          <w:iCs/>
        </w:rPr>
        <w:t>Ecological Economics</w:t>
      </w:r>
      <w:r w:rsidRPr="001523EB">
        <w:rPr>
          <w:rFonts w:ascii="Times New Roman" w:hAnsi="Times New Roman"/>
        </w:rPr>
        <w:t xml:space="preserve">, </w:t>
      </w:r>
      <w:r w:rsidRPr="001523EB">
        <w:rPr>
          <w:rFonts w:ascii="Times New Roman" w:hAnsi="Times New Roman"/>
          <w:i/>
          <w:iCs/>
        </w:rPr>
        <w:t>69</w:t>
      </w:r>
      <w:r w:rsidRPr="001523EB">
        <w:rPr>
          <w:rFonts w:ascii="Times New Roman" w:hAnsi="Times New Roman"/>
        </w:rPr>
        <w:t>(4), 810–819. https://doi.org/10.1016/j.ecolecon.2009.11.031</w:t>
      </w:r>
    </w:p>
    <w:p w14:paraId="4A0A2CB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Beever, E. A., Simberloff, D., Crowley, S. L., Al</w:t>
      </w:r>
      <w:r w:rsidRPr="001523EB">
        <w:rPr>
          <w:rFonts w:ascii="Times New Roman" w:hAnsi="Times New Roman" w:hint="eastAsia"/>
        </w:rPr>
        <w:t>‐</w:t>
      </w:r>
      <w:r w:rsidRPr="001523EB">
        <w:rPr>
          <w:rFonts w:ascii="Times New Roman" w:hAnsi="Times New Roman"/>
        </w:rPr>
        <w:t>Chokhachy, R., Jackson, H. A., &amp; Petersen, S. L. (2019). Social</w:t>
      </w:r>
      <w:r w:rsidRPr="001523EB">
        <w:rPr>
          <w:rFonts w:ascii="Times New Roman" w:hAnsi="Times New Roman" w:hint="eastAsia"/>
        </w:rPr>
        <w:t>–</w:t>
      </w:r>
      <w:r w:rsidRPr="001523EB">
        <w:rPr>
          <w:rFonts w:ascii="Times New Roman" w:hAnsi="Times New Roman"/>
        </w:rPr>
        <w:t xml:space="preserve">ecological mismatches create conservation challenges in introduced species management. </w:t>
      </w:r>
      <w:r w:rsidRPr="001523EB">
        <w:rPr>
          <w:rFonts w:ascii="Times New Roman" w:hAnsi="Times New Roman"/>
          <w:i/>
          <w:iCs/>
        </w:rPr>
        <w:t>Frontiers in Ecology and the Environment</w:t>
      </w:r>
      <w:r w:rsidRPr="001523EB">
        <w:rPr>
          <w:rFonts w:ascii="Times New Roman" w:hAnsi="Times New Roman"/>
        </w:rPr>
        <w:t xml:space="preserve">, </w:t>
      </w:r>
      <w:r w:rsidRPr="001523EB">
        <w:rPr>
          <w:rFonts w:ascii="Times New Roman" w:hAnsi="Times New Roman"/>
          <w:i/>
          <w:iCs/>
        </w:rPr>
        <w:t>17</w:t>
      </w:r>
      <w:r w:rsidRPr="001523EB">
        <w:rPr>
          <w:rFonts w:ascii="Times New Roman" w:hAnsi="Times New Roman"/>
        </w:rPr>
        <w:t>(2), 117–125. https://doi.org/10.1002/fee.2000</w:t>
      </w:r>
    </w:p>
    <w:p w14:paraId="0362F70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Beierle, T. C. (2002). The quality of stakeholder</w:t>
      </w:r>
      <w:r w:rsidRPr="001523EB">
        <w:rPr>
          <w:rFonts w:ascii="Times New Roman" w:hAnsi="Times New Roman" w:hint="eastAsia"/>
        </w:rPr>
        <w:t>‐</w:t>
      </w:r>
      <w:r w:rsidRPr="001523EB">
        <w:rPr>
          <w:rFonts w:ascii="Times New Roman" w:hAnsi="Times New Roman"/>
        </w:rPr>
        <w:t xml:space="preserve">based decisions. </w:t>
      </w:r>
      <w:r w:rsidRPr="001523EB">
        <w:rPr>
          <w:rFonts w:ascii="Times New Roman" w:hAnsi="Times New Roman"/>
          <w:i/>
          <w:iCs/>
        </w:rPr>
        <w:t>Risk Analysis: An Official Publication of the Society for Risk Analysis</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(4), 739–749. https://doi.org/10.1111/0272-4332.00065</w:t>
      </w:r>
    </w:p>
    <w:p w14:paraId="06AC5D8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Bell, K., &amp; Reed, M. (2022). The tree of participation: A new model for inclusive decision-making. </w:t>
      </w:r>
      <w:r w:rsidRPr="001523EB">
        <w:rPr>
          <w:rFonts w:ascii="Times New Roman" w:hAnsi="Times New Roman"/>
          <w:i/>
          <w:iCs/>
        </w:rPr>
        <w:t>Community Development Journal</w:t>
      </w:r>
      <w:r w:rsidRPr="001523EB">
        <w:rPr>
          <w:rFonts w:ascii="Times New Roman" w:hAnsi="Times New Roman"/>
        </w:rPr>
        <w:t xml:space="preserve">, </w:t>
      </w:r>
      <w:r w:rsidRPr="001523EB">
        <w:rPr>
          <w:rFonts w:ascii="Times New Roman" w:hAnsi="Times New Roman"/>
          <w:i/>
          <w:iCs/>
        </w:rPr>
        <w:t>57</w:t>
      </w:r>
      <w:r w:rsidRPr="001523EB">
        <w:rPr>
          <w:rFonts w:ascii="Times New Roman" w:hAnsi="Times New Roman"/>
        </w:rPr>
        <w:t>(4), 595–614. https://doi.org/10.1093/cdj/bsab018</w:t>
      </w:r>
    </w:p>
    <w:p w14:paraId="1D8CD98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Bellard, C., &amp; Jeschke, J. M. (2016). A spatial mismatch between invader impacts and research publications.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30</w:t>
      </w:r>
      <w:r w:rsidRPr="001523EB">
        <w:rPr>
          <w:rFonts w:ascii="Times New Roman" w:hAnsi="Times New Roman"/>
        </w:rPr>
        <w:t>(1), 230–232. https://doi.org/10.1111/cobi.12611</w:t>
      </w:r>
    </w:p>
    <w:p w14:paraId="3F82404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Bennett, N. J., &amp; Satterfield, T. (2018). Environmental governance: A practical framework to guide design, evaluation, and analysis. </w:t>
      </w:r>
      <w:r w:rsidRPr="001523EB">
        <w:rPr>
          <w:rFonts w:ascii="Times New Roman" w:hAnsi="Times New Roman"/>
          <w:i/>
          <w:iCs/>
        </w:rPr>
        <w:t>Conservation Letters</w:t>
      </w:r>
      <w:r w:rsidRPr="001523EB">
        <w:rPr>
          <w:rFonts w:ascii="Times New Roman" w:hAnsi="Times New Roman"/>
        </w:rPr>
        <w:t xml:space="preserve">, </w:t>
      </w:r>
      <w:r w:rsidRPr="001523EB">
        <w:rPr>
          <w:rFonts w:ascii="Times New Roman" w:hAnsi="Times New Roman"/>
          <w:i/>
          <w:iCs/>
        </w:rPr>
        <w:t>11</w:t>
      </w:r>
      <w:r w:rsidRPr="001523EB">
        <w:rPr>
          <w:rFonts w:ascii="Times New Roman" w:hAnsi="Times New Roman"/>
        </w:rPr>
        <w:t>(6), e12600. https://doi.org/10.1111/conl.12600</w:t>
      </w:r>
    </w:p>
    <w:p w14:paraId="02E89FA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Berardo, R., &amp; Lubell, M. (2019). The ecology of games as a theory of polycentricity: Recent advances and future challenges. </w:t>
      </w:r>
      <w:r w:rsidRPr="001523EB">
        <w:rPr>
          <w:rFonts w:ascii="Times New Roman" w:hAnsi="Times New Roman"/>
          <w:i/>
          <w:iCs/>
        </w:rPr>
        <w:t>Policy Studies Journal</w:t>
      </w:r>
      <w:r w:rsidRPr="001523EB">
        <w:rPr>
          <w:rFonts w:ascii="Times New Roman" w:hAnsi="Times New Roman"/>
        </w:rPr>
        <w:t xml:space="preserve">, </w:t>
      </w:r>
      <w:r w:rsidRPr="001523EB">
        <w:rPr>
          <w:rFonts w:ascii="Times New Roman" w:hAnsi="Times New Roman"/>
          <w:i/>
          <w:iCs/>
        </w:rPr>
        <w:t>47</w:t>
      </w:r>
      <w:r w:rsidRPr="001523EB">
        <w:rPr>
          <w:rFonts w:ascii="Times New Roman" w:hAnsi="Times New Roman"/>
        </w:rPr>
        <w:t>(1), 6–26. https://doi.org/10.1111/psj.12313</w:t>
      </w:r>
    </w:p>
    <w:p w14:paraId="3141F54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Berardo, R., &amp; Scholz, J. T. (2010). Self-Organizing Policy Networks: Risk, Partner Selection, and Cooperation in Estuaries. </w:t>
      </w:r>
      <w:r w:rsidRPr="001523EB">
        <w:rPr>
          <w:rFonts w:ascii="Times New Roman" w:hAnsi="Times New Roman"/>
          <w:i/>
          <w:iCs/>
        </w:rPr>
        <w:t>American Journal of Political Science</w:t>
      </w:r>
      <w:r w:rsidRPr="001523EB">
        <w:rPr>
          <w:rFonts w:ascii="Times New Roman" w:hAnsi="Times New Roman"/>
        </w:rPr>
        <w:t xml:space="preserve">, </w:t>
      </w:r>
      <w:r w:rsidRPr="001523EB">
        <w:rPr>
          <w:rFonts w:ascii="Times New Roman" w:hAnsi="Times New Roman"/>
          <w:i/>
          <w:iCs/>
        </w:rPr>
        <w:t>54</w:t>
      </w:r>
      <w:r w:rsidRPr="001523EB">
        <w:rPr>
          <w:rFonts w:ascii="Times New Roman" w:hAnsi="Times New Roman"/>
        </w:rPr>
        <w:t>(3), 632–649. https://doi.org/10.1111/j.1540-5907.2010.00451.x</w:t>
      </w:r>
    </w:p>
    <w:p w14:paraId="4A6A96C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Bertolino, S., &amp; Genovesi, P. (2003). Spread and attempted eradication of the grey squirrel (</w:t>
      </w:r>
      <w:r w:rsidRPr="001523EB">
        <w:rPr>
          <w:rFonts w:ascii="Times New Roman" w:hAnsi="Times New Roman"/>
          <w:i/>
          <w:iCs/>
        </w:rPr>
        <w:t>Sciurus carolinensis</w:t>
      </w:r>
      <w:r w:rsidRPr="001523EB">
        <w:rPr>
          <w:rFonts w:ascii="Times New Roman" w:hAnsi="Times New Roman"/>
        </w:rPr>
        <w:t>) in Italy, and consequences for the red squirrel (</w:t>
      </w:r>
      <w:r w:rsidRPr="001523EB">
        <w:rPr>
          <w:rFonts w:ascii="Times New Roman" w:hAnsi="Times New Roman"/>
          <w:i/>
          <w:iCs/>
        </w:rPr>
        <w:t>Sciurus vulgaris</w:t>
      </w:r>
      <w:r w:rsidRPr="001523EB">
        <w:rPr>
          <w:rFonts w:ascii="Times New Roman" w:hAnsi="Times New Roman"/>
        </w:rPr>
        <w:t xml:space="preserve">) in Eurasia.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109</w:t>
      </w:r>
      <w:r w:rsidRPr="001523EB">
        <w:rPr>
          <w:rFonts w:ascii="Times New Roman" w:hAnsi="Times New Roman"/>
        </w:rPr>
        <w:t>(3), 351–358. https://doi.org/10.1016/S0006-3207(02)00161-1</w:t>
      </w:r>
    </w:p>
    <w:p w14:paraId="762845A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Best, B. D., Halpin, P. N., Fujioka, E., Read, A. J., Qian, S. S., Hazen, L. J., &amp; Schick, R. S. (2007). Geospatial web services within a scientific workflow: Predicting marine mammal habitats in a dynamic environment. </w:t>
      </w:r>
      <w:r w:rsidRPr="001523EB">
        <w:rPr>
          <w:rFonts w:ascii="Times New Roman" w:hAnsi="Times New Roman"/>
          <w:i/>
          <w:iCs/>
        </w:rPr>
        <w:t>Ecological Informatics</w:t>
      </w:r>
      <w:r w:rsidRPr="001523EB">
        <w:rPr>
          <w:rFonts w:ascii="Times New Roman" w:hAnsi="Times New Roman"/>
        </w:rPr>
        <w:t xml:space="preserve">, </w:t>
      </w:r>
      <w:r w:rsidRPr="001523EB">
        <w:rPr>
          <w:rFonts w:ascii="Times New Roman" w:hAnsi="Times New Roman"/>
          <w:i/>
          <w:iCs/>
        </w:rPr>
        <w:t>2</w:t>
      </w:r>
      <w:r w:rsidRPr="001523EB">
        <w:rPr>
          <w:rFonts w:ascii="Times New Roman" w:hAnsi="Times New Roman"/>
        </w:rPr>
        <w:t>(3), 210–223. https://doi.org/10.1016/j.ecoinf.2007.07.007</w:t>
      </w:r>
    </w:p>
    <w:p w14:paraId="020542A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Bhattacharyya, J., &amp; Larson, B. M. H. (2014). The Need for Indigenous Voices in Discourse about Introduced Species: Insights from a Controversy over Wild Horses. </w:t>
      </w:r>
      <w:r w:rsidRPr="001523EB">
        <w:rPr>
          <w:rFonts w:ascii="Times New Roman" w:hAnsi="Times New Roman"/>
          <w:i/>
          <w:iCs/>
        </w:rPr>
        <w:t>Environmental Values</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(6), 663–684. https://doi.org/10.3197/096327114X13947900181031</w:t>
      </w:r>
    </w:p>
    <w:p w14:paraId="1EDAEDF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Binder, C. R., Hinkel, J., Bots, P. W. G., &amp; Pahl-Wostl, C. (2013). Comparison of Frameworks for Analyzing Social-ecological Systems.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18</w:t>
      </w:r>
      <w:r w:rsidRPr="001523EB">
        <w:rPr>
          <w:rFonts w:ascii="Times New Roman" w:hAnsi="Times New Roman"/>
        </w:rPr>
        <w:t>(4), art26. https://doi.org/10.5751/ES-05551-180426</w:t>
      </w:r>
    </w:p>
    <w:p w14:paraId="4FE8DD4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Björk, B.-C. (2017). Gold, green, and black open access. </w:t>
      </w:r>
      <w:r w:rsidRPr="001523EB">
        <w:rPr>
          <w:rFonts w:ascii="Times New Roman" w:hAnsi="Times New Roman"/>
          <w:i/>
          <w:iCs/>
        </w:rPr>
        <w:t>Learned Publishing</w:t>
      </w:r>
      <w:r w:rsidRPr="001523EB">
        <w:rPr>
          <w:rFonts w:ascii="Times New Roman" w:hAnsi="Times New Roman"/>
        </w:rPr>
        <w:t xml:space="preserve">, </w:t>
      </w:r>
      <w:r w:rsidRPr="001523EB">
        <w:rPr>
          <w:rFonts w:ascii="Times New Roman" w:hAnsi="Times New Roman"/>
          <w:i/>
          <w:iCs/>
        </w:rPr>
        <w:t>30</w:t>
      </w:r>
      <w:r w:rsidRPr="001523EB">
        <w:rPr>
          <w:rFonts w:ascii="Times New Roman" w:hAnsi="Times New Roman"/>
        </w:rPr>
        <w:t>(2), 173–175. https://doi.org/10.1002/leap.1096</w:t>
      </w:r>
    </w:p>
    <w:p w14:paraId="337DB98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Blackburn, T. M., Bellard, C., &amp; Ricciardi, A. (2019). Alien versus native species as drivers of recent extinctions. </w:t>
      </w:r>
      <w:r w:rsidRPr="001523EB">
        <w:rPr>
          <w:rFonts w:ascii="Times New Roman" w:hAnsi="Times New Roman"/>
          <w:i/>
          <w:iCs/>
        </w:rPr>
        <w:t>Frontiers in Ecology and the Environment</w:t>
      </w:r>
      <w:r w:rsidRPr="001523EB">
        <w:rPr>
          <w:rFonts w:ascii="Times New Roman" w:hAnsi="Times New Roman"/>
        </w:rPr>
        <w:t xml:space="preserve">, </w:t>
      </w:r>
      <w:r w:rsidRPr="001523EB">
        <w:rPr>
          <w:rFonts w:ascii="Times New Roman" w:hAnsi="Times New Roman"/>
          <w:i/>
          <w:iCs/>
        </w:rPr>
        <w:t>17</w:t>
      </w:r>
      <w:r w:rsidRPr="001523EB">
        <w:rPr>
          <w:rFonts w:ascii="Times New Roman" w:hAnsi="Times New Roman"/>
        </w:rPr>
        <w:t>(4), 203–207. https://doi.org/10.1002/fee.2020</w:t>
      </w:r>
    </w:p>
    <w:p w14:paraId="7942FD2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Blackman, A., &amp; Rivera, J. (2010). </w:t>
      </w:r>
      <w:r w:rsidRPr="001523EB">
        <w:rPr>
          <w:rFonts w:ascii="Times New Roman" w:hAnsi="Times New Roman"/>
          <w:i/>
          <w:iCs/>
        </w:rPr>
        <w:t>Environmental Certification and the Global Environment Facility: A STAP advisory document</w:t>
      </w:r>
      <w:r w:rsidRPr="001523EB">
        <w:rPr>
          <w:rFonts w:ascii="Times New Roman" w:hAnsi="Times New Roman"/>
        </w:rPr>
        <w:t>. Scientific and Technical Advisory Panel (STAP)  of the Global Environment Facility (GEF). https://www.thegef.org/sites/default/files/council-meeting-documents/C.39.Inf_.15_STAP_-_Environmental_Certification.pdf</w:t>
      </w:r>
    </w:p>
    <w:p w14:paraId="19F6B93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Blaser, W. J. (2013). </w:t>
      </w:r>
      <w:r w:rsidRPr="001523EB">
        <w:rPr>
          <w:rFonts w:ascii="Times New Roman" w:hAnsi="Times New Roman"/>
          <w:i/>
          <w:iCs/>
        </w:rPr>
        <w:t>Impact of woody encroachment on soil-plant-herbivore interactions in the Kafue Flats floodplain ecosystem</w:t>
      </w:r>
      <w:r w:rsidRPr="001523EB">
        <w:rPr>
          <w:rFonts w:ascii="Times New Roman" w:hAnsi="Times New Roman"/>
        </w:rPr>
        <w:t xml:space="preserve"> [Doctoral Thesis, ETH Zurich]. https://doi.org/10.3929/ethz-a-009933926</w:t>
      </w:r>
    </w:p>
    <w:p w14:paraId="292BD96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Blythe, J., Silver, J., Evans, L., Armitage, D., Bennett, N. J., Moore, M.-L., Morrison, T. H., &amp; Brown, K. (2018). The dark side of transformation: Latent risks in contemporary sustainability discourse. </w:t>
      </w:r>
      <w:r w:rsidRPr="001523EB">
        <w:rPr>
          <w:rFonts w:ascii="Times New Roman" w:hAnsi="Times New Roman"/>
          <w:i/>
          <w:iCs/>
        </w:rPr>
        <w:t>Antipode</w:t>
      </w:r>
      <w:r w:rsidRPr="001523EB">
        <w:rPr>
          <w:rFonts w:ascii="Times New Roman" w:hAnsi="Times New Roman"/>
        </w:rPr>
        <w:t xml:space="preserve">, </w:t>
      </w:r>
      <w:r w:rsidRPr="001523EB">
        <w:rPr>
          <w:rFonts w:ascii="Times New Roman" w:hAnsi="Times New Roman"/>
          <w:i/>
          <w:iCs/>
        </w:rPr>
        <w:t>50</w:t>
      </w:r>
      <w:r w:rsidRPr="001523EB">
        <w:rPr>
          <w:rFonts w:ascii="Times New Roman" w:hAnsi="Times New Roman"/>
        </w:rPr>
        <w:t>(5), 1206–1223. https://doi.org/10.1111/anti.12405</w:t>
      </w:r>
    </w:p>
    <w:p w14:paraId="12412D2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Boakes, E. H., McGowan, P. J. K., Fuller, R. A., Chang-qing, D., Clark, N. E., O’Connor, K., &amp; Mace, G. M. (2010). Distorted Views of Biodiversity: Spatial and Temporal Bias in Species Occurrence Data. </w:t>
      </w:r>
      <w:r w:rsidRPr="001523EB">
        <w:rPr>
          <w:rFonts w:ascii="Times New Roman" w:hAnsi="Times New Roman"/>
          <w:i/>
          <w:iCs/>
        </w:rPr>
        <w:t>PLoS Biology</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(6), e1000385. https://doi.org/10.1371/journal.pbio.1000385</w:t>
      </w:r>
    </w:p>
    <w:p w14:paraId="696CE82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Bodin, Ö. (2017). Collaborative environmental governance: Achieving collective action in social-ecological systems. </w:t>
      </w:r>
      <w:r w:rsidRPr="001523EB">
        <w:rPr>
          <w:rFonts w:ascii="Times New Roman" w:hAnsi="Times New Roman"/>
          <w:i/>
          <w:iCs/>
        </w:rPr>
        <w:t>Science</w:t>
      </w:r>
      <w:r w:rsidRPr="001523EB">
        <w:rPr>
          <w:rFonts w:ascii="Times New Roman" w:hAnsi="Times New Roman"/>
        </w:rPr>
        <w:t xml:space="preserve">, </w:t>
      </w:r>
      <w:r w:rsidRPr="001523EB">
        <w:rPr>
          <w:rFonts w:ascii="Times New Roman" w:hAnsi="Times New Roman"/>
          <w:i/>
          <w:iCs/>
        </w:rPr>
        <w:t>357</w:t>
      </w:r>
      <w:r w:rsidRPr="001523EB">
        <w:rPr>
          <w:rFonts w:ascii="Times New Roman" w:hAnsi="Times New Roman"/>
        </w:rPr>
        <w:t>(6352), eaan1114. https://doi.org/10.1126/science.aan1114</w:t>
      </w:r>
    </w:p>
    <w:p w14:paraId="1212537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Bodin, Ö., Alexander, S. M., Baggio, J., Barnes, M. L., Berardo, R., Cumming, G. S., Dee, L. E., Fischer, A. P., Fischer, M., Mancilla Garcia, M., Guerrero, A. M., Hileman, J., Ingold, K., Matous, P., Morrison, T. H., Nohrstedt, D., Pittman, J., Robins, G., &amp; Sayles, J. S. (2019). Improving network approaches to the study of complex social–ecological interdependencies. </w:t>
      </w:r>
      <w:r w:rsidRPr="001523EB">
        <w:rPr>
          <w:rFonts w:ascii="Times New Roman" w:hAnsi="Times New Roman"/>
          <w:i/>
          <w:iCs/>
        </w:rPr>
        <w:t>Nature Sustainability</w:t>
      </w:r>
      <w:r w:rsidRPr="001523EB">
        <w:rPr>
          <w:rFonts w:ascii="Times New Roman" w:hAnsi="Times New Roman"/>
        </w:rPr>
        <w:t xml:space="preserve">, </w:t>
      </w:r>
      <w:r w:rsidRPr="001523EB">
        <w:rPr>
          <w:rFonts w:ascii="Times New Roman" w:hAnsi="Times New Roman"/>
          <w:i/>
          <w:iCs/>
        </w:rPr>
        <w:t>2</w:t>
      </w:r>
      <w:r w:rsidRPr="001523EB">
        <w:rPr>
          <w:rFonts w:ascii="Times New Roman" w:hAnsi="Times New Roman"/>
        </w:rPr>
        <w:t>(7), 551–559. https://doi.org/10.1038/s41893-019-0308-0</w:t>
      </w:r>
    </w:p>
    <w:p w14:paraId="6417EFE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Bodin, Ö., Baird, J., Schultz, L., Plummer, R., &amp; Armitage, D. (2020). The impacts of trust, cost and risk on collaboration in environmental governance. </w:t>
      </w:r>
      <w:r w:rsidRPr="001523EB">
        <w:rPr>
          <w:rFonts w:ascii="Times New Roman" w:hAnsi="Times New Roman"/>
          <w:i/>
          <w:iCs/>
        </w:rPr>
        <w:t>People and Nature</w:t>
      </w:r>
      <w:r w:rsidRPr="001523EB">
        <w:rPr>
          <w:rFonts w:ascii="Times New Roman" w:hAnsi="Times New Roman"/>
        </w:rPr>
        <w:t xml:space="preserve">, </w:t>
      </w:r>
      <w:r w:rsidRPr="001523EB">
        <w:rPr>
          <w:rFonts w:ascii="Times New Roman" w:hAnsi="Times New Roman"/>
          <w:i/>
          <w:iCs/>
        </w:rPr>
        <w:t>2</w:t>
      </w:r>
      <w:r w:rsidRPr="001523EB">
        <w:rPr>
          <w:rFonts w:ascii="Times New Roman" w:hAnsi="Times New Roman"/>
        </w:rPr>
        <w:t>(3), 734–749. https://doi.org/10.1002/pan3.10097</w:t>
      </w:r>
    </w:p>
    <w:p w14:paraId="055ACF8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Bodin, Ö., Sandström, A., &amp; Crona, B. (2017). Collaborative Networks for Effective Ecosystem-Based Management: A Set of Working Hypotheses. </w:t>
      </w:r>
      <w:r w:rsidRPr="001523EB">
        <w:rPr>
          <w:rFonts w:ascii="Times New Roman" w:hAnsi="Times New Roman"/>
          <w:i/>
          <w:iCs/>
        </w:rPr>
        <w:t>Policy Studies Journal</w:t>
      </w:r>
      <w:r w:rsidRPr="001523EB">
        <w:rPr>
          <w:rFonts w:ascii="Times New Roman" w:hAnsi="Times New Roman"/>
        </w:rPr>
        <w:t xml:space="preserve">, </w:t>
      </w:r>
      <w:r w:rsidRPr="001523EB">
        <w:rPr>
          <w:rFonts w:ascii="Times New Roman" w:hAnsi="Times New Roman"/>
          <w:i/>
          <w:iCs/>
        </w:rPr>
        <w:t>45</w:t>
      </w:r>
      <w:r w:rsidRPr="001523EB">
        <w:rPr>
          <w:rFonts w:ascii="Times New Roman" w:hAnsi="Times New Roman"/>
        </w:rPr>
        <w:t>(2), 289–314. https://doi.org/10.1111/psj.12146</w:t>
      </w:r>
    </w:p>
    <w:p w14:paraId="07D73AE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Bohannon, J. (2016). Who’s downloading pirated papers? Everyone. </w:t>
      </w:r>
      <w:r w:rsidRPr="001523EB">
        <w:rPr>
          <w:rFonts w:ascii="Times New Roman" w:hAnsi="Times New Roman"/>
          <w:i/>
          <w:iCs/>
        </w:rPr>
        <w:t>Science</w:t>
      </w:r>
      <w:r w:rsidRPr="001523EB">
        <w:rPr>
          <w:rFonts w:ascii="Times New Roman" w:hAnsi="Times New Roman"/>
        </w:rPr>
        <w:t xml:space="preserve">, </w:t>
      </w:r>
      <w:r w:rsidRPr="001523EB">
        <w:rPr>
          <w:rFonts w:ascii="Times New Roman" w:hAnsi="Times New Roman"/>
          <w:i/>
          <w:iCs/>
        </w:rPr>
        <w:t>352</w:t>
      </w:r>
      <w:r w:rsidRPr="001523EB">
        <w:rPr>
          <w:rFonts w:ascii="Times New Roman" w:hAnsi="Times New Roman"/>
        </w:rPr>
        <w:t>(6285), 508–512. https://doi.org/10.1126/science.352.6285.508</w:t>
      </w:r>
    </w:p>
    <w:p w14:paraId="66FB0B0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Bohensky, E. L., &amp; Maru, Y. (2011). Indigenous Knowledge, Science, and Resilience: What Have We Learned from a Decade of International Literature on “Integration”?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(4), 6. https://doi.org/10.5751/ES-04342-160406</w:t>
      </w:r>
    </w:p>
    <w:p w14:paraId="47E3E3D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Bolhassan, R., Cranefield, J., &amp; Dorner, D. (2014). Indigenous Knowledge Sharing in Sarawak: A System-Level View and Its Implications for the Cultural Heritage Sector. </w:t>
      </w:r>
      <w:r w:rsidRPr="001523EB">
        <w:rPr>
          <w:rFonts w:ascii="Times New Roman" w:hAnsi="Times New Roman"/>
          <w:i/>
          <w:iCs/>
        </w:rPr>
        <w:t>2014 47th Hawaii International Conference on System Sciences</w:t>
      </w:r>
      <w:r w:rsidRPr="001523EB">
        <w:rPr>
          <w:rFonts w:ascii="Times New Roman" w:hAnsi="Times New Roman"/>
        </w:rPr>
        <w:t>, 3378–3388. https://doi.org/10.1109/HICSS.2014.419</w:t>
      </w:r>
    </w:p>
    <w:p w14:paraId="0CA87B1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Boon, P. J., Clarke, S. A., &amp; Copp, G. H. (2020). Alien species and the EU Water Framework Directive: A comparative assessment of European approaches.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(4), 1497–1512. https://doi.org/10.1007/s10530-020-02201-z</w:t>
      </w:r>
    </w:p>
    <w:p w14:paraId="3686B58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Boström, M., Grönholm, S., &amp; Hassler, B. (2016). The Ecosystem Approach to Management in Baltic Sea Governance: Towards Increased Reflexivity? In M. Gilek, M. Karlsson, S. Linke, &amp; K. Smolarz (Eds.), </w:t>
      </w:r>
      <w:r w:rsidRPr="001523EB">
        <w:rPr>
          <w:rFonts w:ascii="Times New Roman" w:hAnsi="Times New Roman"/>
          <w:i/>
          <w:iCs/>
        </w:rPr>
        <w:t>Environmental Governance of the Baltic Sea</w:t>
      </w:r>
      <w:r w:rsidRPr="001523EB">
        <w:rPr>
          <w:rFonts w:ascii="Times New Roman" w:hAnsi="Times New Roman"/>
        </w:rPr>
        <w:t xml:space="preserve"> (Vol. 10, pp. 149–172). Springer. https://doi.org/10.1007/978-3-319-27006-7_7</w:t>
      </w:r>
    </w:p>
    <w:p w14:paraId="68EE371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Bradley, B. A., &amp; Wilcove, D. S. (2009). When Invasive Plants Disappear: Transformative Restoration Possibilities in the Western United States Resulting from Climate Change. </w:t>
      </w:r>
      <w:r w:rsidRPr="001523EB">
        <w:rPr>
          <w:rFonts w:ascii="Times New Roman" w:hAnsi="Times New Roman"/>
          <w:i/>
          <w:iCs/>
        </w:rPr>
        <w:t>Restoration Ecology</w:t>
      </w:r>
      <w:r w:rsidRPr="001523EB">
        <w:rPr>
          <w:rFonts w:ascii="Times New Roman" w:hAnsi="Times New Roman"/>
        </w:rPr>
        <w:t xml:space="preserve">, </w:t>
      </w:r>
      <w:r w:rsidRPr="001523EB">
        <w:rPr>
          <w:rFonts w:ascii="Times New Roman" w:hAnsi="Times New Roman"/>
          <w:i/>
          <w:iCs/>
        </w:rPr>
        <w:t>17</w:t>
      </w:r>
      <w:r w:rsidRPr="001523EB">
        <w:rPr>
          <w:rFonts w:ascii="Times New Roman" w:hAnsi="Times New Roman"/>
        </w:rPr>
        <w:t>(5), 715–721. https://doi.org/10.1111/j.1526-100X.2009.00586.x</w:t>
      </w:r>
    </w:p>
    <w:p w14:paraId="15C502D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Brauman, K. A., Garibaldi, L. A., Polasky, S., Zayas, C. N., Aumeeruddy Thomas, Y., Brancalion, P., Declerck, F., Mastrangelo, M., Nkongolo, N., Palang, H., Shannon, L., Verma, M., &amp; Shrestha, U. B. (2020). </w:t>
      </w:r>
      <w:r w:rsidRPr="001523EB">
        <w:rPr>
          <w:rFonts w:ascii="Times New Roman" w:hAnsi="Times New Roman"/>
          <w:i/>
          <w:iCs/>
        </w:rPr>
        <w:t>IPBES Global Assessment Report on Biodiversity and Ecosystem Services Chapter 2.3. Status and Trends -Nature’s Contributions to People (NCP)</w:t>
      </w:r>
      <w:r w:rsidRPr="001523EB">
        <w:rPr>
          <w:rFonts w:ascii="Times New Roman" w:hAnsi="Times New Roman"/>
        </w:rPr>
        <w:t>. Zenodo. https://doi.org/10.5281/ZENODO.3832035</w:t>
      </w:r>
    </w:p>
    <w:p w14:paraId="4209D70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Braun, H. A., Kowalski, K. P., &amp; Hollins, K. (2016). Applying the collective impact approach to address non-native species: A case study of the Great Lakes Phragmites Collaborative.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18</w:t>
      </w:r>
      <w:r w:rsidRPr="001523EB">
        <w:rPr>
          <w:rFonts w:ascii="Times New Roman" w:hAnsi="Times New Roman"/>
        </w:rPr>
        <w:t>(9), 2729–2738. https://doi.org/10.1007/s10530-016-1142-1</w:t>
      </w:r>
    </w:p>
    <w:p w14:paraId="0E8A1B5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Bravo-Vargas, V., García, R. A., Pizarro, J. C., &amp; Pauchard, A. (2019). Do people care about pine invasions? Visitor perceptions and willingness to pay for pine control in a protected area.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229</w:t>
      </w:r>
      <w:r w:rsidRPr="001523EB">
        <w:rPr>
          <w:rFonts w:ascii="Times New Roman" w:hAnsi="Times New Roman"/>
        </w:rPr>
        <w:t>(December 2017), 57–66. https://doi.org/10.1016/j.jenvman.2018.07.018</w:t>
      </w:r>
    </w:p>
    <w:p w14:paraId="63482B4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Brazeiro, A., Bresciano, D., Brugnoli, E., &amp; Iturburu, M. (2021). </w:t>
      </w:r>
      <w:r w:rsidRPr="001523EB">
        <w:rPr>
          <w:rFonts w:ascii="Times New Roman" w:hAnsi="Times New Roman"/>
          <w:i/>
          <w:iCs/>
        </w:rPr>
        <w:t>Especies exóticas invasorasde Uruguay: Distribución, impactos socioambientales y estrategias de gestión.</w:t>
      </w:r>
      <w:r w:rsidRPr="001523EB">
        <w:rPr>
          <w:rFonts w:ascii="Times New Roman" w:hAnsi="Times New Roman"/>
        </w:rPr>
        <w:t xml:space="preserve"> (Montevideo, p. 226). RETEMA-UdelaR, CEEI-Ministerio de Ambiente. https://ppduruguay.undp.org.uy/wp-content/uploads/2022/06/Especies-Exoticas-Invasoras-en-Uruguay_compressed.pdf</w:t>
      </w:r>
    </w:p>
    <w:p w14:paraId="62B2207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Brenton-Rule, E. C., Barbieri, R. F., &amp; Lester, P. J. (2016). </w:t>
      </w:r>
      <w:r w:rsidRPr="001523EB">
        <w:rPr>
          <w:rFonts w:ascii="Times New Roman" w:hAnsi="Times New Roman"/>
          <w:i/>
          <w:iCs/>
        </w:rPr>
        <w:t>Data from: Corruption, development and governance indicators predict invasive species risk from trade</w:t>
      </w:r>
      <w:r w:rsidRPr="001523EB">
        <w:rPr>
          <w:rFonts w:ascii="Times New Roman" w:hAnsi="Times New Roman"/>
        </w:rPr>
        <w:t xml:space="preserve"> [dataset]. Dryad. https://doi.org/10.5061/dryad.1qq64</w:t>
      </w:r>
    </w:p>
    <w:p w14:paraId="6695040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Broderstad, E. G., &amp; Eythórsson, E. (2014). Resilient communities? Collapse and recovery of a social-ecological system in Arctic Norway.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(3), 1. https://doi.org/10.5751/ES-06533-190301</w:t>
      </w:r>
    </w:p>
    <w:p w14:paraId="7DC81EE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Brown, P. M. J., Roy, D. B., Harrower, C., Dean, H. J., Rorke, S. L., &amp; Roy, H. E. (2018). Spread of a model invasive alien species, the harlequin ladybird </w:t>
      </w:r>
      <w:r w:rsidRPr="001523EB">
        <w:rPr>
          <w:rFonts w:ascii="Times New Roman" w:hAnsi="Times New Roman"/>
          <w:i/>
          <w:iCs/>
        </w:rPr>
        <w:t>Harmonia axyridis</w:t>
      </w:r>
      <w:r w:rsidRPr="001523EB">
        <w:rPr>
          <w:rFonts w:ascii="Times New Roman" w:hAnsi="Times New Roman"/>
        </w:rPr>
        <w:t xml:space="preserve"> in Britain and Ireland. </w:t>
      </w:r>
      <w:r w:rsidRPr="001523EB">
        <w:rPr>
          <w:rFonts w:ascii="Times New Roman" w:hAnsi="Times New Roman"/>
          <w:i/>
          <w:iCs/>
        </w:rPr>
        <w:t>Scientific Data</w:t>
      </w:r>
      <w:r w:rsidRPr="001523EB">
        <w:rPr>
          <w:rFonts w:ascii="Times New Roman" w:hAnsi="Times New Roman"/>
        </w:rPr>
        <w:t xml:space="preserve">, </w:t>
      </w:r>
      <w:r w:rsidRPr="001523EB">
        <w:rPr>
          <w:rFonts w:ascii="Times New Roman" w:hAnsi="Times New Roman"/>
          <w:i/>
          <w:iCs/>
        </w:rPr>
        <w:t>5</w:t>
      </w:r>
      <w:r w:rsidRPr="001523EB">
        <w:rPr>
          <w:rFonts w:ascii="Times New Roman" w:hAnsi="Times New Roman"/>
        </w:rPr>
        <w:t>(1), 180239. https://doi.org/10.1038/sdata.2018.239</w:t>
      </w:r>
    </w:p>
    <w:p w14:paraId="0155D9F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Brugnoli, E., &amp; Laufer, G. (Eds.). (2018). </w:t>
      </w:r>
      <w:r w:rsidRPr="001523EB">
        <w:rPr>
          <w:rFonts w:ascii="Times New Roman" w:hAnsi="Times New Roman"/>
          <w:i/>
          <w:iCs/>
        </w:rPr>
        <w:t>Ecología, Manejo y Control de Especies Exóticas Invasoras en Uruguay, del Diagnóstico a la Acción</w:t>
      </w:r>
      <w:r w:rsidRPr="001523EB">
        <w:rPr>
          <w:rFonts w:ascii="Times New Roman" w:hAnsi="Times New Roman"/>
        </w:rPr>
        <w:t>. Comité de Especies Exóticas Invasoras.</w:t>
      </w:r>
    </w:p>
    <w:p w14:paraId="559770A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Brundu, G., Pauchard, A., Pyšek, P., Pergl, J., Bindewald, A., Brunori, A., Canavan, S., Campagnaro, T., Celesti-Grapow, L., de Sá Dechoum, M., Dufour-Dror, J.-M., Essl, F., Flory, S. L., Genovesi, P., Guarino, F., Guangzhe, L., Hulme, P. E., Jäger, H., Kettle, C. J., … Richardson, D. M. (2020). Global guidelines for the sustainable use of non-native trees to prevent tree invasions and mitigate their negative impacts. </w:t>
      </w:r>
      <w:r w:rsidRPr="001523EB">
        <w:rPr>
          <w:rFonts w:ascii="Times New Roman" w:hAnsi="Times New Roman"/>
          <w:i/>
          <w:iCs/>
        </w:rPr>
        <w:t>NeoBiota</w:t>
      </w:r>
      <w:r w:rsidRPr="001523EB">
        <w:rPr>
          <w:rFonts w:ascii="Times New Roman" w:hAnsi="Times New Roman"/>
        </w:rPr>
        <w:t xml:space="preserve">, </w:t>
      </w:r>
      <w:r w:rsidRPr="001523EB">
        <w:rPr>
          <w:rFonts w:ascii="Times New Roman" w:hAnsi="Times New Roman"/>
          <w:i/>
          <w:iCs/>
        </w:rPr>
        <w:t>61</w:t>
      </w:r>
      <w:r w:rsidRPr="001523EB">
        <w:rPr>
          <w:rFonts w:ascii="Times New Roman" w:hAnsi="Times New Roman"/>
        </w:rPr>
        <w:t>, 65–116. https://doi.org/10.3897/neobiota.61.58380</w:t>
      </w:r>
    </w:p>
    <w:p w14:paraId="2DC8CE8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Brundu, G., &amp; Richardson, D. M. (2016). Planted forests and invasive alien trees in Europe: A code for managing existing and future plantings to mitigate the risk of negative impacts from invasions. </w:t>
      </w:r>
      <w:r w:rsidRPr="001523EB">
        <w:rPr>
          <w:rFonts w:ascii="Times New Roman" w:hAnsi="Times New Roman"/>
          <w:i/>
          <w:iCs/>
        </w:rPr>
        <w:t>NeoBiota</w:t>
      </w:r>
      <w:r w:rsidRPr="001523EB">
        <w:rPr>
          <w:rFonts w:ascii="Times New Roman" w:hAnsi="Times New Roman"/>
        </w:rPr>
        <w:t xml:space="preserve">, </w:t>
      </w:r>
      <w:r w:rsidRPr="001523EB">
        <w:rPr>
          <w:rFonts w:ascii="Times New Roman" w:hAnsi="Times New Roman"/>
          <w:i/>
          <w:iCs/>
        </w:rPr>
        <w:t>30</w:t>
      </w:r>
      <w:r w:rsidRPr="001523EB">
        <w:rPr>
          <w:rFonts w:ascii="Times New Roman" w:hAnsi="Times New Roman"/>
        </w:rPr>
        <w:t>, 5–47. https://doi.org/10.3897/neobiota.30.7015</w:t>
      </w:r>
    </w:p>
    <w:p w14:paraId="0BA7973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Bryce, R., Oliver, M. K., Davies, L., Gray, H., Urquhart, J., &amp; Lambin, X. (2011). Turning back the tide of American mink invasion at an unprecedented scale through community participation and adaptive management.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144</w:t>
      </w:r>
      <w:r w:rsidRPr="001523EB">
        <w:rPr>
          <w:rFonts w:ascii="Times New Roman" w:hAnsi="Times New Roman"/>
        </w:rPr>
        <w:t>(1), 575–583. https://doi.org/10.1016/j.biocon.2010.10.013</w:t>
      </w:r>
    </w:p>
    <w:p w14:paraId="375FE23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Buchanan, G. M., Butchart, S. H., Chandler, G., &amp; Gregory, R. D. (2020). Assessment of national-level progress towards elements of the Aichi Biodiversity Targets. </w:t>
      </w:r>
      <w:r w:rsidRPr="001523EB">
        <w:rPr>
          <w:rFonts w:ascii="Times New Roman" w:hAnsi="Times New Roman"/>
          <w:i/>
          <w:iCs/>
        </w:rPr>
        <w:t>Ecological Indicators</w:t>
      </w:r>
      <w:r w:rsidRPr="001523EB">
        <w:rPr>
          <w:rFonts w:ascii="Times New Roman" w:hAnsi="Times New Roman"/>
        </w:rPr>
        <w:t xml:space="preserve">, </w:t>
      </w:r>
      <w:r w:rsidRPr="001523EB">
        <w:rPr>
          <w:rFonts w:ascii="Times New Roman" w:hAnsi="Times New Roman"/>
          <w:i/>
          <w:iCs/>
        </w:rPr>
        <w:t>116</w:t>
      </w:r>
      <w:r w:rsidRPr="001523EB">
        <w:rPr>
          <w:rFonts w:ascii="Times New Roman" w:hAnsi="Times New Roman"/>
        </w:rPr>
        <w:t>, 106497. https://doi.org/10.1016/j.ecolind.2020.106497</w:t>
      </w:r>
    </w:p>
    <w:p w14:paraId="7476CA7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Buck, M., &amp; Hamilton, C. (2011). The Nagoya Protocol on Access to Genetic Resources and the Fair and Equitable Sharing of Benefits Arising from their Utilization to the Convention on Biological Diversity. </w:t>
      </w:r>
      <w:r w:rsidRPr="001523EB">
        <w:rPr>
          <w:rFonts w:ascii="Times New Roman" w:hAnsi="Times New Roman"/>
          <w:i/>
          <w:iCs/>
        </w:rPr>
        <w:t>Review of European Community &amp; International Environmental Law</w:t>
      </w:r>
      <w:r w:rsidRPr="001523EB">
        <w:rPr>
          <w:rFonts w:ascii="Times New Roman" w:hAnsi="Times New Roman"/>
        </w:rPr>
        <w:t xml:space="preserve">, </w:t>
      </w:r>
      <w:r w:rsidRPr="001523EB">
        <w:rPr>
          <w:rFonts w:ascii="Times New Roman" w:hAnsi="Times New Roman"/>
          <w:i/>
          <w:iCs/>
        </w:rPr>
        <w:t>20</w:t>
      </w:r>
      <w:r w:rsidRPr="001523EB">
        <w:rPr>
          <w:rFonts w:ascii="Times New Roman" w:hAnsi="Times New Roman"/>
        </w:rPr>
        <w:t>(1), 47–61. https://doi.org/10.1111/j.1467-9388.2011.00703.x</w:t>
      </w:r>
    </w:p>
    <w:p w14:paraId="0C416F8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Budapest Open Access Initiative. (2012). </w:t>
      </w:r>
      <w:r w:rsidRPr="001523EB">
        <w:rPr>
          <w:rFonts w:ascii="Times New Roman" w:hAnsi="Times New Roman"/>
          <w:i/>
          <w:iCs/>
        </w:rPr>
        <w:t>Budapest Open Access Initiative</w:t>
      </w:r>
      <w:r w:rsidRPr="001523EB">
        <w:rPr>
          <w:rFonts w:ascii="Times New Roman" w:hAnsi="Times New Roman"/>
        </w:rPr>
        <w:t>. https://www.budapestopenaccessinitiative.org/</w:t>
      </w:r>
    </w:p>
    <w:p w14:paraId="4560481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Burch, S., Shaw, A., Dale, A., &amp; Robinson, J. (2014). Triggering transformative change: A development path approach to climate change response in communities. </w:t>
      </w:r>
      <w:r w:rsidRPr="001523EB">
        <w:rPr>
          <w:rFonts w:ascii="Times New Roman" w:hAnsi="Times New Roman"/>
          <w:i/>
          <w:iCs/>
        </w:rPr>
        <w:t>Climate Policy</w:t>
      </w:r>
      <w:r w:rsidRPr="001523EB">
        <w:rPr>
          <w:rFonts w:ascii="Times New Roman" w:hAnsi="Times New Roman"/>
        </w:rPr>
        <w:t xml:space="preserve">, </w:t>
      </w:r>
      <w:r w:rsidRPr="001523EB">
        <w:rPr>
          <w:rFonts w:ascii="Times New Roman" w:hAnsi="Times New Roman"/>
          <w:i/>
          <w:iCs/>
        </w:rPr>
        <w:t>14</w:t>
      </w:r>
      <w:r w:rsidRPr="001523EB">
        <w:rPr>
          <w:rFonts w:ascii="Times New Roman" w:hAnsi="Times New Roman"/>
        </w:rPr>
        <w:t>(4), 467–487. https://doi.org/10.1080/14693062.2014.876342</w:t>
      </w:r>
    </w:p>
    <w:p w14:paraId="19BB519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Burgess, H. K., DeBey, L. B., Froehlich, H. E., Schmidt, N., Theobald, E. J., Ettinger, A. K., HilleRisLambers, J., Tewksbury, J., &amp; Parrish, J. K. (2017). The science of citizen science: Exploring barriers to use as a primary research tool.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208</w:t>
      </w:r>
      <w:r w:rsidRPr="001523EB">
        <w:rPr>
          <w:rFonts w:ascii="Times New Roman" w:hAnsi="Times New Roman"/>
        </w:rPr>
        <w:t>, 113–120. https://doi.org/10.1016/j.biocon.2016.05.014</w:t>
      </w:r>
    </w:p>
    <w:p w14:paraId="423695A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Burgiel, S. W. (2015). From global to local: Integrating policy frameworks for the prevention and management of invasive species. In R. P. Keller, M. W. Cadotte, &amp; G. Sandiford (Eds.), </w:t>
      </w:r>
      <w:r w:rsidRPr="001523EB">
        <w:rPr>
          <w:rFonts w:ascii="Times New Roman" w:hAnsi="Times New Roman"/>
          <w:i/>
          <w:iCs/>
        </w:rPr>
        <w:t>Invasive Species in a Globalized World: Ecological, Social, And Legal Perspectives On Policy</w:t>
      </w:r>
      <w:r w:rsidRPr="001523EB">
        <w:rPr>
          <w:rFonts w:ascii="Times New Roman" w:hAnsi="Times New Roman"/>
        </w:rPr>
        <w:t xml:space="preserve"> (pp. 283–302). University of Chicago Press. https://doi.org/10.7208/chicago/9780226166216.003.0013</w:t>
      </w:r>
    </w:p>
    <w:p w14:paraId="4318FD0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Burke, G., Singh, B. R., &amp; Theodore, L. (2005). </w:t>
      </w:r>
      <w:r w:rsidRPr="001523EB">
        <w:rPr>
          <w:rFonts w:ascii="Times New Roman" w:hAnsi="Times New Roman"/>
          <w:i/>
          <w:iCs/>
        </w:rPr>
        <w:t>Handbook of environmental management and technology.</w:t>
      </w:r>
      <w:r w:rsidRPr="001523EB">
        <w:rPr>
          <w:rFonts w:ascii="Times New Roman" w:hAnsi="Times New Roman"/>
        </w:rPr>
        <w:t xml:space="preserve"> (Issue Ed. 2). John Wiley &amp; Sons, Inc.</w:t>
      </w:r>
    </w:p>
    <w:p w14:paraId="30B057C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Butchart, S. H. M., Walpole, M., Collen, B., van Strien, A., Scharlemann, J. P. W., Almond, R. E. A., Baillie, J. E. M., Bomhard, B., Brown, C., Bruno, J., Carpenter, K. E., Carr, G. M., Chanson, J., Chenery, A. M., Csirke, J., Davidson, N. C., Dentener, F., Foster, M., Galli, A., … Watson, R. (2010). Global Biodiversity: Indicators of Recent Declines. </w:t>
      </w:r>
      <w:r w:rsidRPr="001523EB">
        <w:rPr>
          <w:rFonts w:ascii="Times New Roman" w:hAnsi="Times New Roman"/>
          <w:i/>
          <w:iCs/>
        </w:rPr>
        <w:t>Science</w:t>
      </w:r>
      <w:r w:rsidRPr="001523EB">
        <w:rPr>
          <w:rFonts w:ascii="Times New Roman" w:hAnsi="Times New Roman"/>
        </w:rPr>
        <w:t xml:space="preserve">, </w:t>
      </w:r>
      <w:r w:rsidRPr="001523EB">
        <w:rPr>
          <w:rFonts w:ascii="Times New Roman" w:hAnsi="Times New Roman"/>
          <w:i/>
          <w:iCs/>
        </w:rPr>
        <w:t>328</w:t>
      </w:r>
      <w:r w:rsidRPr="001523EB">
        <w:rPr>
          <w:rFonts w:ascii="Times New Roman" w:hAnsi="Times New Roman"/>
        </w:rPr>
        <w:t>(5982), 1164–1168. https://doi.org/10.1126/science.1187512</w:t>
      </w:r>
    </w:p>
    <w:p w14:paraId="782348E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Byrne, M. J., du Plessis, D., Ivey, P. J., Measey, J., Robertson, M. P., Robinson, T. B., &amp; Weaver, K. N. (2020). Education, training and capacity-building in the field of biological invasions in South Africa. In B. W. van Wilgen, J. Measey, D. M. Richardson, J. R. Wilson, &amp; T. A. Zengeya (Eds.), </w:t>
      </w:r>
      <w:r w:rsidRPr="001523EB">
        <w:rPr>
          <w:rFonts w:ascii="Times New Roman" w:hAnsi="Times New Roman"/>
          <w:i/>
          <w:iCs/>
        </w:rPr>
        <w:t>Biological Invasions in South Africa</w:t>
      </w:r>
      <w:r w:rsidRPr="001523EB">
        <w:rPr>
          <w:rFonts w:ascii="Times New Roman" w:hAnsi="Times New Roman"/>
        </w:rPr>
        <w:t xml:space="preserve"> (Vol. 14, pp. 731–755). Springer. https://doi.org/10.1007/978-3-030-32394-3_25</w:t>
      </w:r>
    </w:p>
    <w:p w14:paraId="7CB08BD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Calviño-Cancela, M., &amp; Rubido-Bará, M. (2013). Invasive potential of </w:t>
      </w:r>
      <w:r w:rsidRPr="001523EB">
        <w:rPr>
          <w:rFonts w:ascii="Times New Roman" w:hAnsi="Times New Roman"/>
          <w:i/>
          <w:iCs/>
        </w:rPr>
        <w:t>Eucalyptus globulus</w:t>
      </w:r>
      <w:r w:rsidRPr="001523EB">
        <w:rPr>
          <w:rFonts w:ascii="Times New Roman" w:hAnsi="Times New Roman"/>
        </w:rPr>
        <w:t xml:space="preserve">: Seed dispersal, seedling recruitment and survival in habitats surrounding plantations. </w:t>
      </w:r>
      <w:r w:rsidRPr="001523EB">
        <w:rPr>
          <w:rFonts w:ascii="Times New Roman" w:hAnsi="Times New Roman"/>
          <w:i/>
          <w:iCs/>
        </w:rPr>
        <w:t>Forest Ecology and Management</w:t>
      </w:r>
      <w:r w:rsidRPr="001523EB">
        <w:rPr>
          <w:rFonts w:ascii="Times New Roman" w:hAnsi="Times New Roman"/>
        </w:rPr>
        <w:t xml:space="preserve">, </w:t>
      </w:r>
      <w:r w:rsidRPr="001523EB">
        <w:rPr>
          <w:rFonts w:ascii="Times New Roman" w:hAnsi="Times New Roman"/>
          <w:i/>
          <w:iCs/>
        </w:rPr>
        <w:t>305</w:t>
      </w:r>
      <w:r w:rsidRPr="001523EB">
        <w:rPr>
          <w:rFonts w:ascii="Times New Roman" w:hAnsi="Times New Roman"/>
        </w:rPr>
        <w:t>, 129–137. https://doi.org/10.1016/j.foreco.2013.05.037</w:t>
      </w:r>
    </w:p>
    <w:p w14:paraId="1BF109A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Camia, A., Giuntoli, J., Jonsson, R., Robert, N., Cazzaniga, N. E., Jasinevičius, G., Avitabile, V., Grassi, G., Barredo, J. I., &amp; Mubareka, S. (2021). </w:t>
      </w:r>
      <w:r w:rsidRPr="001523EB">
        <w:rPr>
          <w:rFonts w:ascii="Times New Roman" w:hAnsi="Times New Roman"/>
          <w:i/>
          <w:iCs/>
        </w:rPr>
        <w:t>The use of woody biomass for energy production in the EU</w:t>
      </w:r>
      <w:r w:rsidRPr="001523EB">
        <w:rPr>
          <w:rFonts w:ascii="Times New Roman" w:hAnsi="Times New Roman"/>
        </w:rPr>
        <w:t xml:space="preserve"> (EUR 30548). Publications Office of the European Union. https://doi.org/10.2760/831621</w:t>
      </w:r>
    </w:p>
    <w:p w14:paraId="090B0F3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Canhos, V. P., Souza, S. D., Giovanni, R. D., &amp; Canhos, D. A. L. (2004). Global Biodiversity Informatics: Setting the scene for a “new world” of ecological forecasting. </w:t>
      </w:r>
      <w:r w:rsidRPr="001523EB">
        <w:rPr>
          <w:rFonts w:ascii="Times New Roman" w:hAnsi="Times New Roman"/>
          <w:i/>
          <w:iCs/>
        </w:rPr>
        <w:t>Biodiversity Informatics</w:t>
      </w:r>
      <w:r w:rsidRPr="001523EB">
        <w:rPr>
          <w:rFonts w:ascii="Times New Roman" w:hAnsi="Times New Roman"/>
        </w:rPr>
        <w:t xml:space="preserve">, </w:t>
      </w:r>
      <w:r w:rsidRPr="001523EB">
        <w:rPr>
          <w:rFonts w:ascii="Times New Roman" w:hAnsi="Times New Roman"/>
          <w:i/>
          <w:iCs/>
        </w:rPr>
        <w:t>1</w:t>
      </w:r>
      <w:r w:rsidRPr="001523EB">
        <w:rPr>
          <w:rFonts w:ascii="Times New Roman" w:hAnsi="Times New Roman"/>
        </w:rPr>
        <w:t>. https://doi.org/10.17161/bi.v1i0.3</w:t>
      </w:r>
    </w:p>
    <w:p w14:paraId="0853DE3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Caniglia, G., Luederitz, C., von Wirth, T., Fazey, I., Martin-López, B., Hondrila, K., König, A., von Wehrden, H., Schäpke, N. A., Laubichler, M. D., &amp; Lang, D. J. (2021). A pluralistic and integrated approach to action-oriented knowledge for sustainability. </w:t>
      </w:r>
      <w:r w:rsidRPr="001523EB">
        <w:rPr>
          <w:rFonts w:ascii="Times New Roman" w:hAnsi="Times New Roman"/>
          <w:i/>
          <w:iCs/>
        </w:rPr>
        <w:t>Nature Sustainability</w:t>
      </w:r>
      <w:r w:rsidRPr="001523EB">
        <w:rPr>
          <w:rFonts w:ascii="Times New Roman" w:hAnsi="Times New Roman"/>
        </w:rPr>
        <w:t xml:space="preserve">, </w:t>
      </w:r>
      <w:r w:rsidRPr="001523EB">
        <w:rPr>
          <w:rFonts w:ascii="Times New Roman" w:hAnsi="Times New Roman"/>
          <w:i/>
          <w:iCs/>
        </w:rPr>
        <w:t>4</w:t>
      </w:r>
      <w:r w:rsidRPr="001523EB">
        <w:rPr>
          <w:rFonts w:ascii="Times New Roman" w:hAnsi="Times New Roman"/>
        </w:rPr>
        <w:t>(2), 93–100. https://doi.org/10.1038/s41893-020-00616-z</w:t>
      </w:r>
    </w:p>
    <w:p w14:paraId="1480BC0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Carlton, J. T. (1996). Biological Invasions and Cryptogenic Species. </w:t>
      </w:r>
      <w:r w:rsidRPr="001523EB">
        <w:rPr>
          <w:rFonts w:ascii="Times New Roman" w:hAnsi="Times New Roman"/>
          <w:i/>
          <w:iCs/>
        </w:rPr>
        <w:t>Ecology</w:t>
      </w:r>
      <w:r w:rsidRPr="001523EB">
        <w:rPr>
          <w:rFonts w:ascii="Times New Roman" w:hAnsi="Times New Roman"/>
        </w:rPr>
        <w:t xml:space="preserve">, </w:t>
      </w:r>
      <w:r w:rsidRPr="001523EB">
        <w:rPr>
          <w:rFonts w:ascii="Times New Roman" w:hAnsi="Times New Roman"/>
          <w:i/>
          <w:iCs/>
        </w:rPr>
        <w:t>77</w:t>
      </w:r>
      <w:r w:rsidRPr="001523EB">
        <w:rPr>
          <w:rFonts w:ascii="Times New Roman" w:hAnsi="Times New Roman"/>
        </w:rPr>
        <w:t>(6), 1653–1655. https://doi.org/10.2307/2265767</w:t>
      </w:r>
    </w:p>
    <w:p w14:paraId="29B9F61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Carson, R. (1962). </w:t>
      </w:r>
      <w:r w:rsidRPr="001523EB">
        <w:rPr>
          <w:rFonts w:ascii="Times New Roman" w:hAnsi="Times New Roman"/>
          <w:i/>
          <w:iCs/>
        </w:rPr>
        <w:t>Silent Spring</w:t>
      </w:r>
      <w:r w:rsidRPr="001523EB">
        <w:rPr>
          <w:rFonts w:ascii="Times New Roman" w:hAnsi="Times New Roman"/>
        </w:rPr>
        <w:t>. Houghton Mifflin. https://www.environmentandsociety.org/mml/silent-spring</w:t>
      </w:r>
    </w:p>
    <w:p w14:paraId="5E21B36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Carter, L., Mankad, A., Zhang, A., Curnock, M. I., &amp; Pollard, C. R. J. (2021). A multidimensional framework to inform stakeholder engagement in the science and management of invasive and pest animal species.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(2), 625–640. https://doi.org/10.1007/s10530-020-02391-6</w:t>
      </w:r>
    </w:p>
    <w:p w14:paraId="4DEB7BD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Carthey, A. J. R., &amp; Banks, P. B. (2012). When Does an Alien Become a Native Species? A Vulnerable Native Mammal Recognizes and Responds to Its Long-Term Alien Predator.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7</w:t>
      </w:r>
      <w:r w:rsidRPr="001523EB">
        <w:rPr>
          <w:rFonts w:ascii="Times New Roman" w:hAnsi="Times New Roman"/>
        </w:rPr>
        <w:t>(2), e31804. https://doi.org/10.1371/journal.pone.0031804</w:t>
      </w:r>
    </w:p>
    <w:p w14:paraId="5DFA944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Cason, T. N., &amp; Gangadharan, L. (2002). Environmental labeling and incomplete consumer information in laboratory markets. </w:t>
      </w:r>
      <w:r w:rsidRPr="001523EB">
        <w:rPr>
          <w:rFonts w:ascii="Times New Roman" w:hAnsi="Times New Roman"/>
          <w:i/>
          <w:iCs/>
        </w:rPr>
        <w:t>Journal of Environmental Economics and Management</w:t>
      </w:r>
      <w:r w:rsidRPr="001523EB">
        <w:rPr>
          <w:rFonts w:ascii="Times New Roman" w:hAnsi="Times New Roman"/>
        </w:rPr>
        <w:t xml:space="preserve">, </w:t>
      </w:r>
      <w:r w:rsidRPr="001523EB">
        <w:rPr>
          <w:rFonts w:ascii="Times New Roman" w:hAnsi="Times New Roman"/>
          <w:i/>
          <w:iCs/>
        </w:rPr>
        <w:t>43</w:t>
      </w:r>
      <w:r w:rsidRPr="001523EB">
        <w:rPr>
          <w:rFonts w:ascii="Times New Roman" w:hAnsi="Times New Roman"/>
        </w:rPr>
        <w:t>(1), 113–134. https://doi.org/10.1006/jeem.2000.1170</w:t>
      </w:r>
    </w:p>
    <w:p w14:paraId="7117A2A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Catacutan, D., Neely, C., Johnson, M., Poussard, H., &amp; Youl, R. (2009). </w:t>
      </w:r>
      <w:r w:rsidRPr="001523EB">
        <w:rPr>
          <w:rFonts w:ascii="Times New Roman" w:hAnsi="Times New Roman"/>
          <w:i/>
          <w:iCs/>
        </w:rPr>
        <w:t>Landcare:Local action – global progress</w:t>
      </w:r>
      <w:r w:rsidRPr="001523EB">
        <w:rPr>
          <w:rFonts w:ascii="Times New Roman" w:hAnsi="Times New Roman"/>
        </w:rPr>
        <w:t>. World Agroforestry Centre. http://apps.worldagroforestry.org/downloads/Publications/PDFS/B16017.pdf</w:t>
      </w:r>
    </w:p>
    <w:p w14:paraId="32C82E0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(2000). </w:t>
      </w:r>
      <w:r w:rsidRPr="001523EB">
        <w:rPr>
          <w:rFonts w:ascii="Times New Roman" w:hAnsi="Times New Roman"/>
          <w:i/>
          <w:iCs/>
        </w:rPr>
        <w:t>Cartagena Protocol on Biosafety to the Convention on Biological Diversity: Text and Annexes</w:t>
      </w:r>
      <w:r w:rsidRPr="001523EB">
        <w:rPr>
          <w:rFonts w:ascii="Times New Roman" w:hAnsi="Times New Roman"/>
        </w:rPr>
        <w:t>. Secretariat of the Convention on Biological Diversity. https://wedocs.unep.org/20.500.11822/27553</w:t>
      </w:r>
    </w:p>
    <w:p w14:paraId="449B578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(2002, April 7). Alien species that threaten ecosystems, habitats or species. </w:t>
      </w:r>
      <w:r w:rsidRPr="001523EB">
        <w:rPr>
          <w:rFonts w:ascii="Times New Roman" w:hAnsi="Times New Roman"/>
          <w:i/>
          <w:iCs/>
        </w:rPr>
        <w:t>COP 6 Decision VI/23</w:t>
      </w:r>
      <w:r w:rsidRPr="001523EB">
        <w:rPr>
          <w:rFonts w:ascii="Times New Roman" w:hAnsi="Times New Roman"/>
        </w:rPr>
        <w:t>. COP 6, The Hague, Netherlands. https://www.cbd.int/decision/cop/?id=7197</w:t>
      </w:r>
    </w:p>
    <w:p w14:paraId="167AAA3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(2011). </w:t>
      </w:r>
      <w:r w:rsidRPr="001523EB">
        <w:rPr>
          <w:rFonts w:ascii="Times New Roman" w:hAnsi="Times New Roman"/>
          <w:i/>
          <w:iCs/>
        </w:rPr>
        <w:t>Incentive measures for the conservation and sustainable use of biological diversity. Case studies and lessons learned</w:t>
      </w:r>
      <w:r w:rsidRPr="001523EB">
        <w:rPr>
          <w:rFonts w:ascii="Times New Roman" w:hAnsi="Times New Roman"/>
        </w:rPr>
        <w:t xml:space="preserve"> (56; CBD Technical Series, Issue 56). Secretariat of the Convention on Biological Diversity. https://www.cbd.int/doc/publications/cbd-ts-56-en.pdf</w:t>
      </w:r>
    </w:p>
    <w:p w14:paraId="7AE0F2B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CBD. (2012). XI/28. Invasive alien species. </w:t>
      </w:r>
      <w:r w:rsidRPr="001523EB">
        <w:rPr>
          <w:rFonts w:ascii="Times New Roman" w:hAnsi="Times New Roman"/>
          <w:i/>
          <w:iCs/>
        </w:rPr>
        <w:t>Decision Adopted by the Conference of the Parties to the Convention on Biological Diversity</w:t>
      </w:r>
      <w:r w:rsidRPr="001523EB">
        <w:rPr>
          <w:rFonts w:ascii="Times New Roman" w:hAnsi="Times New Roman"/>
        </w:rPr>
        <w:t>. Eleventh meeting of Conference of the parties to the Convention on Biological Diversity, Hyderabad, India. https://www.cbd.int/doc/decisions/cop-11/cop-11-dec-28-en.pdf</w:t>
      </w:r>
    </w:p>
    <w:p w14:paraId="22CB740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(2014a). </w:t>
      </w:r>
      <w:r w:rsidRPr="001523EB">
        <w:rPr>
          <w:rFonts w:ascii="Times New Roman" w:hAnsi="Times New Roman"/>
          <w:i/>
          <w:iCs/>
        </w:rPr>
        <w:t>Pathways of introduction of invasive species, their prioritization and management</w:t>
      </w:r>
      <w:r w:rsidRPr="001523EB">
        <w:rPr>
          <w:rFonts w:ascii="Times New Roman" w:hAnsi="Times New Roman"/>
        </w:rPr>
        <w:t>. 18. https://www.cbd.int/doc/meetings/sbstta/sbstta-18/official/sbstta-18-09-add1-en.pdf</w:t>
      </w:r>
    </w:p>
    <w:p w14:paraId="722EF09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(2014b). </w:t>
      </w:r>
      <w:r w:rsidRPr="001523EB">
        <w:rPr>
          <w:rFonts w:ascii="Times New Roman" w:hAnsi="Times New Roman"/>
          <w:i/>
          <w:iCs/>
        </w:rPr>
        <w:t>XII/17. Invasive alien species: Review of work and considerations for future work</w:t>
      </w:r>
      <w:r w:rsidRPr="001523EB">
        <w:rPr>
          <w:rFonts w:ascii="Times New Roman" w:hAnsi="Times New Roman"/>
        </w:rPr>
        <w:t xml:space="preserve"> (UNEP/CBD/COP/DEC/XII/17) [Decision Adopted By The Conference Of The Parties To The Convention On Biological Diversity]. https://www.cbd.int/doc/decisions/cop-12/cop-12-dec-17-en.pdf</w:t>
      </w:r>
    </w:p>
    <w:p w14:paraId="0DD14FC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(2018). 14/11. Invasive alien species. </w:t>
      </w:r>
      <w:r w:rsidRPr="001523EB">
        <w:rPr>
          <w:rFonts w:ascii="Times New Roman" w:hAnsi="Times New Roman"/>
          <w:i/>
          <w:iCs/>
        </w:rPr>
        <w:t>Decision Adopted by the Conference of the Parties to the Convention on Biological Diversity</w:t>
      </w:r>
      <w:r w:rsidRPr="001523EB">
        <w:rPr>
          <w:rFonts w:ascii="Times New Roman" w:hAnsi="Times New Roman"/>
        </w:rPr>
        <w:t>. Fourteen meeting of Conference of the parties to the Convention on Biological Diversity, Sharm El-Sheikh, Egypt. https://www.cbd.int/doc/decisions/cop-14/cop-14-dec-11-en.pdf</w:t>
      </w:r>
    </w:p>
    <w:p w14:paraId="31EDC39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(2020a). </w:t>
      </w:r>
      <w:r w:rsidRPr="001523EB">
        <w:rPr>
          <w:rFonts w:ascii="Times New Roman" w:hAnsi="Times New Roman"/>
          <w:i/>
          <w:iCs/>
        </w:rPr>
        <w:t>Preparations for the Post-2020 Biodiversity Framework: Fifth meeting of the Open-ended Working Group on the Post-2020 Global Biodiversity Framework</w:t>
      </w:r>
      <w:r w:rsidRPr="001523EB">
        <w:rPr>
          <w:rFonts w:ascii="Times New Roman" w:hAnsi="Times New Roman"/>
        </w:rPr>
        <w:t>. Convention on Biological Diversity. https://www.cbd.int/conferences/post2020</w:t>
      </w:r>
    </w:p>
    <w:p w14:paraId="0974F98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(2020b). </w:t>
      </w:r>
      <w:r w:rsidRPr="001523EB">
        <w:rPr>
          <w:rFonts w:ascii="Times New Roman" w:hAnsi="Times New Roman"/>
          <w:i/>
          <w:iCs/>
        </w:rPr>
        <w:t>Strategic Plan for Biodiversity 2011-2020, including Aichi Biodiversity Targets</w:t>
      </w:r>
      <w:r w:rsidRPr="001523EB">
        <w:rPr>
          <w:rFonts w:ascii="Times New Roman" w:hAnsi="Times New Roman"/>
        </w:rPr>
        <w:t>. Convention on Biological Diversity; Secretariat of the Convention on Biological Diversity. https://www.cbd.int/sp/</w:t>
      </w:r>
    </w:p>
    <w:p w14:paraId="6794A38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(2020c). </w:t>
      </w:r>
      <w:r w:rsidRPr="001523EB">
        <w:rPr>
          <w:rFonts w:ascii="Times New Roman" w:hAnsi="Times New Roman"/>
          <w:i/>
          <w:iCs/>
        </w:rPr>
        <w:t>Zero draft of the post-2020 Global Biodiversity Framework</w:t>
      </w:r>
      <w:r w:rsidRPr="001523EB">
        <w:rPr>
          <w:rFonts w:ascii="Times New Roman" w:hAnsi="Times New Roman"/>
        </w:rPr>
        <w:t xml:space="preserve"> (Open Ended Working Group on The Post-2020 Global Biodiversity Framework CBD/WG2020/2/3; p. 16). Convention on Biodiversity, United Nations Environment Programme. https://www.cbd.int/doc/c/efb0/1f84/a892b98d2982a829962b6371/wg2020-02-03-en.pdf</w:t>
      </w:r>
    </w:p>
    <w:p w14:paraId="4C53425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(2021a). </w:t>
      </w:r>
      <w:r w:rsidRPr="001523EB">
        <w:rPr>
          <w:rFonts w:ascii="Times New Roman" w:hAnsi="Times New Roman"/>
          <w:i/>
          <w:iCs/>
        </w:rPr>
        <w:t>Estimation of Resources Needed for Implementing the Post-2020 Global Biodiversity Framework</w:t>
      </w:r>
      <w:r w:rsidRPr="001523EB">
        <w:rPr>
          <w:rFonts w:ascii="Times New Roman" w:hAnsi="Times New Roman"/>
        </w:rPr>
        <w:t xml:space="preserve"> (Subsidiary Body on Implementation Third Meeting CBD/SBI/3/5/Add.2/Rev.1). Convention on Biodiversity, United Nations Environment Programme. https://www.cbd.int/doc/c/b858/143f/c58220e9a61c4b5fc2dfeed3/sbi-03-05-add2-rev1-en.pdf</w:t>
      </w:r>
    </w:p>
    <w:p w14:paraId="3124256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(2021b). </w:t>
      </w:r>
      <w:r w:rsidRPr="001523EB">
        <w:rPr>
          <w:rFonts w:ascii="Times New Roman" w:hAnsi="Times New Roman"/>
          <w:i/>
          <w:iCs/>
        </w:rPr>
        <w:t>CBD/WG2020/3/3: First draft of the post-2020 global biodiversity framework</w:t>
      </w:r>
      <w:r w:rsidRPr="001523EB">
        <w:rPr>
          <w:rFonts w:ascii="Times New Roman" w:hAnsi="Times New Roman"/>
        </w:rPr>
        <w:t>. Convention on Biodiversity, United Nations Environment Programme. https://www.cbd.int/doc/c/abb5/591f/2e46096d3f0330b08ce87a45/wg2020-03-03-en.pdf</w:t>
      </w:r>
    </w:p>
    <w:p w14:paraId="52BC6DB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(2022a). 15/4. Kunming-Montreal Global Biodiversity Framework. </w:t>
      </w:r>
      <w:r w:rsidRPr="001523EB">
        <w:rPr>
          <w:rFonts w:ascii="Times New Roman" w:hAnsi="Times New Roman"/>
          <w:i/>
          <w:iCs/>
        </w:rPr>
        <w:t>Decision Adopted by the Conference of the Parties to the Convention on Biological Diversity</w:t>
      </w:r>
      <w:r w:rsidRPr="001523EB">
        <w:rPr>
          <w:rFonts w:ascii="Times New Roman" w:hAnsi="Times New Roman"/>
        </w:rPr>
        <w:t>. Fifteenth meeting (Part II) of Conference of the parties to the Convention on Biological Diversity, Montreal, Canada. https://www.cbd.int/doc/decisions/cop-15/cop-15-dec-04-en.pdf</w:t>
      </w:r>
    </w:p>
    <w:p w14:paraId="21C9B1E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(2022b). 15/5. Monitoring framework for the Kunming-Montreal Global Biodiversity Framework. </w:t>
      </w:r>
      <w:r w:rsidRPr="001523EB">
        <w:rPr>
          <w:rFonts w:ascii="Times New Roman" w:hAnsi="Times New Roman"/>
          <w:i/>
          <w:iCs/>
        </w:rPr>
        <w:t>Decision Adopted by the Conference of the Parties to the Convention on Biological Diversity</w:t>
      </w:r>
      <w:r w:rsidRPr="001523EB">
        <w:rPr>
          <w:rFonts w:ascii="Times New Roman" w:hAnsi="Times New Roman"/>
        </w:rPr>
        <w:t>. Fifteenth meeting (Part II) of Conference of the parties to the Convention on Biological Diversity, Montreal, Canada. https://www.cbd.int/doc/decisions/cop-15/cop-15-dec-05-en.pdf</w:t>
      </w:r>
    </w:p>
    <w:p w14:paraId="51BB2CD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CBD. (2022c). 15/27. Invasive alien species. </w:t>
      </w:r>
      <w:r w:rsidRPr="001523EB">
        <w:rPr>
          <w:rFonts w:ascii="Times New Roman" w:hAnsi="Times New Roman"/>
          <w:i/>
          <w:iCs/>
        </w:rPr>
        <w:t>Decision Adopted by the Conference of the Parties to the Convention on Biological Diversity</w:t>
      </w:r>
      <w:r w:rsidRPr="001523EB">
        <w:rPr>
          <w:rFonts w:ascii="Times New Roman" w:hAnsi="Times New Roman"/>
        </w:rPr>
        <w:t>. Fifteenth meeting of Conference of the parties to the Convention on Biological Diversity, Montreal, Canada. https://www.cbd.int/doc/decisions/cop-15/cop-15-dec-27-en.pdf</w:t>
      </w:r>
    </w:p>
    <w:p w14:paraId="14B3C48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Chaffin, B. C., Garmestani, A. S., Angeler, D. G., Herrmann, D. L., Stow, C. A., Nyström, M., Sendzimir, J., Hopton, M. E., Kolasa, J., &amp; Allen, C. R. (2016). Biological invasions, ecological resilience and adaptive governance.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183</w:t>
      </w:r>
      <w:r w:rsidRPr="001523EB">
        <w:rPr>
          <w:rFonts w:ascii="Times New Roman" w:hAnsi="Times New Roman"/>
        </w:rPr>
        <w:t>(Pt 2), 399–407. https://doi.org/10.1016/j.jenvman.2016.04.040</w:t>
      </w:r>
    </w:p>
    <w:p w14:paraId="4F86CD5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Chaffin, B. C., Gosnell, H., &amp; Cosens, B. A. (2014). A decade of adaptive governance scholarship: Synthesis and future directions.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(3), 56. https://doi.org/10.5751/ES-06824-190356</w:t>
      </w:r>
    </w:p>
    <w:p w14:paraId="017FCD0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Chan, K. M. A., Boyd, D. R., Gould, R. K., Jetzkowitz, J., Liu, J., Muraca, B., Naidoo, R., Olmsted, P., Satterfield, T., Selomane, O., Singh, G. G., Sumaila, R., Ngo, H. T., Boedhihartono, A. K., Agard, J., Aguiar, A. P. D., Armenteras, D., Balint, L., Barrington</w:t>
      </w:r>
      <w:r w:rsidRPr="001523EB">
        <w:rPr>
          <w:rFonts w:ascii="Times New Roman" w:hAnsi="Times New Roman" w:hint="eastAsia"/>
        </w:rPr>
        <w:t>‐</w:t>
      </w:r>
      <w:r w:rsidRPr="001523EB">
        <w:rPr>
          <w:rFonts w:ascii="Times New Roman" w:hAnsi="Times New Roman"/>
        </w:rPr>
        <w:t xml:space="preserve">Leigh, C., </w:t>
      </w:r>
      <w:r w:rsidRPr="001523EB">
        <w:rPr>
          <w:rFonts w:ascii="Times New Roman" w:hAnsi="Times New Roman" w:hint="eastAsia"/>
        </w:rPr>
        <w:t>…</w:t>
      </w:r>
      <w:r w:rsidRPr="001523EB">
        <w:rPr>
          <w:rFonts w:ascii="Times New Roman" w:hAnsi="Times New Roman"/>
        </w:rPr>
        <w:t xml:space="preserve"> Brondízio, E. S. (2020). Levers and leverage points for pathways to sustainability. </w:t>
      </w:r>
      <w:r w:rsidRPr="001523EB">
        <w:rPr>
          <w:rFonts w:ascii="Times New Roman" w:hAnsi="Times New Roman"/>
          <w:i/>
          <w:iCs/>
        </w:rPr>
        <w:t>People and Nature</w:t>
      </w:r>
      <w:r w:rsidRPr="001523EB">
        <w:rPr>
          <w:rFonts w:ascii="Times New Roman" w:hAnsi="Times New Roman"/>
        </w:rPr>
        <w:t xml:space="preserve">, </w:t>
      </w:r>
      <w:r w:rsidRPr="001523EB">
        <w:rPr>
          <w:rFonts w:ascii="Times New Roman" w:hAnsi="Times New Roman"/>
          <w:i/>
          <w:iCs/>
        </w:rPr>
        <w:t>2</w:t>
      </w:r>
      <w:r w:rsidRPr="001523EB">
        <w:rPr>
          <w:rFonts w:ascii="Times New Roman" w:hAnsi="Times New Roman"/>
        </w:rPr>
        <w:t>(3), 693–717. https://doi.org/10.1002/pan3.10124</w:t>
      </w:r>
    </w:p>
    <w:p w14:paraId="1EE98A9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Chandler, M., See, L., Copas, K., Bonde, A. M. Z., López, B. C., Danielsen, F., Legind, J. K., Masinde, S., Miller-Rushing, A. J., Newman, G., Rosemartin, A., &amp; Turak, E. (2017). Contribution of citizen science towards international biodiversity monitoring.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213</w:t>
      </w:r>
      <w:r w:rsidRPr="001523EB">
        <w:rPr>
          <w:rFonts w:ascii="Times New Roman" w:hAnsi="Times New Roman"/>
        </w:rPr>
        <w:t>, 280–294. https://doi.org/10.1016/J.BIOCON.2016.09.004</w:t>
      </w:r>
    </w:p>
    <w:p w14:paraId="007799A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Chapman, D. S., Scalone, R., Štefanić, E., &amp; Bullock, J. M. (2017). Mechanistic species distribution modeling reveals a niche shift during invasion. </w:t>
      </w:r>
      <w:r w:rsidRPr="001523EB">
        <w:rPr>
          <w:rFonts w:ascii="Times New Roman" w:hAnsi="Times New Roman"/>
          <w:i/>
          <w:iCs/>
        </w:rPr>
        <w:t>Ecology</w:t>
      </w:r>
      <w:r w:rsidRPr="001523EB">
        <w:rPr>
          <w:rFonts w:ascii="Times New Roman" w:hAnsi="Times New Roman"/>
        </w:rPr>
        <w:t xml:space="preserve">, </w:t>
      </w:r>
      <w:r w:rsidRPr="001523EB">
        <w:rPr>
          <w:rFonts w:ascii="Times New Roman" w:hAnsi="Times New Roman"/>
          <w:i/>
          <w:iCs/>
        </w:rPr>
        <w:t>98</w:t>
      </w:r>
      <w:r w:rsidRPr="001523EB">
        <w:rPr>
          <w:rFonts w:ascii="Times New Roman" w:hAnsi="Times New Roman"/>
        </w:rPr>
        <w:t>(6), 1671–1680. https://doi.org/10.1002/ecy.1835</w:t>
      </w:r>
    </w:p>
    <w:p w14:paraId="074E813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Chown, S. L., &amp; Brooks, C. M. (2019). The state and future of Antarctic environments in a global context. </w:t>
      </w:r>
      <w:r w:rsidRPr="001523EB">
        <w:rPr>
          <w:rFonts w:ascii="Times New Roman" w:hAnsi="Times New Roman"/>
          <w:i/>
          <w:iCs/>
        </w:rPr>
        <w:t>Annual Review of Environment and Resources</w:t>
      </w:r>
      <w:r w:rsidRPr="001523EB">
        <w:rPr>
          <w:rFonts w:ascii="Times New Roman" w:hAnsi="Times New Roman"/>
        </w:rPr>
        <w:t xml:space="preserve">, </w:t>
      </w:r>
      <w:r w:rsidRPr="001523EB">
        <w:rPr>
          <w:rFonts w:ascii="Times New Roman" w:hAnsi="Times New Roman"/>
          <w:i/>
          <w:iCs/>
        </w:rPr>
        <w:t>44</w:t>
      </w:r>
      <w:r w:rsidRPr="001523EB">
        <w:rPr>
          <w:rFonts w:ascii="Times New Roman" w:hAnsi="Times New Roman"/>
        </w:rPr>
        <w:t>, 1–30. https://doi.org/10.1146/annurev-environ-101718-033236</w:t>
      </w:r>
    </w:p>
    <w:p w14:paraId="69C0A9A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Chown, S. L., Brooks, C. M., Terauds, A., Le Bohec, C., van Klaveren-Impagliazzo, C., Whittington, J. D., Butchart, S. H., Coetzee, B. W. T., Collen, B., Convey, P., Gaston, K. J., Gilbert, N., Gill, M., Höft, R., Johnston, S., Kennicutt II, M. C., Kriesell, H. J., Le Maho, Y., Lynch, H. J., … McGeoch, M. A. (2017). Antarctica and the Strategic Plan for Biodiversity. </w:t>
      </w:r>
      <w:r w:rsidRPr="001523EB">
        <w:rPr>
          <w:rFonts w:ascii="Times New Roman" w:hAnsi="Times New Roman"/>
          <w:i/>
          <w:iCs/>
        </w:rPr>
        <w:t>PLoS Biology</w:t>
      </w:r>
      <w:r w:rsidRPr="001523EB">
        <w:rPr>
          <w:rFonts w:ascii="Times New Roman" w:hAnsi="Times New Roman"/>
        </w:rPr>
        <w:t xml:space="preserve">, </w:t>
      </w:r>
      <w:r w:rsidRPr="001523EB">
        <w:rPr>
          <w:rFonts w:ascii="Times New Roman" w:hAnsi="Times New Roman"/>
          <w:i/>
          <w:iCs/>
        </w:rPr>
        <w:t>15</w:t>
      </w:r>
      <w:r w:rsidRPr="001523EB">
        <w:rPr>
          <w:rFonts w:ascii="Times New Roman" w:hAnsi="Times New Roman"/>
        </w:rPr>
        <w:t>(3), e2001656. https://doi.org/10.1371/journal.pbio.2001656</w:t>
      </w:r>
    </w:p>
    <w:p w14:paraId="1F39915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Chown, S. L., Hodgins, K. A., Griffin, P. C., Oakeshott, J. G., Byrne, M., &amp; Hoffmann, A. A. (2015). Biological invasions, climate change and genomics. </w:t>
      </w:r>
      <w:r w:rsidRPr="001523EB">
        <w:rPr>
          <w:rFonts w:ascii="Times New Roman" w:hAnsi="Times New Roman"/>
          <w:i/>
          <w:iCs/>
        </w:rPr>
        <w:t>Evolutionary Applications</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(1), 23–46. https://doi.org/10.1111/eva.12234</w:t>
      </w:r>
    </w:p>
    <w:p w14:paraId="7E895B0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CITES. (1975). </w:t>
      </w:r>
      <w:r w:rsidRPr="001523EB">
        <w:rPr>
          <w:rFonts w:ascii="Times New Roman" w:hAnsi="Times New Roman"/>
          <w:i/>
          <w:iCs/>
        </w:rPr>
        <w:t>Convention on International Trade in Endangered Species of Wild Fauna and Flora</w:t>
      </w:r>
      <w:r w:rsidRPr="001523EB">
        <w:rPr>
          <w:rFonts w:ascii="Times New Roman" w:hAnsi="Times New Roman"/>
        </w:rPr>
        <w:t>. Convention on International Trade in Endangered Species of Wild Fauna and Flora. https://www.cites.org/eng/disc/text.php</w:t>
      </w:r>
    </w:p>
    <w:p w14:paraId="7675B34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Clark, W. C., &amp; Harley, A. G. (2020). Sustainability Science: Toward a Synthesis. </w:t>
      </w:r>
      <w:r w:rsidRPr="001523EB">
        <w:rPr>
          <w:rFonts w:ascii="Times New Roman" w:hAnsi="Times New Roman"/>
          <w:i/>
          <w:iCs/>
        </w:rPr>
        <w:t>Annual Review of Environment and Resources</w:t>
      </w:r>
      <w:r w:rsidRPr="001523EB">
        <w:rPr>
          <w:rFonts w:ascii="Times New Roman" w:hAnsi="Times New Roman"/>
        </w:rPr>
        <w:t xml:space="preserve">, </w:t>
      </w:r>
      <w:r w:rsidRPr="001523EB">
        <w:rPr>
          <w:rFonts w:ascii="Times New Roman" w:hAnsi="Times New Roman"/>
          <w:i/>
          <w:iCs/>
        </w:rPr>
        <w:t>45</w:t>
      </w:r>
      <w:r w:rsidRPr="001523EB">
        <w:rPr>
          <w:rFonts w:ascii="Times New Roman" w:hAnsi="Times New Roman"/>
        </w:rPr>
        <w:t>(1), 331–386. https://doi.org/10.1146/annurev-environ-012420-043621</w:t>
      </w:r>
    </w:p>
    <w:p w14:paraId="1C6C346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Climate Action Tracker. (2020). </w:t>
      </w:r>
      <w:r w:rsidRPr="001523EB">
        <w:rPr>
          <w:rFonts w:ascii="Times New Roman" w:hAnsi="Times New Roman"/>
          <w:i/>
          <w:iCs/>
        </w:rPr>
        <w:t>Paris Agreement turning point: Wave of net zero targets reduces warming estimate to 2.1 degree celcius in 2100 All eyes on 2030 targets</w:t>
      </w:r>
      <w:r w:rsidRPr="001523EB">
        <w:rPr>
          <w:rFonts w:ascii="Times New Roman" w:hAnsi="Times New Roman"/>
        </w:rPr>
        <w:t>. NewClimate Institute and Climate Analytics. https://climateactiontracker.org/documents/829/CAT_2020-12-01_Briefing_GlobalUpdate_Paris5Years_Dec2020.pdf</w:t>
      </w:r>
    </w:p>
    <w:p w14:paraId="7E239D3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CMS. (1979). </w:t>
      </w:r>
      <w:r w:rsidRPr="001523EB">
        <w:rPr>
          <w:rFonts w:ascii="Times New Roman" w:hAnsi="Times New Roman"/>
          <w:i/>
          <w:iCs/>
        </w:rPr>
        <w:t>Convention on the Conservation of Migratory Species of Wild Animals</w:t>
      </w:r>
      <w:r w:rsidRPr="001523EB">
        <w:rPr>
          <w:rFonts w:ascii="Times New Roman" w:hAnsi="Times New Roman"/>
        </w:rPr>
        <w:t>. Convention on the Conservation of Migratory Species of Wild Animals. https://www.cms.int/sites/ default/files/instrument/CMS-text.en_.PDF</w:t>
      </w:r>
    </w:p>
    <w:p w14:paraId="37528D7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Coglianese, C. (1997). Assessing consensus: The promise and performance of negotiated rulemaking. </w:t>
      </w:r>
      <w:r w:rsidRPr="001523EB">
        <w:rPr>
          <w:rFonts w:ascii="Times New Roman" w:hAnsi="Times New Roman"/>
          <w:i/>
          <w:iCs/>
        </w:rPr>
        <w:t>Duke Law Journal</w:t>
      </w:r>
      <w:r w:rsidRPr="001523EB">
        <w:rPr>
          <w:rFonts w:ascii="Times New Roman" w:hAnsi="Times New Roman"/>
        </w:rPr>
        <w:t xml:space="preserve">, </w:t>
      </w:r>
      <w:r w:rsidRPr="001523EB">
        <w:rPr>
          <w:rFonts w:ascii="Times New Roman" w:hAnsi="Times New Roman"/>
          <w:i/>
          <w:iCs/>
        </w:rPr>
        <w:t>46</w:t>
      </w:r>
      <w:r w:rsidRPr="001523EB">
        <w:rPr>
          <w:rFonts w:ascii="Times New Roman" w:hAnsi="Times New Roman"/>
        </w:rPr>
        <w:t>(6), 1255. https://doi.org/10.2307/1372989</w:t>
      </w:r>
    </w:p>
    <w:p w14:paraId="7508C85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Collins, J. P. (2018). Gene drives in our future: Challenges of and opportunities for using a self-sustaining technology in pest and vector management. </w:t>
      </w:r>
      <w:r w:rsidRPr="001523EB">
        <w:rPr>
          <w:rFonts w:ascii="Times New Roman" w:hAnsi="Times New Roman"/>
          <w:i/>
          <w:iCs/>
        </w:rPr>
        <w:t>BMC Proceedings</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(Suppl 8), 9. https://doi.org/10.1186/s12919-018-0110-4</w:t>
      </w:r>
    </w:p>
    <w:p w14:paraId="6CFABCD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Commission of the European Communities. (2009). </w:t>
      </w:r>
      <w:r w:rsidRPr="001523EB">
        <w:rPr>
          <w:rFonts w:ascii="Times New Roman" w:hAnsi="Times New Roman"/>
          <w:i/>
          <w:iCs/>
        </w:rPr>
        <w:t>COM(2009)163 final. Green Paper—Reform of the Common Fisheries Policy</w:t>
      </w:r>
      <w:r w:rsidRPr="001523EB">
        <w:rPr>
          <w:rFonts w:ascii="Times New Roman" w:hAnsi="Times New Roman"/>
        </w:rPr>
        <w:t>. https://eur-lex.europa.eu/LexUriServ/LexUriServ.do?uri=COM:2009:0163:FIN:EN:PDF</w:t>
      </w:r>
    </w:p>
    <w:p w14:paraId="6A2AB10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Conservation X Labs. (2017). </w:t>
      </w:r>
      <w:r w:rsidRPr="001523EB">
        <w:rPr>
          <w:rFonts w:ascii="Times New Roman" w:hAnsi="Times New Roman"/>
          <w:i/>
          <w:iCs/>
        </w:rPr>
        <w:t>The innovation summit: Overcoming the invasive species challenge</w:t>
      </w:r>
      <w:r w:rsidRPr="001523EB">
        <w:rPr>
          <w:rFonts w:ascii="Times New Roman" w:hAnsi="Times New Roman"/>
        </w:rPr>
        <w:t>. National Invasive Species Council. https://on.doi.gov/2pmGXCp</w:t>
      </w:r>
    </w:p>
    <w:p w14:paraId="02D5892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Cook, D. C., Kristensen, N. P., Liu, S., Paini, D. R., Kerr, P. J., Sheppard, A. W., Lonsdale, W. M., McAllister, R. R. J., &amp; De Barro, P. J. (2014). Plant biosecurity policy-making modelled on </w:t>
      </w:r>
      <w:r w:rsidRPr="001523EB">
        <w:rPr>
          <w:rFonts w:ascii="Times New Roman" w:hAnsi="Times New Roman"/>
        </w:rPr>
        <w:lastRenderedPageBreak/>
        <w:t xml:space="preserve">the human immune system: What would it look like? </w:t>
      </w:r>
      <w:r w:rsidRPr="001523EB">
        <w:rPr>
          <w:rFonts w:ascii="Times New Roman" w:hAnsi="Times New Roman"/>
          <w:i/>
          <w:iCs/>
        </w:rPr>
        <w:t>Environmental Science &amp; Policy</w:t>
      </w:r>
      <w:r w:rsidRPr="001523EB">
        <w:rPr>
          <w:rFonts w:ascii="Times New Roman" w:hAnsi="Times New Roman"/>
        </w:rPr>
        <w:t xml:space="preserve">, </w:t>
      </w:r>
      <w:r w:rsidRPr="001523EB">
        <w:rPr>
          <w:rFonts w:ascii="Times New Roman" w:hAnsi="Times New Roman"/>
          <w:i/>
          <w:iCs/>
        </w:rPr>
        <w:t>41</w:t>
      </w:r>
      <w:r w:rsidRPr="001523EB">
        <w:rPr>
          <w:rFonts w:ascii="Times New Roman" w:hAnsi="Times New Roman"/>
        </w:rPr>
        <w:t>, 1–10. https://doi.org/10.1016/j.envsci.2014.04.007</w:t>
      </w:r>
    </w:p>
    <w:p w14:paraId="54FB2E1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Cook, D. C., Liu, S., Murphy, B., &amp; Lonsdale, W. M. (2010). Adaptive Approaches to Biosecurity Governance. </w:t>
      </w:r>
      <w:r w:rsidRPr="001523EB">
        <w:rPr>
          <w:rFonts w:ascii="Times New Roman" w:hAnsi="Times New Roman"/>
          <w:i/>
          <w:iCs/>
        </w:rPr>
        <w:t>Risk Analysis</w:t>
      </w:r>
      <w:r w:rsidRPr="001523EB">
        <w:rPr>
          <w:rFonts w:ascii="Times New Roman" w:hAnsi="Times New Roman"/>
        </w:rPr>
        <w:t xml:space="preserve">, </w:t>
      </w:r>
      <w:r w:rsidRPr="001523EB">
        <w:rPr>
          <w:rFonts w:ascii="Times New Roman" w:hAnsi="Times New Roman"/>
          <w:i/>
          <w:iCs/>
        </w:rPr>
        <w:t>30</w:t>
      </w:r>
      <w:r w:rsidRPr="001523EB">
        <w:rPr>
          <w:rFonts w:ascii="Times New Roman" w:hAnsi="Times New Roman"/>
        </w:rPr>
        <w:t>(9), 1303–1314. https://doi.org/10.1111/j.1539-6924.2010.01439.x</w:t>
      </w:r>
    </w:p>
    <w:p w14:paraId="4324773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Cook, W., van Bommel, S., &amp; Turnhout, E. (2016). Inside environmental auditing: Effectiveness, objectivity, and transparency. </w:t>
      </w:r>
      <w:r w:rsidRPr="001523EB">
        <w:rPr>
          <w:rFonts w:ascii="Times New Roman" w:hAnsi="Times New Roman"/>
          <w:i/>
          <w:iCs/>
        </w:rPr>
        <w:t>Current Opinion in Environmental Sustainability</w:t>
      </w:r>
      <w:r w:rsidRPr="001523EB">
        <w:rPr>
          <w:rFonts w:ascii="Times New Roman" w:hAnsi="Times New Roman"/>
        </w:rPr>
        <w:t xml:space="preserve">, </w:t>
      </w:r>
      <w:r w:rsidRPr="001523EB">
        <w:rPr>
          <w:rFonts w:ascii="Times New Roman" w:hAnsi="Times New Roman"/>
          <w:i/>
          <w:iCs/>
        </w:rPr>
        <w:t>18</w:t>
      </w:r>
      <w:r w:rsidRPr="001523EB">
        <w:rPr>
          <w:rFonts w:ascii="Times New Roman" w:hAnsi="Times New Roman"/>
        </w:rPr>
        <w:t>, 33–39. https://doi.org/10.1016/j.cosust.2015.07.016</w:t>
      </w:r>
    </w:p>
    <w:p w14:paraId="68FF16D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Cooke, B., &amp; Kothari, U. (2001). </w:t>
      </w:r>
      <w:r w:rsidRPr="001523EB">
        <w:rPr>
          <w:rFonts w:ascii="Times New Roman" w:hAnsi="Times New Roman"/>
          <w:i/>
          <w:iCs/>
        </w:rPr>
        <w:t>Participation: The new tyranny?</w:t>
      </w:r>
      <w:r w:rsidRPr="001523EB">
        <w:rPr>
          <w:rFonts w:ascii="Times New Roman" w:hAnsi="Times New Roman"/>
        </w:rPr>
        <w:t xml:space="preserve"> Zed Books.</w:t>
      </w:r>
    </w:p>
    <w:p w14:paraId="1D1BC1A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Cooney, R., &amp; Lang, A. T. F. (2007). Taking uncertainty seriously: Adaptive governance and international trade. </w:t>
      </w:r>
      <w:r w:rsidRPr="001523EB">
        <w:rPr>
          <w:rFonts w:ascii="Times New Roman" w:hAnsi="Times New Roman"/>
          <w:i/>
          <w:iCs/>
        </w:rPr>
        <w:t>European Journal of International Law</w:t>
      </w:r>
      <w:r w:rsidRPr="001523EB">
        <w:rPr>
          <w:rFonts w:ascii="Times New Roman" w:hAnsi="Times New Roman"/>
        </w:rPr>
        <w:t xml:space="preserve">, </w:t>
      </w:r>
      <w:r w:rsidRPr="001523EB">
        <w:rPr>
          <w:rFonts w:ascii="Times New Roman" w:hAnsi="Times New Roman"/>
          <w:i/>
          <w:iCs/>
        </w:rPr>
        <w:t>18</w:t>
      </w:r>
      <w:r w:rsidRPr="001523EB">
        <w:rPr>
          <w:rFonts w:ascii="Times New Roman" w:hAnsi="Times New Roman"/>
        </w:rPr>
        <w:t>(3), 523–551. https://doi.org/10.1093/ejil/chm030</w:t>
      </w:r>
    </w:p>
    <w:p w14:paraId="4CE0AFB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Côté, I. M., Green, S. J., &amp; Hixon, M. A. (2013). Predatory fish invaders: Insights from Indo-Pacific lionfish in the western Atlantic and Caribbean.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164</w:t>
      </w:r>
      <w:r w:rsidRPr="001523EB">
        <w:rPr>
          <w:rFonts w:ascii="Times New Roman" w:hAnsi="Times New Roman"/>
        </w:rPr>
        <w:t>, 50–61. https://doi.org/10.1016/j.biocon.2013.04.014</w:t>
      </w:r>
    </w:p>
    <w:p w14:paraId="62C27C2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Council of Europe. (1993). </w:t>
      </w:r>
      <w:r w:rsidRPr="001523EB">
        <w:rPr>
          <w:rFonts w:ascii="Times New Roman" w:hAnsi="Times New Roman"/>
          <w:i/>
          <w:iCs/>
        </w:rPr>
        <w:t>Convention on Civil Liability for Damage Resulting from Activities Dangerous to the Environment</w:t>
      </w:r>
      <w:r w:rsidRPr="001523EB">
        <w:rPr>
          <w:rFonts w:ascii="Times New Roman" w:hAnsi="Times New Roman"/>
        </w:rPr>
        <w:t xml:space="preserve"> (150; European Treaty Series, p. 16). Council of Europe.</w:t>
      </w:r>
    </w:p>
    <w:p w14:paraId="5A21376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Council of the European Communities. (2008). </w:t>
      </w:r>
      <w:r w:rsidRPr="001523EB">
        <w:rPr>
          <w:rFonts w:ascii="Times New Roman" w:hAnsi="Times New Roman"/>
          <w:i/>
          <w:iCs/>
        </w:rPr>
        <w:t>Directive 2008/56/EC of the European Parliament and of the Council of 17 June 2008 establishing a framework for community action in the field of marine environmental policy (Marine Strategy Framework Directive). OJEU L164:19–40</w:t>
      </w:r>
      <w:r w:rsidRPr="001523EB">
        <w:rPr>
          <w:rFonts w:ascii="Times New Roman" w:hAnsi="Times New Roman"/>
        </w:rPr>
        <w:t>. https://faolex.fao.org/docs/pdf/eur80075.pdf</w:t>
      </w:r>
    </w:p>
    <w:p w14:paraId="47588CA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Council of the European Communities. (2014). </w:t>
      </w:r>
      <w:r w:rsidRPr="001523EB">
        <w:rPr>
          <w:rFonts w:ascii="Times New Roman" w:hAnsi="Times New Roman"/>
          <w:i/>
          <w:iCs/>
        </w:rPr>
        <w:t>Regulation (EU) No 1143/2014 of the European Parliament and of the Council of 22 October 2014 on the prevention and management of the introduction and spread of invasive alien species. OJEU L317:35–55</w:t>
      </w:r>
      <w:r w:rsidRPr="001523EB">
        <w:rPr>
          <w:rFonts w:ascii="Times New Roman" w:hAnsi="Times New Roman"/>
        </w:rPr>
        <w:t>. https://eur-lex.europa.eu/legal-content/EN/TXT/?uri=OJ:JOL_2014_317_R_0003</w:t>
      </w:r>
    </w:p>
    <w:p w14:paraId="2B1952D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Crall, A. W., Jarnevich, C. S., Young, N. E., Panke, B. J., Renz, M., &amp; Stohlgren, T. J. (2015). Citizen science contributes to our knowledge of invasive plant species distributions.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17</w:t>
      </w:r>
      <w:r w:rsidRPr="001523EB">
        <w:rPr>
          <w:rFonts w:ascii="Times New Roman" w:hAnsi="Times New Roman"/>
        </w:rPr>
        <w:t>(8), 2415–2427. https://doi.org/10.1007/s10530-015-0885-4</w:t>
      </w:r>
    </w:p>
    <w:p w14:paraId="058AD57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Crall, A. W., Newman, G. J., Stohlgren, T. J., Holfelder, K. A., Graham, J., &amp; Waller, D. M. (2011). Assessing citizen science data quality: An invasive species case study. </w:t>
      </w:r>
      <w:r w:rsidRPr="001523EB">
        <w:rPr>
          <w:rFonts w:ascii="Times New Roman" w:hAnsi="Times New Roman"/>
          <w:i/>
          <w:iCs/>
        </w:rPr>
        <w:t>Conservation Letters</w:t>
      </w:r>
      <w:r w:rsidRPr="001523EB">
        <w:rPr>
          <w:rFonts w:ascii="Times New Roman" w:hAnsi="Times New Roman"/>
        </w:rPr>
        <w:t xml:space="preserve">, </w:t>
      </w:r>
      <w:r w:rsidRPr="001523EB">
        <w:rPr>
          <w:rFonts w:ascii="Times New Roman" w:hAnsi="Times New Roman"/>
          <w:i/>
          <w:iCs/>
        </w:rPr>
        <w:t>4</w:t>
      </w:r>
      <w:r w:rsidRPr="001523EB">
        <w:rPr>
          <w:rFonts w:ascii="Times New Roman" w:hAnsi="Times New Roman"/>
        </w:rPr>
        <w:t>(6), 433–442. https://doi.org/10.1111/j.1755-263X.2011.00196.x</w:t>
      </w:r>
    </w:p>
    <w:p w14:paraId="3A2C499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Creighton, M. J. A., &amp; Bennett, J. R. (2019). Taxonomic biases persist from listing to management for Canadian species at risk. </w:t>
      </w:r>
      <w:r w:rsidRPr="001523EB">
        <w:rPr>
          <w:rFonts w:ascii="Times New Roman" w:hAnsi="Times New Roman"/>
          <w:i/>
          <w:iCs/>
        </w:rPr>
        <w:t>Écoscience</w:t>
      </w:r>
      <w:r w:rsidRPr="001523EB">
        <w:rPr>
          <w:rFonts w:ascii="Times New Roman" w:hAnsi="Times New Roman"/>
        </w:rPr>
        <w:t xml:space="preserve">, </w:t>
      </w:r>
      <w:r w:rsidRPr="001523EB">
        <w:rPr>
          <w:rFonts w:ascii="Times New Roman" w:hAnsi="Times New Roman"/>
          <w:i/>
          <w:iCs/>
        </w:rPr>
        <w:t>26</w:t>
      </w:r>
      <w:r w:rsidRPr="001523EB">
        <w:rPr>
          <w:rFonts w:ascii="Times New Roman" w:hAnsi="Times New Roman"/>
        </w:rPr>
        <w:t>(4), 315–321. https://doi.org/10.1080/11956860.2019.1613752</w:t>
      </w:r>
    </w:p>
    <w:p w14:paraId="5010F0E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Crona, B. I., &amp; Parker, J. N. (2012). Learning in Support of Governance: Theories, Methods, and a Framework to Assess How Bridging Organizations Contribute to Adaptive Resource Governance.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17</w:t>
      </w:r>
      <w:r w:rsidRPr="001523EB">
        <w:rPr>
          <w:rFonts w:ascii="Times New Roman" w:hAnsi="Times New Roman"/>
        </w:rPr>
        <w:t>(1), 32. https://doi.org/10.5751/ES-04534-170132</w:t>
      </w:r>
    </w:p>
    <w:p w14:paraId="34F6210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Crowley, S. L., Hinchliffe, S., &amp; McDonald, R. A. (2017a). Conflict in invasive species management. </w:t>
      </w:r>
      <w:r w:rsidRPr="001523EB">
        <w:rPr>
          <w:rFonts w:ascii="Times New Roman" w:hAnsi="Times New Roman"/>
          <w:i/>
          <w:iCs/>
        </w:rPr>
        <w:t>Frontiers in Ecology and the Environment</w:t>
      </w:r>
      <w:r w:rsidRPr="001523EB">
        <w:rPr>
          <w:rFonts w:ascii="Times New Roman" w:hAnsi="Times New Roman"/>
        </w:rPr>
        <w:t xml:space="preserve">, </w:t>
      </w:r>
      <w:r w:rsidRPr="001523EB">
        <w:rPr>
          <w:rFonts w:ascii="Times New Roman" w:hAnsi="Times New Roman"/>
          <w:i/>
          <w:iCs/>
        </w:rPr>
        <w:t>15</w:t>
      </w:r>
      <w:r w:rsidRPr="001523EB">
        <w:rPr>
          <w:rFonts w:ascii="Times New Roman" w:hAnsi="Times New Roman"/>
        </w:rPr>
        <w:t>(3), 133–141. https://doi.org/10.1002/fee.1471</w:t>
      </w:r>
    </w:p>
    <w:p w14:paraId="615E37A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Crowley, S. L., Hinchliffe, S., &amp; McDonald, R. A. (2017b). Invasive species management will benefit from social impact assessment. </w:t>
      </w:r>
      <w:r w:rsidRPr="001523EB">
        <w:rPr>
          <w:rFonts w:ascii="Times New Roman" w:hAnsi="Times New Roman"/>
          <w:i/>
          <w:iCs/>
        </w:rPr>
        <w:t>Journal of Applied Ecology</w:t>
      </w:r>
      <w:r w:rsidRPr="001523EB">
        <w:rPr>
          <w:rFonts w:ascii="Times New Roman" w:hAnsi="Times New Roman"/>
        </w:rPr>
        <w:t xml:space="preserve">, </w:t>
      </w:r>
      <w:r w:rsidRPr="001523EB">
        <w:rPr>
          <w:rFonts w:ascii="Times New Roman" w:hAnsi="Times New Roman"/>
          <w:i/>
          <w:iCs/>
        </w:rPr>
        <w:t>54</w:t>
      </w:r>
      <w:r w:rsidRPr="001523EB">
        <w:rPr>
          <w:rFonts w:ascii="Times New Roman" w:hAnsi="Times New Roman"/>
        </w:rPr>
        <w:t>(2), 351–357. https://doi.org/10.1111/1365-2664.12817</w:t>
      </w:r>
    </w:p>
    <w:p w14:paraId="768AC6C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Crowley, S. L., Hinchliffe, S., &amp; McDonald, R. A. (2019). The parakeet protectors: Understanding opposition to introduced species management.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229</w:t>
      </w:r>
      <w:r w:rsidRPr="001523EB">
        <w:rPr>
          <w:rFonts w:ascii="Times New Roman" w:hAnsi="Times New Roman"/>
        </w:rPr>
        <w:t>, 120–132. https://doi.org/10.1016/j.jenvman.2017.11.036</w:t>
      </w:r>
    </w:p>
    <w:p w14:paraId="44F8C5D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CSIRO. (2022). </w:t>
      </w:r>
      <w:r w:rsidRPr="001523EB">
        <w:rPr>
          <w:rFonts w:ascii="Times New Roman" w:hAnsi="Times New Roman"/>
          <w:i/>
          <w:iCs/>
        </w:rPr>
        <w:t>Australia’s Biosecurity Future: Unlocking the next decade of resilience</w:t>
      </w:r>
      <w:r w:rsidRPr="001523EB">
        <w:rPr>
          <w:rFonts w:ascii="Times New Roman" w:hAnsi="Times New Roman"/>
        </w:rPr>
        <w:t>. Commonwealth Scientific and Industrial Research Organisation. https://www.csiro.au/en/work-with-us/services/consultancy-strategic-advice-services/csiro-futures/agriculture-and-food/biosecurity-futures</w:t>
      </w:r>
    </w:p>
    <w:p w14:paraId="16C9B0C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Čuda, J., Vítková, M., Albrechtová, M., Guo, W.-Y., Barney, J. N., &amp; Pyšek, P. (2017). Invasive herb Impatiens glandulifera has minimal impact on multiple components of temperate forest ecosystem function.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(10), 3051–3066. https://doi.org/10.1007/s10530-017-1508-z</w:t>
      </w:r>
    </w:p>
    <w:p w14:paraId="528F919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Culley, T. M., &amp; Hardiman, N. A. (2007). The Beginning of a New Invasive Plant: A History of the Ornamental Callery Pear in the United States. </w:t>
      </w:r>
      <w:r w:rsidRPr="001523EB">
        <w:rPr>
          <w:rFonts w:ascii="Times New Roman" w:hAnsi="Times New Roman"/>
          <w:i/>
          <w:iCs/>
        </w:rPr>
        <w:t>BioScience</w:t>
      </w:r>
      <w:r w:rsidRPr="001523EB">
        <w:rPr>
          <w:rFonts w:ascii="Times New Roman" w:hAnsi="Times New Roman"/>
        </w:rPr>
        <w:t xml:space="preserve">, </w:t>
      </w:r>
      <w:r w:rsidRPr="001523EB">
        <w:rPr>
          <w:rFonts w:ascii="Times New Roman" w:hAnsi="Times New Roman"/>
          <w:i/>
          <w:iCs/>
        </w:rPr>
        <w:t>57</w:t>
      </w:r>
      <w:r w:rsidRPr="001523EB">
        <w:rPr>
          <w:rFonts w:ascii="Times New Roman" w:hAnsi="Times New Roman"/>
        </w:rPr>
        <w:t>(11), 956–964. https://doi.org/10.1641/B571108</w:t>
      </w:r>
    </w:p>
    <w:p w14:paraId="68D0484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Culley, T. M., &amp; Hardiman, N. A. (2009). The role of intraspecific hybridization in the evolution of invasiveness: A case study of the ornamental pear tree </w:t>
      </w:r>
      <w:r w:rsidRPr="001523EB">
        <w:rPr>
          <w:rFonts w:ascii="Times New Roman" w:hAnsi="Times New Roman"/>
          <w:i/>
          <w:iCs/>
        </w:rPr>
        <w:t>Pyrus calleryana</w:t>
      </w:r>
      <w:r w:rsidRPr="001523EB">
        <w:rPr>
          <w:rFonts w:ascii="Times New Roman" w:hAnsi="Times New Roman"/>
        </w:rPr>
        <w:t xml:space="preserve">.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11</w:t>
      </w:r>
      <w:r w:rsidRPr="001523EB">
        <w:rPr>
          <w:rFonts w:ascii="Times New Roman" w:hAnsi="Times New Roman"/>
        </w:rPr>
        <w:t>(5), 1107–1119. https://doi.org/10.1007/s10530-008-9386-z</w:t>
      </w:r>
    </w:p>
    <w:p w14:paraId="1970EAF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Culley, T. M., Hardiman, N. A., &amp; Hawks, J. (2011). The role of horticulture in plant invasions: How grafting in cultivars of Callery pear (</w:t>
      </w:r>
      <w:r w:rsidRPr="001523EB">
        <w:rPr>
          <w:rFonts w:ascii="Times New Roman" w:hAnsi="Times New Roman"/>
          <w:i/>
          <w:iCs/>
        </w:rPr>
        <w:t>Pyrus calleryana</w:t>
      </w:r>
      <w:r w:rsidRPr="001523EB">
        <w:rPr>
          <w:rFonts w:ascii="Times New Roman" w:hAnsi="Times New Roman"/>
        </w:rPr>
        <w:t xml:space="preserve">) can facilitate spread into natural areas.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13</w:t>
      </w:r>
      <w:r w:rsidRPr="001523EB">
        <w:rPr>
          <w:rFonts w:ascii="Times New Roman" w:hAnsi="Times New Roman"/>
        </w:rPr>
        <w:t>(3), 739–746. https://doi.org/10.1007/s10530-010-9864-y</w:t>
      </w:r>
    </w:p>
    <w:p w14:paraId="1BF3ABA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Cunningham, S., Teirney, L., Brunton, J., McLeod, R., Bowman, R., Richards, D., Kinsey, R., &amp; Matthews, F. (2019). Mitigating the threat of invasive marine species to Fiordland: New Zealand’s first pathway management plan.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10</w:t>
      </w:r>
      <w:r w:rsidRPr="001523EB">
        <w:rPr>
          <w:rFonts w:ascii="Times New Roman" w:hAnsi="Times New Roman"/>
        </w:rPr>
        <w:t>(4), 690–708. https://doi.org/10.3391/mbi.2019.10.4.07</w:t>
      </w:r>
    </w:p>
    <w:p w14:paraId="6E0DD56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D’Amen, M., &amp; Azzurro, E. (2020). Lessepsian fish invasion in Mediterranean marine protected areas: A risk assessment under climate change scenarios. </w:t>
      </w:r>
      <w:r w:rsidRPr="001523EB">
        <w:rPr>
          <w:rFonts w:ascii="Times New Roman" w:hAnsi="Times New Roman"/>
          <w:i/>
          <w:iCs/>
        </w:rPr>
        <w:t>ICES Journal of Marine Science</w:t>
      </w:r>
      <w:r w:rsidRPr="001523EB">
        <w:rPr>
          <w:rFonts w:ascii="Times New Roman" w:hAnsi="Times New Roman"/>
        </w:rPr>
        <w:t xml:space="preserve">, </w:t>
      </w:r>
      <w:r w:rsidRPr="001523EB">
        <w:rPr>
          <w:rFonts w:ascii="Times New Roman" w:hAnsi="Times New Roman"/>
          <w:i/>
          <w:iCs/>
        </w:rPr>
        <w:t>77</w:t>
      </w:r>
      <w:r w:rsidRPr="001523EB">
        <w:rPr>
          <w:rFonts w:ascii="Times New Roman" w:hAnsi="Times New Roman"/>
        </w:rPr>
        <w:t>(1), 388–397. https://doi.org/10.1093/icesjms/fsz207</w:t>
      </w:r>
    </w:p>
    <w:p w14:paraId="23C19EA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Dandy, N., Marzano, M., Porth, E. F., Urquhart, J., &amp; Potter, C. (2017). Who has a stake in ash dieback? A conceptual framework for the identification and categorisation of tree health stakeholders. In R. Vasaitis &amp; R. Enderle (Eds.), </w:t>
      </w:r>
      <w:r w:rsidRPr="001523EB">
        <w:rPr>
          <w:rFonts w:ascii="Times New Roman" w:hAnsi="Times New Roman"/>
          <w:i/>
          <w:iCs/>
        </w:rPr>
        <w:t>Dieback of European Ash (Fraxinus spp.)</w:t>
      </w:r>
      <w:r w:rsidRPr="001523EB">
        <w:rPr>
          <w:rFonts w:ascii="Times New Roman" w:hAnsi="Times New Roman"/>
        </w:rPr>
        <w:t xml:space="preserve"> (pp. 15–26). Swedish University of Agricultural Sciences. https://www.cabi.org/isc/abstract/20183360941</w:t>
      </w:r>
    </w:p>
    <w:p w14:paraId="55F111D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Darling, J. A., Galil, B. S., Carvalho, G. R., Rius, M., Viard, F., &amp; Piraino, S. (2017). Recommendations for developing and applying genetic tools to assess and manage biological invasions in marine ecosystems. </w:t>
      </w:r>
      <w:r w:rsidRPr="001523EB">
        <w:rPr>
          <w:rFonts w:ascii="Times New Roman" w:hAnsi="Times New Roman"/>
          <w:i/>
          <w:iCs/>
        </w:rPr>
        <w:t>Marine Policy</w:t>
      </w:r>
      <w:r w:rsidRPr="001523EB">
        <w:rPr>
          <w:rFonts w:ascii="Times New Roman" w:hAnsi="Times New Roman"/>
        </w:rPr>
        <w:t xml:space="preserve">, </w:t>
      </w:r>
      <w:r w:rsidRPr="001523EB">
        <w:rPr>
          <w:rFonts w:ascii="Times New Roman" w:hAnsi="Times New Roman"/>
          <w:i/>
          <w:iCs/>
        </w:rPr>
        <w:t>85</w:t>
      </w:r>
      <w:r w:rsidRPr="001523EB">
        <w:rPr>
          <w:rFonts w:ascii="Times New Roman" w:hAnsi="Times New Roman"/>
        </w:rPr>
        <w:t>, 54–64. https://doi.org/10.1016/j.marpol.2017.08.014</w:t>
      </w:r>
    </w:p>
    <w:p w14:paraId="1C471BE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Dasgupta, P. (2021). </w:t>
      </w:r>
      <w:r w:rsidRPr="001523EB">
        <w:rPr>
          <w:rFonts w:ascii="Times New Roman" w:hAnsi="Times New Roman"/>
          <w:i/>
          <w:iCs/>
        </w:rPr>
        <w:t>The Economics of Biodiversity:The Dasgupta Review. Abridged Version</w:t>
      </w:r>
      <w:r w:rsidRPr="001523EB">
        <w:rPr>
          <w:rFonts w:ascii="Times New Roman" w:hAnsi="Times New Roman"/>
        </w:rPr>
        <w:t xml:space="preserve"> (p. 103). https://www.gov.uk/government/publications/the-economics-of-biodiversity-the-dasgupta-review-abridged-version-translations</w:t>
      </w:r>
    </w:p>
    <w:p w14:paraId="6F067E3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Daviter, F. (2017). Coping, taming or solving: Alternative approaches to the governance of wicked problems. </w:t>
      </w:r>
      <w:r w:rsidRPr="001523EB">
        <w:rPr>
          <w:rFonts w:ascii="Times New Roman" w:hAnsi="Times New Roman"/>
          <w:i/>
          <w:iCs/>
        </w:rPr>
        <w:t>Policy Studies</w:t>
      </w:r>
      <w:r w:rsidRPr="001523EB">
        <w:rPr>
          <w:rFonts w:ascii="Times New Roman" w:hAnsi="Times New Roman"/>
        </w:rPr>
        <w:t xml:space="preserve">, </w:t>
      </w:r>
      <w:r w:rsidRPr="001523EB">
        <w:rPr>
          <w:rFonts w:ascii="Times New Roman" w:hAnsi="Times New Roman"/>
          <w:i/>
          <w:iCs/>
        </w:rPr>
        <w:t>38</w:t>
      </w:r>
      <w:r w:rsidRPr="001523EB">
        <w:rPr>
          <w:rFonts w:ascii="Times New Roman" w:hAnsi="Times New Roman"/>
        </w:rPr>
        <w:t>(6), 571–588. https://doi.org/10.1080/01442872.2017.1384543</w:t>
      </w:r>
    </w:p>
    <w:p w14:paraId="6724727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 Almeida, C. de F. C. B. R., Ramos, M. A., de Amorim, E. L. C., &amp; de Albuquerque, U. P. (2010). A comparison of knowledge about medicinal plants for three rural communities in the semi-arid region of northeast of Brazil. </w:t>
      </w:r>
      <w:r w:rsidRPr="001523EB">
        <w:rPr>
          <w:rFonts w:ascii="Times New Roman" w:hAnsi="Times New Roman"/>
          <w:i/>
          <w:iCs/>
        </w:rPr>
        <w:t>Journal of Ethnopharmacology</w:t>
      </w:r>
      <w:r w:rsidRPr="001523EB">
        <w:rPr>
          <w:rFonts w:ascii="Times New Roman" w:hAnsi="Times New Roman"/>
        </w:rPr>
        <w:t xml:space="preserve">, </w:t>
      </w:r>
      <w:r w:rsidRPr="001523EB">
        <w:rPr>
          <w:rFonts w:ascii="Times New Roman" w:hAnsi="Times New Roman"/>
          <w:i/>
          <w:iCs/>
        </w:rPr>
        <w:t>127</w:t>
      </w:r>
      <w:r w:rsidRPr="001523EB">
        <w:rPr>
          <w:rFonts w:ascii="Times New Roman" w:hAnsi="Times New Roman"/>
        </w:rPr>
        <w:t>(3), 674–684. https://doi.org/10.1016/j.jep.2009.12.005</w:t>
      </w:r>
    </w:p>
    <w:p w14:paraId="7C476C6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 Giovanni, R., Williams, A. R., Ernst, V. H., Kulawik, R., Fernandez, F. Q., &amp; Hardisty, A. R. (2016). ENM Components: A new set of web service-based workflow components for ecological niche modelling. </w:t>
      </w:r>
      <w:r w:rsidRPr="001523EB">
        <w:rPr>
          <w:rFonts w:ascii="Times New Roman" w:hAnsi="Times New Roman"/>
          <w:i/>
          <w:iCs/>
        </w:rPr>
        <w:t>Ecography</w:t>
      </w:r>
      <w:r w:rsidRPr="001523EB">
        <w:rPr>
          <w:rFonts w:ascii="Times New Roman" w:hAnsi="Times New Roman"/>
        </w:rPr>
        <w:t xml:space="preserve">, </w:t>
      </w:r>
      <w:r w:rsidRPr="001523EB">
        <w:rPr>
          <w:rFonts w:ascii="Times New Roman" w:hAnsi="Times New Roman"/>
          <w:i/>
          <w:iCs/>
        </w:rPr>
        <w:t>39</w:t>
      </w:r>
      <w:r w:rsidRPr="001523EB">
        <w:rPr>
          <w:rFonts w:ascii="Times New Roman" w:hAnsi="Times New Roman"/>
        </w:rPr>
        <w:t>(4), 376–383. https://doi.org/10.1111/ecog.01552</w:t>
      </w:r>
    </w:p>
    <w:p w14:paraId="5B17C32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 Klemm, C. (1996). </w:t>
      </w:r>
      <w:r w:rsidRPr="001523EB">
        <w:rPr>
          <w:rFonts w:ascii="Times New Roman" w:hAnsi="Times New Roman"/>
          <w:i/>
          <w:iCs/>
        </w:rPr>
        <w:t>Introductions of non-native organisms into the natural environment</w:t>
      </w:r>
      <w:r w:rsidRPr="001523EB">
        <w:rPr>
          <w:rFonts w:ascii="Times New Roman" w:hAnsi="Times New Roman"/>
        </w:rPr>
        <w:t xml:space="preserve"> (Issues 18–73). Council of Europe.</w:t>
      </w:r>
    </w:p>
    <w:p w14:paraId="39A7821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 Silva, S. S. (2012). Aquaculture: A newly emergent food production sector—and perspectives of its impacts on biodiversity and conservation. </w:t>
      </w:r>
      <w:r w:rsidRPr="001523EB">
        <w:rPr>
          <w:rFonts w:ascii="Times New Roman" w:hAnsi="Times New Roman"/>
          <w:i/>
          <w:iCs/>
        </w:rPr>
        <w:t>Biodiversity and Conservation</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(12), 3187–3220. https://doi.org/10.1007/s10531-012-0360-9</w:t>
      </w:r>
    </w:p>
    <w:p w14:paraId="6A35B58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 Silva, S. S., Nguyen, T. T. T., Abery, N. W., &amp; Amarasinghe, U. S. (2006). An evaluation of the role and impacts of alien finfish in Asian inland aquaculture. </w:t>
      </w:r>
      <w:r w:rsidRPr="001523EB">
        <w:rPr>
          <w:rFonts w:ascii="Times New Roman" w:hAnsi="Times New Roman"/>
          <w:i/>
          <w:iCs/>
        </w:rPr>
        <w:t>Aquaculture Research</w:t>
      </w:r>
      <w:r w:rsidRPr="001523EB">
        <w:rPr>
          <w:rFonts w:ascii="Times New Roman" w:hAnsi="Times New Roman"/>
        </w:rPr>
        <w:t xml:space="preserve">, </w:t>
      </w:r>
      <w:r w:rsidRPr="001523EB">
        <w:rPr>
          <w:rFonts w:ascii="Times New Roman" w:hAnsi="Times New Roman"/>
          <w:i/>
          <w:iCs/>
        </w:rPr>
        <w:t>37</w:t>
      </w:r>
      <w:r w:rsidRPr="001523EB">
        <w:rPr>
          <w:rFonts w:ascii="Times New Roman" w:hAnsi="Times New Roman"/>
        </w:rPr>
        <w:t>(1), 1–17. https://doi.org/10.1111/j.1365-2109.2005.01369.x</w:t>
      </w:r>
    </w:p>
    <w:p w14:paraId="2981860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 Silva, S. S., Nguyen, T. T. T., Turchini, G. M., Amarasinghe, U. S., &amp; Abery, N. W. (2009). Alien Species in Aquaculture and Biodiversity: A Paradox in Food Production. </w:t>
      </w:r>
      <w:r w:rsidRPr="001523EB">
        <w:rPr>
          <w:rFonts w:ascii="Times New Roman" w:hAnsi="Times New Roman"/>
          <w:i/>
          <w:iCs/>
        </w:rPr>
        <w:t xml:space="preserve">AMBIO: A </w:t>
      </w:r>
      <w:r w:rsidRPr="001523EB">
        <w:rPr>
          <w:rFonts w:ascii="Times New Roman" w:hAnsi="Times New Roman"/>
          <w:i/>
          <w:iCs/>
        </w:rPr>
        <w:lastRenderedPageBreak/>
        <w:t>Journal of the Human Environment</w:t>
      </w:r>
      <w:r w:rsidRPr="001523EB">
        <w:rPr>
          <w:rFonts w:ascii="Times New Roman" w:hAnsi="Times New Roman"/>
        </w:rPr>
        <w:t xml:space="preserve">, </w:t>
      </w:r>
      <w:r w:rsidRPr="001523EB">
        <w:rPr>
          <w:rFonts w:ascii="Times New Roman" w:hAnsi="Times New Roman"/>
          <w:i/>
          <w:iCs/>
        </w:rPr>
        <w:t>38</w:t>
      </w:r>
      <w:r w:rsidRPr="001523EB">
        <w:rPr>
          <w:rFonts w:ascii="Times New Roman" w:hAnsi="Times New Roman"/>
        </w:rPr>
        <w:t>(1), 24–28. https://doi.org/10.1579/0044-7447-38.1.24</w:t>
      </w:r>
    </w:p>
    <w:p w14:paraId="68FEDAA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 Silva, S. S., Subasinghe, R., Bartley, D. M., &amp; Lowther, A. (2004). </w:t>
      </w:r>
      <w:r w:rsidRPr="001523EB">
        <w:rPr>
          <w:rFonts w:ascii="Times New Roman" w:hAnsi="Times New Roman"/>
          <w:i/>
          <w:iCs/>
        </w:rPr>
        <w:t>Tilapias as alien aquatics in Asia and the Pacific: A review</w:t>
      </w:r>
      <w:r w:rsidRPr="001523EB">
        <w:rPr>
          <w:rFonts w:ascii="Times New Roman" w:hAnsi="Times New Roman"/>
        </w:rPr>
        <w:t xml:space="preserve"> (FAO Fisheries Technical Paper No. 453). Food and Agriculture Organization.</w:t>
      </w:r>
    </w:p>
    <w:p w14:paraId="141665E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 Vente, J., Reed, M. S., Stringer, L. C., Valente, S., &amp; Newig, J. (2016). How does the context and design of participatory decision making processes affect their outcomes? Evidence from sustainable land management in global drylands.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(2), 24. https://doi.org/10.5751/ES-08053-210224</w:t>
      </w:r>
    </w:p>
    <w:p w14:paraId="3A4F00D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DeFries, R., &amp; Nagendra, H. (2017). Ecosystem management as a wicked problem. </w:t>
      </w:r>
      <w:r w:rsidRPr="001523EB">
        <w:rPr>
          <w:rFonts w:ascii="Times New Roman" w:hAnsi="Times New Roman"/>
          <w:i/>
          <w:iCs/>
        </w:rPr>
        <w:t>Science</w:t>
      </w:r>
      <w:r w:rsidRPr="001523EB">
        <w:rPr>
          <w:rFonts w:ascii="Times New Roman" w:hAnsi="Times New Roman"/>
        </w:rPr>
        <w:t xml:space="preserve">, </w:t>
      </w:r>
      <w:r w:rsidRPr="001523EB">
        <w:rPr>
          <w:rFonts w:ascii="Times New Roman" w:hAnsi="Times New Roman"/>
          <w:i/>
          <w:iCs/>
        </w:rPr>
        <w:t>356</w:t>
      </w:r>
      <w:r w:rsidRPr="001523EB">
        <w:rPr>
          <w:rFonts w:ascii="Times New Roman" w:hAnsi="Times New Roman"/>
        </w:rPr>
        <w:t>(6335), 265–270. https://doi.org/10.1126/science.aal1950</w:t>
      </w:r>
    </w:p>
    <w:p w14:paraId="03E10AD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Dehnen-Schmutz, K. (2011). Determining non-invasiveness in ornamental plants to build green lists. </w:t>
      </w:r>
      <w:r w:rsidRPr="001523EB">
        <w:rPr>
          <w:rFonts w:ascii="Times New Roman" w:hAnsi="Times New Roman"/>
          <w:i/>
          <w:iCs/>
        </w:rPr>
        <w:t>Journal of Applied Ecology</w:t>
      </w:r>
      <w:r w:rsidRPr="001523EB">
        <w:rPr>
          <w:rFonts w:ascii="Times New Roman" w:hAnsi="Times New Roman"/>
        </w:rPr>
        <w:t xml:space="preserve">, </w:t>
      </w:r>
      <w:r w:rsidRPr="001523EB">
        <w:rPr>
          <w:rFonts w:ascii="Times New Roman" w:hAnsi="Times New Roman"/>
          <w:i/>
          <w:iCs/>
        </w:rPr>
        <w:t>48</w:t>
      </w:r>
      <w:r w:rsidRPr="001523EB">
        <w:rPr>
          <w:rFonts w:ascii="Times New Roman" w:hAnsi="Times New Roman"/>
        </w:rPr>
        <w:t>(6), 1374–1380. https://doi.org/10.1111/j.1365-2664.2011.02061.x</w:t>
      </w:r>
    </w:p>
    <w:p w14:paraId="6B6A54F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Dehnen-Schmutz, K., Holdenrieder, O., Jeger, M. J., &amp; Pautasso, M. (2010). Structural change in the international horticultural industry: Some implications for plant health. </w:t>
      </w:r>
      <w:r w:rsidRPr="001523EB">
        <w:rPr>
          <w:rFonts w:ascii="Times New Roman" w:hAnsi="Times New Roman"/>
          <w:i/>
          <w:iCs/>
        </w:rPr>
        <w:t>Scientia Horticulturae</w:t>
      </w:r>
      <w:r w:rsidRPr="001523EB">
        <w:rPr>
          <w:rFonts w:ascii="Times New Roman" w:hAnsi="Times New Roman"/>
        </w:rPr>
        <w:t xml:space="preserve">, </w:t>
      </w:r>
      <w:r w:rsidRPr="001523EB">
        <w:rPr>
          <w:rFonts w:ascii="Times New Roman" w:hAnsi="Times New Roman"/>
          <w:i/>
          <w:iCs/>
        </w:rPr>
        <w:t>125</w:t>
      </w:r>
      <w:r w:rsidRPr="001523EB">
        <w:rPr>
          <w:rFonts w:ascii="Times New Roman" w:hAnsi="Times New Roman"/>
        </w:rPr>
        <w:t>(1), 1–15. https://doi.org/10.1016/j.scienta.2010.02.017</w:t>
      </w:r>
    </w:p>
    <w:p w14:paraId="694A66A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Delaney, D. G., Sperling, C. D., Adams, C. S., &amp; Leung, B. (2008). Marine invasive species: Validation of citizen science and implications for national monitoring networks.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10</w:t>
      </w:r>
      <w:r w:rsidRPr="001523EB">
        <w:rPr>
          <w:rFonts w:ascii="Times New Roman" w:hAnsi="Times New Roman"/>
        </w:rPr>
        <w:t>(1), 117–128. https://doi.org/10.1007/s10530-007-9114-0</w:t>
      </w:r>
    </w:p>
    <w:p w14:paraId="665166F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Derak, M., Cortina, J., Taiqui, L., &amp; Aledo, A. (2018). A proposed framework for participatory forest restoration in semiarid areas of North Africa. </w:t>
      </w:r>
      <w:r w:rsidRPr="001523EB">
        <w:rPr>
          <w:rFonts w:ascii="Times New Roman" w:hAnsi="Times New Roman"/>
          <w:i/>
          <w:iCs/>
        </w:rPr>
        <w:t>Restoration Ecology</w:t>
      </w:r>
      <w:r w:rsidRPr="001523EB">
        <w:rPr>
          <w:rFonts w:ascii="Times New Roman" w:hAnsi="Times New Roman"/>
        </w:rPr>
        <w:t xml:space="preserve">, </w:t>
      </w:r>
      <w:r w:rsidRPr="001523EB">
        <w:rPr>
          <w:rFonts w:ascii="Times New Roman" w:hAnsi="Times New Roman"/>
          <w:i/>
          <w:iCs/>
        </w:rPr>
        <w:t>26</w:t>
      </w:r>
      <w:r w:rsidRPr="001523EB">
        <w:rPr>
          <w:rFonts w:ascii="Times New Roman" w:hAnsi="Times New Roman"/>
        </w:rPr>
        <w:t>(S1), S18–S25. https://doi.org/10.1111/rec.12486</w:t>
      </w:r>
    </w:p>
    <w:p w14:paraId="5BE8F2F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Derraik, J. G. B., &amp; Phillips, S. (2010). Online trade poses a threat to biosecurity in New Zealand.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(6), 1477–1480. https://doi.org/10.1007/s10530-009-9595-0</w:t>
      </w:r>
    </w:p>
    <w:p w14:paraId="12BCEB2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Deutz, A., Heal, G. M., Niu, R., Swanson, E., Townshend, T., Zhu, L., Delmar, A., Meghji, A., Sethi, S. A., &amp; Tobin-de la Puente, J. (2020). </w:t>
      </w:r>
      <w:r w:rsidRPr="001523EB">
        <w:rPr>
          <w:rFonts w:ascii="Times New Roman" w:hAnsi="Times New Roman"/>
          <w:i/>
          <w:iCs/>
        </w:rPr>
        <w:t>Financing Nature: Closing the Global Biodiversity Financing Gap</w:t>
      </w:r>
      <w:r w:rsidRPr="001523EB">
        <w:rPr>
          <w:rFonts w:ascii="Times New Roman" w:hAnsi="Times New Roman"/>
        </w:rPr>
        <w:t xml:space="preserve"> [Full Report]. The Paulson Institute, The Nature Conservancy, and the Cornell Atkinson Center for Sustainability. https://www.paulsoninstitute.org/wp-content/uploads/2020/09/FINANCING-NATURE_Full-Report_Final-Version_091520.pdf</w:t>
      </w:r>
    </w:p>
    <w:p w14:paraId="74953A2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Diagne, C., Leroy, B., Gozlan, R. E., Vaissière, A.-C., Assailly, C., Nuninger, L., Roiz, D., Jourdain, F., Jarić, I., &amp; Courchamp, F. (2020). InvaCost, a public database of the economic costs of biological invasions worldwide. </w:t>
      </w:r>
      <w:r w:rsidRPr="001523EB">
        <w:rPr>
          <w:rFonts w:ascii="Times New Roman" w:hAnsi="Times New Roman"/>
          <w:i/>
          <w:iCs/>
        </w:rPr>
        <w:t>Scientific Data</w:t>
      </w:r>
      <w:r w:rsidRPr="001523EB">
        <w:rPr>
          <w:rFonts w:ascii="Times New Roman" w:hAnsi="Times New Roman"/>
        </w:rPr>
        <w:t xml:space="preserve">, </w:t>
      </w:r>
      <w:r w:rsidRPr="001523EB">
        <w:rPr>
          <w:rFonts w:ascii="Times New Roman" w:hAnsi="Times New Roman"/>
          <w:i/>
          <w:iCs/>
        </w:rPr>
        <w:t>7</w:t>
      </w:r>
      <w:r w:rsidRPr="001523EB">
        <w:rPr>
          <w:rFonts w:ascii="Times New Roman" w:hAnsi="Times New Roman"/>
        </w:rPr>
        <w:t>(1), 277. https://doi.org/10.1038/s41597-020-00586-z</w:t>
      </w:r>
    </w:p>
    <w:p w14:paraId="1BE61E2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Diagne, C., Leroy, B., Vaissière, A.-C., Gozlan, R. E., Roiz, D., Jarić, I., Salles, J.-M., Bradshaw, C. J. A., &amp; Courchamp, F. (2021). High and rising economic costs of biological invasions worldwide. </w:t>
      </w:r>
      <w:r w:rsidRPr="001523EB">
        <w:rPr>
          <w:rFonts w:ascii="Times New Roman" w:hAnsi="Times New Roman"/>
          <w:i/>
          <w:iCs/>
        </w:rPr>
        <w:t>Nature</w:t>
      </w:r>
      <w:r w:rsidRPr="001523EB">
        <w:rPr>
          <w:rFonts w:ascii="Times New Roman" w:hAnsi="Times New Roman"/>
        </w:rPr>
        <w:t xml:space="preserve">, </w:t>
      </w:r>
      <w:r w:rsidRPr="001523EB">
        <w:rPr>
          <w:rFonts w:ascii="Times New Roman" w:hAnsi="Times New Roman"/>
          <w:i/>
          <w:iCs/>
        </w:rPr>
        <w:t>592</w:t>
      </w:r>
      <w:r w:rsidRPr="001523EB">
        <w:rPr>
          <w:rFonts w:ascii="Times New Roman" w:hAnsi="Times New Roman"/>
        </w:rPr>
        <w:t>(7855), 571–576. https://doi.org/10.1038/s41586-021-03405-6</w:t>
      </w:r>
    </w:p>
    <w:p w14:paraId="66207CF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Díaz, C. L. (2010). The Bern convention: 30 years of nature conservation in Europe. </w:t>
      </w:r>
      <w:r w:rsidRPr="001523EB">
        <w:rPr>
          <w:rFonts w:ascii="Times New Roman" w:hAnsi="Times New Roman"/>
          <w:i/>
          <w:iCs/>
        </w:rPr>
        <w:t>Review of European Community and International Environmental Law</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(2), 185–196. https://doi.org/10.1111/j.1467-9388.2010.00676.x</w:t>
      </w:r>
    </w:p>
    <w:p w14:paraId="0767CB2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Díaz, S., Demissew, S., Carabias, J., Joly, C., Lonsdale, M., Ash, N., Larigauderie, A., Adhikari, J. R., Arico, S., Báldi, A., Bartuska, A., Baste, I. A., Bilgin, A., Brondizio, E., Chan, K. M., Figueroa, V. E., Duraiappah, A., Fischer, M., Hill, R., … Zlatanova, D. (2015). The IPBES Conceptual Framework—Connecting nature and people. </w:t>
      </w:r>
      <w:r w:rsidRPr="001523EB">
        <w:rPr>
          <w:rFonts w:ascii="Times New Roman" w:hAnsi="Times New Roman"/>
          <w:i/>
          <w:iCs/>
        </w:rPr>
        <w:t>Current Opinion in Environmental Sustainability</w:t>
      </w:r>
      <w:r w:rsidRPr="001523EB">
        <w:rPr>
          <w:rFonts w:ascii="Times New Roman" w:hAnsi="Times New Roman"/>
        </w:rPr>
        <w:t xml:space="preserve">, </w:t>
      </w:r>
      <w:r w:rsidRPr="001523EB">
        <w:rPr>
          <w:rFonts w:ascii="Times New Roman" w:hAnsi="Times New Roman"/>
          <w:i/>
          <w:iCs/>
        </w:rPr>
        <w:t>14</w:t>
      </w:r>
      <w:r w:rsidRPr="001523EB">
        <w:rPr>
          <w:rFonts w:ascii="Times New Roman" w:hAnsi="Times New Roman"/>
        </w:rPr>
        <w:t>, 1–16. https://doi.org/10.1016/j.cosust.2014.11.002</w:t>
      </w:r>
    </w:p>
    <w:p w14:paraId="33EA725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Díaz, S., Settele, J., Brondízio, E. S., Ngo, H. T., Agard, J., Arneth, A., Balvanera, P., Brauman, K. A., Butchart, S. H. M., Chan, K. M. A., Garibaldi, L. A., Ichii, K., Liu, J., Subramanian, S. M., Midgley, G. F., Miloslavich, P., Molnár, Z., Obura, D., Pfaff, A., … Zayas, C. N. (2019). Pervasive human-driven decline of life on Earth points to the need for transformative change. </w:t>
      </w:r>
      <w:r w:rsidRPr="001523EB">
        <w:rPr>
          <w:rFonts w:ascii="Times New Roman" w:hAnsi="Times New Roman"/>
          <w:i/>
          <w:iCs/>
        </w:rPr>
        <w:t>Science</w:t>
      </w:r>
      <w:r w:rsidRPr="001523EB">
        <w:rPr>
          <w:rFonts w:ascii="Times New Roman" w:hAnsi="Times New Roman"/>
        </w:rPr>
        <w:t xml:space="preserve">, </w:t>
      </w:r>
      <w:r w:rsidRPr="001523EB">
        <w:rPr>
          <w:rFonts w:ascii="Times New Roman" w:hAnsi="Times New Roman"/>
          <w:i/>
          <w:iCs/>
        </w:rPr>
        <w:t>366</w:t>
      </w:r>
      <w:r w:rsidRPr="001523EB">
        <w:rPr>
          <w:rFonts w:ascii="Times New Roman" w:hAnsi="Times New Roman"/>
        </w:rPr>
        <w:t>(6471), eaax3100. https://doi.org/10.1126/science.aax3100</w:t>
      </w:r>
    </w:p>
    <w:p w14:paraId="44302F4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Díaz-Ferguson, E. E. (2012). </w:t>
      </w:r>
      <w:r w:rsidRPr="001523EB">
        <w:rPr>
          <w:rFonts w:ascii="Times New Roman" w:hAnsi="Times New Roman"/>
          <w:i/>
          <w:iCs/>
        </w:rPr>
        <w:t>Introducción a la ecología molecular marina: Aplicaciones y perspectivas</w:t>
      </w:r>
      <w:r w:rsidRPr="001523EB">
        <w:rPr>
          <w:rFonts w:ascii="Times New Roman" w:hAnsi="Times New Roman"/>
        </w:rPr>
        <w:t xml:space="preserve"> (1st ed.). Universal Books.</w:t>
      </w:r>
    </w:p>
    <w:p w14:paraId="07932DF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Díaz-Ferguson, E. E., &amp; Hunter, M. E. (2019). Life history, genetics, range expansion and new frontiers of the lionfish (</w:t>
      </w:r>
      <w:r w:rsidRPr="001523EB">
        <w:rPr>
          <w:rFonts w:ascii="Times New Roman" w:hAnsi="Times New Roman"/>
          <w:i/>
          <w:iCs/>
        </w:rPr>
        <w:t>Pterois volitans</w:t>
      </w:r>
      <w:r w:rsidRPr="001523EB">
        <w:rPr>
          <w:rFonts w:ascii="Times New Roman" w:hAnsi="Times New Roman"/>
        </w:rPr>
        <w:t xml:space="preserve">, Perciformes: Pteroidae) in Latin America. </w:t>
      </w:r>
      <w:r w:rsidRPr="001523EB">
        <w:rPr>
          <w:rFonts w:ascii="Times New Roman" w:hAnsi="Times New Roman"/>
          <w:i/>
          <w:iCs/>
        </w:rPr>
        <w:t>Regional Studies in Marine Science</w:t>
      </w:r>
      <w:r w:rsidRPr="001523EB">
        <w:rPr>
          <w:rFonts w:ascii="Times New Roman" w:hAnsi="Times New Roman"/>
        </w:rPr>
        <w:t xml:space="preserve">, </w:t>
      </w:r>
      <w:r w:rsidRPr="001523EB">
        <w:rPr>
          <w:rFonts w:ascii="Times New Roman" w:hAnsi="Times New Roman"/>
          <w:i/>
          <w:iCs/>
        </w:rPr>
        <w:t>31</w:t>
      </w:r>
      <w:r w:rsidRPr="001523EB">
        <w:rPr>
          <w:rFonts w:ascii="Times New Roman" w:hAnsi="Times New Roman"/>
        </w:rPr>
        <w:t>, 100793. https://doi.org/10.1016/j.rsma.2019.100793</w:t>
      </w:r>
    </w:p>
    <w:p w14:paraId="3457D8F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Díaz-Ferguson, E. E., &amp; Moyer, G. R. (2014). History, applications and methodological issues and perspectives for the use of environmental DNA (eDNA) in marine and freshwater environments. </w:t>
      </w:r>
      <w:r w:rsidRPr="001523EB">
        <w:rPr>
          <w:rFonts w:ascii="Times New Roman" w:hAnsi="Times New Roman"/>
          <w:i/>
          <w:iCs/>
        </w:rPr>
        <w:t>Revista de Biología Tropical</w:t>
      </w:r>
      <w:r w:rsidRPr="001523EB">
        <w:rPr>
          <w:rFonts w:ascii="Times New Roman" w:hAnsi="Times New Roman"/>
        </w:rPr>
        <w:t xml:space="preserve">, </w:t>
      </w:r>
      <w:r w:rsidRPr="001523EB">
        <w:rPr>
          <w:rFonts w:ascii="Times New Roman" w:hAnsi="Times New Roman"/>
          <w:i/>
          <w:iCs/>
        </w:rPr>
        <w:t>62</w:t>
      </w:r>
      <w:r w:rsidRPr="001523EB">
        <w:rPr>
          <w:rFonts w:ascii="Times New Roman" w:hAnsi="Times New Roman"/>
        </w:rPr>
        <w:t>(4), 1274–1284. https://doi.org/10.15517/rbt.v62i4.13231</w:t>
      </w:r>
    </w:p>
    <w:p w14:paraId="292A587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Dickinson, J. L., Zuckerberg, B., &amp; Bonter, D. N. (2010). Citizen Science as an Ecological Research Tool: Challenges and Benefits. </w:t>
      </w:r>
      <w:r w:rsidRPr="001523EB">
        <w:rPr>
          <w:rFonts w:ascii="Times New Roman" w:hAnsi="Times New Roman"/>
          <w:i/>
          <w:iCs/>
        </w:rPr>
        <w:t>Annual Review of Ecology, Evolution, and Systematics</w:t>
      </w:r>
      <w:r w:rsidRPr="001523EB">
        <w:rPr>
          <w:rFonts w:ascii="Times New Roman" w:hAnsi="Times New Roman"/>
        </w:rPr>
        <w:t xml:space="preserve">, </w:t>
      </w:r>
      <w:r w:rsidRPr="001523EB">
        <w:rPr>
          <w:rFonts w:ascii="Times New Roman" w:hAnsi="Times New Roman"/>
          <w:i/>
          <w:iCs/>
        </w:rPr>
        <w:t>41</w:t>
      </w:r>
      <w:r w:rsidRPr="001523EB">
        <w:rPr>
          <w:rFonts w:ascii="Times New Roman" w:hAnsi="Times New Roman"/>
        </w:rPr>
        <w:t>(1), 149–172. https://doi.org/10.1146/annurev-ecolsys-102209-144636</w:t>
      </w:r>
    </w:p>
    <w:p w14:paraId="5890889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Dietz, H., Kueffer, C., &amp; Parks, C. G. (2006). MIREN: A New Research Network Concerned With Plant Invasion into Mountain Areas. </w:t>
      </w:r>
      <w:r w:rsidRPr="001523EB">
        <w:rPr>
          <w:rFonts w:ascii="Times New Roman" w:hAnsi="Times New Roman"/>
          <w:i/>
          <w:iCs/>
        </w:rPr>
        <w:t>Mountain Research and Development</w:t>
      </w:r>
      <w:r w:rsidRPr="001523EB">
        <w:rPr>
          <w:rFonts w:ascii="Times New Roman" w:hAnsi="Times New Roman"/>
        </w:rPr>
        <w:t xml:space="preserve">, </w:t>
      </w:r>
      <w:r w:rsidRPr="001523EB">
        <w:rPr>
          <w:rFonts w:ascii="Times New Roman" w:hAnsi="Times New Roman"/>
          <w:i/>
          <w:iCs/>
        </w:rPr>
        <w:t>26</w:t>
      </w:r>
      <w:r w:rsidRPr="001523EB">
        <w:rPr>
          <w:rFonts w:ascii="Times New Roman" w:hAnsi="Times New Roman"/>
        </w:rPr>
        <w:t>(1), 80–81. https://doi.org/10.1659/0276-4741(2006)026[0080:MANRNC]2.0.CO;2</w:t>
      </w:r>
    </w:p>
    <w:p w14:paraId="3BD443D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Diez, J. M., Williams, P. A., Randall, R. P., Sullivan, J. J., Hulme, P. E., &amp; Duncan, R. P. (2009). Learning from failures: Testing broad taxonomic hypotheses about plant naturalization. </w:t>
      </w:r>
      <w:r w:rsidRPr="001523EB">
        <w:rPr>
          <w:rFonts w:ascii="Times New Roman" w:hAnsi="Times New Roman"/>
          <w:i/>
          <w:iCs/>
        </w:rPr>
        <w:t>Ecology Letters</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(11), 1174–1183. https://doi.org/10.1111/j.1461-0248.2009.01376.x</w:t>
      </w:r>
    </w:p>
    <w:p w14:paraId="593BAA8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Donaldson, S., &amp; Mudd, T. (2010). Sustaining cooperative weed management areas in the long-term. In E. Rindos (Ed.), </w:t>
      </w:r>
      <w:r w:rsidRPr="001523EB">
        <w:rPr>
          <w:rFonts w:ascii="Times New Roman" w:hAnsi="Times New Roman"/>
          <w:i/>
          <w:iCs/>
        </w:rPr>
        <w:t>Plant Invasions: Policies, Politics, and Practices</w:t>
      </w:r>
      <w:r w:rsidRPr="001523EB">
        <w:rPr>
          <w:rFonts w:ascii="Times New Roman" w:hAnsi="Times New Roman"/>
        </w:rPr>
        <w:t xml:space="preserve"> (pp. 88–94). Center for Invasive  Plant Management. https://files.cfc.umt.edu/cesu/FWS/2010/10Galli-Noble_Weeds_Across_Boarders%20_Proceedings.pdf</w:t>
      </w:r>
    </w:p>
    <w:p w14:paraId="61090C6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Doughty, R. W. (2000). </w:t>
      </w:r>
      <w:r w:rsidRPr="001523EB">
        <w:rPr>
          <w:rFonts w:ascii="Times New Roman" w:hAnsi="Times New Roman"/>
          <w:i/>
          <w:iCs/>
        </w:rPr>
        <w:t>The Eucalyptus: A natural and commercial history of the gum tree.</w:t>
      </w:r>
      <w:r w:rsidRPr="001523EB">
        <w:rPr>
          <w:rFonts w:ascii="Times New Roman" w:hAnsi="Times New Roman"/>
        </w:rPr>
        <w:t xml:space="preserve"> Johns Hopkins University Press.</w:t>
      </w:r>
    </w:p>
    <w:p w14:paraId="332E8B3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Driscoll, D. A., Catford, J. A., Barney, J. N., Hulme, P. E., Inderjit, Martin, T. G., Pauchard, A., Pyšek, P., Richardson, D. M., Riley, S., &amp; Visser, V. (2014). New pasture plants intensify invasive species risk. </w:t>
      </w:r>
      <w:r w:rsidRPr="001523EB">
        <w:rPr>
          <w:rFonts w:ascii="Times New Roman" w:hAnsi="Times New Roman"/>
          <w:i/>
          <w:iCs/>
        </w:rPr>
        <w:t>Proceedings of the National Academy of Sciences</w:t>
      </w:r>
      <w:r w:rsidRPr="001523EB">
        <w:rPr>
          <w:rFonts w:ascii="Times New Roman" w:hAnsi="Times New Roman"/>
        </w:rPr>
        <w:t xml:space="preserve">, </w:t>
      </w:r>
      <w:r w:rsidRPr="001523EB">
        <w:rPr>
          <w:rFonts w:ascii="Times New Roman" w:hAnsi="Times New Roman"/>
          <w:i/>
          <w:iCs/>
        </w:rPr>
        <w:t>111</w:t>
      </w:r>
      <w:r w:rsidRPr="001523EB">
        <w:rPr>
          <w:rFonts w:ascii="Times New Roman" w:hAnsi="Times New Roman"/>
        </w:rPr>
        <w:t>(46), 16622–16627. https://doi.org/10.1073/pnas.1409347111</w:t>
      </w:r>
    </w:p>
    <w:p w14:paraId="1B9F79C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Duffy, G. A., Coetzee, B. W. T., Latombe, G., Akerman, A. H., McGeoch, M. A., &amp; Chown, S. L. (2017). Barriers to globally invasive species are weakening across the Antarctic. </w:t>
      </w:r>
      <w:r w:rsidRPr="001523EB">
        <w:rPr>
          <w:rFonts w:ascii="Times New Roman" w:hAnsi="Times New Roman"/>
          <w:i/>
          <w:iCs/>
        </w:rPr>
        <w:t>Diversity and Distributions</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(9), 982–996. https://doi.org/10.1111/ddi.12593</w:t>
      </w:r>
    </w:p>
    <w:p w14:paraId="500E7A2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Durant, S., &amp; Faunce, T. A. (2018). Analysis of Australia’s new biosecurity legislation. </w:t>
      </w:r>
      <w:r w:rsidRPr="001523EB">
        <w:rPr>
          <w:rFonts w:ascii="Times New Roman" w:hAnsi="Times New Roman"/>
          <w:i/>
          <w:iCs/>
        </w:rPr>
        <w:t>Journal of Law and Medicine</w:t>
      </w:r>
      <w:r w:rsidRPr="001523EB">
        <w:rPr>
          <w:rFonts w:ascii="Times New Roman" w:hAnsi="Times New Roman"/>
        </w:rPr>
        <w:t xml:space="preserve">, </w:t>
      </w:r>
      <w:r w:rsidRPr="001523EB">
        <w:rPr>
          <w:rFonts w:ascii="Times New Roman" w:hAnsi="Times New Roman"/>
          <w:i/>
          <w:iCs/>
        </w:rPr>
        <w:t>25</w:t>
      </w:r>
      <w:r w:rsidRPr="001523EB">
        <w:rPr>
          <w:rFonts w:ascii="Times New Roman" w:hAnsi="Times New Roman"/>
        </w:rPr>
        <w:t>(3), 647–654. https://pubmed.ncbi.nlm.nih.gov/29978659/</w:t>
      </w:r>
    </w:p>
    <w:p w14:paraId="5670842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Dutta, W., Basuthakur, P., &amp; Ray, P. (2021). Gardening the menace! </w:t>
      </w:r>
      <w:r w:rsidRPr="001523EB">
        <w:rPr>
          <w:rFonts w:ascii="Times New Roman" w:hAnsi="Times New Roman"/>
          <w:i/>
          <w:iCs/>
        </w:rPr>
        <w:t>Environmental and Sustainability Indicators</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 100148. https://doi.org/10.1016/j.indic.2021.100148</w:t>
      </w:r>
    </w:p>
    <w:p w14:paraId="358BAF0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Early, R., Bradley, B. A., Dukes, J. S., Lawler, J. J., Olden, J. D., Blumenthal, D. M., Gonzalez, P., Grosholz, E. D., Ibañez, I., Miller, L. P., Sorte, C. J. B., &amp; Tatem, A. J. (2016). Global threats from invasive alien species in the twenty-first century and national response capacities. </w:t>
      </w:r>
      <w:r w:rsidRPr="001523EB">
        <w:rPr>
          <w:rFonts w:ascii="Times New Roman" w:hAnsi="Times New Roman"/>
          <w:i/>
          <w:iCs/>
        </w:rPr>
        <w:t>Nature Communications</w:t>
      </w:r>
      <w:r w:rsidRPr="001523EB">
        <w:rPr>
          <w:rFonts w:ascii="Times New Roman" w:hAnsi="Times New Roman"/>
        </w:rPr>
        <w:t xml:space="preserve">, </w:t>
      </w:r>
      <w:r w:rsidRPr="001523EB">
        <w:rPr>
          <w:rFonts w:ascii="Times New Roman" w:hAnsi="Times New Roman"/>
          <w:i/>
          <w:iCs/>
        </w:rPr>
        <w:t>7</w:t>
      </w:r>
      <w:r w:rsidRPr="001523EB">
        <w:rPr>
          <w:rFonts w:ascii="Times New Roman" w:hAnsi="Times New Roman"/>
        </w:rPr>
        <w:t>(1), 12485. https://doi.org/10.1038/ncomms12485</w:t>
      </w:r>
    </w:p>
    <w:p w14:paraId="4AC682F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EASIN. (2021). </w:t>
      </w:r>
      <w:r w:rsidRPr="001523EB">
        <w:rPr>
          <w:rFonts w:ascii="Times New Roman" w:hAnsi="Times New Roman"/>
          <w:i/>
          <w:iCs/>
        </w:rPr>
        <w:t>Guidelines and Codes of Conduct</w:t>
      </w:r>
      <w:r w:rsidRPr="001523EB">
        <w:rPr>
          <w:rFonts w:ascii="Times New Roman" w:hAnsi="Times New Roman"/>
        </w:rPr>
        <w:t>. European Alien Species Information Network. https://easin.jrc.ec.europa.eu/easin/Documentation/Codesofconduct</w:t>
      </w:r>
    </w:p>
    <w:p w14:paraId="3C9B65B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EDDMapS. (2019). </w:t>
      </w:r>
      <w:r w:rsidRPr="001523EB">
        <w:rPr>
          <w:rFonts w:ascii="Times New Roman" w:hAnsi="Times New Roman"/>
          <w:i/>
          <w:iCs/>
        </w:rPr>
        <w:t>EDDMapS</w:t>
      </w:r>
      <w:r w:rsidRPr="001523EB">
        <w:rPr>
          <w:rFonts w:ascii="Times New Roman" w:hAnsi="Times New Roman"/>
        </w:rPr>
        <w:t>. University of Georgia - Center for Invasive Species and Ecosystem Health. https://www.eddmaps.org/index.cfm</w:t>
      </w:r>
    </w:p>
    <w:p w14:paraId="309A26D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Egoh, B. N., Ntshotsho, P., Maoela, M. A., Blanchard, R., Ayompe, L. M., &amp; Rahlao, S. (2020). Setting the scene for achievable post-2020 convention on biological diversity targets: A review of the impacts of invasive alien species on ecosystem services in Africa.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261</w:t>
      </w:r>
      <w:r w:rsidRPr="001523EB">
        <w:rPr>
          <w:rFonts w:ascii="Times New Roman" w:hAnsi="Times New Roman"/>
        </w:rPr>
        <w:t>, 110171. https://doi.org/10.1016/j.jenvman.2020.110171</w:t>
      </w:r>
    </w:p>
    <w:p w14:paraId="24D0447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Ekanayake, E. M. B. P., Xie, Y., Ibrahim, A. S., Karunaratne, N. T. P., &amp; Ahmad, S. (2020). Effective governance for management of invasive alien plants: Evidence from the perspective of forest and wildlife officers in Sri Lanka. </w:t>
      </w:r>
      <w:r w:rsidRPr="001523EB">
        <w:rPr>
          <w:rFonts w:ascii="Times New Roman" w:hAnsi="Times New Roman"/>
          <w:i/>
          <w:iCs/>
        </w:rPr>
        <w:t>PeerJ</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(1), e8343. https://doi.org/10.7717/peerj.8343</w:t>
      </w:r>
    </w:p>
    <w:p w14:paraId="64DF84E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Eldridge, K., Davidson, J., Harwood, C., &amp; Wyk, G. van. (1994). </w:t>
      </w:r>
      <w:r w:rsidRPr="001523EB">
        <w:rPr>
          <w:rFonts w:ascii="Times New Roman" w:hAnsi="Times New Roman"/>
          <w:i/>
          <w:iCs/>
        </w:rPr>
        <w:t>Eucalypt domestication and breeding</w:t>
      </w:r>
      <w:r w:rsidRPr="001523EB">
        <w:rPr>
          <w:rFonts w:ascii="Times New Roman" w:hAnsi="Times New Roman"/>
        </w:rPr>
        <w:t>. Clarendon Press.</w:t>
      </w:r>
    </w:p>
    <w:p w14:paraId="6DFBC0C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Emery, S. B., Mulder, H. A. J., &amp; Frewer, L. J. (2015). Maximizing the Policy Impacts of Public Engagement: A European Study. </w:t>
      </w:r>
      <w:r w:rsidRPr="001523EB">
        <w:rPr>
          <w:rFonts w:ascii="Times New Roman" w:hAnsi="Times New Roman"/>
          <w:i/>
          <w:iCs/>
        </w:rPr>
        <w:t>Science Technology and Human Values</w:t>
      </w:r>
      <w:r w:rsidRPr="001523EB">
        <w:rPr>
          <w:rFonts w:ascii="Times New Roman" w:hAnsi="Times New Roman"/>
        </w:rPr>
        <w:t xml:space="preserve">, </w:t>
      </w:r>
      <w:r w:rsidRPr="001523EB">
        <w:rPr>
          <w:rFonts w:ascii="Times New Roman" w:hAnsi="Times New Roman"/>
          <w:i/>
          <w:iCs/>
        </w:rPr>
        <w:t>40</w:t>
      </w:r>
      <w:r w:rsidRPr="001523EB">
        <w:rPr>
          <w:rFonts w:ascii="Times New Roman" w:hAnsi="Times New Roman"/>
        </w:rPr>
        <w:t>(3), 421–444. https://doi.org/10.1177/0162243914550319</w:t>
      </w:r>
    </w:p>
    <w:p w14:paraId="6E1E969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Engelen, A. H., Serebryakova, A., Ang, P., Britton-Simmons, K., Mineur, F., Pedersen, M. F., Arenas, F., Fernández, C., Steen, H., Svenson, R., Pavia, H., Toth, G., Viard, F., &amp; Santos, R. (2015). Circumglobal Invasion by the Brown Seaweed </w:t>
      </w:r>
      <w:r w:rsidRPr="001523EB">
        <w:rPr>
          <w:rFonts w:ascii="Times New Roman" w:hAnsi="Times New Roman"/>
          <w:i/>
          <w:iCs/>
        </w:rPr>
        <w:t>Sargassum muticum</w:t>
      </w:r>
      <w:r w:rsidRPr="001523EB">
        <w:rPr>
          <w:rFonts w:ascii="Times New Roman" w:hAnsi="Times New Roman"/>
        </w:rPr>
        <w:t xml:space="preserve">. In </w:t>
      </w:r>
      <w:r w:rsidRPr="001523EB">
        <w:rPr>
          <w:rFonts w:ascii="Times New Roman" w:hAnsi="Times New Roman"/>
          <w:i/>
          <w:iCs/>
        </w:rPr>
        <w:t>Oceanography and Marine Biology</w:t>
      </w:r>
      <w:r w:rsidRPr="001523EB">
        <w:rPr>
          <w:rFonts w:ascii="Times New Roman" w:hAnsi="Times New Roman"/>
        </w:rPr>
        <w:t xml:space="preserve"> (Vol. 53, pp. 81–126). CRC Press. https://doi.org/10.1201/b18733-4</w:t>
      </w:r>
    </w:p>
    <w:p w14:paraId="2683D6A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Epanchin-Niell, R. S. (2017). Economics of invasive species policy and management. In </w:t>
      </w:r>
      <w:r w:rsidRPr="001523EB">
        <w:rPr>
          <w:rFonts w:ascii="Times New Roman" w:hAnsi="Times New Roman"/>
          <w:i/>
          <w:iCs/>
        </w:rPr>
        <w:t>Biological Invasions</w:t>
      </w:r>
      <w:r w:rsidRPr="001523EB">
        <w:rPr>
          <w:rFonts w:ascii="Times New Roman" w:hAnsi="Times New Roman"/>
        </w:rPr>
        <w:t xml:space="preserve"> (Vol. 19, Issue 11, pp. 3333–3354). https://doi.org/10.1007/s10530-017-1406-4</w:t>
      </w:r>
    </w:p>
    <w:p w14:paraId="2ACF912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Epanchin-Niell, R. S., Hufford, M. B., Aslan, C. E., Sexton, J. P., Port, J. D., &amp; Waring, T. M. (2010). Controlling invasive species in complex social landscapes. </w:t>
      </w:r>
      <w:r w:rsidRPr="001523EB">
        <w:rPr>
          <w:rFonts w:ascii="Times New Roman" w:hAnsi="Times New Roman"/>
          <w:i/>
          <w:iCs/>
        </w:rPr>
        <w:t>Frontiers in Ecology and the Environment</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(4), 210–216. https://doi.org/10.1890/090029</w:t>
      </w:r>
    </w:p>
    <w:p w14:paraId="77FF502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EPPO. (2009). PM 3/74(1): EPPO guidelines on the development of a Code of conduct on horticulture and invasive alien plants. </w:t>
      </w:r>
      <w:r w:rsidRPr="001523EB">
        <w:rPr>
          <w:rFonts w:ascii="Times New Roman" w:hAnsi="Times New Roman"/>
          <w:i/>
          <w:iCs/>
        </w:rPr>
        <w:t>EPPO Bulletin</w:t>
      </w:r>
      <w:r w:rsidRPr="001523EB">
        <w:rPr>
          <w:rFonts w:ascii="Times New Roman" w:hAnsi="Times New Roman"/>
        </w:rPr>
        <w:t xml:space="preserve">, </w:t>
      </w:r>
      <w:r w:rsidRPr="001523EB">
        <w:rPr>
          <w:rFonts w:ascii="Times New Roman" w:hAnsi="Times New Roman"/>
          <w:i/>
          <w:iCs/>
        </w:rPr>
        <w:t>39</w:t>
      </w:r>
      <w:r w:rsidRPr="001523EB">
        <w:rPr>
          <w:rFonts w:ascii="Times New Roman" w:hAnsi="Times New Roman"/>
        </w:rPr>
        <w:t>(3), 263–266. https://doi.org/10.1111/j.1365-2338.2009.02306.x</w:t>
      </w:r>
    </w:p>
    <w:p w14:paraId="18B254E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Esler, K. J., Prozesky, H., Sharma, G. P., &amp; McGeoch, M. A. (2010). How wide is the “knowing-doing” gap in invasion biology?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(12), 4065–4075. https://doi.org/10.1007/s10530-010-9812-x</w:t>
      </w:r>
    </w:p>
    <w:p w14:paraId="0C7054C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Essl, F., Bacher, S., Genovesi, P., Hulme, P. E., Jeschke, J. M., Katsanevakis, S., Kowarik, I., Kühn, I., Pyšek, P., Rabitsch, W., Schindler, S., van Kleunen, M., Vilà, M., Wilson, J. R. U., &amp; Richardson, D. M. (2018). Which taxa are alien? Criteria, applications, and uncertainties. </w:t>
      </w:r>
      <w:r w:rsidRPr="001523EB">
        <w:rPr>
          <w:rFonts w:ascii="Times New Roman" w:hAnsi="Times New Roman"/>
          <w:i/>
          <w:iCs/>
        </w:rPr>
        <w:t>BioScience</w:t>
      </w:r>
      <w:r w:rsidRPr="001523EB">
        <w:rPr>
          <w:rFonts w:ascii="Times New Roman" w:hAnsi="Times New Roman"/>
        </w:rPr>
        <w:t xml:space="preserve">, </w:t>
      </w:r>
      <w:r w:rsidRPr="001523EB">
        <w:rPr>
          <w:rFonts w:ascii="Times New Roman" w:hAnsi="Times New Roman"/>
          <w:i/>
          <w:iCs/>
        </w:rPr>
        <w:t>68</w:t>
      </w:r>
      <w:r w:rsidRPr="001523EB">
        <w:rPr>
          <w:rFonts w:ascii="Times New Roman" w:hAnsi="Times New Roman"/>
        </w:rPr>
        <w:t>(7), 496–509. https://doi.org/10.1093/biosci/biy057</w:t>
      </w:r>
    </w:p>
    <w:p w14:paraId="4C70F98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Essl, F., Dullinger, S., Rabitsch, W., Hulme, P. E., Hülber, K., Jarošík, V., Kleinbauer, I., Krausmann, F., Kühn, I., Nentwig, W., Vilà, M., Genovesi, P., Gherardi, F., Desprez-Loustau, M.-L., Roques, A., &amp; Pyšek, P. (2011). Socioeconomic legacy yields an invasion debt. </w:t>
      </w:r>
      <w:r w:rsidRPr="001523EB">
        <w:rPr>
          <w:rFonts w:ascii="Times New Roman" w:hAnsi="Times New Roman"/>
          <w:i/>
          <w:iCs/>
        </w:rPr>
        <w:t>Proceedings of the National Academy of Sciences</w:t>
      </w:r>
      <w:r w:rsidRPr="001523EB">
        <w:rPr>
          <w:rFonts w:ascii="Times New Roman" w:hAnsi="Times New Roman"/>
        </w:rPr>
        <w:t xml:space="preserve">, </w:t>
      </w:r>
      <w:r w:rsidRPr="001523EB">
        <w:rPr>
          <w:rFonts w:ascii="Times New Roman" w:hAnsi="Times New Roman"/>
          <w:i/>
          <w:iCs/>
        </w:rPr>
        <w:t>108</w:t>
      </w:r>
      <w:r w:rsidRPr="001523EB">
        <w:rPr>
          <w:rFonts w:ascii="Times New Roman" w:hAnsi="Times New Roman"/>
        </w:rPr>
        <w:t>(1), 203–207. https://doi.org/10.1073/pnas.1011728108</w:t>
      </w:r>
    </w:p>
    <w:p w14:paraId="2520D84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Essl, F., Latombe, G., Lenzner, B., Pagad, S., Seebens, H., Smith, K., Wilson, J. R. U., &amp; Genovesi, P. (2020). The Convention on Biological Diversity (CBD)’s Post-2020 target on invasive alien species – what should it include and how should it be monitored? </w:t>
      </w:r>
      <w:r w:rsidRPr="001523EB">
        <w:rPr>
          <w:rFonts w:ascii="Times New Roman" w:hAnsi="Times New Roman"/>
          <w:i/>
          <w:iCs/>
        </w:rPr>
        <w:t>NeoBiota</w:t>
      </w:r>
      <w:r w:rsidRPr="001523EB">
        <w:rPr>
          <w:rFonts w:ascii="Times New Roman" w:hAnsi="Times New Roman"/>
        </w:rPr>
        <w:t xml:space="preserve">, </w:t>
      </w:r>
      <w:r w:rsidRPr="001523EB">
        <w:rPr>
          <w:rFonts w:ascii="Times New Roman" w:hAnsi="Times New Roman"/>
          <w:i/>
          <w:iCs/>
        </w:rPr>
        <w:t>62</w:t>
      </w:r>
      <w:r w:rsidRPr="001523EB">
        <w:rPr>
          <w:rFonts w:ascii="Times New Roman" w:hAnsi="Times New Roman"/>
        </w:rPr>
        <w:t>, 99–121. https://doi.org/10.3897/neobiota.62.53972</w:t>
      </w:r>
    </w:p>
    <w:p w14:paraId="7816E74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Essl, F., Lenzner, B., Bacher, S., Bailey, S., Capinha, C., Daehler, C., Dullinger, S., Genovesi, P., Hui, C., Hulme, P. E., Jeschke, J. M., Katsanevakis, S., Kühn, I., Leung, B., Liebhold, A., Liu, C., MacIsaac, H. J., Meyerson, L. A., Nuñez, M. A., </w:t>
      </w:r>
      <w:r w:rsidRPr="001523EB">
        <w:rPr>
          <w:rFonts w:ascii="Times New Roman" w:hAnsi="Times New Roman" w:hint="eastAsia"/>
        </w:rPr>
        <w:t>…</w:t>
      </w:r>
      <w:r w:rsidRPr="001523EB">
        <w:rPr>
          <w:rFonts w:ascii="Times New Roman" w:hAnsi="Times New Roman"/>
        </w:rPr>
        <w:t xml:space="preserve"> Roura</w:t>
      </w:r>
      <w:r w:rsidRPr="001523EB">
        <w:rPr>
          <w:rFonts w:ascii="Times New Roman" w:hAnsi="Times New Roman" w:hint="eastAsia"/>
        </w:rPr>
        <w:t>‐</w:t>
      </w:r>
      <w:r w:rsidRPr="001523EB">
        <w:rPr>
          <w:rFonts w:ascii="Times New Roman" w:hAnsi="Times New Roman"/>
        </w:rPr>
        <w:t>Pascual, N. (2020). Drivers of future alien species impacts: An expert</w:t>
      </w:r>
      <w:r w:rsidRPr="001523EB">
        <w:rPr>
          <w:rFonts w:ascii="Times New Roman" w:hAnsi="Times New Roman" w:hint="eastAsia"/>
        </w:rPr>
        <w:t>‐</w:t>
      </w:r>
      <w:r w:rsidRPr="001523EB">
        <w:rPr>
          <w:rFonts w:ascii="Times New Roman" w:hAnsi="Times New Roman"/>
        </w:rPr>
        <w:t xml:space="preserve">based assessment. </w:t>
      </w:r>
      <w:r w:rsidRPr="001523EB">
        <w:rPr>
          <w:rFonts w:ascii="Times New Roman" w:hAnsi="Times New Roman"/>
          <w:i/>
          <w:iCs/>
        </w:rPr>
        <w:t>Global Change Biology</w:t>
      </w:r>
      <w:r w:rsidRPr="001523EB">
        <w:rPr>
          <w:rFonts w:ascii="Times New Roman" w:hAnsi="Times New Roman"/>
        </w:rPr>
        <w:t xml:space="preserve">, </w:t>
      </w:r>
      <w:r w:rsidRPr="001523EB">
        <w:rPr>
          <w:rFonts w:ascii="Times New Roman" w:hAnsi="Times New Roman"/>
          <w:i/>
          <w:iCs/>
        </w:rPr>
        <w:t>26</w:t>
      </w:r>
      <w:r w:rsidRPr="001523EB">
        <w:rPr>
          <w:rFonts w:ascii="Times New Roman" w:hAnsi="Times New Roman"/>
        </w:rPr>
        <w:t>(9), 4880–4893. https://doi.org/10.1111/gcb.15199</w:t>
      </w:r>
    </w:p>
    <w:p w14:paraId="21B3587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Estévez, R. A., Anderson, C. B., Pizarro, J. C., &amp; Burgman, M. A. (2015). Clarifying values, risk perceptions, and attitudes to resolve or avoid social conflicts in invasive species management.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29</w:t>
      </w:r>
      <w:r w:rsidRPr="001523EB">
        <w:rPr>
          <w:rFonts w:ascii="Times New Roman" w:hAnsi="Times New Roman"/>
        </w:rPr>
        <w:t>(1), 19–30. https://doi.org/10.1111/cobi.12359</w:t>
      </w:r>
    </w:p>
    <w:p w14:paraId="7854FC8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Estoup, A., &amp; Guillemaud, T. (2010). Reconstructing routes of invasion using genetic data: Why, how and so what? </w:t>
      </w:r>
      <w:r w:rsidRPr="001523EB">
        <w:rPr>
          <w:rFonts w:ascii="Times New Roman" w:hAnsi="Times New Roman"/>
          <w:i/>
          <w:iCs/>
        </w:rPr>
        <w:t>Molecular Ecology</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(19), 4113–4130. https://doi.org/10.1111/j.1365-294X.2010.04773.x</w:t>
      </w:r>
    </w:p>
    <w:p w14:paraId="6F68D58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EU. (2018). </w:t>
      </w:r>
      <w:r w:rsidRPr="001523EB">
        <w:rPr>
          <w:rFonts w:ascii="Times New Roman" w:hAnsi="Times New Roman"/>
          <w:i/>
          <w:iCs/>
        </w:rPr>
        <w:t>Directive (EU) 2018/2001 of the European Parliament and of the Council of 11 December 2018 on the promotion of the use of energy from renewable sources (Text with EEA relevance.)</w:t>
      </w:r>
      <w:r w:rsidRPr="001523EB">
        <w:rPr>
          <w:rFonts w:ascii="Times New Roman" w:hAnsi="Times New Roman"/>
        </w:rPr>
        <w:t>. Official Journal of the European Union. https://eur-lex.europa.eu/legal-content/EN/TXT/?uri=uriserv:OJ.L_.2018.328.01.0082.01.ENG&amp;toc=OJ:L:2018:328:TOC</w:t>
      </w:r>
    </w:p>
    <w:p w14:paraId="23D5950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European Commission. (2021). </w:t>
      </w:r>
      <w:r w:rsidRPr="001523EB">
        <w:rPr>
          <w:rFonts w:ascii="Times New Roman" w:hAnsi="Times New Roman"/>
          <w:i/>
          <w:iCs/>
        </w:rPr>
        <w:t>Reforming the WTO – Towards a sustainable and effective multilateral trading system</w:t>
      </w:r>
      <w:r w:rsidRPr="001523EB">
        <w:rPr>
          <w:rFonts w:ascii="Times New Roman" w:hAnsi="Times New Roman"/>
        </w:rPr>
        <w:t>. Publications Office of the European Union. https://data.europa.eu/doi/10.2781/272480</w:t>
      </w:r>
    </w:p>
    <w:p w14:paraId="53C2414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European Environment Agency. (2010a). </w:t>
      </w:r>
      <w:r w:rsidRPr="001523EB">
        <w:rPr>
          <w:rFonts w:ascii="Times New Roman" w:hAnsi="Times New Roman"/>
          <w:i/>
          <w:iCs/>
        </w:rPr>
        <w:t>Assessing biodiversity in Europe: The 2010 report</w:t>
      </w:r>
      <w:r w:rsidRPr="001523EB">
        <w:rPr>
          <w:rFonts w:ascii="Times New Roman" w:hAnsi="Times New Roman"/>
        </w:rPr>
        <w:t>. Publications Office. https://data.europa.eu/doi/10.2800/42824</w:t>
      </w:r>
    </w:p>
    <w:p w14:paraId="5E4EE23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European Environment Agency. (2010b). </w:t>
      </w:r>
      <w:r w:rsidRPr="001523EB">
        <w:rPr>
          <w:rFonts w:ascii="Times New Roman" w:hAnsi="Times New Roman"/>
          <w:i/>
          <w:iCs/>
        </w:rPr>
        <w:t>Towards an early warning and information system for invasive alien species (IAS) threatening biodiversity in Europe</w:t>
      </w:r>
      <w:r w:rsidRPr="001523EB">
        <w:rPr>
          <w:rFonts w:ascii="Times New Roman" w:hAnsi="Times New Roman"/>
        </w:rPr>
        <w:t xml:space="preserve"> (EEA Technical Report 5; p. 47).</w:t>
      </w:r>
    </w:p>
    <w:p w14:paraId="13490BE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Evans, J. M., Wilkie, A. C., &amp; Burkhardt, J. (2008). Adaptive management of nonnative species: Moving beyond the “either-or” through experimental pluralism. </w:t>
      </w:r>
      <w:r w:rsidRPr="001523EB">
        <w:rPr>
          <w:rFonts w:ascii="Times New Roman" w:hAnsi="Times New Roman"/>
          <w:i/>
          <w:iCs/>
        </w:rPr>
        <w:t>Journal of Agricultural and Environmental Ethics</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(6), 521–539. https://doi.org/10.1007/s10806-008-9118-5</w:t>
      </w:r>
    </w:p>
    <w:p w14:paraId="745A986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Evans, T., &amp; Blackburn, T. M. (2020). Global variation in the availability of data on the environmental impacts of alien birds.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 1027–1036. https://doi.org/10.1007/s10530-019-02153-z</w:t>
      </w:r>
    </w:p>
    <w:p w14:paraId="5295681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Evans, T., Ermgassen, P. zu, Amano, T., &amp; Peh, K. S.-H. (2018). Does governance play a role in the distribution of invasive alien species? </w:t>
      </w:r>
      <w:r w:rsidRPr="001523EB">
        <w:rPr>
          <w:rFonts w:ascii="Times New Roman" w:hAnsi="Times New Roman"/>
          <w:i/>
          <w:iCs/>
        </w:rPr>
        <w:t>Ecology and Evolution</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(4), 1984–1994. https://doi.org/10.1002/ece3.3744</w:t>
      </w:r>
    </w:p>
    <w:p w14:paraId="48C6BE2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Eysenbach, G. (2006). Citation Advantage of Open Access Articles. </w:t>
      </w:r>
      <w:r w:rsidRPr="001523EB">
        <w:rPr>
          <w:rFonts w:ascii="Times New Roman" w:hAnsi="Times New Roman"/>
          <w:i/>
          <w:iCs/>
        </w:rPr>
        <w:t>PLoS Biology</w:t>
      </w:r>
      <w:r w:rsidRPr="001523EB">
        <w:rPr>
          <w:rFonts w:ascii="Times New Roman" w:hAnsi="Times New Roman"/>
        </w:rPr>
        <w:t xml:space="preserve">, </w:t>
      </w:r>
      <w:r w:rsidRPr="001523EB">
        <w:rPr>
          <w:rFonts w:ascii="Times New Roman" w:hAnsi="Times New Roman"/>
          <w:i/>
          <w:iCs/>
        </w:rPr>
        <w:t>4</w:t>
      </w:r>
      <w:r w:rsidRPr="001523EB">
        <w:rPr>
          <w:rFonts w:ascii="Times New Roman" w:hAnsi="Times New Roman"/>
        </w:rPr>
        <w:t>(5), e157. https://doi.org/10.1371/journal.pbio.0040157</w:t>
      </w:r>
    </w:p>
    <w:p w14:paraId="0B7AA84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Failing, L., Gregory, R., &amp; Higgins, P. (2013). Science, Uncertainty, and Values in Ecological Restoration: A Case Study in Structured Decision-Making and Adaptive Management. </w:t>
      </w:r>
      <w:r w:rsidRPr="001523EB">
        <w:rPr>
          <w:rFonts w:ascii="Times New Roman" w:hAnsi="Times New Roman"/>
          <w:i/>
          <w:iCs/>
        </w:rPr>
        <w:t>Restoration Ecology</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(4), 422–430. https://doi.org/10.1111/j.1526-100X.2012.00919.x</w:t>
      </w:r>
    </w:p>
    <w:p w14:paraId="7B9777A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Fajardo del Castillo, T. (2016). The European Union’s approach in the fight against wildlife trafficking: Challenges ahead. </w:t>
      </w:r>
      <w:r w:rsidRPr="001523EB">
        <w:rPr>
          <w:rFonts w:ascii="Times New Roman" w:hAnsi="Times New Roman"/>
          <w:i/>
          <w:iCs/>
        </w:rPr>
        <w:t>Journal of International Wildlife Law &amp; Policy</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(1), 1–21. https://doi.org/10.1080/13880292.2016.1131516</w:t>
      </w:r>
    </w:p>
    <w:p w14:paraId="7CD607C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Falk, B. G., Snow, R. W., &amp; Reed, R. N. (2016). Prospects and Limitations of Citizen Science in Invasive Species Management: A Case Study with Burmese Pythons in Everglades National Park. </w:t>
      </w:r>
      <w:r w:rsidRPr="001523EB">
        <w:rPr>
          <w:rFonts w:ascii="Times New Roman" w:hAnsi="Times New Roman"/>
          <w:i/>
          <w:iCs/>
        </w:rPr>
        <w:t>Southeastern Naturalist</w:t>
      </w:r>
      <w:r w:rsidRPr="001523EB">
        <w:rPr>
          <w:rFonts w:ascii="Times New Roman" w:hAnsi="Times New Roman"/>
        </w:rPr>
        <w:t xml:space="preserve">, </w:t>
      </w:r>
      <w:r w:rsidRPr="001523EB">
        <w:rPr>
          <w:rFonts w:ascii="Times New Roman" w:hAnsi="Times New Roman"/>
          <w:i/>
          <w:iCs/>
        </w:rPr>
        <w:t>15</w:t>
      </w:r>
      <w:r w:rsidRPr="001523EB">
        <w:rPr>
          <w:rFonts w:ascii="Times New Roman" w:hAnsi="Times New Roman"/>
        </w:rPr>
        <w:t>(sp8), 89–102. https://doi.org/10.1656/058.015.sp806</w:t>
      </w:r>
    </w:p>
    <w:p w14:paraId="39F61DE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Falkenmark, M. (2007). Good ecosystem governance: Balancing ecosystems and social needs. In A. R. Turton, H. J. Hattingh, G. A. Maree, D. J. Roux, M. Claassen, &amp; W. F. Strydom (Eds.), </w:t>
      </w:r>
      <w:r w:rsidRPr="001523EB">
        <w:rPr>
          <w:rFonts w:ascii="Times New Roman" w:hAnsi="Times New Roman"/>
          <w:i/>
          <w:iCs/>
        </w:rPr>
        <w:t>Governance as a Trialogue: Government-Society-Science in Transition</w:t>
      </w:r>
      <w:r w:rsidRPr="001523EB">
        <w:rPr>
          <w:rFonts w:ascii="Times New Roman" w:hAnsi="Times New Roman"/>
        </w:rPr>
        <w:t xml:space="preserve"> (pp. 59–76). Springer. https://doi.org/10.1007/978-3-540-46266-8_4</w:t>
      </w:r>
    </w:p>
    <w:p w14:paraId="31E656C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FAO. (2003). </w:t>
      </w:r>
      <w:r w:rsidRPr="001523EB">
        <w:rPr>
          <w:rFonts w:ascii="Times New Roman" w:hAnsi="Times New Roman"/>
          <w:i/>
          <w:iCs/>
        </w:rPr>
        <w:t>Report of the Fifth Interim Commission on Phytosanitary Measures, 7-11 April 2003.</w:t>
      </w:r>
      <w:r w:rsidRPr="001523EB">
        <w:rPr>
          <w:rFonts w:ascii="Times New Roman" w:hAnsi="Times New Roman"/>
        </w:rPr>
        <w:t xml:space="preserve"> (ICPM 03). Food and Agriculture Organization of the United Nations. https://assets.ippc.int/static/media/files/publication/en/2016/11/Report_ICPM-5_2003_Apr_2003-05-23_BneT8OP.pdf</w:t>
      </w:r>
    </w:p>
    <w:p w14:paraId="6C9BCFA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FAO. (2011). </w:t>
      </w:r>
      <w:r w:rsidRPr="001523EB">
        <w:rPr>
          <w:rFonts w:ascii="Times New Roman" w:hAnsi="Times New Roman"/>
          <w:i/>
          <w:iCs/>
        </w:rPr>
        <w:t>A value chain approach to animal diseases risk management – Technical foundations and practical framework for field application</w:t>
      </w:r>
      <w:r w:rsidRPr="001523EB">
        <w:rPr>
          <w:rFonts w:ascii="Times New Roman" w:hAnsi="Times New Roman"/>
        </w:rPr>
        <w:t xml:space="preserve"> (N. Taylor &amp; J. Rushton, Eds.). Food and Agriculture Organization of the United Nations.</w:t>
      </w:r>
    </w:p>
    <w:p w14:paraId="307B39A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FAO. (2016). </w:t>
      </w:r>
      <w:r w:rsidRPr="001523EB">
        <w:rPr>
          <w:rFonts w:ascii="Times New Roman" w:hAnsi="Times New Roman"/>
          <w:i/>
          <w:iCs/>
        </w:rPr>
        <w:t>National Aquaculture Sector Overview–Argentina</w:t>
      </w:r>
      <w:r w:rsidRPr="001523EB">
        <w:rPr>
          <w:rFonts w:ascii="Times New Roman" w:hAnsi="Times New Roman"/>
        </w:rPr>
        <w:t>. National aquaculture sector overview fact sheets. Food and Agriculture …. https://www.fao.org/fishery/en/countrysector/naso_argentina</w:t>
      </w:r>
    </w:p>
    <w:p w14:paraId="0260783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FAO. (2019). </w:t>
      </w:r>
      <w:r w:rsidRPr="001523EB">
        <w:rPr>
          <w:rFonts w:ascii="Times New Roman" w:hAnsi="Times New Roman"/>
          <w:i/>
          <w:iCs/>
        </w:rPr>
        <w:t>The State of the World’s Biodiversity for Food and Agriculture</w:t>
      </w:r>
      <w:r w:rsidRPr="001523EB">
        <w:rPr>
          <w:rFonts w:ascii="Times New Roman" w:hAnsi="Times New Roman"/>
        </w:rPr>
        <w:t xml:space="preserve"> (D. Pilling &amp; J. Bélanger, Eds.). Food and Agriculture Organization of the United Nations. https://doi.org/10.4060/CA3129EN</w:t>
      </w:r>
    </w:p>
    <w:p w14:paraId="49F1A68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Faulkner, K. T., Hulme, P. E., Pagad, S., Wilson, J. R. U., &amp; Robertson, M. P. (2020). Classifying the introduction pathways of alien species: Are we moving in the right direction? </w:t>
      </w:r>
      <w:r w:rsidRPr="001523EB">
        <w:rPr>
          <w:rFonts w:ascii="Times New Roman" w:hAnsi="Times New Roman"/>
          <w:i/>
          <w:iCs/>
        </w:rPr>
        <w:t>NeoBiota</w:t>
      </w:r>
      <w:r w:rsidRPr="001523EB">
        <w:rPr>
          <w:rFonts w:ascii="Times New Roman" w:hAnsi="Times New Roman"/>
        </w:rPr>
        <w:t xml:space="preserve">, </w:t>
      </w:r>
      <w:r w:rsidRPr="001523EB">
        <w:rPr>
          <w:rFonts w:ascii="Times New Roman" w:hAnsi="Times New Roman"/>
          <w:i/>
          <w:iCs/>
        </w:rPr>
        <w:t>62</w:t>
      </w:r>
      <w:r w:rsidRPr="001523EB">
        <w:rPr>
          <w:rFonts w:ascii="Times New Roman" w:hAnsi="Times New Roman"/>
        </w:rPr>
        <w:t>, 143–159. https://doi.org/10.3897/neobiota.62.53543</w:t>
      </w:r>
    </w:p>
    <w:p w14:paraId="568F931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Faulkner, K. T., Robertson, M. P., Rouget, M., &amp; Wilson, J. R. U. (2016). Understanding and managing the introduction pathways of alien taxa: South Africa as a case study.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18</w:t>
      </w:r>
      <w:r w:rsidRPr="001523EB">
        <w:rPr>
          <w:rFonts w:ascii="Times New Roman" w:hAnsi="Times New Roman"/>
        </w:rPr>
        <w:t>(1), Article 1. https://doi.org/10.1007/s10530-015-0990-4</w:t>
      </w:r>
    </w:p>
    <w:p w14:paraId="5D0AD3B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Fenichel, E. P., &amp; Abbott, J. K. (2014). Natural capital: From metaphor to measurement. </w:t>
      </w:r>
      <w:r w:rsidRPr="001523EB">
        <w:rPr>
          <w:rFonts w:ascii="Times New Roman" w:hAnsi="Times New Roman"/>
          <w:i/>
          <w:iCs/>
        </w:rPr>
        <w:t>Journal of the Association of Environmental and Resource Economists</w:t>
      </w:r>
      <w:r w:rsidRPr="001523EB">
        <w:rPr>
          <w:rFonts w:ascii="Times New Roman" w:hAnsi="Times New Roman"/>
        </w:rPr>
        <w:t xml:space="preserve">, </w:t>
      </w:r>
      <w:r w:rsidRPr="001523EB">
        <w:rPr>
          <w:rFonts w:ascii="Times New Roman" w:hAnsi="Times New Roman"/>
          <w:i/>
          <w:iCs/>
        </w:rPr>
        <w:t>1</w:t>
      </w:r>
      <w:r w:rsidRPr="001523EB">
        <w:rPr>
          <w:rFonts w:ascii="Times New Roman" w:hAnsi="Times New Roman"/>
        </w:rPr>
        <w:t>(1/2), 1–27. https://doi.org/10.1086/6760341</w:t>
      </w:r>
    </w:p>
    <w:p w14:paraId="0368DEB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Fenichel, E. P., Richards, T. J., &amp; Shanafelt, D. W. (2014). The Control of Invasive Species on Private Property with Neighbor-to-Neighbor Spillovers. </w:t>
      </w:r>
      <w:r w:rsidRPr="001523EB">
        <w:rPr>
          <w:rFonts w:ascii="Times New Roman" w:hAnsi="Times New Roman"/>
          <w:i/>
          <w:iCs/>
        </w:rPr>
        <w:t>Environmental and Resource Economics</w:t>
      </w:r>
      <w:r w:rsidRPr="001523EB">
        <w:rPr>
          <w:rFonts w:ascii="Times New Roman" w:hAnsi="Times New Roman"/>
        </w:rPr>
        <w:t xml:space="preserve">, </w:t>
      </w:r>
      <w:r w:rsidRPr="001523EB">
        <w:rPr>
          <w:rFonts w:ascii="Times New Roman" w:hAnsi="Times New Roman"/>
          <w:i/>
          <w:iCs/>
        </w:rPr>
        <w:t>59</w:t>
      </w:r>
      <w:r w:rsidRPr="001523EB">
        <w:rPr>
          <w:rFonts w:ascii="Times New Roman" w:hAnsi="Times New Roman"/>
        </w:rPr>
        <w:t>(2), 231–255. https://doi.org/10.1007/s10640-013-9726-z</w:t>
      </w:r>
    </w:p>
    <w:p w14:paraId="6934ADA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Féral, J.-P. (2002). How useful are the genetic markers in attempts to understand and manage marine biodiversity? </w:t>
      </w:r>
      <w:r w:rsidRPr="001523EB">
        <w:rPr>
          <w:rFonts w:ascii="Times New Roman" w:hAnsi="Times New Roman"/>
          <w:i/>
          <w:iCs/>
        </w:rPr>
        <w:t>Journal of Experimental Marine Biology and Ecology</w:t>
      </w:r>
      <w:r w:rsidRPr="001523EB">
        <w:rPr>
          <w:rFonts w:ascii="Times New Roman" w:hAnsi="Times New Roman"/>
        </w:rPr>
        <w:t xml:space="preserve">, </w:t>
      </w:r>
      <w:r w:rsidRPr="001523EB">
        <w:rPr>
          <w:rFonts w:ascii="Times New Roman" w:hAnsi="Times New Roman"/>
          <w:i/>
          <w:iCs/>
        </w:rPr>
        <w:t>268</w:t>
      </w:r>
      <w:r w:rsidRPr="001523EB">
        <w:rPr>
          <w:rFonts w:ascii="Times New Roman" w:hAnsi="Times New Roman"/>
        </w:rPr>
        <w:t>(2), 121–145. https://doi.org/10.1016/S0022-0981(01)00382-3</w:t>
      </w:r>
    </w:p>
    <w:p w14:paraId="24F7C39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Fernandez, L. (2011). Economic incentives to prevent aquatic invasive species in wetlands. </w:t>
      </w:r>
      <w:r w:rsidRPr="001523EB">
        <w:rPr>
          <w:rFonts w:ascii="Times New Roman" w:hAnsi="Times New Roman"/>
          <w:i/>
          <w:iCs/>
        </w:rPr>
        <w:t>Canadian Journal of Agricultural Economics/Revue Canadienne d’agroeconomie</w:t>
      </w:r>
      <w:r w:rsidRPr="001523EB">
        <w:rPr>
          <w:rFonts w:ascii="Times New Roman" w:hAnsi="Times New Roman"/>
        </w:rPr>
        <w:t xml:space="preserve">, </w:t>
      </w:r>
      <w:r w:rsidRPr="001523EB">
        <w:rPr>
          <w:rFonts w:ascii="Times New Roman" w:hAnsi="Times New Roman"/>
          <w:i/>
          <w:iCs/>
        </w:rPr>
        <w:t>59</w:t>
      </w:r>
      <w:r w:rsidRPr="001523EB">
        <w:rPr>
          <w:rFonts w:ascii="Times New Roman" w:hAnsi="Times New Roman"/>
        </w:rPr>
        <w:t>(2), 281–293. https://doi.org/10.1111/j.1744-7976.2011.01218.x</w:t>
      </w:r>
    </w:p>
    <w:p w14:paraId="5016D6A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Finkel, S. E., &amp; Muller, E. N. (1998). Rational Choice and the Dynamics of Collective Political Action: Evaluating Alternative Models with Panel Data. </w:t>
      </w:r>
      <w:r w:rsidRPr="001523EB">
        <w:rPr>
          <w:rFonts w:ascii="Times New Roman" w:hAnsi="Times New Roman"/>
          <w:i/>
          <w:iCs/>
        </w:rPr>
        <w:t>The American Political Science Review</w:t>
      </w:r>
      <w:r w:rsidRPr="001523EB">
        <w:rPr>
          <w:rFonts w:ascii="Times New Roman" w:hAnsi="Times New Roman"/>
        </w:rPr>
        <w:t xml:space="preserve">, </w:t>
      </w:r>
      <w:r w:rsidRPr="001523EB">
        <w:rPr>
          <w:rFonts w:ascii="Times New Roman" w:hAnsi="Times New Roman"/>
          <w:i/>
          <w:iCs/>
        </w:rPr>
        <w:t>92</w:t>
      </w:r>
      <w:r w:rsidRPr="001523EB">
        <w:rPr>
          <w:rFonts w:ascii="Times New Roman" w:hAnsi="Times New Roman"/>
        </w:rPr>
        <w:t>(1), 37–49. https://doi.org/10.2307/2585927</w:t>
      </w:r>
    </w:p>
    <w:p w14:paraId="1735FFB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Fischer, A., Selge, S., van der Wal, R., &amp; Larson, B. M. H. (2014). The Public and Professionals Reason Similarly about the Management of Non-Native Invasive Species: A Quantitative Investigation of the Relationship between Beliefs and Attitudes.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(8), e105495. https://doi.org/10.1371/journal.pone.0105495</w:t>
      </w:r>
    </w:p>
    <w:p w14:paraId="0D9EEB2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Ford-Thompson, A. E. S., Snell, C., Saunders, G., &amp; White, P. C. L. (2012). Stakeholder Participation in Management of Invasive Vertebrates.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26</w:t>
      </w:r>
      <w:r w:rsidRPr="001523EB">
        <w:rPr>
          <w:rFonts w:ascii="Times New Roman" w:hAnsi="Times New Roman"/>
        </w:rPr>
        <w:t>(2), 345–356. https://doi.org/10.1111/j.1523-1739.2011.01819.x</w:t>
      </w:r>
    </w:p>
    <w:p w14:paraId="24B0772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Fournier, A., Penone, C., Grazia Pennino, M., &amp; Courchamp, F. (2019). Predicting future invaders and future invasions. </w:t>
      </w:r>
      <w:r w:rsidRPr="001523EB">
        <w:rPr>
          <w:rFonts w:ascii="Times New Roman" w:hAnsi="Times New Roman"/>
          <w:i/>
          <w:iCs/>
        </w:rPr>
        <w:t>Proceedings of the National Academy of Sciences of the United States of America</w:t>
      </w:r>
      <w:r w:rsidRPr="001523EB">
        <w:rPr>
          <w:rFonts w:ascii="Times New Roman" w:hAnsi="Times New Roman"/>
        </w:rPr>
        <w:t xml:space="preserve">, </w:t>
      </w:r>
      <w:r w:rsidRPr="001523EB">
        <w:rPr>
          <w:rFonts w:ascii="Times New Roman" w:hAnsi="Times New Roman"/>
          <w:i/>
          <w:iCs/>
        </w:rPr>
        <w:t>116</w:t>
      </w:r>
      <w:r w:rsidRPr="001523EB">
        <w:rPr>
          <w:rFonts w:ascii="Times New Roman" w:hAnsi="Times New Roman"/>
        </w:rPr>
        <w:t>(16), 7905–7910. https://doi.org/10.1073/pnas.1803456116</w:t>
      </w:r>
    </w:p>
    <w:p w14:paraId="20D73B2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Foxcroft, L. C., Pyšek, P., Richardson, D. M., &amp; Genovesi, P. (Eds.). (2013). </w:t>
      </w:r>
      <w:r w:rsidRPr="001523EB">
        <w:rPr>
          <w:rFonts w:ascii="Times New Roman" w:hAnsi="Times New Roman"/>
          <w:i/>
          <w:iCs/>
        </w:rPr>
        <w:t>Plant invasions in protected areas: Patterns, problems and challenges</w:t>
      </w:r>
      <w:r w:rsidRPr="001523EB">
        <w:rPr>
          <w:rFonts w:ascii="Times New Roman" w:hAnsi="Times New Roman"/>
        </w:rPr>
        <w:t xml:space="preserve"> (Vol. 7). Springer Science &amp; Business Media. https://doi.org/10.1007/978-94-007-7750-7</w:t>
      </w:r>
    </w:p>
    <w:p w14:paraId="7C042A6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Foxcroft, L. C., Pyšek, P., Richardson, D. M., Genovesi, P., &amp; MacFadyen, S. (2017). Plant invasion science in protected areas: Progress and priorities.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(5), 1353–1378. https://doi.org/10.1007/s10530-016-1367-z</w:t>
      </w:r>
    </w:p>
    <w:p w14:paraId="46DC250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Francour, P., Mangialajo, L., &amp; Pastor, J. (2010). Mediterranean marine protected areas and non-indigenous fish spreading. In D. Golani &amp; B. Appelbaum-Golani (Eds.), </w:t>
      </w:r>
      <w:r w:rsidRPr="001523EB">
        <w:rPr>
          <w:rFonts w:ascii="Times New Roman" w:hAnsi="Times New Roman"/>
          <w:i/>
          <w:iCs/>
        </w:rPr>
        <w:t>Fish Invasions of the Mediterranean Sea: Change and Renewal</w:t>
      </w:r>
      <w:r w:rsidRPr="001523EB">
        <w:rPr>
          <w:rFonts w:ascii="Times New Roman" w:hAnsi="Times New Roman"/>
        </w:rPr>
        <w:t xml:space="preserve"> (pp. 127–144). Pensoft Publishers.</w:t>
      </w:r>
    </w:p>
    <w:p w14:paraId="0684AB5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Frankham, R., Ballou, J. D., &amp; Briscoe, D. A. (2010). </w:t>
      </w:r>
      <w:r w:rsidRPr="001523EB">
        <w:rPr>
          <w:rFonts w:ascii="Times New Roman" w:hAnsi="Times New Roman"/>
          <w:i/>
          <w:iCs/>
        </w:rPr>
        <w:t>Introduction to Conservation Genetics</w:t>
      </w:r>
      <w:r w:rsidRPr="001523EB">
        <w:rPr>
          <w:rFonts w:ascii="Times New Roman" w:hAnsi="Times New Roman"/>
        </w:rPr>
        <w:t>. Cambridge University Press. https://doi.org/10.1017/CBO9780511808999</w:t>
      </w:r>
    </w:p>
    <w:p w14:paraId="2AAE453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Franklin, J., Regan, H. M., Hierl, L. A., Deutschman, D. H., Johnson, B. S., &amp; Winchell, C. S. (2011). Planning, implementing, and monitoring multiple</w:t>
      </w:r>
      <w:r w:rsidRPr="001523EB">
        <w:rPr>
          <w:rFonts w:ascii="Times New Roman" w:hAnsi="Times New Roman" w:hint="eastAsia"/>
        </w:rPr>
        <w:t>‐</w:t>
      </w:r>
      <w:r w:rsidRPr="001523EB">
        <w:rPr>
          <w:rFonts w:ascii="Times New Roman" w:hAnsi="Times New Roman"/>
        </w:rPr>
        <w:t xml:space="preserve">species habitat conservation plans. </w:t>
      </w:r>
      <w:r w:rsidRPr="001523EB">
        <w:rPr>
          <w:rFonts w:ascii="Times New Roman" w:hAnsi="Times New Roman"/>
          <w:i/>
          <w:iCs/>
        </w:rPr>
        <w:t>American Journal of Botany</w:t>
      </w:r>
      <w:r w:rsidRPr="001523EB">
        <w:rPr>
          <w:rFonts w:ascii="Times New Roman" w:hAnsi="Times New Roman"/>
        </w:rPr>
        <w:t xml:space="preserve">, </w:t>
      </w:r>
      <w:r w:rsidRPr="001523EB">
        <w:rPr>
          <w:rFonts w:ascii="Times New Roman" w:hAnsi="Times New Roman"/>
          <w:i/>
          <w:iCs/>
        </w:rPr>
        <w:t>98</w:t>
      </w:r>
      <w:r w:rsidRPr="001523EB">
        <w:rPr>
          <w:rFonts w:ascii="Times New Roman" w:hAnsi="Times New Roman"/>
        </w:rPr>
        <w:t>(3), 559–571. http://www.jstor.org/stable/41149205</w:t>
      </w:r>
    </w:p>
    <w:p w14:paraId="7AA1CDD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Frenot, Y., Chown, S. L., Whinam, J., Selkirk, P. M., Convey, P., Skotnicki, M., &amp; Bergstrom, D. M. (2005). Biological invasions in the Antarctic: Extent, impacts and implications. </w:t>
      </w:r>
      <w:r w:rsidRPr="001523EB">
        <w:rPr>
          <w:rFonts w:ascii="Times New Roman" w:hAnsi="Times New Roman"/>
          <w:i/>
          <w:iCs/>
        </w:rPr>
        <w:t>Biological Reviews</w:t>
      </w:r>
      <w:r w:rsidRPr="001523EB">
        <w:rPr>
          <w:rFonts w:ascii="Times New Roman" w:hAnsi="Times New Roman"/>
        </w:rPr>
        <w:t xml:space="preserve">, </w:t>
      </w:r>
      <w:r w:rsidRPr="001523EB">
        <w:rPr>
          <w:rFonts w:ascii="Times New Roman" w:hAnsi="Times New Roman"/>
          <w:i/>
          <w:iCs/>
        </w:rPr>
        <w:t>80</w:t>
      </w:r>
      <w:r w:rsidRPr="001523EB">
        <w:rPr>
          <w:rFonts w:ascii="Times New Roman" w:hAnsi="Times New Roman"/>
        </w:rPr>
        <w:t>(1), 45–72. https://doi.org/10.1017/S1464793104006542</w:t>
      </w:r>
    </w:p>
    <w:p w14:paraId="2C632EF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Gaertner, M., Biggs, R., Te Beest, M., Hui, C., Molofsky, J., &amp; Richardson, D. M. (2014). Invasive plants as drivers of regime shifts: Identifying high-priority invaders that alter feedback relationships. </w:t>
      </w:r>
      <w:r w:rsidRPr="001523EB">
        <w:rPr>
          <w:rFonts w:ascii="Times New Roman" w:hAnsi="Times New Roman"/>
          <w:i/>
          <w:iCs/>
        </w:rPr>
        <w:t>Diversity and Distributions</w:t>
      </w:r>
      <w:r w:rsidRPr="001523EB">
        <w:rPr>
          <w:rFonts w:ascii="Times New Roman" w:hAnsi="Times New Roman"/>
        </w:rPr>
        <w:t xml:space="preserve">, </w:t>
      </w:r>
      <w:r w:rsidRPr="001523EB">
        <w:rPr>
          <w:rFonts w:ascii="Times New Roman" w:hAnsi="Times New Roman"/>
          <w:i/>
          <w:iCs/>
        </w:rPr>
        <w:t>20</w:t>
      </w:r>
      <w:r w:rsidRPr="001523EB">
        <w:rPr>
          <w:rFonts w:ascii="Times New Roman" w:hAnsi="Times New Roman"/>
        </w:rPr>
        <w:t>(7), 733–744. https://doi.org/10.1111/ddi.12182</w:t>
      </w:r>
    </w:p>
    <w:p w14:paraId="740D7C7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Gaertner, M., Wilson, J. R. U., Cadotte, M. W., MacIvor, J. S., Zenni, R. D., &amp; Richardson, D. M. (2017). Non-native species in urban environments: Patterns, processes, impacts and challenges.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(12), 3461–3469. https://doi.org/10.1007/s10530-017-1598-7</w:t>
      </w:r>
    </w:p>
    <w:p w14:paraId="446DC18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Galil, B. S., Marchini, A., Occhipinti-Ambrogi, A., Minchin, D., Narščius, A., Ojaveer, H., &amp; Olenin, S. (2014). International arrivals: Widespread bioinvasions in European Seas. </w:t>
      </w:r>
      <w:r w:rsidRPr="001523EB">
        <w:rPr>
          <w:rFonts w:ascii="Times New Roman" w:hAnsi="Times New Roman"/>
          <w:i/>
          <w:iCs/>
        </w:rPr>
        <w:t>Ethology Ecology &amp; Evolution</w:t>
      </w:r>
      <w:r w:rsidRPr="001523EB">
        <w:rPr>
          <w:rFonts w:ascii="Times New Roman" w:hAnsi="Times New Roman"/>
        </w:rPr>
        <w:t xml:space="preserve">, </w:t>
      </w:r>
      <w:r w:rsidRPr="001523EB">
        <w:rPr>
          <w:rFonts w:ascii="Times New Roman" w:hAnsi="Times New Roman"/>
          <w:i/>
          <w:iCs/>
        </w:rPr>
        <w:t>26</w:t>
      </w:r>
      <w:r w:rsidRPr="001523EB">
        <w:rPr>
          <w:rFonts w:ascii="Times New Roman" w:hAnsi="Times New Roman"/>
        </w:rPr>
        <w:t>(2–3), 152–171. https://doi.org/10.1080/03949370.2014.897651</w:t>
      </w:r>
    </w:p>
    <w:p w14:paraId="41A6CE5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Galil, B. S., Marchini, A., Occhipinti-Ambrogi, A., &amp; Ojaveer, H. (2017). The enlargement of the Suez Canal – Erythraean introductions and management challenges.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(2), 141–152. https://doi.org/10.3391/mbi.2017.8.2.02</w:t>
      </w:r>
    </w:p>
    <w:p w14:paraId="37466EB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Gallardo, B., Aldridge, D. C., González-Moreno, P., Pergl, J., Pizarro, M., Pyšek, P., Thuiller, W., Yesson, C., &amp; Vilà, M. (2017). Protected areas offer refuge from invasive species spreading under climate change. </w:t>
      </w:r>
      <w:r w:rsidRPr="001523EB">
        <w:rPr>
          <w:rFonts w:ascii="Times New Roman" w:hAnsi="Times New Roman"/>
          <w:i/>
          <w:iCs/>
        </w:rPr>
        <w:t>Global Change Biology</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(12), 5331–5343. https://doi.org/10.1111/gcb.13798</w:t>
      </w:r>
    </w:p>
    <w:p w14:paraId="24133D0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García-Díaz, P., Ross, J. V., Woolnough, A. P., &amp; Cassey, P. (2016). The Illegal Wildlife Trade Is a Likely Source of Alien Species. </w:t>
      </w:r>
      <w:r w:rsidRPr="001523EB">
        <w:rPr>
          <w:rFonts w:ascii="Times New Roman" w:hAnsi="Times New Roman"/>
          <w:i/>
          <w:iCs/>
        </w:rPr>
        <w:t>Conservation Letters</w:t>
      </w:r>
      <w:r w:rsidRPr="001523EB">
        <w:rPr>
          <w:rFonts w:ascii="Times New Roman" w:hAnsi="Times New Roman"/>
        </w:rPr>
        <w:t xml:space="preserve">, </w:t>
      </w:r>
      <w:r w:rsidRPr="001523EB">
        <w:rPr>
          <w:rFonts w:ascii="Times New Roman" w:hAnsi="Times New Roman"/>
          <w:i/>
          <w:iCs/>
        </w:rPr>
        <w:t>10</w:t>
      </w:r>
      <w:r w:rsidRPr="001523EB">
        <w:rPr>
          <w:rFonts w:ascii="Times New Roman" w:hAnsi="Times New Roman"/>
        </w:rPr>
        <w:t>(6), 690–698. https://doi.org/10.1111/conl.12301</w:t>
      </w:r>
    </w:p>
    <w:p w14:paraId="1118EC6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García-Llorente, M., Martín-López, B., González, J. A., Alcorlo, P., &amp; Montes, C. (2008). Social perceptions of the impacts and benefits of invasive alien species: Implications for management.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141</w:t>
      </w:r>
      <w:r w:rsidRPr="001523EB">
        <w:rPr>
          <w:rFonts w:ascii="Times New Roman" w:hAnsi="Times New Roman"/>
        </w:rPr>
        <w:t>(12), 2969–2983. https://doi.org/10.1016/j.biocon.2008.09.003</w:t>
      </w:r>
    </w:p>
    <w:p w14:paraId="043190A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GBIF Secretariat &amp; IAIA. (2020). </w:t>
      </w:r>
      <w:r w:rsidRPr="001523EB">
        <w:rPr>
          <w:rFonts w:ascii="Times New Roman" w:hAnsi="Times New Roman"/>
          <w:i/>
          <w:iCs/>
        </w:rPr>
        <w:t>Best Practices for Publishing Biodiversity Data from Environmental Impact Assessments. Version 1.0.</w:t>
      </w:r>
      <w:r w:rsidRPr="001523EB">
        <w:rPr>
          <w:rFonts w:ascii="Times New Roman" w:hAnsi="Times New Roman"/>
        </w:rPr>
        <w:t xml:space="preserve"> Global Biodiversity Information Facility,  International Association for Impact Assessment. https://doi.org/10.35035/doc-5xdm-8762</w:t>
      </w:r>
    </w:p>
    <w:p w14:paraId="7C87CFE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GEF. (2016). </w:t>
      </w:r>
      <w:r w:rsidRPr="001523EB">
        <w:rPr>
          <w:rFonts w:ascii="Times New Roman" w:hAnsi="Times New Roman"/>
          <w:i/>
          <w:iCs/>
        </w:rPr>
        <w:t>Proyecto ENEEI</w:t>
      </w:r>
      <w:r w:rsidRPr="001523EB">
        <w:rPr>
          <w:rFonts w:ascii="Times New Roman" w:hAnsi="Times New Roman"/>
        </w:rPr>
        <w:t xml:space="preserve"> [Global Environment Facility]. Argentina.gob.ar. https://www.argentina.gob.ar/ambiente/biodiversidad/exoticas-invasoras/proyecto</w:t>
      </w:r>
    </w:p>
    <w:p w14:paraId="013EC9D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Geng, Y., Sarkis, J., &amp; Bleischwitz, R. (2019). How to globalize the circular economy. </w:t>
      </w:r>
      <w:r w:rsidRPr="001523EB">
        <w:rPr>
          <w:rFonts w:ascii="Times New Roman" w:hAnsi="Times New Roman"/>
          <w:i/>
          <w:iCs/>
        </w:rPr>
        <w:t>Nature</w:t>
      </w:r>
      <w:r w:rsidRPr="001523EB">
        <w:rPr>
          <w:rFonts w:ascii="Times New Roman" w:hAnsi="Times New Roman"/>
        </w:rPr>
        <w:t xml:space="preserve">, </w:t>
      </w:r>
      <w:r w:rsidRPr="001523EB">
        <w:rPr>
          <w:rFonts w:ascii="Times New Roman" w:hAnsi="Times New Roman"/>
          <w:i/>
          <w:iCs/>
        </w:rPr>
        <w:t>565</w:t>
      </w:r>
      <w:r w:rsidRPr="001523EB">
        <w:rPr>
          <w:rFonts w:ascii="Times New Roman" w:hAnsi="Times New Roman"/>
        </w:rPr>
        <w:t>(7738), 153–155. https://doi.org/10.1038/d41586-019-00017-z</w:t>
      </w:r>
    </w:p>
    <w:p w14:paraId="60D16A7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Genovesi, P. (2005). Eradications of invasive alien species in Europe: A review. </w:t>
      </w:r>
      <w:r w:rsidRPr="001523EB">
        <w:rPr>
          <w:rFonts w:ascii="Times New Roman" w:hAnsi="Times New Roman"/>
          <w:i/>
          <w:iCs/>
        </w:rPr>
        <w:t>Biological Invasions</w:t>
      </w:r>
      <w:r w:rsidRPr="001523EB">
        <w:rPr>
          <w:rFonts w:ascii="Times New Roman" w:hAnsi="Times New Roman"/>
        </w:rPr>
        <w:t>, 127–133. http://files/32007/Genovesi - Eradications of invasive alien species in Europe .pdf</w:t>
      </w:r>
    </w:p>
    <w:p w14:paraId="5CEDFD4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Genovesi, P., Carboneras, C., Vilà, M., &amp; Walton, P. (2015). EU adopts innovative legislation on invasive species: A step towards a global response to biological invasions?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17</w:t>
      </w:r>
      <w:r w:rsidRPr="001523EB">
        <w:rPr>
          <w:rFonts w:ascii="Times New Roman" w:hAnsi="Times New Roman"/>
        </w:rPr>
        <w:t>(5), 1307–1311. https://doi.org/10.1007/s10530-014-0817-8</w:t>
      </w:r>
    </w:p>
    <w:p w14:paraId="311B160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Genovesi, P., &amp; Monaco, A. (2013). Guidelines for Addressing Invasive Species in Protected Areas. In L. C. Foxcroft, P. Pyšek, D. M. Richardson, &amp; P. Genovesi (Eds.), </w:t>
      </w:r>
      <w:r w:rsidRPr="001523EB">
        <w:rPr>
          <w:rFonts w:ascii="Times New Roman" w:hAnsi="Times New Roman"/>
          <w:i/>
          <w:iCs/>
        </w:rPr>
        <w:t>Plant Invasions in Protected Areas: Patterns, Problems and Challenges</w:t>
      </w:r>
      <w:r w:rsidRPr="001523EB">
        <w:rPr>
          <w:rFonts w:ascii="Times New Roman" w:hAnsi="Times New Roman"/>
        </w:rPr>
        <w:t xml:space="preserve"> (pp. 487–506). Springer Netherlands. https://doi.org/10.1007/978-94-007-7750-7_22</w:t>
      </w:r>
    </w:p>
    <w:p w14:paraId="772957C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Genovesi, P., &amp; Shine, C. (2004). </w:t>
      </w:r>
      <w:r w:rsidRPr="001523EB">
        <w:rPr>
          <w:rFonts w:ascii="Times New Roman" w:hAnsi="Times New Roman"/>
          <w:i/>
          <w:iCs/>
        </w:rPr>
        <w:t>European strategy on invasive alien species: Convention on the Conservation of European Wildlife and Habitats (Bern Convention)</w:t>
      </w:r>
      <w:r w:rsidRPr="001523EB">
        <w:rPr>
          <w:rFonts w:ascii="Times New Roman" w:hAnsi="Times New Roman"/>
        </w:rPr>
        <w:t xml:space="preserve"> (Nature and Environment 137). Council of Europe. https://www.cbd.int/doc/external/cop-09/bern-01-en.pdf</w:t>
      </w:r>
    </w:p>
    <w:p w14:paraId="08190E1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Gerrits, L., &amp; Edelenbos, J. (2004). Management of sediments through stakeholder involvement—The risks and value of engaging stakeholders when looking for solutions for sediment-related problems. </w:t>
      </w:r>
      <w:r w:rsidRPr="001523EB">
        <w:rPr>
          <w:rFonts w:ascii="Times New Roman" w:hAnsi="Times New Roman"/>
          <w:i/>
          <w:iCs/>
        </w:rPr>
        <w:t>Journal of Soils and Sediments</w:t>
      </w:r>
      <w:r w:rsidRPr="001523EB">
        <w:rPr>
          <w:rFonts w:ascii="Times New Roman" w:hAnsi="Times New Roman"/>
        </w:rPr>
        <w:t xml:space="preserve">, </w:t>
      </w:r>
      <w:r w:rsidRPr="001523EB">
        <w:rPr>
          <w:rFonts w:ascii="Times New Roman" w:hAnsi="Times New Roman"/>
          <w:i/>
          <w:iCs/>
        </w:rPr>
        <w:t>4</w:t>
      </w:r>
      <w:r w:rsidRPr="001523EB">
        <w:rPr>
          <w:rFonts w:ascii="Times New Roman" w:hAnsi="Times New Roman"/>
        </w:rPr>
        <w:t>(4), 239–246. https://doi.org/10.1065/jss2004.10.121</w:t>
      </w:r>
    </w:p>
    <w:p w14:paraId="443F379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Giakoumi, S., Katsanevakis, S., Albano, P. G., Azzurro, E., Cardoso, A. C., Cebrian, E., Deidun, A., Edelist, D., Francour, P., Jimenez, C., Mačić, V., Occhipinti-Ambrogi, A., Rilov, G., &amp; Sghaier, Y. R. (2019). Management priorities for marine invasive species. </w:t>
      </w:r>
      <w:r w:rsidRPr="001523EB">
        <w:rPr>
          <w:rFonts w:ascii="Times New Roman" w:hAnsi="Times New Roman"/>
          <w:i/>
          <w:iCs/>
        </w:rPr>
        <w:t>Science of The Total Environment</w:t>
      </w:r>
      <w:r w:rsidRPr="001523EB">
        <w:rPr>
          <w:rFonts w:ascii="Times New Roman" w:hAnsi="Times New Roman"/>
        </w:rPr>
        <w:t xml:space="preserve">, </w:t>
      </w:r>
      <w:r w:rsidRPr="001523EB">
        <w:rPr>
          <w:rFonts w:ascii="Times New Roman" w:hAnsi="Times New Roman"/>
          <w:i/>
          <w:iCs/>
        </w:rPr>
        <w:t>688</w:t>
      </w:r>
      <w:r w:rsidRPr="001523EB">
        <w:rPr>
          <w:rFonts w:ascii="Times New Roman" w:hAnsi="Times New Roman"/>
        </w:rPr>
        <w:t>, 976–982. https://doi.org/10.1016/j.scitotenv.2019.06.282</w:t>
      </w:r>
    </w:p>
    <w:p w14:paraId="4844798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Giakoumi, S., Katsanevakis, S., Vassilopoulou, V., Panayotidis, P., Kavadas, S., Issaris, Y., Kokkali, A., Frantzis, A., Panou, A., &amp; Mavrommati, G. (2012). Could European marine conservation policy benefit from systematic conservation planning? </w:t>
      </w:r>
      <w:r w:rsidRPr="001523EB">
        <w:rPr>
          <w:rFonts w:ascii="Times New Roman" w:hAnsi="Times New Roman"/>
          <w:i/>
          <w:iCs/>
        </w:rPr>
        <w:t>Aquatic Conservation-Marine and Freshwater Ecosystems</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(6), 762–775. https://doi.org/10.1002/aqc.2273</w:t>
      </w:r>
    </w:p>
    <w:p w14:paraId="05F698B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Giakoumi, S., Pey, A., Di Franco, A., Francour, P., Kizilkaya, Z., Arda, Y., Raybaud, V., &amp; Guidetti, P. (2019). Exploring the relationships between marine protected areas and invasive fish in the world’s most invaded sea. </w:t>
      </w:r>
      <w:r w:rsidRPr="001523EB">
        <w:rPr>
          <w:rFonts w:ascii="Times New Roman" w:hAnsi="Times New Roman"/>
          <w:i/>
          <w:iCs/>
        </w:rPr>
        <w:t>Ecological Applications</w:t>
      </w:r>
      <w:r w:rsidRPr="001523EB">
        <w:rPr>
          <w:rFonts w:ascii="Times New Roman" w:hAnsi="Times New Roman"/>
        </w:rPr>
        <w:t xml:space="preserve">, </w:t>
      </w:r>
      <w:r w:rsidRPr="001523EB">
        <w:rPr>
          <w:rFonts w:ascii="Times New Roman" w:hAnsi="Times New Roman"/>
          <w:i/>
          <w:iCs/>
        </w:rPr>
        <w:t>29</w:t>
      </w:r>
      <w:r w:rsidRPr="001523EB">
        <w:rPr>
          <w:rFonts w:ascii="Times New Roman" w:hAnsi="Times New Roman"/>
        </w:rPr>
        <w:t>(1), e01809. https://doi.org/10.1002/eap.1809</w:t>
      </w:r>
    </w:p>
    <w:p w14:paraId="604E780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Gilek, M., &amp; Karlsson, M. (2016). Seeking Pathways Towards Improved Environmental Governance of the Baltic Sea. In M. Gilek, M. Karlsson, S. Linke, &amp; K. Smolarz (Eds.), </w:t>
      </w:r>
      <w:r w:rsidRPr="001523EB">
        <w:rPr>
          <w:rFonts w:ascii="Times New Roman" w:hAnsi="Times New Roman"/>
          <w:i/>
          <w:iCs/>
        </w:rPr>
        <w:t>Environmental Governance of the Baltic Sea</w:t>
      </w:r>
      <w:r w:rsidRPr="001523EB">
        <w:rPr>
          <w:rFonts w:ascii="Times New Roman" w:hAnsi="Times New Roman"/>
        </w:rPr>
        <w:t xml:space="preserve"> (Vol. 10, pp. 229–246). Springer. https://doi.org/10.1007/978-3-319-27006-7_10</w:t>
      </w:r>
    </w:p>
    <w:p w14:paraId="3D60926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Gilek, M., Karlsson, M., Linke, S., &amp; Smolarz, K. (2016). Environmental Governance of the Baltic Sea: Identifying Key Challenges, Research Topics and Analytical Approaches. In M. Gilek, M. Karlsson, S. Linke, &amp; K. Smolarz (Eds.), </w:t>
      </w:r>
      <w:r w:rsidRPr="001523EB">
        <w:rPr>
          <w:rFonts w:ascii="Times New Roman" w:hAnsi="Times New Roman"/>
          <w:i/>
          <w:iCs/>
        </w:rPr>
        <w:t>Environmental Governance of the Baltic Sea</w:t>
      </w:r>
      <w:r w:rsidRPr="001523EB">
        <w:rPr>
          <w:rFonts w:ascii="Times New Roman" w:hAnsi="Times New Roman"/>
        </w:rPr>
        <w:t xml:space="preserve"> (Vol. 10, pp. 1–17). Springer. https://doi.org/10.1007/978-3-319-27006-7_1</w:t>
      </w:r>
    </w:p>
    <w:p w14:paraId="3CDDEAD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Gilna, B., Kuzma, J., &amp; Otts, S. S. (2014). Governance of genetic biocontrol technologies for invasive fish.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(6), 1299–1312. https://doi.org/10.1007/s10530-012-0367-x</w:t>
      </w:r>
    </w:p>
    <w:p w14:paraId="2886F70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Giltrap, N., Eyre, D., &amp; Reed, P. (2009). Internet sales of plants for planting–an increasing trend and threat? </w:t>
      </w:r>
      <w:r w:rsidRPr="001523EB">
        <w:rPr>
          <w:rFonts w:ascii="Times New Roman" w:hAnsi="Times New Roman"/>
          <w:i/>
          <w:iCs/>
        </w:rPr>
        <w:t>EPPO Bulletin</w:t>
      </w:r>
      <w:r w:rsidRPr="001523EB">
        <w:rPr>
          <w:rFonts w:ascii="Times New Roman" w:hAnsi="Times New Roman"/>
        </w:rPr>
        <w:t xml:space="preserve">, </w:t>
      </w:r>
      <w:r w:rsidRPr="001523EB">
        <w:rPr>
          <w:rFonts w:ascii="Times New Roman" w:hAnsi="Times New Roman"/>
          <w:i/>
          <w:iCs/>
        </w:rPr>
        <w:t>39</w:t>
      </w:r>
      <w:r w:rsidRPr="001523EB">
        <w:rPr>
          <w:rFonts w:ascii="Times New Roman" w:hAnsi="Times New Roman"/>
        </w:rPr>
        <w:t>(2), 168–170. https://doi.org/10.1111/j.1365-2338.2009.02283.x</w:t>
      </w:r>
    </w:p>
    <w:p w14:paraId="5CBF6E8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Giovos, I., Kleitou, P., Poursanidis, D., Batjakas, I., Bernardi, G., Crocetta, F., Doumpas, N., Kalogirou, S., Kampouris, T. E., Keramidas, I., Langeneck, J., Maximiadi, M., Mitsou, E., Stoilas, V.-O., Tiralongo, F., Romanidis-Kyriakidis, G., Xentidis, N.-J., Zenetos, A., &amp; Katsanevakis, S. (2019). Citizen-science for monitoring marine invasions and stimulating public engagement: A case project from the eastern Mediterranean.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(12), 3707–3721. https://doi.org/10.1007/s10530-019-02083-w</w:t>
      </w:r>
    </w:p>
    <w:p w14:paraId="36FF361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Gippet, J. M. W., &amp; Bertelsmeier, C. (2021). Invasiveness is linked to greater commercial success in the global pet trade. </w:t>
      </w:r>
      <w:r w:rsidRPr="001523EB">
        <w:rPr>
          <w:rFonts w:ascii="Times New Roman" w:hAnsi="Times New Roman"/>
          <w:i/>
          <w:iCs/>
        </w:rPr>
        <w:t>Proceedings of the National Academy of Sciences</w:t>
      </w:r>
      <w:r w:rsidRPr="001523EB">
        <w:rPr>
          <w:rFonts w:ascii="Times New Roman" w:hAnsi="Times New Roman"/>
        </w:rPr>
        <w:t xml:space="preserve">, </w:t>
      </w:r>
      <w:r w:rsidRPr="001523EB">
        <w:rPr>
          <w:rFonts w:ascii="Times New Roman" w:hAnsi="Times New Roman"/>
          <w:i/>
          <w:iCs/>
        </w:rPr>
        <w:t>118</w:t>
      </w:r>
      <w:r w:rsidRPr="001523EB">
        <w:rPr>
          <w:rFonts w:ascii="Times New Roman" w:hAnsi="Times New Roman"/>
        </w:rPr>
        <w:t>(14), e2016337118. https://doi.org/10.1073/pnas.2016337118</w:t>
      </w:r>
    </w:p>
    <w:p w14:paraId="77CAC10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Goble, C. A., Bhagat, J., Aleksejevs, S., Cruickshank, D., Michaelides, D., Newman, D., Borkum, M., Bechhofer, S., Roos, M., Li, P., &amp; De Roure, D. (2010). myExperiment: A repository and social network for the sharing of bioinformatics workflows. </w:t>
      </w:r>
      <w:r w:rsidRPr="001523EB">
        <w:rPr>
          <w:rFonts w:ascii="Times New Roman" w:hAnsi="Times New Roman"/>
          <w:i/>
          <w:iCs/>
        </w:rPr>
        <w:t>Nucleic Acids Research</w:t>
      </w:r>
      <w:r w:rsidRPr="001523EB">
        <w:rPr>
          <w:rFonts w:ascii="Times New Roman" w:hAnsi="Times New Roman"/>
        </w:rPr>
        <w:t xml:space="preserve">, </w:t>
      </w:r>
      <w:r w:rsidRPr="001523EB">
        <w:rPr>
          <w:rFonts w:ascii="Times New Roman" w:hAnsi="Times New Roman"/>
          <w:i/>
          <w:iCs/>
        </w:rPr>
        <w:t>38</w:t>
      </w:r>
      <w:r w:rsidRPr="001523EB">
        <w:rPr>
          <w:rFonts w:ascii="Times New Roman" w:hAnsi="Times New Roman"/>
        </w:rPr>
        <w:t>(suppl_2), W677–W682. https://doi.org/10.1093/nar/gkq429</w:t>
      </w:r>
    </w:p>
    <w:p w14:paraId="385D38D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Godfree, R., Firn, J., Johnson, S., Knerr, N., Stol, J., &amp; Doerr, V. (2017). Why non-native grasses pose a critical emerging threat to biodiversity conservation, habitat connectivity and agricultural production in multifunctional rural landscapes. </w:t>
      </w:r>
      <w:r w:rsidRPr="001523EB">
        <w:rPr>
          <w:rFonts w:ascii="Times New Roman" w:hAnsi="Times New Roman"/>
          <w:i/>
          <w:iCs/>
        </w:rPr>
        <w:t>Landscape Ecology</w:t>
      </w:r>
      <w:r w:rsidRPr="001523EB">
        <w:rPr>
          <w:rFonts w:ascii="Times New Roman" w:hAnsi="Times New Roman"/>
        </w:rPr>
        <w:t xml:space="preserve">, </w:t>
      </w:r>
      <w:r w:rsidRPr="001523EB">
        <w:rPr>
          <w:rFonts w:ascii="Times New Roman" w:hAnsi="Times New Roman"/>
          <w:i/>
          <w:iCs/>
        </w:rPr>
        <w:t>32</w:t>
      </w:r>
      <w:r w:rsidRPr="001523EB">
        <w:rPr>
          <w:rFonts w:ascii="Times New Roman" w:hAnsi="Times New Roman"/>
        </w:rPr>
        <w:t>, 1219–1242. https://doi.org/10.1007/s10980-017-0516-9</w:t>
      </w:r>
    </w:p>
    <w:p w14:paraId="6B5A423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Gómez Lozano, R., Anderson, L., Akins, J. L., Buddo, D. St. A., García-Moliner, G., Lozano, R., Gourdin, F., Laurent, M., Lilyestrom, C., Morris, J. A., Ramnanan, N., &amp; Torres, R. (2013). </w:t>
      </w:r>
      <w:r w:rsidRPr="001523EB">
        <w:rPr>
          <w:rFonts w:ascii="Times New Roman" w:hAnsi="Times New Roman"/>
          <w:i/>
          <w:iCs/>
        </w:rPr>
        <w:t>Regional strategy for the control of invasive lionfish in the Wider Caribbean.</w:t>
      </w:r>
      <w:r w:rsidRPr="001523EB">
        <w:rPr>
          <w:rFonts w:ascii="Times New Roman" w:hAnsi="Times New Roman"/>
        </w:rPr>
        <w:t xml:space="preserve"> (p. 31). International Coral Reef Initiative. https://www.cabdirect.org/cabdirect/abstract/20178100072</w:t>
      </w:r>
    </w:p>
    <w:p w14:paraId="00ABBF2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Goss, E. M., Tabima, J. F., Cooke, D. E., Restrepo, S., Fry, W. E., Forbes, G. A., Fieland, V. J., Cardenas, M., &amp; Grünwald, N. J. (2014). The Irish potato famine pathogen </w:t>
      </w:r>
      <w:r w:rsidRPr="001523EB">
        <w:rPr>
          <w:rFonts w:ascii="Times New Roman" w:hAnsi="Times New Roman"/>
          <w:i/>
          <w:iCs/>
        </w:rPr>
        <w:t>Phytophthora infestans</w:t>
      </w:r>
      <w:r w:rsidRPr="001523EB">
        <w:rPr>
          <w:rFonts w:ascii="Times New Roman" w:hAnsi="Times New Roman"/>
        </w:rPr>
        <w:t xml:space="preserve"> originated in central Mexico rather than the Andes. </w:t>
      </w:r>
      <w:r w:rsidRPr="001523EB">
        <w:rPr>
          <w:rFonts w:ascii="Times New Roman" w:hAnsi="Times New Roman"/>
          <w:i/>
          <w:iCs/>
        </w:rPr>
        <w:t>Proceedings of the National Academy of Sciences</w:t>
      </w:r>
      <w:r w:rsidRPr="001523EB">
        <w:rPr>
          <w:rFonts w:ascii="Times New Roman" w:hAnsi="Times New Roman"/>
        </w:rPr>
        <w:t xml:space="preserve">, </w:t>
      </w:r>
      <w:r w:rsidRPr="001523EB">
        <w:rPr>
          <w:rFonts w:ascii="Times New Roman" w:hAnsi="Times New Roman"/>
          <w:i/>
          <w:iCs/>
        </w:rPr>
        <w:t>111</w:t>
      </w:r>
      <w:r w:rsidRPr="001523EB">
        <w:rPr>
          <w:rFonts w:ascii="Times New Roman" w:hAnsi="Times New Roman"/>
        </w:rPr>
        <w:t>(24), 8791–8796. https://doi.org/10.1073/pnas.1401884111</w:t>
      </w:r>
    </w:p>
    <w:p w14:paraId="57D02BD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Graham, S. (2013). Three cooperative pathways to solving a collective weed management problem. </w:t>
      </w:r>
      <w:r w:rsidRPr="001523EB">
        <w:rPr>
          <w:rFonts w:ascii="Times New Roman" w:hAnsi="Times New Roman"/>
          <w:i/>
          <w:iCs/>
        </w:rPr>
        <w:t>Australasian Journal of Environmental Management</w:t>
      </w:r>
      <w:r w:rsidRPr="001523EB">
        <w:rPr>
          <w:rFonts w:ascii="Times New Roman" w:hAnsi="Times New Roman"/>
        </w:rPr>
        <w:t xml:space="preserve">, </w:t>
      </w:r>
      <w:r w:rsidRPr="001523EB">
        <w:rPr>
          <w:rFonts w:ascii="Times New Roman" w:hAnsi="Times New Roman"/>
          <w:i/>
          <w:iCs/>
        </w:rPr>
        <w:t>20</w:t>
      </w:r>
      <w:r w:rsidRPr="001523EB">
        <w:rPr>
          <w:rFonts w:ascii="Times New Roman" w:hAnsi="Times New Roman"/>
        </w:rPr>
        <w:t>(2), 116–129. https://doi.org/10.1080/14486563.2013.774681</w:t>
      </w:r>
    </w:p>
    <w:p w14:paraId="682E51D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Graham, S. (2014). A new perspective on the trust power nexus from rural Australia. </w:t>
      </w:r>
      <w:r w:rsidRPr="001523EB">
        <w:rPr>
          <w:rFonts w:ascii="Times New Roman" w:hAnsi="Times New Roman"/>
          <w:i/>
          <w:iCs/>
        </w:rPr>
        <w:t>Journal of Rural Studies</w:t>
      </w:r>
      <w:r w:rsidRPr="001523EB">
        <w:rPr>
          <w:rFonts w:ascii="Times New Roman" w:hAnsi="Times New Roman"/>
        </w:rPr>
        <w:t xml:space="preserve">, </w:t>
      </w:r>
      <w:r w:rsidRPr="001523EB">
        <w:rPr>
          <w:rFonts w:ascii="Times New Roman" w:hAnsi="Times New Roman"/>
          <w:i/>
          <w:iCs/>
        </w:rPr>
        <w:t>36</w:t>
      </w:r>
      <w:r w:rsidRPr="001523EB">
        <w:rPr>
          <w:rFonts w:ascii="Times New Roman" w:hAnsi="Times New Roman"/>
        </w:rPr>
        <w:t>, 87–98. https://doi.org/10.1016/j.jrurstud.2014.06.010</w:t>
      </w:r>
    </w:p>
    <w:p w14:paraId="5407552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Graham, S. (2019). Coordinating invasive plant management among conservation and rural stakeholders. </w:t>
      </w:r>
      <w:r w:rsidRPr="001523EB">
        <w:rPr>
          <w:rFonts w:ascii="Times New Roman" w:hAnsi="Times New Roman"/>
          <w:i/>
          <w:iCs/>
        </w:rPr>
        <w:t>Land Use Policy</w:t>
      </w:r>
      <w:r w:rsidRPr="001523EB">
        <w:rPr>
          <w:rFonts w:ascii="Times New Roman" w:hAnsi="Times New Roman"/>
        </w:rPr>
        <w:t xml:space="preserve">, </w:t>
      </w:r>
      <w:r w:rsidRPr="001523EB">
        <w:rPr>
          <w:rFonts w:ascii="Times New Roman" w:hAnsi="Times New Roman"/>
          <w:i/>
          <w:iCs/>
        </w:rPr>
        <w:t>81</w:t>
      </w:r>
      <w:r w:rsidRPr="001523EB">
        <w:rPr>
          <w:rFonts w:ascii="Times New Roman" w:hAnsi="Times New Roman"/>
        </w:rPr>
        <w:t>, 247–255. https://doi.org/10.1016/j.landusepol.2018.10.043</w:t>
      </w:r>
    </w:p>
    <w:p w14:paraId="385B09D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Graham, S., Metcalf, A. L., Gill, N., Niemiec, R., Moreno, C., Bach, T., Ikutegbe, V., Hallstrom, L., Ma, Z., &amp; Lubeck, A. (2019). Opportunities for better use of collective action theory in research and governance for invasive species management.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33</w:t>
      </w:r>
      <w:r w:rsidRPr="001523EB">
        <w:rPr>
          <w:rFonts w:ascii="Times New Roman" w:hAnsi="Times New Roman"/>
        </w:rPr>
        <w:t>(2), 275–287. https://doi.org/10.1111/cobi.13266</w:t>
      </w:r>
    </w:p>
    <w:p w14:paraId="1795784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Graham, S., &amp; Rogers, S. (2017). How Local Landholder Groups Collectively Manage Weeds in South-Eastern Australia. </w:t>
      </w:r>
      <w:r w:rsidRPr="001523EB">
        <w:rPr>
          <w:rFonts w:ascii="Times New Roman" w:hAnsi="Times New Roman"/>
          <w:i/>
          <w:iCs/>
        </w:rPr>
        <w:t>Environmental Management</w:t>
      </w:r>
      <w:r w:rsidRPr="001523EB">
        <w:rPr>
          <w:rFonts w:ascii="Times New Roman" w:hAnsi="Times New Roman"/>
        </w:rPr>
        <w:t xml:space="preserve">, </w:t>
      </w:r>
      <w:r w:rsidRPr="001523EB">
        <w:rPr>
          <w:rFonts w:ascii="Times New Roman" w:hAnsi="Times New Roman"/>
          <w:i/>
          <w:iCs/>
        </w:rPr>
        <w:t>60</w:t>
      </w:r>
      <w:r w:rsidRPr="001523EB">
        <w:rPr>
          <w:rFonts w:ascii="Times New Roman" w:hAnsi="Times New Roman"/>
        </w:rPr>
        <w:t>(3), 396–408. https://doi.org/10.1007/s00267-017-0859-7</w:t>
      </w:r>
    </w:p>
    <w:p w14:paraId="5C347A0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Green, S. J., Akins, J. L., Maljković, A., &amp; Côté, I. M. (2012). Invasive Lionfish Drive Atlantic Coral Reef Fish Declines.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7</w:t>
      </w:r>
      <w:r w:rsidRPr="001523EB">
        <w:rPr>
          <w:rFonts w:ascii="Times New Roman" w:hAnsi="Times New Roman"/>
        </w:rPr>
        <w:t>(3), e32596. https://doi.org/10.1371/journal.pone.0032596</w:t>
      </w:r>
    </w:p>
    <w:p w14:paraId="643A8C3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Groom, Q. J., Adriaens, T., Desmet, P., Simpson, A., De Wever, A., Bazos, I., Cardoso, A. C., Charles, L., Christopoulou, A., Gazda, A., Helmisaari, H., Hobern, D., Josefsson, M., Lucy, F., Marisavljevic, D., Oszako, T., Pergl, J., Petrovic-Obradovic, O., Prévot, C., … Vanderhoeven, S. (2017). Seven Recommendations to Make Your Invasive Alien Species Data More Useful. </w:t>
      </w:r>
      <w:r w:rsidRPr="001523EB">
        <w:rPr>
          <w:rFonts w:ascii="Times New Roman" w:hAnsi="Times New Roman"/>
          <w:i/>
          <w:iCs/>
        </w:rPr>
        <w:t>Frontiers in Applied Mathematics and Statistics</w:t>
      </w:r>
      <w:r w:rsidRPr="001523EB">
        <w:rPr>
          <w:rFonts w:ascii="Times New Roman" w:hAnsi="Times New Roman"/>
        </w:rPr>
        <w:t xml:space="preserve">, </w:t>
      </w:r>
      <w:r w:rsidRPr="001523EB">
        <w:rPr>
          <w:rFonts w:ascii="Times New Roman" w:hAnsi="Times New Roman"/>
          <w:i/>
          <w:iCs/>
        </w:rPr>
        <w:t>3</w:t>
      </w:r>
      <w:r w:rsidRPr="001523EB">
        <w:rPr>
          <w:rFonts w:ascii="Times New Roman" w:hAnsi="Times New Roman"/>
        </w:rPr>
        <w:t>, 13. https://doi.org/10.3389/fams.2017.00013</w:t>
      </w:r>
    </w:p>
    <w:p w14:paraId="3522688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Groom, Q. J., Desmet, P., Reyserhove, L., Adriaens, T., Oldoni, D., Vanderhoeven, S., Baskauf, S. J., Chapman, A., McGeoch, M. A., Walls, R., Wieczorek, J., Wilson, J. R. U., Zermoglio, P. F., &amp; Simpson, A. (2019). Improving Darwin Core for research and management of alien species. </w:t>
      </w:r>
      <w:r w:rsidRPr="001523EB">
        <w:rPr>
          <w:rFonts w:ascii="Times New Roman" w:hAnsi="Times New Roman"/>
          <w:i/>
          <w:iCs/>
        </w:rPr>
        <w:t>Biodiversity Information Science and Standards</w:t>
      </w:r>
      <w:r w:rsidRPr="001523EB">
        <w:rPr>
          <w:rFonts w:ascii="Times New Roman" w:hAnsi="Times New Roman"/>
        </w:rPr>
        <w:t xml:space="preserve">, </w:t>
      </w:r>
      <w:r w:rsidRPr="001523EB">
        <w:rPr>
          <w:rFonts w:ascii="Times New Roman" w:hAnsi="Times New Roman"/>
          <w:i/>
          <w:iCs/>
        </w:rPr>
        <w:t>3</w:t>
      </w:r>
      <w:r w:rsidRPr="001523EB">
        <w:rPr>
          <w:rFonts w:ascii="Times New Roman" w:hAnsi="Times New Roman"/>
        </w:rPr>
        <w:t>, e38084. https://doi.org/10.3897/biss.3.38084</w:t>
      </w:r>
    </w:p>
    <w:p w14:paraId="0412077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Groom, Q. J., Desmet, P., Vanderhoeven, S., &amp; Adriaens, T. (2015). The importance of open data for invasive alien species research, policy and management.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6</w:t>
      </w:r>
      <w:r w:rsidRPr="001523EB">
        <w:rPr>
          <w:rFonts w:ascii="Times New Roman" w:hAnsi="Times New Roman"/>
        </w:rPr>
        <w:t>(2), 119–125. https://doi.org/10.3391/mbi.2015.6.2.02</w:t>
      </w:r>
    </w:p>
    <w:p w14:paraId="42B5786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Guerrero, A. M., McAllister, R. R. J., &amp; Wilson, K. A. (2015). Achieving Cross-Scale Collaboration for Large Scale Conservation Initiatives. </w:t>
      </w:r>
      <w:r w:rsidRPr="001523EB">
        <w:rPr>
          <w:rFonts w:ascii="Times New Roman" w:hAnsi="Times New Roman"/>
          <w:i/>
          <w:iCs/>
        </w:rPr>
        <w:t>Conservation Letters</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(2), 107–117. https://doi.org/10.1111/conl.12112</w:t>
      </w:r>
    </w:p>
    <w:p w14:paraId="46D92A9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Guidetti, P., Baiata, P., Ballesteros, E., Di Franco, A., Hereu, B., Macpherson, E., Micheli, F., Pais, A., Panzalis, P., Rosenberg, A. A., Zabala, M., &amp; Sala, E. (2014). Large-scale assessment of mediterranean marine protected areas effects on fish assemblages.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(4), e91841. https://doi.org/10.1371/journal.pone.0091841</w:t>
      </w:r>
    </w:p>
    <w:p w14:paraId="1444940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Guneratne, A. (2002). </w:t>
      </w:r>
      <w:r w:rsidRPr="001523EB">
        <w:rPr>
          <w:rFonts w:ascii="Times New Roman" w:hAnsi="Times New Roman"/>
          <w:i/>
          <w:iCs/>
        </w:rPr>
        <w:t>Many tongues, one people: The making of Tharu identity in Nepal</w:t>
      </w:r>
      <w:r w:rsidRPr="001523EB">
        <w:rPr>
          <w:rFonts w:ascii="Times New Roman" w:hAnsi="Times New Roman"/>
        </w:rPr>
        <w:t>. Cornell University Press. https://www.jstor.org/stable/10.7591/j.ctv3s8mfn</w:t>
      </w:r>
    </w:p>
    <w:p w14:paraId="25F016A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Hackerott, S., Valdivia, A., Green, S. J., Côté, I. M., Cox, C. E., Akins, L., Layman, C. A., Precht, W. F., &amp; Bruno, J. F. (2013). Native predators do not influence invasion success of Pacific lionfish on Caribbean reefs.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(7), e68259. https://doi.org/10.1371/journal.pone.0068259</w:t>
      </w:r>
    </w:p>
    <w:p w14:paraId="06A1E86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Halford, M., Heemers, L., Van Wesemael, D., Mathys, C., Wallens, S., Branquart, E., Vanderhoeven, S., Monty, A., &amp; Mahy, G. (2014). The voluntary Code of conduct on invasive alien plants in Belgium: Results and lessons learned from the AlterIAS LIFE+ project. </w:t>
      </w:r>
      <w:r w:rsidRPr="001523EB">
        <w:rPr>
          <w:rFonts w:ascii="Times New Roman" w:hAnsi="Times New Roman"/>
          <w:i/>
          <w:iCs/>
        </w:rPr>
        <w:t>EPPO Bulletin</w:t>
      </w:r>
      <w:r w:rsidRPr="001523EB">
        <w:rPr>
          <w:rFonts w:ascii="Times New Roman" w:hAnsi="Times New Roman"/>
        </w:rPr>
        <w:t xml:space="preserve">, </w:t>
      </w:r>
      <w:r w:rsidRPr="001523EB">
        <w:rPr>
          <w:rFonts w:ascii="Times New Roman" w:hAnsi="Times New Roman"/>
          <w:i/>
          <w:iCs/>
        </w:rPr>
        <w:t>44</w:t>
      </w:r>
      <w:r w:rsidRPr="001523EB">
        <w:rPr>
          <w:rFonts w:ascii="Times New Roman" w:hAnsi="Times New Roman"/>
        </w:rPr>
        <w:t>(2), 212–222. https://doi.org/10.1111/epp.12111</w:t>
      </w:r>
    </w:p>
    <w:p w14:paraId="0C5D61D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Handerson, I. (2009). Progress of the UK Ruddy Duck eradication programme. </w:t>
      </w:r>
      <w:r w:rsidRPr="001523EB">
        <w:rPr>
          <w:rFonts w:ascii="Times New Roman" w:hAnsi="Times New Roman"/>
          <w:i/>
          <w:iCs/>
        </w:rPr>
        <w:t>British Birds</w:t>
      </w:r>
      <w:r w:rsidRPr="001523EB">
        <w:rPr>
          <w:rFonts w:ascii="Times New Roman" w:hAnsi="Times New Roman"/>
        </w:rPr>
        <w:t xml:space="preserve">, </w:t>
      </w:r>
      <w:r w:rsidRPr="001523EB">
        <w:rPr>
          <w:rFonts w:ascii="Times New Roman" w:hAnsi="Times New Roman"/>
          <w:i/>
          <w:iCs/>
        </w:rPr>
        <w:t>102</w:t>
      </w:r>
      <w:r w:rsidRPr="001523EB">
        <w:rPr>
          <w:rFonts w:ascii="Times New Roman" w:hAnsi="Times New Roman"/>
        </w:rPr>
        <w:t>(12), 680-⁠690. https://britishbirds.co.uk/content/progress-uk-ruddy-duck-eradication-programme-0</w:t>
      </w:r>
    </w:p>
    <w:p w14:paraId="757ED48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Handford, C. E., Elliott, C. T., &amp; Campbell, K. (2015). A review of the global pesticide legislation and the scale of challenge in reaching the global harmonization of food safety standards. </w:t>
      </w:r>
      <w:r w:rsidRPr="001523EB">
        <w:rPr>
          <w:rFonts w:ascii="Times New Roman" w:hAnsi="Times New Roman"/>
          <w:i/>
          <w:iCs/>
        </w:rPr>
        <w:t>Integrated Environmental Assessment and Management</w:t>
      </w:r>
      <w:r w:rsidRPr="001523EB">
        <w:rPr>
          <w:rFonts w:ascii="Times New Roman" w:hAnsi="Times New Roman"/>
        </w:rPr>
        <w:t xml:space="preserve">, </w:t>
      </w:r>
      <w:r w:rsidRPr="001523EB">
        <w:rPr>
          <w:rFonts w:ascii="Times New Roman" w:hAnsi="Times New Roman"/>
          <w:i/>
          <w:iCs/>
        </w:rPr>
        <w:t>11</w:t>
      </w:r>
      <w:r w:rsidRPr="001523EB">
        <w:rPr>
          <w:rFonts w:ascii="Times New Roman" w:hAnsi="Times New Roman"/>
        </w:rPr>
        <w:t>(4), 525–536. https://doi.org/10.1002/ieam.1635</w:t>
      </w:r>
    </w:p>
    <w:p w14:paraId="1DAB7EE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Handl, G. (1998). The legal mandate of multilateral development banks as agents for change toward sustainable development. </w:t>
      </w:r>
      <w:r w:rsidRPr="001523EB">
        <w:rPr>
          <w:rFonts w:ascii="Times New Roman" w:hAnsi="Times New Roman"/>
          <w:i/>
          <w:iCs/>
        </w:rPr>
        <w:t>American Journal of International Law</w:t>
      </w:r>
      <w:r w:rsidRPr="001523EB">
        <w:rPr>
          <w:rFonts w:ascii="Times New Roman" w:hAnsi="Times New Roman"/>
        </w:rPr>
        <w:t xml:space="preserve">, </w:t>
      </w:r>
      <w:r w:rsidRPr="001523EB">
        <w:rPr>
          <w:rFonts w:ascii="Times New Roman" w:hAnsi="Times New Roman"/>
          <w:i/>
          <w:iCs/>
        </w:rPr>
        <w:t>92</w:t>
      </w:r>
      <w:r w:rsidRPr="001523EB">
        <w:rPr>
          <w:rFonts w:ascii="Times New Roman" w:hAnsi="Times New Roman"/>
        </w:rPr>
        <w:t>(4), 642–665. https://doi.org/10.2307/2998127</w:t>
      </w:r>
    </w:p>
    <w:p w14:paraId="5730518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Hanley, N., &amp; Roberts, M. (2019). The economic benefits of invasive species management. </w:t>
      </w:r>
      <w:r w:rsidRPr="001523EB">
        <w:rPr>
          <w:rFonts w:ascii="Times New Roman" w:hAnsi="Times New Roman"/>
          <w:i/>
          <w:iCs/>
        </w:rPr>
        <w:t>People and Nature</w:t>
      </w:r>
      <w:r w:rsidRPr="001523EB">
        <w:rPr>
          <w:rFonts w:ascii="Times New Roman" w:hAnsi="Times New Roman"/>
        </w:rPr>
        <w:t xml:space="preserve">, </w:t>
      </w:r>
      <w:r w:rsidRPr="001523EB">
        <w:rPr>
          <w:rFonts w:ascii="Times New Roman" w:hAnsi="Times New Roman"/>
          <w:i/>
          <w:iCs/>
        </w:rPr>
        <w:t>1</w:t>
      </w:r>
      <w:r w:rsidRPr="001523EB">
        <w:rPr>
          <w:rFonts w:ascii="Times New Roman" w:hAnsi="Times New Roman"/>
        </w:rPr>
        <w:t>(2), 124–137. https://doi.org/10.1002/pan3.31</w:t>
      </w:r>
    </w:p>
    <w:p w14:paraId="73B4EB0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Haque, Md. M., Beaumont, L. J., &amp; Nipperess, D. A. (2020). Taxonomic shortfalls in digitised collections of Australia’s flora. </w:t>
      </w:r>
      <w:r w:rsidRPr="001523EB">
        <w:rPr>
          <w:rFonts w:ascii="Times New Roman" w:hAnsi="Times New Roman"/>
          <w:i/>
          <w:iCs/>
        </w:rPr>
        <w:t>Biodiversity and Conservation</w:t>
      </w:r>
      <w:r w:rsidRPr="001523EB">
        <w:rPr>
          <w:rFonts w:ascii="Times New Roman" w:hAnsi="Times New Roman"/>
        </w:rPr>
        <w:t xml:space="preserve">, </w:t>
      </w:r>
      <w:r w:rsidRPr="001523EB">
        <w:rPr>
          <w:rFonts w:ascii="Times New Roman" w:hAnsi="Times New Roman"/>
          <w:i/>
          <w:iCs/>
        </w:rPr>
        <w:t>29</w:t>
      </w:r>
      <w:r w:rsidRPr="001523EB">
        <w:rPr>
          <w:rFonts w:ascii="Times New Roman" w:hAnsi="Times New Roman"/>
        </w:rPr>
        <w:t>(1), 333–343. https://doi.org/10.1007/s10531-019-01885-7</w:t>
      </w:r>
    </w:p>
    <w:p w14:paraId="7EA8775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Hardisty, A. R., Belbin, L., Hobern, D., McGeoch, M. A., Pirzl, R., Williams, K. J., &amp; Kissling, W. D. (2019). Research infrastructure challenges in preparing essential biodiversity variables data products for alien invasive species. </w:t>
      </w:r>
      <w:r w:rsidRPr="001523EB">
        <w:rPr>
          <w:rFonts w:ascii="Times New Roman" w:hAnsi="Times New Roman"/>
          <w:i/>
          <w:iCs/>
        </w:rPr>
        <w:t>Environmental Research Letters</w:t>
      </w:r>
      <w:r w:rsidRPr="001523EB">
        <w:rPr>
          <w:rFonts w:ascii="Times New Roman" w:hAnsi="Times New Roman"/>
        </w:rPr>
        <w:t xml:space="preserve">, </w:t>
      </w:r>
      <w:r w:rsidRPr="001523EB">
        <w:rPr>
          <w:rFonts w:ascii="Times New Roman" w:hAnsi="Times New Roman"/>
          <w:i/>
          <w:iCs/>
        </w:rPr>
        <w:t>14</w:t>
      </w:r>
      <w:r w:rsidRPr="001523EB">
        <w:rPr>
          <w:rFonts w:ascii="Times New Roman" w:hAnsi="Times New Roman"/>
        </w:rPr>
        <w:t>(2), 025005. https://doi.org/10.1088/1748-9326/aaf5db</w:t>
      </w:r>
    </w:p>
    <w:p w14:paraId="1FF6B5F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Harvey, C. A., Dickson, B., &amp; Kormos, C. (2010). Opportunities for achieving biodiversity conservation through REDD. </w:t>
      </w:r>
      <w:r w:rsidRPr="001523EB">
        <w:rPr>
          <w:rFonts w:ascii="Times New Roman" w:hAnsi="Times New Roman"/>
          <w:i/>
          <w:iCs/>
        </w:rPr>
        <w:t>Conservation Letters</w:t>
      </w:r>
      <w:r w:rsidRPr="001523EB">
        <w:rPr>
          <w:rFonts w:ascii="Times New Roman" w:hAnsi="Times New Roman"/>
        </w:rPr>
        <w:t xml:space="preserve">, </w:t>
      </w:r>
      <w:r w:rsidRPr="001523EB">
        <w:rPr>
          <w:rFonts w:ascii="Times New Roman" w:hAnsi="Times New Roman"/>
          <w:i/>
          <w:iCs/>
        </w:rPr>
        <w:t>3</w:t>
      </w:r>
      <w:r w:rsidRPr="001523EB">
        <w:rPr>
          <w:rFonts w:ascii="Times New Roman" w:hAnsi="Times New Roman"/>
        </w:rPr>
        <w:t>(1), 53–61. https://doi.org/10.1111/j.1755-263X.2009.00086.x</w:t>
      </w:r>
    </w:p>
    <w:p w14:paraId="56B0C17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Head, L., &amp; Atchison, J. (2015). Governing invasive plants: Policy and practice in managing the Gamba grass (</w:t>
      </w:r>
      <w:r w:rsidRPr="001523EB">
        <w:rPr>
          <w:rFonts w:ascii="Times New Roman" w:hAnsi="Times New Roman"/>
          <w:i/>
          <w:iCs/>
        </w:rPr>
        <w:t>Andropogon gayanus</w:t>
      </w:r>
      <w:r w:rsidRPr="001523EB">
        <w:rPr>
          <w:rFonts w:ascii="Times New Roman" w:hAnsi="Times New Roman"/>
        </w:rPr>
        <w:t xml:space="preserve">) – Bushfire nexus in northern Australia. </w:t>
      </w:r>
      <w:r w:rsidRPr="001523EB">
        <w:rPr>
          <w:rFonts w:ascii="Times New Roman" w:hAnsi="Times New Roman"/>
          <w:i/>
          <w:iCs/>
        </w:rPr>
        <w:t>Land Use Policy</w:t>
      </w:r>
      <w:r w:rsidRPr="001523EB">
        <w:rPr>
          <w:rFonts w:ascii="Times New Roman" w:hAnsi="Times New Roman"/>
        </w:rPr>
        <w:t xml:space="preserve">, </w:t>
      </w:r>
      <w:r w:rsidRPr="001523EB">
        <w:rPr>
          <w:rFonts w:ascii="Times New Roman" w:hAnsi="Times New Roman"/>
          <w:i/>
          <w:iCs/>
        </w:rPr>
        <w:t>47</w:t>
      </w:r>
      <w:r w:rsidRPr="001523EB">
        <w:rPr>
          <w:rFonts w:ascii="Times New Roman" w:hAnsi="Times New Roman"/>
        </w:rPr>
        <w:t>, 225–234. https://doi.org/10.1016/j.landusepol.2015.04.009</w:t>
      </w:r>
    </w:p>
    <w:p w14:paraId="55F9E2A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Herms, D. A., &amp; McCullough, D. G. (2011). Pesticides for insect eradication. In D. Simberloff &amp; M. Rejmanek (Eds.), </w:t>
      </w:r>
      <w:r w:rsidRPr="001523EB">
        <w:rPr>
          <w:rFonts w:ascii="Times New Roman" w:hAnsi="Times New Roman"/>
          <w:i/>
          <w:iCs/>
        </w:rPr>
        <w:t>Encyclopedia of Biological Invasions</w:t>
      </w:r>
      <w:r w:rsidRPr="001523EB">
        <w:rPr>
          <w:rFonts w:ascii="Times New Roman" w:hAnsi="Times New Roman"/>
        </w:rPr>
        <w:t xml:space="preserve"> (Vol. 3, pp. 528–535). University of California Press. https://doi.org/10.1525/9780520948433-118</w:t>
      </w:r>
    </w:p>
    <w:p w14:paraId="6E79930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Herrick, C. N. (2019). A review of the U.S. invasive species policy mix: Questioning the prospect of an integrated regime. </w:t>
      </w:r>
      <w:r w:rsidRPr="001523EB">
        <w:rPr>
          <w:rFonts w:ascii="Times New Roman" w:hAnsi="Times New Roman"/>
          <w:i/>
          <w:iCs/>
        </w:rPr>
        <w:t>Environmental Policy and Governance</w:t>
      </w:r>
      <w:r w:rsidRPr="001523EB">
        <w:rPr>
          <w:rFonts w:ascii="Times New Roman" w:hAnsi="Times New Roman"/>
        </w:rPr>
        <w:t xml:space="preserve">, </w:t>
      </w:r>
      <w:r w:rsidRPr="001523EB">
        <w:rPr>
          <w:rFonts w:ascii="Times New Roman" w:hAnsi="Times New Roman"/>
          <w:i/>
          <w:iCs/>
        </w:rPr>
        <w:t>29</w:t>
      </w:r>
      <w:r w:rsidRPr="001523EB">
        <w:rPr>
          <w:rFonts w:ascii="Times New Roman" w:hAnsi="Times New Roman"/>
        </w:rPr>
        <w:t>(4), 262–278. https://doi.org/10.1002/eet.1852</w:t>
      </w:r>
    </w:p>
    <w:p w14:paraId="490B979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Hershdorfer, M. E., Fernandez-Gimenez, M. E., &amp; Howery, L. D. (2007). Key attributes influence the performance of local weed management programs in the southwest United States. </w:t>
      </w:r>
      <w:r w:rsidRPr="001523EB">
        <w:rPr>
          <w:rFonts w:ascii="Times New Roman" w:hAnsi="Times New Roman"/>
          <w:i/>
          <w:iCs/>
        </w:rPr>
        <w:t>Rangeland Ecology and Management</w:t>
      </w:r>
      <w:r w:rsidRPr="001523EB">
        <w:rPr>
          <w:rFonts w:ascii="Times New Roman" w:hAnsi="Times New Roman"/>
        </w:rPr>
        <w:t xml:space="preserve">, </w:t>
      </w:r>
      <w:r w:rsidRPr="001523EB">
        <w:rPr>
          <w:rFonts w:ascii="Times New Roman" w:hAnsi="Times New Roman"/>
          <w:i/>
          <w:iCs/>
        </w:rPr>
        <w:t>60</w:t>
      </w:r>
      <w:r w:rsidRPr="001523EB">
        <w:rPr>
          <w:rFonts w:ascii="Times New Roman" w:hAnsi="Times New Roman"/>
        </w:rPr>
        <w:t>(3), 225–234. https://doi.org/10.2111/1551-5028(2007)60[225:KAITPO]2.0.CO;2</w:t>
      </w:r>
    </w:p>
    <w:p w14:paraId="5CC3607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Hewitt, C. L., &amp; Campbell, M. L. (2007). Mechanisms for the prevention of marine bioinvasions for better biosecurity. </w:t>
      </w:r>
      <w:r w:rsidRPr="001523EB">
        <w:rPr>
          <w:rFonts w:ascii="Times New Roman" w:hAnsi="Times New Roman"/>
          <w:i/>
          <w:iCs/>
        </w:rPr>
        <w:t>Marine Pollution Bulletin</w:t>
      </w:r>
      <w:r w:rsidRPr="001523EB">
        <w:rPr>
          <w:rFonts w:ascii="Times New Roman" w:hAnsi="Times New Roman"/>
        </w:rPr>
        <w:t xml:space="preserve">, </w:t>
      </w:r>
      <w:r w:rsidRPr="001523EB">
        <w:rPr>
          <w:rFonts w:ascii="Times New Roman" w:hAnsi="Times New Roman"/>
          <w:i/>
          <w:iCs/>
        </w:rPr>
        <w:t>55</w:t>
      </w:r>
      <w:r w:rsidRPr="001523EB">
        <w:rPr>
          <w:rFonts w:ascii="Times New Roman" w:hAnsi="Times New Roman"/>
        </w:rPr>
        <w:t>(7–9), 395–401. https://doi.org/10.1016/j.marpolbul.2007.01.005</w:t>
      </w:r>
    </w:p>
    <w:p w14:paraId="4E594CB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Hewitt, C. L., Campbell, M. L., &amp; Gollasch, S. (2006). </w:t>
      </w:r>
      <w:r w:rsidRPr="001523EB">
        <w:rPr>
          <w:rFonts w:ascii="Times New Roman" w:hAnsi="Times New Roman"/>
          <w:i/>
          <w:iCs/>
        </w:rPr>
        <w:t>Alien species in aquaculture: Considerations for responsible use</w:t>
      </w:r>
      <w:r w:rsidRPr="001523EB">
        <w:rPr>
          <w:rFonts w:ascii="Times New Roman" w:hAnsi="Times New Roman"/>
        </w:rPr>
        <w:t>. IUCN. https://portals.iucn.org/library/sites/library/files/documents/2006-036.pdf</w:t>
      </w:r>
    </w:p>
    <w:p w14:paraId="52E0CFE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Hewitt, C. L., Willing, J., Bauckham, A., Cassidy, A. M., Cox, C. M. S., Jones, L., &amp; Wotton, D. M. (2004). New Zealand marine biosecurity: Delivering outcomes in a fluid environment. </w:t>
      </w:r>
      <w:r w:rsidRPr="001523EB">
        <w:rPr>
          <w:rFonts w:ascii="Times New Roman" w:hAnsi="Times New Roman"/>
          <w:i/>
          <w:iCs/>
        </w:rPr>
        <w:t>New Zealand Journal of Marine and Freshwater Research</w:t>
      </w:r>
      <w:r w:rsidRPr="001523EB">
        <w:rPr>
          <w:rFonts w:ascii="Times New Roman" w:hAnsi="Times New Roman"/>
        </w:rPr>
        <w:t xml:space="preserve">, </w:t>
      </w:r>
      <w:r w:rsidRPr="001523EB">
        <w:rPr>
          <w:rFonts w:ascii="Times New Roman" w:hAnsi="Times New Roman"/>
          <w:i/>
          <w:iCs/>
        </w:rPr>
        <w:t>38</w:t>
      </w:r>
      <w:r w:rsidRPr="001523EB">
        <w:rPr>
          <w:rFonts w:ascii="Times New Roman" w:hAnsi="Times New Roman"/>
        </w:rPr>
        <w:t>(3), 429–438. https://doi.org/10.1080/00288330.2004.9517250</w:t>
      </w:r>
    </w:p>
    <w:p w14:paraId="1594154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Heywood, V. H., &amp; Brunel, S. (2009). </w:t>
      </w:r>
      <w:r w:rsidRPr="001523EB">
        <w:rPr>
          <w:rFonts w:ascii="Times New Roman" w:hAnsi="Times New Roman"/>
          <w:i/>
          <w:iCs/>
        </w:rPr>
        <w:t>Code of conduct on horticulture and invasive alien plants</w:t>
      </w:r>
      <w:r w:rsidRPr="001523EB">
        <w:rPr>
          <w:rFonts w:ascii="Times New Roman" w:hAnsi="Times New Roman"/>
        </w:rPr>
        <w:t>. Council of Europe.</w:t>
      </w:r>
    </w:p>
    <w:p w14:paraId="6D01082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Heywood, V. H., &amp; Sharrock, S. (2013). </w:t>
      </w:r>
      <w:r w:rsidRPr="001523EB">
        <w:rPr>
          <w:rFonts w:ascii="Times New Roman" w:hAnsi="Times New Roman"/>
          <w:i/>
          <w:iCs/>
        </w:rPr>
        <w:t>European code of conduct for botanic gardens on invasive alien species</w:t>
      </w:r>
      <w:r w:rsidRPr="001523EB">
        <w:rPr>
          <w:rFonts w:ascii="Times New Roman" w:hAnsi="Times New Roman"/>
        </w:rPr>
        <w:t>. Council of Europe.</w:t>
      </w:r>
    </w:p>
    <w:p w14:paraId="5BA2A55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Hickerson, E. L., Schmahl, G. P., Johnston, M. A., Nuttall, M. F., Embesi, J. A., &amp; Eckert, R. J. (2012, July 9). Flower Garden Banks–a refuge in the Gulf of Mexico? </w:t>
      </w:r>
      <w:r w:rsidRPr="001523EB">
        <w:rPr>
          <w:rFonts w:ascii="Times New Roman" w:hAnsi="Times New Roman"/>
          <w:i/>
          <w:iCs/>
        </w:rPr>
        <w:t>Proceedings of the 12th International Coral Reef Symposium</w:t>
      </w:r>
      <w:r w:rsidRPr="001523EB">
        <w:rPr>
          <w:rFonts w:ascii="Times New Roman" w:hAnsi="Times New Roman"/>
        </w:rPr>
        <w:t>. the 12th International Coral Reef Symposium, Cairns, Australia.</w:t>
      </w:r>
    </w:p>
    <w:p w14:paraId="09AD1D0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Hiller, T., &amp; Haelewaters, D. (2019). A case of silent invasion: Citizen science confirms the presence of </w:t>
      </w:r>
      <w:r w:rsidRPr="001523EB">
        <w:rPr>
          <w:rFonts w:ascii="Times New Roman" w:hAnsi="Times New Roman"/>
          <w:i/>
          <w:iCs/>
        </w:rPr>
        <w:t>Harmonia axyridis</w:t>
      </w:r>
      <w:r w:rsidRPr="001523EB">
        <w:rPr>
          <w:rFonts w:ascii="Times New Roman" w:hAnsi="Times New Roman"/>
        </w:rPr>
        <w:t xml:space="preserve"> (Coleoptera, Coccinellidae) in Central America.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14</w:t>
      </w:r>
      <w:r w:rsidRPr="001523EB">
        <w:rPr>
          <w:rFonts w:ascii="Times New Roman" w:hAnsi="Times New Roman"/>
        </w:rPr>
        <w:t>(7), e0220082. https://doi.org/10.1371/journal.pone.0220082</w:t>
      </w:r>
    </w:p>
    <w:p w14:paraId="513F27A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Hoagstrom, C. W., Hayer, C.-A., &amp; Berry, C. R. (2009). Criteria for determining native distributions of biota: The case of the northern plains killifish in the Cheyenne River </w:t>
      </w:r>
      <w:r w:rsidRPr="001523EB">
        <w:rPr>
          <w:rFonts w:ascii="Times New Roman" w:hAnsi="Times New Roman"/>
        </w:rPr>
        <w:lastRenderedPageBreak/>
        <w:t xml:space="preserve">drainage, North America. </w:t>
      </w:r>
      <w:r w:rsidRPr="001523EB">
        <w:rPr>
          <w:rFonts w:ascii="Times New Roman" w:hAnsi="Times New Roman"/>
          <w:i/>
          <w:iCs/>
        </w:rPr>
        <w:t>Aquatic Conservation: Marine and Freshwater Ecosystems</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(1), 88–95. https://doi.org/10.1002/aqc.1000</w:t>
      </w:r>
    </w:p>
    <w:p w14:paraId="7EE1F00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Hoff, M. H., Irons, K. S., &amp; Forester, J. E. (2019). Policy Challenges Relating to Integrated Pest Management of Freshwater Aquatic Invasive Animals. </w:t>
      </w:r>
      <w:r w:rsidRPr="001523EB">
        <w:rPr>
          <w:rFonts w:ascii="Times New Roman" w:hAnsi="Times New Roman"/>
          <w:i/>
          <w:iCs/>
        </w:rPr>
        <w:t>North American Journal of Fisheries Management</w:t>
      </w:r>
      <w:r w:rsidRPr="001523EB">
        <w:rPr>
          <w:rFonts w:ascii="Times New Roman" w:hAnsi="Times New Roman"/>
        </w:rPr>
        <w:t xml:space="preserve">, </w:t>
      </w:r>
      <w:r w:rsidRPr="001523EB">
        <w:rPr>
          <w:rFonts w:ascii="Times New Roman" w:hAnsi="Times New Roman"/>
          <w:i/>
          <w:iCs/>
        </w:rPr>
        <w:t>41</w:t>
      </w:r>
      <w:r w:rsidRPr="001523EB">
        <w:rPr>
          <w:rFonts w:ascii="Times New Roman" w:hAnsi="Times New Roman"/>
        </w:rPr>
        <w:t>(2), 276–288. https://doi.org/10.1002/nafm.10329</w:t>
      </w:r>
    </w:p>
    <w:p w14:paraId="3CC2817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Holman, L. E., de Bruyn, M., Creer, S., Carvalho, G., Robidart, J., &amp; Rius, M. (2019). Detection of introduced and resident marine species using environmental DNA metabarcoding of sediment and water. </w:t>
      </w:r>
      <w:r w:rsidRPr="001523EB">
        <w:rPr>
          <w:rFonts w:ascii="Times New Roman" w:hAnsi="Times New Roman"/>
          <w:i/>
          <w:iCs/>
        </w:rPr>
        <w:t>Scientific Reports</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(1), 11559. https://doi.org/10.1038/s41598-019-47899-7</w:t>
      </w:r>
    </w:p>
    <w:p w14:paraId="0CED267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Hortal, J., De Bello, F., Diniz-Filho, J. A. F., Lewinsohn, T. M., Lobo, J. M., &amp; Ladle, R. J. (2015). Seven Shortfalls that Beset Large-Scale Knowledge of Biodiversity. </w:t>
      </w:r>
      <w:r w:rsidRPr="001523EB">
        <w:rPr>
          <w:rFonts w:ascii="Times New Roman" w:hAnsi="Times New Roman"/>
          <w:i/>
          <w:iCs/>
        </w:rPr>
        <w:t>Annual Review of Ecology, Evolution, and Systematics</w:t>
      </w:r>
      <w:r w:rsidRPr="001523EB">
        <w:rPr>
          <w:rFonts w:ascii="Times New Roman" w:hAnsi="Times New Roman"/>
        </w:rPr>
        <w:t xml:space="preserve">, </w:t>
      </w:r>
      <w:r w:rsidRPr="001523EB">
        <w:rPr>
          <w:rFonts w:ascii="Times New Roman" w:hAnsi="Times New Roman"/>
          <w:i/>
          <w:iCs/>
        </w:rPr>
        <w:t>46</w:t>
      </w:r>
      <w:r w:rsidRPr="001523EB">
        <w:rPr>
          <w:rFonts w:ascii="Times New Roman" w:hAnsi="Times New Roman"/>
        </w:rPr>
        <w:t>(1), 523–549. https://doi.org/10.1146/annurev-ecolsys-112414-054400</w:t>
      </w:r>
    </w:p>
    <w:p w14:paraId="00E98F9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Howard, P. L. (2019). Human adaptation to invasive species: A conceptual framework based on a case study metasynthesis. </w:t>
      </w:r>
      <w:r w:rsidRPr="001523EB">
        <w:rPr>
          <w:rFonts w:ascii="Times New Roman" w:hAnsi="Times New Roman"/>
          <w:i/>
          <w:iCs/>
        </w:rPr>
        <w:t>Ambio</w:t>
      </w:r>
      <w:r w:rsidRPr="001523EB">
        <w:rPr>
          <w:rFonts w:ascii="Times New Roman" w:hAnsi="Times New Roman"/>
        </w:rPr>
        <w:t xml:space="preserve">, </w:t>
      </w:r>
      <w:r w:rsidRPr="001523EB">
        <w:rPr>
          <w:rFonts w:ascii="Times New Roman" w:hAnsi="Times New Roman"/>
          <w:i/>
          <w:iCs/>
        </w:rPr>
        <w:t>48</w:t>
      </w:r>
      <w:r w:rsidRPr="001523EB">
        <w:rPr>
          <w:rFonts w:ascii="Times New Roman" w:hAnsi="Times New Roman"/>
        </w:rPr>
        <w:t>(12), 1401–1430. https://doi.org/10.1007/s13280-019-01297-5</w:t>
      </w:r>
    </w:p>
    <w:p w14:paraId="1B35ED4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Howard, P. L., &amp; Pecl, G. T. (2019). Introduction: Autochthonous human adaptation to biodiversity change in the Anthropocene. </w:t>
      </w:r>
      <w:r w:rsidRPr="001523EB">
        <w:rPr>
          <w:rFonts w:ascii="Times New Roman" w:hAnsi="Times New Roman"/>
          <w:i/>
          <w:iCs/>
        </w:rPr>
        <w:t>Ambio</w:t>
      </w:r>
      <w:r w:rsidRPr="001523EB">
        <w:rPr>
          <w:rFonts w:ascii="Times New Roman" w:hAnsi="Times New Roman"/>
        </w:rPr>
        <w:t xml:space="preserve">, </w:t>
      </w:r>
      <w:r w:rsidRPr="001523EB">
        <w:rPr>
          <w:rFonts w:ascii="Times New Roman" w:hAnsi="Times New Roman"/>
          <w:i/>
          <w:iCs/>
        </w:rPr>
        <w:t>48</w:t>
      </w:r>
      <w:r w:rsidRPr="001523EB">
        <w:rPr>
          <w:rFonts w:ascii="Times New Roman" w:hAnsi="Times New Roman"/>
        </w:rPr>
        <w:t>(12), 1389–1400. https://doi.org/10.1007/s13280-019-01283-x</w:t>
      </w:r>
    </w:p>
    <w:p w14:paraId="7EDC350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Howard, T. M., Thompson, L. J., Frumento, P., &amp; Alter, T. (2018). Wild dog management in Australia: An interactional approach to case studies of community-led action. </w:t>
      </w:r>
      <w:r w:rsidRPr="001523EB">
        <w:rPr>
          <w:rFonts w:ascii="Times New Roman" w:hAnsi="Times New Roman"/>
          <w:i/>
          <w:iCs/>
        </w:rPr>
        <w:t>Human Dimensions of Wildlife</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(3), 242–256. https://doi.org/10.1080/10871209.2017.1414337</w:t>
      </w:r>
    </w:p>
    <w:p w14:paraId="60EA2A8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Hughes, K. A., &amp; Convey, P. (2010). The protection of Antarctic terrestrial ecosystems from inter- and intra-continental transfer of non-indigenous species by human activities: A review of current systems and practices. </w:t>
      </w:r>
      <w:r w:rsidRPr="001523EB">
        <w:rPr>
          <w:rFonts w:ascii="Times New Roman" w:hAnsi="Times New Roman"/>
          <w:i/>
          <w:iCs/>
        </w:rPr>
        <w:t>Global Environmental Change</w:t>
      </w:r>
      <w:r w:rsidRPr="001523EB">
        <w:rPr>
          <w:rFonts w:ascii="Times New Roman" w:hAnsi="Times New Roman"/>
        </w:rPr>
        <w:t xml:space="preserve">, </w:t>
      </w:r>
      <w:r w:rsidRPr="001523EB">
        <w:rPr>
          <w:rFonts w:ascii="Times New Roman" w:hAnsi="Times New Roman"/>
          <w:i/>
          <w:iCs/>
        </w:rPr>
        <w:t>20</w:t>
      </w:r>
      <w:r w:rsidRPr="001523EB">
        <w:rPr>
          <w:rFonts w:ascii="Times New Roman" w:hAnsi="Times New Roman"/>
        </w:rPr>
        <w:t>(1), 96–112. https://doi.org/10.1016/j.gloenvcha.2009.09.005</w:t>
      </w:r>
    </w:p>
    <w:p w14:paraId="126EB0C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Hughes, K. A., &amp; Convey, P. (2012). Determining the native/non-native status of newly discovered terrestrial and freshwater species in Antarctica—Current knowledge, methodology and management action.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93</w:t>
      </w:r>
      <w:r w:rsidRPr="001523EB">
        <w:rPr>
          <w:rFonts w:ascii="Times New Roman" w:hAnsi="Times New Roman"/>
        </w:rPr>
        <w:t>(1), 52–66. https://doi.org/10.1016/j.jenvman.2011.08.017</w:t>
      </w:r>
    </w:p>
    <w:p w14:paraId="3B81529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Hughes, K. A., &amp; Convey, P. (2014). Alien invasions in Antarctica-is anyone liable? </w:t>
      </w:r>
      <w:r w:rsidRPr="001523EB">
        <w:rPr>
          <w:rFonts w:ascii="Times New Roman" w:hAnsi="Times New Roman"/>
          <w:i/>
          <w:iCs/>
        </w:rPr>
        <w:t>Polar Research</w:t>
      </w:r>
      <w:r w:rsidRPr="001523EB">
        <w:rPr>
          <w:rFonts w:ascii="Times New Roman" w:hAnsi="Times New Roman"/>
        </w:rPr>
        <w:t xml:space="preserve">, </w:t>
      </w:r>
      <w:r w:rsidRPr="001523EB">
        <w:rPr>
          <w:rFonts w:ascii="Times New Roman" w:hAnsi="Times New Roman"/>
          <w:i/>
          <w:iCs/>
        </w:rPr>
        <w:t>33</w:t>
      </w:r>
      <w:r w:rsidRPr="001523EB">
        <w:rPr>
          <w:rFonts w:ascii="Times New Roman" w:hAnsi="Times New Roman"/>
        </w:rPr>
        <w:t>(1), 22103. https://doi.org/10.3402/polar.v33.22103</w:t>
      </w:r>
    </w:p>
    <w:p w14:paraId="6B49FB1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Hughes, K. A., &amp; Pertierra, L. R. (2016). Evaluation of non-native species policy development and implementation within the Antarctic Treaty area.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200</w:t>
      </w:r>
      <w:r w:rsidRPr="001523EB">
        <w:rPr>
          <w:rFonts w:ascii="Times New Roman" w:hAnsi="Times New Roman"/>
        </w:rPr>
        <w:t>, 149–159. https://doi.org/10.1016/j.biocon.2016.03.011</w:t>
      </w:r>
    </w:p>
    <w:p w14:paraId="1033715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Hughes, K. A., Pertierra, L. R., Molina-Montenegro, M. A., &amp; Convey, P. (2015). Biological invasions in terrestrial Antarctica: What is the current status and can we respond? </w:t>
      </w:r>
      <w:r w:rsidRPr="001523EB">
        <w:rPr>
          <w:rFonts w:ascii="Times New Roman" w:hAnsi="Times New Roman"/>
          <w:i/>
          <w:iCs/>
        </w:rPr>
        <w:t>Biodiversity and Conservation</w:t>
      </w:r>
      <w:r w:rsidRPr="001523EB">
        <w:rPr>
          <w:rFonts w:ascii="Times New Roman" w:hAnsi="Times New Roman"/>
        </w:rPr>
        <w:t xml:space="preserve">, </w:t>
      </w:r>
      <w:r w:rsidRPr="001523EB">
        <w:rPr>
          <w:rFonts w:ascii="Times New Roman" w:hAnsi="Times New Roman"/>
          <w:i/>
          <w:iCs/>
        </w:rPr>
        <w:t>24</w:t>
      </w:r>
      <w:r w:rsidRPr="001523EB">
        <w:rPr>
          <w:rFonts w:ascii="Times New Roman" w:hAnsi="Times New Roman"/>
        </w:rPr>
        <w:t>(5), 1031–1055. https://doi.org/10.1007/s10531-015-0896-6</w:t>
      </w:r>
    </w:p>
    <w:p w14:paraId="208FB60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Hulata, G. (2001). Genetic manipulations in aquaculture: A review of stock improvement by classical and modern technologies. </w:t>
      </w:r>
      <w:r w:rsidRPr="001523EB">
        <w:rPr>
          <w:rFonts w:ascii="Times New Roman" w:hAnsi="Times New Roman"/>
          <w:i/>
          <w:iCs/>
        </w:rPr>
        <w:t>Genetica</w:t>
      </w:r>
      <w:r w:rsidRPr="001523EB">
        <w:rPr>
          <w:rFonts w:ascii="Times New Roman" w:hAnsi="Times New Roman"/>
        </w:rPr>
        <w:t xml:space="preserve">, </w:t>
      </w:r>
      <w:r w:rsidRPr="001523EB">
        <w:rPr>
          <w:rFonts w:ascii="Times New Roman" w:hAnsi="Times New Roman"/>
          <w:i/>
          <w:iCs/>
        </w:rPr>
        <w:t>111</w:t>
      </w:r>
      <w:r w:rsidRPr="001523EB">
        <w:rPr>
          <w:rFonts w:ascii="Times New Roman" w:hAnsi="Times New Roman"/>
        </w:rPr>
        <w:t>(1/3), 155–173. https://doi.org/10.1023/A:1013776931796</w:t>
      </w:r>
    </w:p>
    <w:p w14:paraId="4445FBF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Hulme, P. E. (2009). Trade, transport and trouble: Managing invasive species pathways in an era of globalization. </w:t>
      </w:r>
      <w:r w:rsidRPr="001523EB">
        <w:rPr>
          <w:rFonts w:ascii="Times New Roman" w:hAnsi="Times New Roman"/>
          <w:i/>
          <w:iCs/>
        </w:rPr>
        <w:t>Journal of Applied Ecology</w:t>
      </w:r>
      <w:r w:rsidRPr="001523EB">
        <w:rPr>
          <w:rFonts w:ascii="Times New Roman" w:hAnsi="Times New Roman"/>
        </w:rPr>
        <w:t xml:space="preserve">, </w:t>
      </w:r>
      <w:r w:rsidRPr="001523EB">
        <w:rPr>
          <w:rFonts w:ascii="Times New Roman" w:hAnsi="Times New Roman"/>
          <w:i/>
          <w:iCs/>
        </w:rPr>
        <w:t>46</w:t>
      </w:r>
      <w:r w:rsidRPr="001523EB">
        <w:rPr>
          <w:rFonts w:ascii="Times New Roman" w:hAnsi="Times New Roman"/>
        </w:rPr>
        <w:t>(1), 10–18. https://doi.org/10.1111/j.1365-2664.2008.01600.x</w:t>
      </w:r>
    </w:p>
    <w:p w14:paraId="4BDFDDA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Hulme, P. E. (2011). Biosecurity: The changing face of invasion biology. In D. M. Richardson (Ed.), </w:t>
      </w:r>
      <w:r w:rsidRPr="001523EB">
        <w:rPr>
          <w:rFonts w:ascii="Times New Roman" w:hAnsi="Times New Roman"/>
          <w:i/>
          <w:iCs/>
        </w:rPr>
        <w:t>Fifty years of invasion ecology: The legacy of Charles Elton</w:t>
      </w:r>
      <w:r w:rsidRPr="001523EB">
        <w:rPr>
          <w:rFonts w:ascii="Times New Roman" w:hAnsi="Times New Roman"/>
        </w:rPr>
        <w:t xml:space="preserve"> (pp. 73–88). Wiley-Blackwell. https://doi.org/10.1002/9781444329988.ch23</w:t>
      </w:r>
    </w:p>
    <w:p w14:paraId="66479FA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Hulme, P. E. (2020). One Biosecurity: A unified concept to integrate human, animal, plant, and environmental health. </w:t>
      </w:r>
      <w:r w:rsidRPr="001523EB">
        <w:rPr>
          <w:rFonts w:ascii="Times New Roman" w:hAnsi="Times New Roman"/>
          <w:i/>
          <w:iCs/>
        </w:rPr>
        <w:t>Emerging Topics in Life Sciences</w:t>
      </w:r>
      <w:r w:rsidRPr="001523EB">
        <w:rPr>
          <w:rFonts w:ascii="Times New Roman" w:hAnsi="Times New Roman"/>
        </w:rPr>
        <w:t xml:space="preserve">, </w:t>
      </w:r>
      <w:r w:rsidRPr="001523EB">
        <w:rPr>
          <w:rFonts w:ascii="Times New Roman" w:hAnsi="Times New Roman"/>
          <w:i/>
          <w:iCs/>
        </w:rPr>
        <w:t>4</w:t>
      </w:r>
      <w:r w:rsidRPr="001523EB">
        <w:rPr>
          <w:rFonts w:ascii="Times New Roman" w:hAnsi="Times New Roman"/>
        </w:rPr>
        <w:t>(5), 539–549. https://doi.org/10.1042/ETLS20200067</w:t>
      </w:r>
    </w:p>
    <w:p w14:paraId="64C545F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Hulme, P. E. (2021). Advancing One Biosecurity to Address the Pandemic Risks of Biological Invasions. </w:t>
      </w:r>
      <w:r w:rsidRPr="001523EB">
        <w:rPr>
          <w:rFonts w:ascii="Times New Roman" w:hAnsi="Times New Roman"/>
          <w:i/>
          <w:iCs/>
        </w:rPr>
        <w:t>BioScience</w:t>
      </w:r>
      <w:r w:rsidRPr="001523EB">
        <w:rPr>
          <w:rFonts w:ascii="Times New Roman" w:hAnsi="Times New Roman"/>
        </w:rPr>
        <w:t xml:space="preserve">, </w:t>
      </w:r>
      <w:r w:rsidRPr="001523EB">
        <w:rPr>
          <w:rFonts w:ascii="Times New Roman" w:hAnsi="Times New Roman"/>
          <w:i/>
          <w:iCs/>
        </w:rPr>
        <w:t>71</w:t>
      </w:r>
      <w:r w:rsidRPr="001523EB">
        <w:rPr>
          <w:rFonts w:ascii="Times New Roman" w:hAnsi="Times New Roman"/>
        </w:rPr>
        <w:t>(7), 708–721. https://doi.org/10.1093/biosci/biab019</w:t>
      </w:r>
    </w:p>
    <w:p w14:paraId="7F196B8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Hulme, P. E., Brundu, G., Carboni, M., Dehnen-Schmutz, K., Dullinger, S., Early, R., Essl, F., González-Moreno, P., Groom, Q. J., Kueffer, C., Kühn, I., Maurel, N., Novoa, A., Pergl, J., Pyšek, P., Seebens, H., Tanner, R., Touza, J. M., van Kleunen, M., &amp; Verbrugge, L. N. H. (2018). Integrating invasive species policies across ornamental horticulture supply chains to prevent plant invasions. </w:t>
      </w:r>
      <w:r w:rsidRPr="001523EB">
        <w:rPr>
          <w:rFonts w:ascii="Times New Roman" w:hAnsi="Times New Roman"/>
          <w:i/>
          <w:iCs/>
        </w:rPr>
        <w:t>Journal of Applied Ecology</w:t>
      </w:r>
      <w:r w:rsidRPr="001523EB">
        <w:rPr>
          <w:rFonts w:ascii="Times New Roman" w:hAnsi="Times New Roman"/>
        </w:rPr>
        <w:t xml:space="preserve">, </w:t>
      </w:r>
      <w:r w:rsidRPr="001523EB">
        <w:rPr>
          <w:rFonts w:ascii="Times New Roman" w:hAnsi="Times New Roman"/>
          <w:i/>
          <w:iCs/>
        </w:rPr>
        <w:t>55</w:t>
      </w:r>
      <w:r w:rsidRPr="001523EB">
        <w:rPr>
          <w:rFonts w:ascii="Times New Roman" w:hAnsi="Times New Roman"/>
        </w:rPr>
        <w:t>(1), 92–98. https://doi.org/10.1111/1365-2664.12953</w:t>
      </w:r>
    </w:p>
    <w:p w14:paraId="0D3EAAE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IAATO. (2020). </w:t>
      </w:r>
      <w:r w:rsidRPr="001523EB">
        <w:rPr>
          <w:rFonts w:ascii="Times New Roman" w:hAnsi="Times New Roman"/>
          <w:i/>
          <w:iCs/>
        </w:rPr>
        <w:t>Boot, clothing and equipment decontamination guidelines for small boat operators</w:t>
      </w:r>
      <w:r w:rsidRPr="001523EB">
        <w:rPr>
          <w:rFonts w:ascii="Times New Roman" w:hAnsi="Times New Roman"/>
        </w:rPr>
        <w:t>. International Association of Antarctic Tour Operators. https://iaato.org/decontamination-guidelines</w:t>
      </w:r>
    </w:p>
    <w:p w14:paraId="382F34D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IFC. (2012). </w:t>
      </w:r>
      <w:r w:rsidRPr="001523EB">
        <w:rPr>
          <w:rFonts w:ascii="Times New Roman" w:hAnsi="Times New Roman"/>
          <w:i/>
          <w:iCs/>
        </w:rPr>
        <w:t>Performance Standard 6: Biodiversity Conservation and Sustainable Management of Living Natural Resources</w:t>
      </w:r>
      <w:r w:rsidRPr="001523EB">
        <w:rPr>
          <w:rFonts w:ascii="Times New Roman" w:hAnsi="Times New Roman"/>
        </w:rPr>
        <w:t>. International Finance Corporation. https://www.ifc.org/en/insights-reports/2012/ifc-performance-standard-6</w:t>
      </w:r>
    </w:p>
    <w:p w14:paraId="0609E1B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IMO. (2004). </w:t>
      </w:r>
      <w:r w:rsidRPr="001523EB">
        <w:rPr>
          <w:rFonts w:ascii="Times New Roman" w:hAnsi="Times New Roman"/>
          <w:i/>
          <w:iCs/>
        </w:rPr>
        <w:t>International Convention for the Control and Management of Ships’ Ballast Water and Sediments (BMW)</w:t>
      </w:r>
      <w:r w:rsidRPr="001523EB">
        <w:rPr>
          <w:rFonts w:ascii="Times New Roman" w:hAnsi="Times New Roman"/>
        </w:rPr>
        <w:t>. International Maritime Organization. https://www.imo.org/en/About/Conventions/Pages/International-Convention-for-the-Control-and-Management-of-Ships%27-Ballast-Water-and-Sediments-(BWM).aspx</w:t>
      </w:r>
    </w:p>
    <w:p w14:paraId="4423D36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IMO. (2022). </w:t>
      </w:r>
      <w:r w:rsidRPr="001523EB">
        <w:rPr>
          <w:rFonts w:ascii="Times New Roman" w:hAnsi="Times New Roman"/>
          <w:i/>
          <w:iCs/>
        </w:rPr>
        <w:t>Status of multilateral conventions and instruments in respect of which the International Maritime Organization or its Secretary-General performs depositary or other functions as at 26 May 2022.</w:t>
      </w:r>
      <w:r w:rsidRPr="001523EB">
        <w:rPr>
          <w:rFonts w:ascii="Times New Roman" w:hAnsi="Times New Roman"/>
        </w:rPr>
        <w:t xml:space="preserve"> International Maritime Organization.</w:t>
      </w:r>
    </w:p>
    <w:p w14:paraId="2D723F0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InforMEA. (2021). </w:t>
      </w:r>
      <w:r w:rsidRPr="001523EB">
        <w:rPr>
          <w:rFonts w:ascii="Times New Roman" w:hAnsi="Times New Roman"/>
          <w:i/>
          <w:iCs/>
        </w:rPr>
        <w:t>Early warning system | InforMEA</w:t>
      </w:r>
      <w:r w:rsidRPr="001523EB">
        <w:rPr>
          <w:rFonts w:ascii="Times New Roman" w:hAnsi="Times New Roman"/>
        </w:rPr>
        <w:t>. United Nations Information Portal on Multilateral Environmental Agreements. https://www.informea.org/en/terms/early-warning-system</w:t>
      </w:r>
    </w:p>
    <w:p w14:paraId="12E7FDB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IPBES. (2016). </w:t>
      </w:r>
      <w:r w:rsidRPr="001523EB">
        <w:rPr>
          <w:rFonts w:ascii="Times New Roman" w:hAnsi="Times New Roman"/>
          <w:i/>
          <w:iCs/>
        </w:rPr>
        <w:t>The assessment report of the Intergovernmental Science-Policy Platform on Biodiversity and Ecosystem Services on pollinators, pollination and food production</w:t>
      </w:r>
      <w:r w:rsidRPr="001523EB">
        <w:rPr>
          <w:rFonts w:ascii="Times New Roman" w:hAnsi="Times New Roman"/>
        </w:rPr>
        <w:t>. Secretariat of the Intergovernmental Science-Policy Platform on Biodiversity and Ecosystem Services. https://doi.org/10.5281/ZENODO.3402857</w:t>
      </w:r>
    </w:p>
    <w:p w14:paraId="68FDA5C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IPBES. (2018a). </w:t>
      </w:r>
      <w:r w:rsidRPr="001523EB">
        <w:rPr>
          <w:rFonts w:ascii="Times New Roman" w:hAnsi="Times New Roman"/>
          <w:i/>
          <w:iCs/>
        </w:rPr>
        <w:t>Summary for policymakers of the assessment report on land degradation and restoration of the Intergovernmental Science Policy Platform on Biodiversity and Ecosystem Services.</w:t>
      </w:r>
      <w:r w:rsidRPr="001523EB">
        <w:rPr>
          <w:rFonts w:ascii="Times New Roman" w:hAnsi="Times New Roman"/>
        </w:rPr>
        <w:t xml:space="preserve"> Secretariat of the Intergovernmental Science-Policy Platform on Biodiversity and Ecosystem Services. https://doi.org/10.5281/ZENODO.3237410</w:t>
      </w:r>
    </w:p>
    <w:p w14:paraId="65CDC1F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IPBES. (2018b). </w:t>
      </w:r>
      <w:r w:rsidRPr="001523EB">
        <w:rPr>
          <w:rFonts w:ascii="Times New Roman" w:hAnsi="Times New Roman"/>
          <w:i/>
          <w:iCs/>
        </w:rPr>
        <w:t>Summary for policymakers of the regional assessment report on biodiversity and ecosystem services for Asia and the Pacific of the Intergovernmental Science-Policy Platform on Biodiversity and Ecosystem Services</w:t>
      </w:r>
      <w:r w:rsidRPr="001523EB">
        <w:rPr>
          <w:rFonts w:ascii="Times New Roman" w:hAnsi="Times New Roman"/>
        </w:rPr>
        <w:t>. Secretariat of the Intergovernmental Science-Policy Platform on Biodiversity and Ecosystem Services.</w:t>
      </w:r>
    </w:p>
    <w:p w14:paraId="2198336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IPBES. (2018c). </w:t>
      </w:r>
      <w:r w:rsidRPr="001523EB">
        <w:rPr>
          <w:rFonts w:ascii="Times New Roman" w:hAnsi="Times New Roman"/>
          <w:i/>
          <w:iCs/>
        </w:rPr>
        <w:t>The IPBES regional assessment report on biodiversity and ecosystem services for Asia and the Pacific</w:t>
      </w:r>
      <w:r w:rsidRPr="001523EB">
        <w:rPr>
          <w:rFonts w:ascii="Times New Roman" w:hAnsi="Times New Roman"/>
        </w:rPr>
        <w:t xml:space="preserve"> (Report). Secretariat of the Intergovernmental Science-Policy Platform on Biodiversity and Ecosystem Services. https://doi.org/10.5281/ZENODO.3237374</w:t>
      </w:r>
    </w:p>
    <w:p w14:paraId="66F888C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IPBES. (2018d). </w:t>
      </w:r>
      <w:r w:rsidRPr="001523EB">
        <w:rPr>
          <w:rFonts w:ascii="Times New Roman" w:hAnsi="Times New Roman"/>
          <w:i/>
          <w:iCs/>
        </w:rPr>
        <w:t>The IPBES regional assessment report on biodiversity and ecosystem services for Europe and Central Asia</w:t>
      </w:r>
      <w:r w:rsidRPr="001523EB">
        <w:rPr>
          <w:rFonts w:ascii="Times New Roman" w:hAnsi="Times New Roman"/>
        </w:rPr>
        <w:t xml:space="preserve"> (Report). Secretariat of the Intergovernmental Science-Policy Platform on Biodiversity and Ecosystem Services. https://doi.org/10.5281/ZENODO.3237429</w:t>
      </w:r>
    </w:p>
    <w:p w14:paraId="67A4010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IPBES. (2019a). </w:t>
      </w:r>
      <w:r w:rsidRPr="001523EB">
        <w:rPr>
          <w:rFonts w:ascii="Times New Roman" w:hAnsi="Times New Roman"/>
          <w:i/>
          <w:iCs/>
        </w:rPr>
        <w:t>Global assessment report on biodiversity and ecosystem services of the Intergovernmental Science-Policy Platform on Biodiversity and Ecosystem Services</w:t>
      </w:r>
      <w:r w:rsidRPr="001523EB">
        <w:rPr>
          <w:rFonts w:ascii="Times New Roman" w:hAnsi="Times New Roman"/>
        </w:rPr>
        <w:t>. Secretariat of the Intergovernmental Science-Policy Platform on Biodiversity and Ecosystem Services. https://doi.org/10.5281/ZENODO.3831673</w:t>
      </w:r>
    </w:p>
    <w:p w14:paraId="19C82F0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IPBES. (2019b). Methodological guidance for assessing policy instruments and facilitating the use for policy support tools and methodologies through IPBES assessments. </w:t>
      </w:r>
      <w:r w:rsidRPr="001523EB">
        <w:rPr>
          <w:rFonts w:ascii="Times New Roman" w:hAnsi="Times New Roman"/>
          <w:i/>
          <w:iCs/>
        </w:rPr>
        <w:t>Information on Work Related to Policy Support Tools and Methodologies</w:t>
      </w:r>
      <w:r w:rsidRPr="001523EB">
        <w:rPr>
          <w:rFonts w:ascii="Times New Roman" w:hAnsi="Times New Roman"/>
        </w:rPr>
        <w:t xml:space="preserve">, </w:t>
      </w:r>
      <w:r w:rsidRPr="001523EB">
        <w:rPr>
          <w:rFonts w:ascii="Times New Roman" w:hAnsi="Times New Roman"/>
          <w:i/>
          <w:iCs/>
        </w:rPr>
        <w:t>IPBES/7/INF/13</w:t>
      </w:r>
      <w:r w:rsidRPr="001523EB">
        <w:rPr>
          <w:rFonts w:ascii="Times New Roman" w:hAnsi="Times New Roman"/>
        </w:rPr>
        <w:t>, Appendix 1.</w:t>
      </w:r>
    </w:p>
    <w:p w14:paraId="2FBFFB7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IPBES. (2019c). </w:t>
      </w:r>
      <w:r w:rsidRPr="001523EB">
        <w:rPr>
          <w:rFonts w:ascii="Times New Roman" w:hAnsi="Times New Roman"/>
          <w:i/>
          <w:iCs/>
        </w:rPr>
        <w:t>Summary for policymakers of the global assessment report on biodiversity and ecosystem services of the Intergovernmental Science-Policy Platform on Biodiversity and Ecosystem Services</w:t>
      </w:r>
      <w:r w:rsidRPr="001523EB">
        <w:rPr>
          <w:rFonts w:ascii="Times New Roman" w:hAnsi="Times New Roman"/>
        </w:rPr>
        <w:t xml:space="preserve"> (summary for policy makers). Secretariat of the Intergovernmental Science-Policy Platform on Biodiversity and Ecosystem Services. https://doi.org/10.5281/ZENODO.3553458</w:t>
      </w:r>
    </w:p>
    <w:p w14:paraId="731E4C8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IPBES. (2021). </w:t>
      </w:r>
      <w:r w:rsidRPr="001523EB">
        <w:rPr>
          <w:rFonts w:ascii="Times New Roman" w:hAnsi="Times New Roman"/>
          <w:i/>
          <w:iCs/>
        </w:rPr>
        <w:t>Methodological guidance for recognizing and working with indigenous and local knowledge in IPBES</w:t>
      </w:r>
      <w:r w:rsidRPr="001523EB">
        <w:rPr>
          <w:rFonts w:ascii="Times New Roman" w:hAnsi="Times New Roman"/>
        </w:rPr>
        <w:t>. https://ipbes.net/sites/default/files/inline-files/IPBES_ILK_MethGuide.pdf</w:t>
      </w:r>
    </w:p>
    <w:p w14:paraId="6C6BE55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IPBES. (2022). </w:t>
      </w:r>
      <w:r w:rsidRPr="001523EB">
        <w:rPr>
          <w:rFonts w:ascii="Times New Roman" w:hAnsi="Times New Roman"/>
          <w:i/>
          <w:iCs/>
        </w:rPr>
        <w:t>Report of the third Indigenous and local knowledge dialogue workshop for the IPBES thematic assessment of invasive alien species and their control.</w:t>
      </w:r>
      <w:r w:rsidRPr="001523EB">
        <w:rPr>
          <w:rFonts w:ascii="Times New Roman" w:hAnsi="Times New Roman"/>
        </w:rPr>
        <w:t xml:space="preserve"> https://ipbes.net/sites/default/files/2023-02/IPBES_IAS_3rdILKDialogue_SPM-SOD_Report_FinalForWeb2.pdf</w:t>
      </w:r>
    </w:p>
    <w:p w14:paraId="024AEB5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IPCC. (2007). </w:t>
      </w:r>
      <w:r w:rsidRPr="001523EB">
        <w:rPr>
          <w:rFonts w:ascii="Times New Roman" w:hAnsi="Times New Roman"/>
          <w:i/>
          <w:iCs/>
        </w:rPr>
        <w:t>Contribution of Working Group II to the Fourth Assessment Report of the Intergovernmental Panel on Climate Change</w:t>
      </w:r>
      <w:r w:rsidRPr="001523EB">
        <w:rPr>
          <w:rFonts w:ascii="Times New Roman" w:hAnsi="Times New Roman"/>
        </w:rPr>
        <w:t>. Intergovernmental Panel on Climate Change. https://www.semanticscholar.org/paper/Contribution-of-Working-Group-II-to-the-Fourth-of-Palut-Canziani/ec27546040387c2067df8278f28ad8fd17981eb6</w:t>
      </w:r>
    </w:p>
    <w:p w14:paraId="0F33384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IPPC. (1952). </w:t>
      </w:r>
      <w:r w:rsidRPr="001523EB">
        <w:rPr>
          <w:rFonts w:ascii="Times New Roman" w:hAnsi="Times New Roman"/>
          <w:i/>
          <w:iCs/>
        </w:rPr>
        <w:t>International Plant Protection Convention</w:t>
      </w:r>
      <w:r w:rsidRPr="001523EB">
        <w:rPr>
          <w:rFonts w:ascii="Times New Roman" w:hAnsi="Times New Roman"/>
        </w:rPr>
        <w:t>. International Plant Protection Convention. http://www.fao.org/fileadmin/user_upload/legal/docs/004s-e.pdf</w:t>
      </w:r>
    </w:p>
    <w:p w14:paraId="3B01F2A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IUCN. (2000). </w:t>
      </w:r>
      <w:r w:rsidRPr="001523EB">
        <w:rPr>
          <w:rFonts w:ascii="Times New Roman" w:hAnsi="Times New Roman"/>
          <w:i/>
          <w:iCs/>
        </w:rPr>
        <w:t>IUCN guidelines for the prevention of biodiversity loss caused by alien invasive species</w:t>
      </w:r>
      <w:r w:rsidRPr="001523EB">
        <w:rPr>
          <w:rFonts w:ascii="Times New Roman" w:hAnsi="Times New Roman"/>
        </w:rPr>
        <w:t>. IUCN Species Survival Commission (SSC), Invasive Species Specialist Group. https://portals.iucn.org/library/node/12413</w:t>
      </w:r>
    </w:p>
    <w:p w14:paraId="54C7B84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IUCN. (2017). </w:t>
      </w:r>
      <w:r w:rsidRPr="001523EB">
        <w:rPr>
          <w:rFonts w:ascii="Times New Roman" w:hAnsi="Times New Roman"/>
          <w:i/>
          <w:iCs/>
        </w:rPr>
        <w:t>Guidance for interpretation of CBD categories on introduction pathways</w:t>
      </w:r>
      <w:r w:rsidRPr="001523EB">
        <w:rPr>
          <w:rFonts w:ascii="Times New Roman" w:hAnsi="Times New Roman"/>
        </w:rPr>
        <w:t xml:space="preserve"> [Technical note prepared by IUCN for the European Commission]. International Union for Conservation of Nature. https://nora.nerc.ac.uk/id/eprint/519129/1/N519129CR.pdf</w:t>
      </w:r>
    </w:p>
    <w:p w14:paraId="0CF4748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Jackson, S. M., Groves, C. P., Fleming, P. J. S., Aplin, K. P., Eldridge, M. D. B., Gonzalez, A., &amp; Helgen, K. M. (2017). The Wayward Dog: Is the Australian native dog or Dingo a distinct species? </w:t>
      </w:r>
      <w:r w:rsidRPr="001523EB">
        <w:rPr>
          <w:rFonts w:ascii="Times New Roman" w:hAnsi="Times New Roman"/>
          <w:i/>
          <w:iCs/>
        </w:rPr>
        <w:t>Zootaxa</w:t>
      </w:r>
      <w:r w:rsidRPr="001523EB">
        <w:rPr>
          <w:rFonts w:ascii="Times New Roman" w:hAnsi="Times New Roman"/>
        </w:rPr>
        <w:t xml:space="preserve">, </w:t>
      </w:r>
      <w:r w:rsidRPr="001523EB">
        <w:rPr>
          <w:rFonts w:ascii="Times New Roman" w:hAnsi="Times New Roman"/>
          <w:i/>
          <w:iCs/>
        </w:rPr>
        <w:t>4317</w:t>
      </w:r>
      <w:r w:rsidRPr="001523EB">
        <w:rPr>
          <w:rFonts w:ascii="Times New Roman" w:hAnsi="Times New Roman"/>
        </w:rPr>
        <w:t>(2), 201. https://doi.org/10.11646/zootaxa.4317.2.1</w:t>
      </w:r>
    </w:p>
    <w:p w14:paraId="1927FE0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Jacobs, K. R. (2017). Teams at Their Core: Implementing an “All LANDS Approach to Conservation” Requires Focusing on Relationships, Teamwork Process, and Communications. </w:t>
      </w:r>
      <w:r w:rsidRPr="001523EB">
        <w:rPr>
          <w:rFonts w:ascii="Times New Roman" w:hAnsi="Times New Roman"/>
          <w:i/>
          <w:iCs/>
        </w:rPr>
        <w:t>Forests</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(7), 246. https://doi.org/10.3390/f8070246</w:t>
      </w:r>
    </w:p>
    <w:p w14:paraId="2E48D38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Jarić, I., Correia, R. A., Roberts, D. L., Gessner, J., Meinard, Y., &amp; Courchamp, F. (2019). On the overlap between scientific and societal taxonomic attentions—Insights for conservation. </w:t>
      </w:r>
      <w:r w:rsidRPr="001523EB">
        <w:rPr>
          <w:rFonts w:ascii="Times New Roman" w:hAnsi="Times New Roman"/>
          <w:i/>
          <w:iCs/>
        </w:rPr>
        <w:t>Science of The Total Environment</w:t>
      </w:r>
      <w:r w:rsidRPr="001523EB">
        <w:rPr>
          <w:rFonts w:ascii="Times New Roman" w:hAnsi="Times New Roman"/>
        </w:rPr>
        <w:t xml:space="preserve">, </w:t>
      </w:r>
      <w:r w:rsidRPr="001523EB">
        <w:rPr>
          <w:rFonts w:ascii="Times New Roman" w:hAnsi="Times New Roman"/>
          <w:i/>
          <w:iCs/>
        </w:rPr>
        <w:t>648</w:t>
      </w:r>
      <w:r w:rsidRPr="001523EB">
        <w:rPr>
          <w:rFonts w:ascii="Times New Roman" w:hAnsi="Times New Roman"/>
        </w:rPr>
        <w:t>, 772–778. https://doi.org/10.1016/j.scitotenv.2018.08.198</w:t>
      </w:r>
    </w:p>
    <w:p w14:paraId="3AE756A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Jerde, C. L., Mahon, A. R., Chadderton, W. L., &amp; Lodge, D. M. (2011). “Sight-unseen” detection of rare aquatic species using environmental DNA. </w:t>
      </w:r>
      <w:r w:rsidRPr="001523EB">
        <w:rPr>
          <w:rFonts w:ascii="Times New Roman" w:hAnsi="Times New Roman"/>
          <w:i/>
          <w:iCs/>
        </w:rPr>
        <w:t>Conservation Letters</w:t>
      </w:r>
      <w:r w:rsidRPr="001523EB">
        <w:rPr>
          <w:rFonts w:ascii="Times New Roman" w:hAnsi="Times New Roman"/>
        </w:rPr>
        <w:t xml:space="preserve">, </w:t>
      </w:r>
      <w:r w:rsidRPr="001523EB">
        <w:rPr>
          <w:rFonts w:ascii="Times New Roman" w:hAnsi="Times New Roman"/>
          <w:i/>
          <w:iCs/>
        </w:rPr>
        <w:t>4</w:t>
      </w:r>
      <w:r w:rsidRPr="001523EB">
        <w:rPr>
          <w:rFonts w:ascii="Times New Roman" w:hAnsi="Times New Roman"/>
        </w:rPr>
        <w:t>(2), 150–157. https://doi.org/10.1111/j.1755-263X.2010.00158.x</w:t>
      </w:r>
    </w:p>
    <w:p w14:paraId="57F42D7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Jeschke, J. M., Aparicio, L. G., Haider, S., Heger, T., Lortie, C. J., Pyšek, P., &amp; Strayer, D. L. (2012). Taxonomic bias and lack of cross-taxonomic studies in invasion biology. </w:t>
      </w:r>
      <w:r w:rsidRPr="001523EB">
        <w:rPr>
          <w:rFonts w:ascii="Times New Roman" w:hAnsi="Times New Roman"/>
          <w:i/>
          <w:iCs/>
        </w:rPr>
        <w:t>Frontiers in Ecology and the Environment</w:t>
      </w:r>
      <w:r w:rsidRPr="001523EB">
        <w:rPr>
          <w:rFonts w:ascii="Times New Roman" w:hAnsi="Times New Roman"/>
        </w:rPr>
        <w:t xml:space="preserve">, </w:t>
      </w:r>
      <w:r w:rsidRPr="001523EB">
        <w:rPr>
          <w:rFonts w:ascii="Times New Roman" w:hAnsi="Times New Roman"/>
          <w:i/>
          <w:iCs/>
        </w:rPr>
        <w:t>10</w:t>
      </w:r>
      <w:r w:rsidRPr="001523EB">
        <w:rPr>
          <w:rFonts w:ascii="Times New Roman" w:hAnsi="Times New Roman"/>
        </w:rPr>
        <w:t>(7), 349–350. https://doi.org/10.1890/12.WB.016</w:t>
      </w:r>
    </w:p>
    <w:p w14:paraId="4D82190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Jeschke, J. M., Börner, K., Stodden, V., &amp; Tockner, K. (2019). Open Access journals need to become first choice, in invasion ecology and beyond. </w:t>
      </w:r>
      <w:r w:rsidRPr="001523EB">
        <w:rPr>
          <w:rFonts w:ascii="Times New Roman" w:hAnsi="Times New Roman"/>
          <w:i/>
          <w:iCs/>
        </w:rPr>
        <w:t>NeoBiota</w:t>
      </w:r>
      <w:r w:rsidRPr="001523EB">
        <w:rPr>
          <w:rFonts w:ascii="Times New Roman" w:hAnsi="Times New Roman"/>
        </w:rPr>
        <w:t xml:space="preserve">, </w:t>
      </w:r>
      <w:r w:rsidRPr="001523EB">
        <w:rPr>
          <w:rFonts w:ascii="Times New Roman" w:hAnsi="Times New Roman"/>
          <w:i/>
          <w:iCs/>
        </w:rPr>
        <w:t>52</w:t>
      </w:r>
      <w:r w:rsidRPr="001523EB">
        <w:rPr>
          <w:rFonts w:ascii="Times New Roman" w:hAnsi="Times New Roman"/>
        </w:rPr>
        <w:t>, 1–8. https://doi.org/10.3897/neobiota.52.39542</w:t>
      </w:r>
    </w:p>
    <w:p w14:paraId="1307351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Jetz, W., McGeoch, M. A., Guralnick, R., Ferrier, S., Beck, J., Costello, M. J., Fernandez, M., Geller, G. N., Keil, P., Merow, C., Meyer, C., Muller-Karger, F. E., Pereira, H. M., Regan, E. C., Schmeller, D. S., &amp; Turak, E. (2019). Essential biodiversity variables for mapping and monitoring species populations. </w:t>
      </w:r>
      <w:r w:rsidRPr="001523EB">
        <w:rPr>
          <w:rFonts w:ascii="Times New Roman" w:hAnsi="Times New Roman"/>
          <w:i/>
          <w:iCs/>
        </w:rPr>
        <w:t>Nature Ecology &amp; Evolution</w:t>
      </w:r>
      <w:r w:rsidRPr="001523EB">
        <w:rPr>
          <w:rFonts w:ascii="Times New Roman" w:hAnsi="Times New Roman"/>
        </w:rPr>
        <w:t xml:space="preserve">, </w:t>
      </w:r>
      <w:r w:rsidRPr="001523EB">
        <w:rPr>
          <w:rFonts w:ascii="Times New Roman" w:hAnsi="Times New Roman"/>
          <w:i/>
          <w:iCs/>
        </w:rPr>
        <w:t>3</w:t>
      </w:r>
      <w:r w:rsidRPr="001523EB">
        <w:rPr>
          <w:rFonts w:ascii="Times New Roman" w:hAnsi="Times New Roman"/>
        </w:rPr>
        <w:t>(4), Article 4. https://doi.org/10.1038/s41559-019-0826-1</w:t>
      </w:r>
    </w:p>
    <w:p w14:paraId="168C0CB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Jhala, Y., Gopal, R., Mathur, V., Ghosh, P., Negi, H. S., Narain, S., Yadav, S. P., Malik, A., Garawad, R., &amp; Qureshi, Q. (2021). Recovery of tigers in India: Critical introspection and potential lessons. </w:t>
      </w:r>
      <w:r w:rsidRPr="001523EB">
        <w:rPr>
          <w:rFonts w:ascii="Times New Roman" w:hAnsi="Times New Roman"/>
          <w:i/>
          <w:iCs/>
        </w:rPr>
        <w:t>People and Nature</w:t>
      </w:r>
      <w:r w:rsidRPr="001523EB">
        <w:rPr>
          <w:rFonts w:ascii="Times New Roman" w:hAnsi="Times New Roman"/>
        </w:rPr>
        <w:t xml:space="preserve">, </w:t>
      </w:r>
      <w:r w:rsidRPr="001523EB">
        <w:rPr>
          <w:rFonts w:ascii="Times New Roman" w:hAnsi="Times New Roman"/>
          <w:i/>
          <w:iCs/>
        </w:rPr>
        <w:t>3</w:t>
      </w:r>
      <w:r w:rsidRPr="001523EB">
        <w:rPr>
          <w:rFonts w:ascii="Times New Roman" w:hAnsi="Times New Roman"/>
        </w:rPr>
        <w:t>(2), 281–293. https://doi.org/10.1002/pan3.10177</w:t>
      </w:r>
    </w:p>
    <w:p w14:paraId="15CFC6A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Johnson, B. A., Mader, A. D., Dasgupta, R., &amp; Kumar, P. (2020). Citizen science and invasive alien species: An analysis of citizen science initiatives using information and communications technology (ICT) to collect invasive alien species observations. </w:t>
      </w:r>
      <w:r w:rsidRPr="001523EB">
        <w:rPr>
          <w:rFonts w:ascii="Times New Roman" w:hAnsi="Times New Roman"/>
          <w:i/>
          <w:iCs/>
        </w:rPr>
        <w:t>Global Ecology and Conservation</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 e00812. https://doi.org/10.1016/j.gecco.2019.e00812</w:t>
      </w:r>
    </w:p>
    <w:p w14:paraId="5F03F0A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Johnston, M. A., Sterne, T. K., Eckert, R. J., Nuttall, M. F., Embesi, J. A., Walker, R. D., Hu, X., Hickerson, E. L., &amp; Schmahl, G. P. (2017). </w:t>
      </w:r>
      <w:r w:rsidRPr="001523EB">
        <w:rPr>
          <w:rFonts w:ascii="Times New Roman" w:hAnsi="Times New Roman"/>
          <w:i/>
          <w:iCs/>
        </w:rPr>
        <w:t>Long-term monitoring at East and West Flower Garden Banks: 2016 annual report</w:t>
      </w:r>
      <w:r w:rsidRPr="001523EB">
        <w:rPr>
          <w:rFonts w:ascii="Times New Roman" w:hAnsi="Times New Roman"/>
        </w:rPr>
        <w:t xml:space="preserve"> (ONMS-17-09; Marine Sanctuaries Conservation Series). U.S. Department of Commerce, National Oceanic  and Atmospheric Administration, Flower Garden Banks National  Marine Sanctuary.</w:t>
      </w:r>
    </w:p>
    <w:p w14:paraId="3533C1D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Jones, K. R., &amp; Corona, J. P. (2008). An ambient tax approach to invasive species. In </w:t>
      </w:r>
      <w:r w:rsidRPr="001523EB">
        <w:rPr>
          <w:rFonts w:ascii="Times New Roman" w:hAnsi="Times New Roman"/>
          <w:i/>
          <w:iCs/>
        </w:rPr>
        <w:t>Ecological Economics</w:t>
      </w:r>
      <w:r w:rsidRPr="001523EB">
        <w:rPr>
          <w:rFonts w:ascii="Times New Roman" w:hAnsi="Times New Roman"/>
        </w:rPr>
        <w:t xml:space="preserve"> (Vol. 64, Issue 3, pp. 534–541). https://doi.org/10.1016/j.ecolecon.2007.03.006</w:t>
      </w:r>
    </w:p>
    <w:p w14:paraId="1D9FE4B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Jones, S. B., &amp; Foote, L. E. (1991). </w:t>
      </w:r>
      <w:r w:rsidRPr="001523EB">
        <w:rPr>
          <w:rFonts w:ascii="Times New Roman" w:hAnsi="Times New Roman"/>
          <w:i/>
          <w:iCs/>
        </w:rPr>
        <w:t>Gardening with native wild flowers</w:t>
      </w:r>
      <w:r w:rsidRPr="001523EB">
        <w:rPr>
          <w:rFonts w:ascii="Times New Roman" w:hAnsi="Times New Roman"/>
        </w:rPr>
        <w:t>. Timber Press.</w:t>
      </w:r>
    </w:p>
    <w:p w14:paraId="1A152BC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Jonsson, A. M., Bostrom, M., Dreyer, M., &amp; Soderstrom, S. (2016). Risk Communication and the Role of the Public: Towards Inclusive Environmental Governance of the Baltic Sea? In M. Gilek, M. Karlsson, S. Linke, &amp; K. Smolarz (Eds.), </w:t>
      </w:r>
      <w:r w:rsidRPr="001523EB">
        <w:rPr>
          <w:rFonts w:ascii="Times New Roman" w:hAnsi="Times New Roman"/>
          <w:i/>
          <w:iCs/>
        </w:rPr>
        <w:t>Environmental Governance of the Baltic Sea</w:t>
      </w:r>
      <w:r w:rsidRPr="001523EB">
        <w:rPr>
          <w:rFonts w:ascii="Times New Roman" w:hAnsi="Times New Roman"/>
        </w:rPr>
        <w:t xml:space="preserve"> (Vol. 10, pp. 205–227). Springer. https://doi.org/10.1007/978-3-319-27006-7_9</w:t>
      </w:r>
    </w:p>
    <w:p w14:paraId="393C293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Juffe-Bignoli, D., Brooks, T. M., Butchart, S. H., Jenkins, R. B., Boe, K., Hoffmann, M., Angulo, A., Bachman, S., Böhm, M., Brummitt, N., Carpenter, K. E., Comer, P. J., Cox, N., Cuttelod, A., Darwall, W. R. T., Marco, M. D., Fishpool, L. D. C., Goettsch, B., Heath, M., … Kingston, N. (2016). Assessing the cost of global biodiversity and conservation knowledge.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11</w:t>
      </w:r>
      <w:r w:rsidRPr="001523EB">
        <w:rPr>
          <w:rFonts w:ascii="Times New Roman" w:hAnsi="Times New Roman"/>
        </w:rPr>
        <w:t>(8), e0160640. https://doi.org/10.1371/journal.pone.0160640</w:t>
      </w:r>
    </w:p>
    <w:p w14:paraId="5406BD6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Justo-Hanani Ronit &amp; Dayan Tamar. (2021). Risk regulation and precaution in Europe and the United States: The case of bioinvasion. </w:t>
      </w:r>
      <w:r w:rsidRPr="001523EB">
        <w:rPr>
          <w:rFonts w:ascii="Times New Roman" w:hAnsi="Times New Roman"/>
          <w:i/>
          <w:iCs/>
        </w:rPr>
        <w:t>Policy Sciences</w:t>
      </w:r>
      <w:r w:rsidRPr="001523EB">
        <w:rPr>
          <w:rFonts w:ascii="Times New Roman" w:hAnsi="Times New Roman"/>
        </w:rPr>
        <w:t xml:space="preserve">, </w:t>
      </w:r>
      <w:r w:rsidRPr="001523EB">
        <w:rPr>
          <w:rFonts w:ascii="Times New Roman" w:hAnsi="Times New Roman"/>
          <w:i/>
          <w:iCs/>
        </w:rPr>
        <w:t>54</w:t>
      </w:r>
      <w:r w:rsidRPr="001523EB">
        <w:rPr>
          <w:rFonts w:ascii="Times New Roman" w:hAnsi="Times New Roman"/>
        </w:rPr>
        <w:t>(1), 3–20. ProQuest One Academic; Social Science Premium Collection. https://doi.org/10.1007/s11077-020-09409-9</w:t>
      </w:r>
    </w:p>
    <w:p w14:paraId="219C499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Kamelamela, K. L., Springer, H. K., Keakealani, R. K., Ching, M. U., Ticktin, T., Ohara, R. D., Parsons, E. W., Adkins, E. D., Francisco, K. S., &amp; Giardina, C. (2022). </w:t>
      </w:r>
      <w:r w:rsidRPr="001523EB">
        <w:rPr>
          <w:rFonts w:ascii="Times New Roman" w:hAnsi="Times New Roman"/>
          <w:i/>
          <w:iCs/>
        </w:rPr>
        <w:t>Kōkua aku, Kōkua mai</w:t>
      </w:r>
      <w:r w:rsidRPr="001523EB">
        <w:rPr>
          <w:rFonts w:ascii="Times New Roman" w:hAnsi="Times New Roman"/>
        </w:rPr>
        <w:t xml:space="preserve">: An Indigenous Consensus-driven and Place-based Approach to Community Led Dryland Restoration and Stewardship. </w:t>
      </w:r>
      <w:r w:rsidRPr="001523EB">
        <w:rPr>
          <w:rFonts w:ascii="Times New Roman" w:hAnsi="Times New Roman"/>
          <w:i/>
          <w:iCs/>
        </w:rPr>
        <w:t>Forest Ecology and Management</w:t>
      </w:r>
      <w:r w:rsidRPr="001523EB">
        <w:rPr>
          <w:rFonts w:ascii="Times New Roman" w:hAnsi="Times New Roman"/>
        </w:rPr>
        <w:t xml:space="preserve">, </w:t>
      </w:r>
      <w:r w:rsidRPr="001523EB">
        <w:rPr>
          <w:rFonts w:ascii="Times New Roman" w:hAnsi="Times New Roman"/>
          <w:i/>
          <w:iCs/>
        </w:rPr>
        <w:t>506</w:t>
      </w:r>
      <w:r w:rsidRPr="001523EB">
        <w:rPr>
          <w:rFonts w:ascii="Times New Roman" w:hAnsi="Times New Roman"/>
        </w:rPr>
        <w:t>, 119949. https://doi.org/10.1016/j.foreco.2021.119949</w:t>
      </w:r>
    </w:p>
    <w:p w14:paraId="03C022C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Kamenova, S., Bartley, T. J., Bohan, D. A., Boutain, J. R., Colautti, R. I., Domaizon, I., Fontaine, C., Lemainque, A., Le Viol, I., Mollot, G., Perga, M.-E., Ravigné, V., &amp; Massol, F. (2017). Chapter Three - Invasions Toolkit: Current Methods for Tracking the Spread and Impact of Invasive Species. In D. A. Bohan, A. J. Dumbrell, &amp; F. Massol (Eds.), </w:t>
      </w:r>
      <w:r w:rsidRPr="001523EB">
        <w:rPr>
          <w:rFonts w:ascii="Times New Roman" w:hAnsi="Times New Roman"/>
          <w:i/>
          <w:iCs/>
        </w:rPr>
        <w:t>Advances in Ecological Research</w:t>
      </w:r>
      <w:r w:rsidRPr="001523EB">
        <w:rPr>
          <w:rFonts w:ascii="Times New Roman" w:hAnsi="Times New Roman"/>
        </w:rPr>
        <w:t xml:space="preserve"> (Vol. 56, pp. 85–182). Academic Press. https://doi.org/10.1016/bs.aecr.2016.10.009</w:t>
      </w:r>
    </w:p>
    <w:p w14:paraId="7D0264C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Katsanevakis, S., Genovesi, P., Gaiji, S., Hvid, H. N., Roy, H. E., Nunes, A. L., Aguado, F. S., Bogucarskis, K., Debusscher, B., Deriu, I., Harrower, C., Josefsson, M., Lucy, F., Marchini, A., Richards, G., Trichkova, T., Vanderhoeven, S., Zenetos, A., &amp; Cardoso, A. C. (2013). Implementing the European policies for alien species – networking, science, and partnership in a complex environment.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4</w:t>
      </w:r>
      <w:r w:rsidRPr="001523EB">
        <w:rPr>
          <w:rFonts w:ascii="Times New Roman" w:hAnsi="Times New Roman"/>
        </w:rPr>
        <w:t>(1), 3–6. https://doi.org/10.3391/mbi.2013.4.1.02</w:t>
      </w:r>
    </w:p>
    <w:p w14:paraId="5FE24E7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Katsanevakis, S., &amp; Roy, H. E. (2015). Alien species related information systems and information management.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6</w:t>
      </w:r>
      <w:r w:rsidRPr="001523EB">
        <w:rPr>
          <w:rFonts w:ascii="Times New Roman" w:hAnsi="Times New Roman"/>
        </w:rPr>
        <w:t>(2), 115–117. https://doi.org/10.3391/mbi.2015.6.2.01</w:t>
      </w:r>
    </w:p>
    <w:p w14:paraId="07E8E90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Katsanevakis, S., Wallentinus, I., Zenetos, A., Leppäkoski, E., Çinar, M. E., Oztürk, B., Grabowski, M., Golani, D., &amp; Cardoso, A. C. (2014). Impacts of invasive alien marine species on ecosystem services and biodiversity: A pan-European review. </w:t>
      </w:r>
      <w:r w:rsidRPr="001523EB">
        <w:rPr>
          <w:rFonts w:ascii="Times New Roman" w:hAnsi="Times New Roman"/>
          <w:i/>
          <w:iCs/>
        </w:rPr>
        <w:t>Aquatic Invasions</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(4), 391–423. https://doi.org/10.3391/ai.2014.9.4.01</w:t>
      </w:r>
    </w:p>
    <w:p w14:paraId="0D41459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Keller, R. P., &amp; Lodge, D. M. (2007). Species invasions from commerce in live aquatic organisms: Problems and possible solutions. </w:t>
      </w:r>
      <w:r w:rsidRPr="001523EB">
        <w:rPr>
          <w:rFonts w:ascii="Times New Roman" w:hAnsi="Times New Roman"/>
          <w:i/>
          <w:iCs/>
        </w:rPr>
        <w:t>Bioscience</w:t>
      </w:r>
      <w:r w:rsidRPr="001523EB">
        <w:rPr>
          <w:rFonts w:ascii="Times New Roman" w:hAnsi="Times New Roman"/>
        </w:rPr>
        <w:t xml:space="preserve">, </w:t>
      </w:r>
      <w:r w:rsidRPr="001523EB">
        <w:rPr>
          <w:rFonts w:ascii="Times New Roman" w:hAnsi="Times New Roman"/>
          <w:i/>
          <w:iCs/>
        </w:rPr>
        <w:t>57</w:t>
      </w:r>
      <w:r w:rsidRPr="001523EB">
        <w:rPr>
          <w:rFonts w:ascii="Times New Roman" w:hAnsi="Times New Roman"/>
        </w:rPr>
        <w:t>(5), 428–436. https://doi.org/10.1641/B570509</w:t>
      </w:r>
    </w:p>
    <w:p w14:paraId="1C171EE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Kirkfeldt, T. S. (2019). An ocean of concepts: Why choosing between ecosystem-based management, ecosystem-based approach and ecosystem approach makes a difference. </w:t>
      </w:r>
      <w:r w:rsidRPr="001523EB">
        <w:rPr>
          <w:rFonts w:ascii="Times New Roman" w:hAnsi="Times New Roman"/>
          <w:i/>
          <w:iCs/>
        </w:rPr>
        <w:t>Marine Policy</w:t>
      </w:r>
      <w:r w:rsidRPr="001523EB">
        <w:rPr>
          <w:rFonts w:ascii="Times New Roman" w:hAnsi="Times New Roman"/>
        </w:rPr>
        <w:t xml:space="preserve">, </w:t>
      </w:r>
      <w:r w:rsidRPr="001523EB">
        <w:rPr>
          <w:rFonts w:ascii="Times New Roman" w:hAnsi="Times New Roman"/>
          <w:i/>
          <w:iCs/>
        </w:rPr>
        <w:t>106</w:t>
      </w:r>
      <w:r w:rsidRPr="001523EB">
        <w:rPr>
          <w:rFonts w:ascii="Times New Roman" w:hAnsi="Times New Roman"/>
        </w:rPr>
        <w:t>, 103541. https://doi.org/10.1016/j.marpol.2019.103541</w:t>
      </w:r>
    </w:p>
    <w:p w14:paraId="3E09391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Kissling, W. D., Ahumada, J. A., Bowser, A., Fernandez, M., Fernández, N., García, E. A., Guralnick, R. P., Isaac, N. J. B., Kelling, S., Los, W., McRae, L., Mihoub, J.-B., Obst, M., Santamaria, M., Skidmore, A. K., Williams, K. J., Agosti, D., Amariles, D., Arvanitidis, C., … Hardisty, A. R. (2018). Building essential biodiversity variables (EBVs) of species distribution and abundance at a global scale. </w:t>
      </w:r>
      <w:r w:rsidRPr="001523EB">
        <w:rPr>
          <w:rFonts w:ascii="Times New Roman" w:hAnsi="Times New Roman"/>
          <w:i/>
          <w:iCs/>
        </w:rPr>
        <w:t>Biological Reviews</w:t>
      </w:r>
      <w:r w:rsidRPr="001523EB">
        <w:rPr>
          <w:rFonts w:ascii="Times New Roman" w:hAnsi="Times New Roman"/>
        </w:rPr>
        <w:t xml:space="preserve">, </w:t>
      </w:r>
      <w:r w:rsidRPr="001523EB">
        <w:rPr>
          <w:rFonts w:ascii="Times New Roman" w:hAnsi="Times New Roman"/>
          <w:i/>
          <w:iCs/>
        </w:rPr>
        <w:t>93</w:t>
      </w:r>
      <w:r w:rsidRPr="001523EB">
        <w:rPr>
          <w:rFonts w:ascii="Times New Roman" w:hAnsi="Times New Roman"/>
        </w:rPr>
        <w:t>(1), 600–625. https://doi.org/10.1111/brv.12359</w:t>
      </w:r>
    </w:p>
    <w:p w14:paraId="02E10C6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Kissling, W. D., Hardisty, A., García, E. A., Santamaria, M., De Leo, F., Pesole, G., Freyhof, J., Manset, D., Wissel, S., Konijn, J., &amp; Los, W. (2015). Towards global interoperability for supporting biodiversity research on essential biodiversity variables (EBVs). </w:t>
      </w:r>
      <w:r w:rsidRPr="001523EB">
        <w:rPr>
          <w:rFonts w:ascii="Times New Roman" w:hAnsi="Times New Roman"/>
          <w:i/>
          <w:iCs/>
        </w:rPr>
        <w:t>Biodiversity</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(2–3), 99–107. https://doi.org/10.1080/14888386.2015.1068709</w:t>
      </w:r>
    </w:p>
    <w:p w14:paraId="0EA51FA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Kleinschroth, F., Winton, R. S., Calamita, E., Niggemann, F., Botter, M., Wehrli, B., &amp; Ghazoul, J. (2021). Living with floating vegetation invasions. </w:t>
      </w:r>
      <w:r w:rsidRPr="001523EB">
        <w:rPr>
          <w:rFonts w:ascii="Times New Roman" w:hAnsi="Times New Roman"/>
          <w:i/>
          <w:iCs/>
        </w:rPr>
        <w:t>Ambio</w:t>
      </w:r>
      <w:r w:rsidRPr="001523EB">
        <w:rPr>
          <w:rFonts w:ascii="Times New Roman" w:hAnsi="Times New Roman"/>
        </w:rPr>
        <w:t xml:space="preserve">, </w:t>
      </w:r>
      <w:r w:rsidRPr="001523EB">
        <w:rPr>
          <w:rFonts w:ascii="Times New Roman" w:hAnsi="Times New Roman"/>
          <w:i/>
          <w:iCs/>
        </w:rPr>
        <w:t>50</w:t>
      </w:r>
      <w:r w:rsidRPr="001523EB">
        <w:rPr>
          <w:rFonts w:ascii="Times New Roman" w:hAnsi="Times New Roman"/>
        </w:rPr>
        <w:t>(1), 125–137. https://doi.org/10.1007/s13280-020-01360-6</w:t>
      </w:r>
    </w:p>
    <w:p w14:paraId="6FBC6D3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Kluger, L. C., Gorris, P., Kochalski, S., Mueller, M. S., &amp; Romagnoni, G. (2020). Studying human–nature relationships through a network lens: A systematic review. </w:t>
      </w:r>
      <w:r w:rsidRPr="001523EB">
        <w:rPr>
          <w:rFonts w:ascii="Times New Roman" w:hAnsi="Times New Roman"/>
          <w:i/>
          <w:iCs/>
        </w:rPr>
        <w:t>People and Nature</w:t>
      </w:r>
      <w:r w:rsidRPr="001523EB">
        <w:rPr>
          <w:rFonts w:ascii="Times New Roman" w:hAnsi="Times New Roman"/>
        </w:rPr>
        <w:t xml:space="preserve">, </w:t>
      </w:r>
      <w:r w:rsidRPr="001523EB">
        <w:rPr>
          <w:rFonts w:ascii="Times New Roman" w:hAnsi="Times New Roman"/>
          <w:i/>
          <w:iCs/>
        </w:rPr>
        <w:t>2</w:t>
      </w:r>
      <w:r w:rsidRPr="001523EB">
        <w:rPr>
          <w:rFonts w:ascii="Times New Roman" w:hAnsi="Times New Roman"/>
        </w:rPr>
        <w:t>(4), 1100–1116. https://doi.org/10.1002/pan3.10136</w:t>
      </w:r>
    </w:p>
    <w:p w14:paraId="2AB79BA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Knowler, D., &amp; Barbier, E. (2005). Importing exotic plants and the risk of invasion: Are market-based instruments adequate? </w:t>
      </w:r>
      <w:r w:rsidRPr="001523EB">
        <w:rPr>
          <w:rFonts w:ascii="Times New Roman" w:hAnsi="Times New Roman"/>
          <w:i/>
          <w:iCs/>
        </w:rPr>
        <w:t>Ecological Economics</w:t>
      </w:r>
      <w:r w:rsidRPr="001523EB">
        <w:rPr>
          <w:rFonts w:ascii="Times New Roman" w:hAnsi="Times New Roman"/>
        </w:rPr>
        <w:t xml:space="preserve">, </w:t>
      </w:r>
      <w:r w:rsidRPr="001523EB">
        <w:rPr>
          <w:rFonts w:ascii="Times New Roman" w:hAnsi="Times New Roman"/>
          <w:i/>
          <w:iCs/>
        </w:rPr>
        <w:t>52</w:t>
      </w:r>
      <w:r w:rsidRPr="001523EB">
        <w:rPr>
          <w:rFonts w:ascii="Times New Roman" w:hAnsi="Times New Roman"/>
        </w:rPr>
        <w:t>(3), 341–354. https://doi.org/10.1016/j.ecolecon.2004.06.019</w:t>
      </w:r>
    </w:p>
    <w:p w14:paraId="60DAE4B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Kocovsky, P. M., Sturtevant, R., &amp; Schardt, J. (2018). What it is to be established: Policy and management implications for non-native and invasive species.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(3), 177–185. https://doi.org/10.3391/mbi.2018.9.3.01</w:t>
      </w:r>
    </w:p>
    <w:p w14:paraId="4885A0F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Kohl, P. A., Brossard, D., Scheufele, D. A., &amp; Xenos, M. A. (2019). Public views about editing genes in wildlife for conservation.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33</w:t>
      </w:r>
      <w:r w:rsidRPr="001523EB">
        <w:rPr>
          <w:rFonts w:ascii="Times New Roman" w:hAnsi="Times New Roman"/>
        </w:rPr>
        <w:t>(6), 1286–1295. https://doi.org/10.1111/cobi.13310</w:t>
      </w:r>
    </w:p>
    <w:p w14:paraId="497D051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König, H. J., Kiffner, C., Kramer</w:t>
      </w:r>
      <w:r w:rsidRPr="001523EB">
        <w:rPr>
          <w:rFonts w:ascii="Times New Roman" w:hAnsi="Times New Roman" w:hint="eastAsia"/>
        </w:rPr>
        <w:t>‐</w:t>
      </w:r>
      <w:r w:rsidRPr="001523EB">
        <w:rPr>
          <w:rFonts w:ascii="Times New Roman" w:hAnsi="Times New Roman"/>
        </w:rPr>
        <w:t>Schadt, S., Fürst, C., Keuling, O., &amp; Ford, A. T. (2020). Human</w:t>
      </w:r>
      <w:r w:rsidRPr="001523EB">
        <w:rPr>
          <w:rFonts w:ascii="Times New Roman" w:hAnsi="Times New Roman" w:hint="eastAsia"/>
        </w:rPr>
        <w:t>–</w:t>
      </w:r>
      <w:r w:rsidRPr="001523EB">
        <w:rPr>
          <w:rFonts w:ascii="Times New Roman" w:hAnsi="Times New Roman"/>
        </w:rPr>
        <w:t xml:space="preserve">wildlife coexistence in a changing world.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34</w:t>
      </w:r>
      <w:r w:rsidRPr="001523EB">
        <w:rPr>
          <w:rFonts w:ascii="Times New Roman" w:hAnsi="Times New Roman"/>
        </w:rPr>
        <w:t>(4), 786–794. https://doi.org/10.1111/cobi.13513</w:t>
      </w:r>
    </w:p>
    <w:p w14:paraId="5C380EC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Koontz, T. M., &amp; Thomas, C. W. (2006). What Do We Know and Need to Know about the Environmental Outcomes of Collaborative Management? </w:t>
      </w:r>
      <w:r w:rsidRPr="001523EB">
        <w:rPr>
          <w:rFonts w:ascii="Times New Roman" w:hAnsi="Times New Roman"/>
          <w:i/>
          <w:iCs/>
        </w:rPr>
        <w:t>Public Administration Review</w:t>
      </w:r>
      <w:r w:rsidRPr="001523EB">
        <w:rPr>
          <w:rFonts w:ascii="Times New Roman" w:hAnsi="Times New Roman"/>
        </w:rPr>
        <w:t xml:space="preserve">, </w:t>
      </w:r>
      <w:r w:rsidRPr="001523EB">
        <w:rPr>
          <w:rFonts w:ascii="Times New Roman" w:hAnsi="Times New Roman"/>
          <w:i/>
          <w:iCs/>
        </w:rPr>
        <w:t>66</w:t>
      </w:r>
      <w:r w:rsidRPr="001523EB">
        <w:rPr>
          <w:rFonts w:ascii="Times New Roman" w:hAnsi="Times New Roman"/>
        </w:rPr>
        <w:t>(s1), 111–121. https://doi.org/10.1111/j.1540-6210.2006.00671.x</w:t>
      </w:r>
    </w:p>
    <w:p w14:paraId="6D9BCB9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Koop, A. L., Fowler, L., Newton, L. P., &amp; Caton, B. P. (2012). Development and validation of a weed screening tool for the United States.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14</w:t>
      </w:r>
      <w:r w:rsidRPr="001523EB">
        <w:rPr>
          <w:rFonts w:ascii="Times New Roman" w:hAnsi="Times New Roman"/>
        </w:rPr>
        <w:t>(2), 273–294. https://doi.org/10.1007/s10530-011-0061-4</w:t>
      </w:r>
    </w:p>
    <w:p w14:paraId="0CDD93B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Kotchen, M. J. (2013). Voluntary-and information-based approaches to environmental management: A public economics perspective. </w:t>
      </w:r>
      <w:r w:rsidRPr="001523EB">
        <w:rPr>
          <w:rFonts w:ascii="Times New Roman" w:hAnsi="Times New Roman"/>
          <w:i/>
          <w:iCs/>
        </w:rPr>
        <w:t>Review of Environmental Economics and Policy</w:t>
      </w:r>
      <w:r w:rsidRPr="001523EB">
        <w:rPr>
          <w:rFonts w:ascii="Times New Roman" w:hAnsi="Times New Roman"/>
        </w:rPr>
        <w:t xml:space="preserve">, </w:t>
      </w:r>
      <w:r w:rsidRPr="001523EB">
        <w:rPr>
          <w:rFonts w:ascii="Times New Roman" w:hAnsi="Times New Roman"/>
          <w:i/>
          <w:iCs/>
        </w:rPr>
        <w:t>7</w:t>
      </w:r>
      <w:r w:rsidRPr="001523EB">
        <w:rPr>
          <w:rFonts w:ascii="Times New Roman" w:hAnsi="Times New Roman"/>
        </w:rPr>
        <w:t>(2), 276–295. https://doi.org/10.1093/reep/ret012</w:t>
      </w:r>
    </w:p>
    <w:p w14:paraId="2B7931C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Kowalski, T. (2006). </w:t>
      </w:r>
      <w:r w:rsidRPr="001523EB">
        <w:rPr>
          <w:rFonts w:ascii="Times New Roman" w:hAnsi="Times New Roman"/>
          <w:i/>
          <w:iCs/>
        </w:rPr>
        <w:t>Chalara fraxinea</w:t>
      </w:r>
      <w:r w:rsidRPr="001523EB">
        <w:rPr>
          <w:rFonts w:ascii="Times New Roman" w:hAnsi="Times New Roman"/>
        </w:rPr>
        <w:t xml:space="preserve"> sp. Nov. Associated with dieback of ash (</w:t>
      </w:r>
      <w:r w:rsidRPr="001523EB">
        <w:rPr>
          <w:rFonts w:ascii="Times New Roman" w:hAnsi="Times New Roman"/>
          <w:i/>
          <w:iCs/>
        </w:rPr>
        <w:t>Fraxinus excelsior</w:t>
      </w:r>
      <w:r w:rsidRPr="001523EB">
        <w:rPr>
          <w:rFonts w:ascii="Times New Roman" w:hAnsi="Times New Roman"/>
        </w:rPr>
        <w:t xml:space="preserve">) in Poland. </w:t>
      </w:r>
      <w:r w:rsidRPr="001523EB">
        <w:rPr>
          <w:rFonts w:ascii="Times New Roman" w:hAnsi="Times New Roman"/>
          <w:i/>
          <w:iCs/>
        </w:rPr>
        <w:t>Forest Pathology</w:t>
      </w:r>
      <w:r w:rsidRPr="001523EB">
        <w:rPr>
          <w:rFonts w:ascii="Times New Roman" w:hAnsi="Times New Roman"/>
        </w:rPr>
        <w:t xml:space="preserve">, </w:t>
      </w:r>
      <w:r w:rsidRPr="001523EB">
        <w:rPr>
          <w:rFonts w:ascii="Times New Roman" w:hAnsi="Times New Roman"/>
          <w:i/>
          <w:iCs/>
        </w:rPr>
        <w:t>36</w:t>
      </w:r>
      <w:r w:rsidRPr="001523EB">
        <w:rPr>
          <w:rFonts w:ascii="Times New Roman" w:hAnsi="Times New Roman"/>
        </w:rPr>
        <w:t>(4), 264–270. https://doi.org/10.1111/j.1439-0329.2006.00453.x</w:t>
      </w:r>
    </w:p>
    <w:p w14:paraId="63780FD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Kramer, L. (2005). Discussions on Directive 2004/35 Concerning Environmental Liability. </w:t>
      </w:r>
      <w:r w:rsidRPr="001523EB">
        <w:rPr>
          <w:rFonts w:ascii="Times New Roman" w:hAnsi="Times New Roman"/>
          <w:i/>
          <w:iCs/>
        </w:rPr>
        <w:t>Journal for European Environmental &amp; Planning Law</w:t>
      </w:r>
      <w:r w:rsidRPr="001523EB">
        <w:rPr>
          <w:rFonts w:ascii="Times New Roman" w:hAnsi="Times New Roman"/>
        </w:rPr>
        <w:t xml:space="preserve">, </w:t>
      </w:r>
      <w:r w:rsidRPr="001523EB">
        <w:rPr>
          <w:rFonts w:ascii="Times New Roman" w:hAnsi="Times New Roman"/>
          <w:i/>
          <w:iCs/>
        </w:rPr>
        <w:t>2</w:t>
      </w:r>
      <w:r w:rsidRPr="001523EB">
        <w:rPr>
          <w:rFonts w:ascii="Times New Roman" w:hAnsi="Times New Roman"/>
        </w:rPr>
        <w:t>(4), 250–256. https://doi.org/10.1163/187601005X00020</w:t>
      </w:r>
    </w:p>
    <w:p w14:paraId="10037AF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Kretser, H. E., Wong, R., Roberton, S., Pershyn, C., Huang, J., Sun, F., Kang, A., &amp; Zahler, P. (2015). Mobile decision-tree tool technology as a means to detect wildlife crimes and build </w:t>
      </w:r>
      <w:r w:rsidRPr="001523EB">
        <w:rPr>
          <w:rFonts w:ascii="Times New Roman" w:hAnsi="Times New Roman"/>
        </w:rPr>
        <w:lastRenderedPageBreak/>
        <w:t xml:space="preserve">enforcement networks.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189</w:t>
      </w:r>
      <w:r w:rsidRPr="001523EB">
        <w:rPr>
          <w:rFonts w:ascii="Times New Roman" w:hAnsi="Times New Roman"/>
        </w:rPr>
        <w:t>, 33–38. https://doi.org/10.1016/j.biocon.2014.08.018</w:t>
      </w:r>
    </w:p>
    <w:p w14:paraId="709094B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Kridel, K. (2008). </w:t>
      </w:r>
      <w:r w:rsidRPr="001523EB">
        <w:rPr>
          <w:rFonts w:ascii="Times New Roman" w:hAnsi="Times New Roman"/>
          <w:i/>
          <w:iCs/>
        </w:rPr>
        <w:t>State says goodbye to tree-killing pest</w:t>
      </w:r>
      <w:r w:rsidRPr="001523EB">
        <w:rPr>
          <w:rFonts w:ascii="Times New Roman" w:hAnsi="Times New Roman"/>
        </w:rPr>
        <w:t>. Chicago Tribune. https://www.chicagotribune.com/news/ct-xpm-2008-04-18-0804170845-story.html</w:t>
      </w:r>
    </w:p>
    <w:p w14:paraId="75A5310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Kropf, B., Schmid, E., Schönhart, M., &amp; Mitter, H. (2020). Exploring farmers’ behavior toward individual and collective measures of Western Corn Rootworm control – A case study in south-east Austria.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264</w:t>
      </w:r>
      <w:r w:rsidRPr="001523EB">
        <w:rPr>
          <w:rFonts w:ascii="Times New Roman" w:hAnsi="Times New Roman"/>
        </w:rPr>
        <w:t>, 110431. https://doi.org/10.1016/j.jenvman.2020.110431</w:t>
      </w:r>
    </w:p>
    <w:p w14:paraId="5D56B49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Kruger, H. P. (2016). Adaptive co-management for collaborative commercial pest management: The case of industry-driven fruit fly area-wide management. </w:t>
      </w:r>
      <w:r w:rsidRPr="001523EB">
        <w:rPr>
          <w:rFonts w:ascii="Times New Roman" w:hAnsi="Times New Roman"/>
          <w:i/>
          <w:iCs/>
        </w:rPr>
        <w:t>International Journal of Pest Management</w:t>
      </w:r>
      <w:r w:rsidRPr="001523EB">
        <w:rPr>
          <w:rFonts w:ascii="Times New Roman" w:hAnsi="Times New Roman"/>
        </w:rPr>
        <w:t xml:space="preserve">, </w:t>
      </w:r>
      <w:r w:rsidRPr="001523EB">
        <w:rPr>
          <w:rFonts w:ascii="Times New Roman" w:hAnsi="Times New Roman"/>
          <w:i/>
          <w:iCs/>
        </w:rPr>
        <w:t>62</w:t>
      </w:r>
      <w:r w:rsidRPr="001523EB">
        <w:rPr>
          <w:rFonts w:ascii="Times New Roman" w:hAnsi="Times New Roman"/>
        </w:rPr>
        <w:t>(4), 336–347. https://doi.org/10.1080/09670874.2016.1206992</w:t>
      </w:r>
    </w:p>
    <w:p w14:paraId="625A864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Kubiszewski, I., Costanza, R., Franco, C., Lawn, P., Talberth, J., Jackson, T., &amp; Aylmer, C. (2013). Beyond GDP: Measuring and achieving global genuine progress. </w:t>
      </w:r>
      <w:r w:rsidRPr="001523EB">
        <w:rPr>
          <w:rFonts w:ascii="Times New Roman" w:hAnsi="Times New Roman"/>
          <w:i/>
          <w:iCs/>
        </w:rPr>
        <w:t>Ecological Economics</w:t>
      </w:r>
      <w:r w:rsidRPr="001523EB">
        <w:rPr>
          <w:rFonts w:ascii="Times New Roman" w:hAnsi="Times New Roman"/>
        </w:rPr>
        <w:t xml:space="preserve">, </w:t>
      </w:r>
      <w:r w:rsidRPr="001523EB">
        <w:rPr>
          <w:rFonts w:ascii="Times New Roman" w:hAnsi="Times New Roman"/>
          <w:i/>
          <w:iCs/>
        </w:rPr>
        <w:t>93</w:t>
      </w:r>
      <w:r w:rsidRPr="001523EB">
        <w:rPr>
          <w:rFonts w:ascii="Times New Roman" w:hAnsi="Times New Roman"/>
        </w:rPr>
        <w:t>, 57–68. https://doi.org/10.1016/j.ecolecon.2013.04.019</w:t>
      </w:r>
    </w:p>
    <w:p w14:paraId="45DE3CF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Kudsk, P., &amp; Mathiassen, S. K. (2020). Pesticide regulation in the European Union and the glyphosate controversy. </w:t>
      </w:r>
      <w:r w:rsidRPr="001523EB">
        <w:rPr>
          <w:rFonts w:ascii="Times New Roman" w:hAnsi="Times New Roman"/>
          <w:i/>
          <w:iCs/>
        </w:rPr>
        <w:t>Weed Science</w:t>
      </w:r>
      <w:r w:rsidRPr="001523EB">
        <w:rPr>
          <w:rFonts w:ascii="Times New Roman" w:hAnsi="Times New Roman"/>
        </w:rPr>
        <w:t xml:space="preserve">, </w:t>
      </w:r>
      <w:r w:rsidRPr="001523EB">
        <w:rPr>
          <w:rFonts w:ascii="Times New Roman" w:hAnsi="Times New Roman"/>
          <w:i/>
          <w:iCs/>
        </w:rPr>
        <w:t>68</w:t>
      </w:r>
      <w:r w:rsidRPr="001523EB">
        <w:rPr>
          <w:rFonts w:ascii="Times New Roman" w:hAnsi="Times New Roman"/>
        </w:rPr>
        <w:t>(3), 214–222. https://doi.org/10.1017/wsc.2019.59</w:t>
      </w:r>
    </w:p>
    <w:p w14:paraId="79D4B9A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Kueffer, C., Daehler, C., Dietz, H., McDougall, K., Parks, C., Pauchard, A., &amp; Rew, L. (2014). The </w:t>
      </w:r>
      <w:r w:rsidRPr="001523EB">
        <w:rPr>
          <w:rFonts w:ascii="Times New Roman" w:hAnsi="Times New Roman"/>
          <w:i/>
          <w:iCs/>
        </w:rPr>
        <w:t>Mountain Invasion Research Network (MIREN)</w:t>
      </w:r>
      <w:r w:rsidRPr="001523EB">
        <w:rPr>
          <w:rFonts w:ascii="Times New Roman" w:hAnsi="Times New Roman"/>
        </w:rPr>
        <w:t xml:space="preserve">. Linking Local and Global Scales for Addressing an Ecological Consequence of Global Change. </w:t>
      </w:r>
      <w:r w:rsidRPr="001523EB">
        <w:rPr>
          <w:rFonts w:ascii="Times New Roman" w:hAnsi="Times New Roman"/>
          <w:i/>
          <w:iCs/>
        </w:rPr>
        <w:t>GAIA - Ecological Perspectives for Science and Society</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(3), 263–265. https://doi.org/10.14512/gaia.23.3.11</w:t>
      </w:r>
    </w:p>
    <w:p w14:paraId="70E2F5C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Lambin, X., Bryce, R., Fraser, E., J., Melero, Y., Oliver, M., K., &amp; Walker, H. (2012). Turning Back the Tide of American Mink Invasion in Partnership with Communities. </w:t>
      </w:r>
      <w:r w:rsidRPr="001523EB">
        <w:rPr>
          <w:rFonts w:ascii="Times New Roman" w:hAnsi="Times New Roman"/>
          <w:i/>
          <w:iCs/>
        </w:rPr>
        <w:t>Proceedings of the Vertebrate Pest Conference</w:t>
      </w:r>
      <w:r w:rsidRPr="001523EB">
        <w:rPr>
          <w:rFonts w:ascii="Times New Roman" w:hAnsi="Times New Roman"/>
        </w:rPr>
        <w:t xml:space="preserve">, </w:t>
      </w:r>
      <w:r w:rsidRPr="001523EB">
        <w:rPr>
          <w:rFonts w:ascii="Times New Roman" w:hAnsi="Times New Roman"/>
          <w:i/>
          <w:iCs/>
        </w:rPr>
        <w:t>25</w:t>
      </w:r>
      <w:r w:rsidRPr="001523EB">
        <w:rPr>
          <w:rFonts w:ascii="Times New Roman" w:hAnsi="Times New Roman"/>
        </w:rPr>
        <w:t>(25), 28–33. https://doi.org/10.5070/V425110616</w:t>
      </w:r>
    </w:p>
    <w:p w14:paraId="4DFD049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Lambin, X., Oliver, M., Bryce, R., Urquhart, J., Davies, L., &amp; Gray, H. (2011). </w:t>
      </w:r>
      <w:r w:rsidRPr="001523EB">
        <w:rPr>
          <w:rFonts w:ascii="Times New Roman" w:hAnsi="Times New Roman"/>
          <w:i/>
          <w:iCs/>
        </w:rPr>
        <w:t>Turning back the tide of American mink invasion in partnership with communities</w:t>
      </w:r>
      <w:r w:rsidRPr="001523EB">
        <w:rPr>
          <w:rFonts w:ascii="Times New Roman" w:hAnsi="Times New Roman"/>
        </w:rPr>
        <w:t>.</w:t>
      </w:r>
    </w:p>
    <w:p w14:paraId="7EA6724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Lane, M. B., &amp; Corbett, T. (2005). The tyranny of localism: Indigenous participation in community-based environmental management. </w:t>
      </w:r>
      <w:r w:rsidRPr="001523EB">
        <w:rPr>
          <w:rFonts w:ascii="Times New Roman" w:hAnsi="Times New Roman"/>
          <w:i/>
          <w:iCs/>
        </w:rPr>
        <w:t>Journal of Environmental Policy and Planning</w:t>
      </w:r>
      <w:r w:rsidRPr="001523EB">
        <w:rPr>
          <w:rFonts w:ascii="Times New Roman" w:hAnsi="Times New Roman"/>
        </w:rPr>
        <w:t xml:space="preserve">, </w:t>
      </w:r>
      <w:r w:rsidRPr="001523EB">
        <w:rPr>
          <w:rFonts w:ascii="Times New Roman" w:hAnsi="Times New Roman"/>
          <w:i/>
          <w:iCs/>
        </w:rPr>
        <w:t>7</w:t>
      </w:r>
      <w:r w:rsidRPr="001523EB">
        <w:rPr>
          <w:rFonts w:ascii="Times New Roman" w:hAnsi="Times New Roman"/>
        </w:rPr>
        <w:t>(2), 141–159. https://doi.org/10.1080/15239080500338671</w:t>
      </w:r>
    </w:p>
    <w:p w14:paraId="527A913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Lansink, A. O., Schut, M., Kamanda, J., &amp; Klerkx, L. (2018). A multi-level and multi-actor approach to risk governance: A conceptual framework to support policy development for Ambrosia weed control. </w:t>
      </w:r>
      <w:r w:rsidRPr="001523EB">
        <w:rPr>
          <w:rFonts w:ascii="Times New Roman" w:hAnsi="Times New Roman"/>
          <w:i/>
          <w:iCs/>
        </w:rPr>
        <w:t>Journal of Risk Research</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(6), 780–799. https://doi.org/10.1080/13669877.2016.1247376</w:t>
      </w:r>
    </w:p>
    <w:p w14:paraId="4322B8C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Larson, D. L., Phillips-Mao, L., Quiram, G., Sharpe, L., Stark, R., Sugita, S., &amp; Weiler, A. (2011). A framework for sustainable invasive species management: Environmental, social, and economic objectives.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92</w:t>
      </w:r>
      <w:r w:rsidRPr="001523EB">
        <w:rPr>
          <w:rFonts w:ascii="Times New Roman" w:hAnsi="Times New Roman"/>
        </w:rPr>
        <w:t>(1), 14–22. https://doi.org/10.1016/j.jenvman.2010.08.025</w:t>
      </w:r>
    </w:p>
    <w:p w14:paraId="2617D8E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Larson, E. R., Howell, S., Kareiva, P., &amp; Armsworth, P. R. (2016). Constraints of philanthropy on determining the distribution of biodiversity conservation funding.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30</w:t>
      </w:r>
      <w:r w:rsidRPr="001523EB">
        <w:rPr>
          <w:rFonts w:ascii="Times New Roman" w:hAnsi="Times New Roman"/>
        </w:rPr>
        <w:t>(1), 206–215. https://doi.org/10.1111/cobi.12608</w:t>
      </w:r>
    </w:p>
    <w:p w14:paraId="7BE7EBC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Latombe, G., Pyšek, P., Jeschke, J. M., Blackburn, T. M., Bacher, S., Capinha, C., Costello, M. J., Fernández, M., Gregory, R. D., Hobern, D., Hui, C., Jetz, W., Kumschick, S., McGrannachan, C., Pergl, J., Roy, H. E., Scalera, R., Squires, Z. E., Wilson, J. R. U., … McGeoch, M. A. (2017). A vision for global monitoring of biological invasions.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213</w:t>
      </w:r>
      <w:r w:rsidRPr="001523EB">
        <w:rPr>
          <w:rFonts w:ascii="Times New Roman" w:hAnsi="Times New Roman"/>
        </w:rPr>
        <w:t>, 295–308. https://doi.org/10.1016/j.biocon.2016.06.013</w:t>
      </w:r>
    </w:p>
    <w:p w14:paraId="0B4C37E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Le Roux, P. C., &amp; McGeoch, M. A. (2008). Changes in climate extremes, variability and signature on sub-Antarctic Marion Island. </w:t>
      </w:r>
      <w:r w:rsidRPr="001523EB">
        <w:rPr>
          <w:rFonts w:ascii="Times New Roman" w:hAnsi="Times New Roman"/>
          <w:i/>
          <w:iCs/>
        </w:rPr>
        <w:t>Climatic Change</w:t>
      </w:r>
      <w:r w:rsidRPr="001523EB">
        <w:rPr>
          <w:rFonts w:ascii="Times New Roman" w:hAnsi="Times New Roman"/>
        </w:rPr>
        <w:t xml:space="preserve">, </w:t>
      </w:r>
      <w:r w:rsidRPr="001523EB">
        <w:rPr>
          <w:rFonts w:ascii="Times New Roman" w:hAnsi="Times New Roman"/>
          <w:i/>
          <w:iCs/>
        </w:rPr>
        <w:t>86</w:t>
      </w:r>
      <w:r w:rsidRPr="001523EB">
        <w:rPr>
          <w:rFonts w:ascii="Times New Roman" w:hAnsi="Times New Roman"/>
        </w:rPr>
        <w:t>, 309–329. https://doi.org/10.1007/s10584-007-9259-y</w:t>
      </w:r>
    </w:p>
    <w:p w14:paraId="0609B59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Leadley, P. W., Krug, C. B., Alkemade, R., Pereira, H. M., Sumaila, U. R., Walpole, M., Marques, A., Newbold, T., Teh, L. S. L., van Kolck, J., Bellard, C., Januchowski-Hartley, S. R., &amp; Mumby, P. J. (2014). </w:t>
      </w:r>
      <w:r w:rsidRPr="001523EB">
        <w:rPr>
          <w:rFonts w:ascii="Times New Roman" w:hAnsi="Times New Roman"/>
          <w:i/>
          <w:iCs/>
        </w:rPr>
        <w:t>Progress towards the Aichi biodiversity targets: An assessment of biodiversity trends, policy scenarios and key actions</w:t>
      </w:r>
      <w:r w:rsidRPr="001523EB">
        <w:rPr>
          <w:rFonts w:ascii="Times New Roman" w:hAnsi="Times New Roman"/>
        </w:rPr>
        <w:t xml:space="preserve"> (Global Biodiversity Outlook 4 (GBO-</w:t>
      </w:r>
      <w:r w:rsidRPr="001523EB">
        <w:rPr>
          <w:rFonts w:ascii="Times New Roman" w:hAnsi="Times New Roman"/>
        </w:rPr>
        <w:lastRenderedPageBreak/>
        <w:t>4) Technical Report 78; CBD Technical Series, p. 500). Secretariat of the Convention on Biological Diversity. http://www.deslibris.ca/ID/244310</w:t>
      </w:r>
    </w:p>
    <w:p w14:paraId="3D885AC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Lebouvier, M., Laparie, M., Hullé, M., Marais, A., Cozic, Y., Lalouette, L., Vernon, P., Candresse, T., Frenot, Y., &amp; Renault, D. (2011). The significance of the sub-Antarctic Kerguelen Islands for the assessment of the vulnerability of native communities to climate change, alien insect invasions and plant viruses.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13</w:t>
      </w:r>
      <w:r w:rsidRPr="001523EB">
        <w:rPr>
          <w:rFonts w:ascii="Times New Roman" w:hAnsi="Times New Roman"/>
        </w:rPr>
        <w:t>, 1195–1208. https://doi.org/10.1007/s10530-011-9946-5</w:t>
      </w:r>
    </w:p>
    <w:p w14:paraId="330FD7A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Leclère, D., Obersteiner, M., Barrett, M., Butchart, S. H. M., Chaudhary, A., De Palma, A., DeClerck, F. A. J., Di Marco, M., Doelman, J. C., Dürauer, M., Freeman, R., Harfoot, M., Hasegawa, T., Hellweg, S., Hilbers, J. P., Hill, S. L. L., Humpenöder, F., Jennings, N., Krisztin, T., … Young, L. (2020). Bending the curve of terrestrial biodiversity needs an integrated strategy. </w:t>
      </w:r>
      <w:r w:rsidRPr="001523EB">
        <w:rPr>
          <w:rFonts w:ascii="Times New Roman" w:hAnsi="Times New Roman"/>
          <w:i/>
          <w:iCs/>
        </w:rPr>
        <w:t>Nature</w:t>
      </w:r>
      <w:r w:rsidRPr="001523EB">
        <w:rPr>
          <w:rFonts w:ascii="Times New Roman" w:hAnsi="Times New Roman"/>
        </w:rPr>
        <w:t xml:space="preserve">, </w:t>
      </w:r>
      <w:r w:rsidRPr="001523EB">
        <w:rPr>
          <w:rFonts w:ascii="Times New Roman" w:hAnsi="Times New Roman"/>
          <w:i/>
          <w:iCs/>
        </w:rPr>
        <w:t>585</w:t>
      </w:r>
      <w:r w:rsidRPr="001523EB">
        <w:rPr>
          <w:rFonts w:ascii="Times New Roman" w:hAnsi="Times New Roman"/>
        </w:rPr>
        <w:t>(7826), 551–556. https://doi.org/10.1038/s41586-020-2705-y</w:t>
      </w:r>
    </w:p>
    <w:p w14:paraId="01D17E4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Lee, J. E., &amp; Chown, S. L. (2011). Quantification of intra-regional propagule movements in the Antarctic. </w:t>
      </w:r>
      <w:r w:rsidRPr="001523EB">
        <w:rPr>
          <w:rFonts w:ascii="Times New Roman" w:hAnsi="Times New Roman"/>
          <w:i/>
          <w:iCs/>
        </w:rPr>
        <w:t>Antarctic Science</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(4), 337–342. https://doi.org/10.1017/S0954102011000198</w:t>
      </w:r>
    </w:p>
    <w:p w14:paraId="5CE57A3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Lehtiniemi, M., Lehmann, A., Javidpour, J., &amp; Myrberg, K. (2012). Spreading and physico-biological reproduction limitations of the invasive American comb jelly </w:t>
      </w:r>
      <w:r w:rsidRPr="001523EB">
        <w:rPr>
          <w:rFonts w:ascii="Times New Roman" w:hAnsi="Times New Roman"/>
          <w:i/>
          <w:iCs/>
        </w:rPr>
        <w:t>Mnemiopsis leidyi</w:t>
      </w:r>
      <w:r w:rsidRPr="001523EB">
        <w:rPr>
          <w:rFonts w:ascii="Times New Roman" w:hAnsi="Times New Roman"/>
        </w:rPr>
        <w:t xml:space="preserve"> in the Baltic Sea.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14</w:t>
      </w:r>
      <w:r w:rsidRPr="001523EB">
        <w:rPr>
          <w:rFonts w:ascii="Times New Roman" w:hAnsi="Times New Roman"/>
        </w:rPr>
        <w:t>(2), 341–354. https://doi.org/10.1007/s10530-011-0066-z</w:t>
      </w:r>
    </w:p>
    <w:p w14:paraId="6A8ECB2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Lemos, M. C., Arnott, J. C., Ardoin, N. M., Baja, K., Bednarek, A. T., Dewulf, A., Fieseler, C., Goodrich, K. A., Jagannathan, K., Klenk, N., Mach, K. J., Meadow, A. M., Meyer, R., Moss, R., Nichols, L., Sjostrom, K. D., Stults, M., Turnhout, E., Vaughan, C., … Wyborn, C. (2018). To co-produce or not to co-produce. </w:t>
      </w:r>
      <w:r w:rsidRPr="001523EB">
        <w:rPr>
          <w:rFonts w:ascii="Times New Roman" w:hAnsi="Times New Roman"/>
          <w:i/>
          <w:iCs/>
        </w:rPr>
        <w:t>Nature Sustainability</w:t>
      </w:r>
      <w:r w:rsidRPr="001523EB">
        <w:rPr>
          <w:rFonts w:ascii="Times New Roman" w:hAnsi="Times New Roman"/>
        </w:rPr>
        <w:t xml:space="preserve">, </w:t>
      </w:r>
      <w:r w:rsidRPr="001523EB">
        <w:rPr>
          <w:rFonts w:ascii="Times New Roman" w:hAnsi="Times New Roman"/>
          <w:i/>
          <w:iCs/>
        </w:rPr>
        <w:t>1</w:t>
      </w:r>
      <w:r w:rsidRPr="001523EB">
        <w:rPr>
          <w:rFonts w:ascii="Times New Roman" w:hAnsi="Times New Roman"/>
        </w:rPr>
        <w:t>(12), 722–724. https://doi.org/10.1038/s41893-018-0191-0</w:t>
      </w:r>
    </w:p>
    <w:p w14:paraId="03147DF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Lenda, M., Skórka, P., Knops, J. M. H., Moroń, D., Sutherland, W. J., Kuszewska, K., &amp; Woyciechowski, M. (2014). Effect of the Internet Commerce on Dispersal Modes of Invasive Alien Species.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(6), e99786. https://doi.org/10.1371/journal.pone.0099786</w:t>
      </w:r>
    </w:p>
    <w:p w14:paraId="4431750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Lescrauwaet, A.-K., Vandepitte, L., Fockedey, N., De Pooter, D., Verleye, T., &amp; Mees, J. (2015). Invasive Alien Species in Belgian marine waters: An information platform and checklist for science and policy support.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6</w:t>
      </w:r>
      <w:r w:rsidRPr="001523EB">
        <w:rPr>
          <w:rFonts w:ascii="Times New Roman" w:hAnsi="Times New Roman"/>
        </w:rPr>
        <w:t>(2), 209–213. https://doi.org/10.3391/mbi.2015.6.2.11</w:t>
      </w:r>
    </w:p>
    <w:p w14:paraId="3863508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Leventon, J., Abson, D. J., &amp; Lang, D. J. (2021). Leverage points for sustainability transformations: Nine guiding questions for sustainability science and practice. </w:t>
      </w:r>
      <w:r w:rsidRPr="001523EB">
        <w:rPr>
          <w:rFonts w:ascii="Times New Roman" w:hAnsi="Times New Roman"/>
          <w:i/>
          <w:iCs/>
        </w:rPr>
        <w:t>Sustainability Science</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(3), 721–726. https://doi.org/10.1007/s11625-021-00961-8</w:t>
      </w:r>
    </w:p>
    <w:p w14:paraId="55154AB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Liebhold, A. M., Campbell, F. T., Gordon, D. R., Guo, Q., Havill, N., Kinder, B., MacKenzie, R., Lance, D. R., Pearson, D. E., Sing, S. E., Warziniack, T., Venette, R. C., &amp; Yemshanov, D. (2021). The Role of International Cooperation in Invasive Species Research. In T. M. Poland, T. Patel-Weynand, D. M. Finch, C. F. Miniat, D. C. Hayes, &amp; V. M. Lopez (Eds.), </w:t>
      </w:r>
      <w:r w:rsidRPr="001523EB">
        <w:rPr>
          <w:rFonts w:ascii="Times New Roman" w:hAnsi="Times New Roman"/>
          <w:i/>
          <w:iCs/>
        </w:rPr>
        <w:t>Invasive Species in Forests and Rangelands of the United States</w:t>
      </w:r>
      <w:r w:rsidRPr="001523EB">
        <w:rPr>
          <w:rFonts w:ascii="Times New Roman" w:hAnsi="Times New Roman"/>
        </w:rPr>
        <w:t xml:space="preserve"> (pp. 293–303). Springer. https://doi.org/10.1007/978-3-030-45367-1_13</w:t>
      </w:r>
    </w:p>
    <w:p w14:paraId="2CE0627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Liedtke, R., Barros, A., Essl, F., Lembrechts, J. J., Wedegärtner, R. E. M., Pauchard, A., &amp; Dullinger, S. (2020). Hiking trails as conduits for the spread of non-native species in mountain areas.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(3), 1121–1134. https://doi.org/10.1007/s10530-019-02165-9</w:t>
      </w:r>
    </w:p>
    <w:p w14:paraId="372E3F1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Lien, A. M., Baldwin, E., &amp; Franklin, K. (2021). Collective Action and Invasive Species Governance in Southern Arizona. </w:t>
      </w:r>
      <w:r w:rsidRPr="001523EB">
        <w:rPr>
          <w:rFonts w:ascii="Times New Roman" w:hAnsi="Times New Roman"/>
          <w:i/>
          <w:iCs/>
        </w:rPr>
        <w:t>Rangeland Ecology and Management</w:t>
      </w:r>
      <w:r w:rsidRPr="001523EB">
        <w:rPr>
          <w:rFonts w:ascii="Times New Roman" w:hAnsi="Times New Roman"/>
        </w:rPr>
        <w:t xml:space="preserve">, </w:t>
      </w:r>
      <w:r w:rsidRPr="001523EB">
        <w:rPr>
          <w:rFonts w:ascii="Times New Roman" w:hAnsi="Times New Roman"/>
          <w:i/>
          <w:iCs/>
        </w:rPr>
        <w:t>74</w:t>
      </w:r>
      <w:r w:rsidRPr="001523EB">
        <w:rPr>
          <w:rFonts w:ascii="Times New Roman" w:hAnsi="Times New Roman"/>
        </w:rPr>
        <w:t>, 151–164. https://doi.org/10.1016/j.rama.2020.10.004</w:t>
      </w:r>
    </w:p>
    <w:p w14:paraId="0437BA6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Lindgreen, A., &amp; Swaen, V. (2010). Corporate Social Responsibility. </w:t>
      </w:r>
      <w:r w:rsidRPr="001523EB">
        <w:rPr>
          <w:rFonts w:ascii="Times New Roman" w:hAnsi="Times New Roman"/>
          <w:i/>
          <w:iCs/>
        </w:rPr>
        <w:t>International Journal of Management Reviews</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(1), 1–7. https://doi.org/10.1111/j.1468-2370.2009.00277.x</w:t>
      </w:r>
    </w:p>
    <w:p w14:paraId="68F7328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Linke, S., Gilek, M., &amp; Karlsson, M. (2016). Science-Policy Interfaces in Baltic Sea Environmental Governance: Towards Regional Cooperation and Management of Uncertainty? In M. Gilek, </w:t>
      </w:r>
      <w:r w:rsidRPr="001523EB">
        <w:rPr>
          <w:rFonts w:ascii="Times New Roman" w:hAnsi="Times New Roman"/>
        </w:rPr>
        <w:lastRenderedPageBreak/>
        <w:t xml:space="preserve">M. Karlsson, S. Linke, &amp; K. Smolarz (Eds.), </w:t>
      </w:r>
      <w:r w:rsidRPr="001523EB">
        <w:rPr>
          <w:rFonts w:ascii="Times New Roman" w:hAnsi="Times New Roman"/>
          <w:i/>
          <w:iCs/>
        </w:rPr>
        <w:t>Environmental Governance of the Baltic Sea</w:t>
      </w:r>
      <w:r w:rsidRPr="001523EB">
        <w:rPr>
          <w:rFonts w:ascii="Times New Roman" w:hAnsi="Times New Roman"/>
        </w:rPr>
        <w:t xml:space="preserve"> (Vol. 10, pp. 173–203). Springer. https://doi.org/10.1007/978-3-319-27006-7_8</w:t>
      </w:r>
    </w:p>
    <w:p w14:paraId="6E5B0DF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Liu, C., Wolter, C., Xian, W., &amp; Jeschke, J. M. (2020). Species distribution models have limited spatial transferability for invasive species. </w:t>
      </w:r>
      <w:r w:rsidRPr="001523EB">
        <w:rPr>
          <w:rFonts w:ascii="Times New Roman" w:hAnsi="Times New Roman"/>
          <w:i/>
          <w:iCs/>
        </w:rPr>
        <w:t>Ecology Letters</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(11), 1682–1692. https://doi.org/10.1111/ele.13577</w:t>
      </w:r>
    </w:p>
    <w:p w14:paraId="3634505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Liu, J., Dou, Y., Batistella, M., Challies, E., Connor, T., Friis, C., Millington, J. D. A., Parish, E., Romulo, C. L., Bicudo Silva, R. F., Triezenberg, H., Yang, H., Zhao, Z., Zimmerer, K. S., Huettmann, F., Treglia, M. L., Basher, Z., Chung, M. G., Herzberger, A., … Sun, J. (2018). Spillover systems in a telecoupled Anthropocene: Typology, methods, and governance for global sustainability. </w:t>
      </w:r>
      <w:r w:rsidRPr="001523EB">
        <w:rPr>
          <w:rFonts w:ascii="Times New Roman" w:hAnsi="Times New Roman"/>
          <w:i/>
          <w:iCs/>
        </w:rPr>
        <w:t>Current Opinion in Environmental Sustainability</w:t>
      </w:r>
      <w:r w:rsidRPr="001523EB">
        <w:rPr>
          <w:rFonts w:ascii="Times New Roman" w:hAnsi="Times New Roman"/>
        </w:rPr>
        <w:t xml:space="preserve">, </w:t>
      </w:r>
      <w:r w:rsidRPr="001523EB">
        <w:rPr>
          <w:rFonts w:ascii="Times New Roman" w:hAnsi="Times New Roman"/>
          <w:i/>
          <w:iCs/>
        </w:rPr>
        <w:t>33</w:t>
      </w:r>
      <w:r w:rsidRPr="001523EB">
        <w:rPr>
          <w:rFonts w:ascii="Times New Roman" w:hAnsi="Times New Roman"/>
        </w:rPr>
        <w:t>, 58–69. https://doi.org/10.1016/j.cosust.2018.04.009</w:t>
      </w:r>
    </w:p>
    <w:p w14:paraId="0FFA104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Liu, J., Hull, V., Godfray, H. C. J., Tilman, D., Gleick, P., Hoff, H., Pahl-Wostl, C., Xu, Z., Chung, M. G., Sun, J., &amp; Li, S. (2018). Nexus approaches to global sustainable development. </w:t>
      </w:r>
      <w:r w:rsidRPr="001523EB">
        <w:rPr>
          <w:rFonts w:ascii="Times New Roman" w:hAnsi="Times New Roman"/>
          <w:i/>
          <w:iCs/>
        </w:rPr>
        <w:t>Nature Sustainability</w:t>
      </w:r>
      <w:r w:rsidRPr="001523EB">
        <w:rPr>
          <w:rFonts w:ascii="Times New Roman" w:hAnsi="Times New Roman"/>
        </w:rPr>
        <w:t xml:space="preserve">, </w:t>
      </w:r>
      <w:r w:rsidRPr="001523EB">
        <w:rPr>
          <w:rFonts w:ascii="Times New Roman" w:hAnsi="Times New Roman"/>
          <w:i/>
          <w:iCs/>
        </w:rPr>
        <w:t>1</w:t>
      </w:r>
      <w:r w:rsidRPr="001523EB">
        <w:rPr>
          <w:rFonts w:ascii="Times New Roman" w:hAnsi="Times New Roman"/>
        </w:rPr>
        <w:t>(9), 466–476. https://doi.org/10.1038/s41893-018-0135-8</w:t>
      </w:r>
    </w:p>
    <w:p w14:paraId="074EB63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Liu, S., &amp; Cook, D. (2016). Eradicate, contain, or live with it? Collaborating with stakeholders to evaluate responses to invasive species. </w:t>
      </w:r>
      <w:r w:rsidRPr="001523EB">
        <w:rPr>
          <w:rFonts w:ascii="Times New Roman" w:hAnsi="Times New Roman"/>
          <w:i/>
          <w:iCs/>
        </w:rPr>
        <w:t>Food Security</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(1), 49–59. https://doi.org/10.1007/s12571-015-0525-y</w:t>
      </w:r>
    </w:p>
    <w:p w14:paraId="71B0B6E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Liu, S., Proctor, W., &amp; Cook, D. (2010). Using an integrated fuzzy set and deliberative multi-criteria evaluation approach to facilitate decision-making in invasive species management. </w:t>
      </w:r>
      <w:r w:rsidRPr="001523EB">
        <w:rPr>
          <w:rFonts w:ascii="Times New Roman" w:hAnsi="Times New Roman"/>
          <w:i/>
          <w:iCs/>
        </w:rPr>
        <w:t>Ecological Economics</w:t>
      </w:r>
      <w:r w:rsidRPr="001523EB">
        <w:rPr>
          <w:rFonts w:ascii="Times New Roman" w:hAnsi="Times New Roman"/>
        </w:rPr>
        <w:t xml:space="preserve">, </w:t>
      </w:r>
      <w:r w:rsidRPr="001523EB">
        <w:rPr>
          <w:rFonts w:ascii="Times New Roman" w:hAnsi="Times New Roman"/>
          <w:i/>
          <w:iCs/>
        </w:rPr>
        <w:t>69</w:t>
      </w:r>
      <w:r w:rsidRPr="001523EB">
        <w:rPr>
          <w:rFonts w:ascii="Times New Roman" w:hAnsi="Times New Roman"/>
        </w:rPr>
        <w:t>(12), 2374–2382. https://doi.org/10.1016/j.ecolecon.2010.07.004</w:t>
      </w:r>
    </w:p>
    <w:p w14:paraId="2365260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Liu, S., Sheppard, A., Kriticos, D. J., &amp; Cook, D. (2011). Incorporating uncertainty and social values in managing invasive alien species: A deliberative multi-criteria evaluation approach.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13</w:t>
      </w:r>
      <w:r w:rsidRPr="001523EB">
        <w:rPr>
          <w:rFonts w:ascii="Times New Roman" w:hAnsi="Times New Roman"/>
        </w:rPr>
        <w:t>(10), 2323–2337. https://doi.org/10.1007/s10530-011-0045-4</w:t>
      </w:r>
    </w:p>
    <w:p w14:paraId="7A7125F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Lodge, D. M., Williams, S., MacIsaac, H. J., Hayes, K. R., Leung, B., Reichard, S., Mack, R. N., Moyle, P. B., Smith, M., Andow, D. A., Carlton, J. T., &amp; McMichael, A. (2006). Biological Invasions: Recommendations for U.S. Policy and Management. </w:t>
      </w:r>
      <w:r w:rsidRPr="001523EB">
        <w:rPr>
          <w:rFonts w:ascii="Times New Roman" w:hAnsi="Times New Roman"/>
          <w:i/>
          <w:iCs/>
        </w:rPr>
        <w:t>Ecological Applications</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(6), 2035–2054. JSTOR. https://doi.org/10.1890/1051-0761(2006)016[2035:BIRFUP]2.0.CO;2</w:t>
      </w:r>
    </w:p>
    <w:p w14:paraId="61CAA13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Loorbach, D., Frantzeskaki, N., &amp; Avelino, F. (2017). Sustainability transitions research: Transforming science and practice for societal change. </w:t>
      </w:r>
      <w:r w:rsidRPr="001523EB">
        <w:rPr>
          <w:rFonts w:ascii="Times New Roman" w:hAnsi="Times New Roman"/>
          <w:i/>
          <w:iCs/>
        </w:rPr>
        <w:t>Annual Review of Environment and Resources</w:t>
      </w:r>
      <w:r w:rsidRPr="001523EB">
        <w:rPr>
          <w:rFonts w:ascii="Times New Roman" w:hAnsi="Times New Roman"/>
        </w:rPr>
        <w:t xml:space="preserve">, </w:t>
      </w:r>
      <w:r w:rsidRPr="001523EB">
        <w:rPr>
          <w:rFonts w:ascii="Times New Roman" w:hAnsi="Times New Roman"/>
          <w:i/>
          <w:iCs/>
        </w:rPr>
        <w:t>42</w:t>
      </w:r>
      <w:r w:rsidRPr="001523EB">
        <w:rPr>
          <w:rFonts w:ascii="Times New Roman" w:hAnsi="Times New Roman"/>
        </w:rPr>
        <w:t>(1), 599–626. https://doi.org/10.1146/annurev-environ-102014-021340</w:t>
      </w:r>
    </w:p>
    <w:p w14:paraId="35979A3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López-Gómez, M. J., Aguilar-Perera, A., &amp; Perera-Chan, L. (2014). Mayan diver-fishers as citizen scientists: Detection and monitoring of the invasive red lionfish in the Parque Nacional Arrecife Alacranes, southern Gulf of Mexico.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(7), 1351–1357. https://doi.org/10.1007/s10530-013-0582-0</w:t>
      </w:r>
    </w:p>
    <w:p w14:paraId="140404A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Lopian, R. (2005). The International Plant Protection Convention and invasive alien species. In IPPC Secretariat (Ed.), </w:t>
      </w:r>
      <w:r w:rsidRPr="001523EB">
        <w:rPr>
          <w:rFonts w:ascii="Times New Roman" w:hAnsi="Times New Roman"/>
          <w:i/>
          <w:iCs/>
        </w:rPr>
        <w:t>Identification of risks and management of invasive alien species using the IPPC framework</w:t>
      </w:r>
      <w:r w:rsidRPr="001523EB">
        <w:rPr>
          <w:rFonts w:ascii="Times New Roman" w:hAnsi="Times New Roman"/>
        </w:rPr>
        <w:t xml:space="preserve"> (p. 14). Food and Agriculture Organization of the United Nations. http://www.fao.org/3/y5968e/y5968e05.htm#bm05.5</w:t>
      </w:r>
    </w:p>
    <w:p w14:paraId="793337E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Lowry, E., Rollinson, E. J., Laybourn, A. J., Scott, T. E., Aiello-Lammens, M. E., Gray, S. M., Mickley, J., &amp; Gurevitch, J. (2013). Biological invasions: A field synopsis, systematic review, and database of the literature. </w:t>
      </w:r>
      <w:r w:rsidRPr="001523EB">
        <w:rPr>
          <w:rFonts w:ascii="Times New Roman" w:hAnsi="Times New Roman"/>
          <w:i/>
          <w:iCs/>
        </w:rPr>
        <w:t>Ecology and Evolution</w:t>
      </w:r>
      <w:r w:rsidRPr="001523EB">
        <w:rPr>
          <w:rFonts w:ascii="Times New Roman" w:hAnsi="Times New Roman"/>
        </w:rPr>
        <w:t xml:space="preserve">, </w:t>
      </w:r>
      <w:r w:rsidRPr="001523EB">
        <w:rPr>
          <w:rFonts w:ascii="Times New Roman" w:hAnsi="Times New Roman"/>
          <w:i/>
          <w:iCs/>
        </w:rPr>
        <w:t>3</w:t>
      </w:r>
      <w:r w:rsidRPr="001523EB">
        <w:rPr>
          <w:rFonts w:ascii="Times New Roman" w:hAnsi="Times New Roman"/>
        </w:rPr>
        <w:t>(1), 182–196. https://doi.org/10.1002/ece3.431</w:t>
      </w:r>
    </w:p>
    <w:p w14:paraId="3CF3C24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Lubeck, A. A., Metcalf, A. L., Beckman, C. L., Yung, L., &amp; Angle, J. W. (2019). Collective factors drive individual invasive species control behaviors: Evidence from private lands in Montana, USA.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24</w:t>
      </w:r>
      <w:r w:rsidRPr="001523EB">
        <w:rPr>
          <w:rFonts w:ascii="Times New Roman" w:hAnsi="Times New Roman"/>
        </w:rPr>
        <w:t>(2), 32. https://doi.org/10.5751/es-10897-240232</w:t>
      </w:r>
    </w:p>
    <w:p w14:paraId="6E71DEB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Lubell, M. (2004). Collaborative environmental institutions: All talk and no action? </w:t>
      </w:r>
      <w:r w:rsidRPr="001523EB">
        <w:rPr>
          <w:rFonts w:ascii="Times New Roman" w:hAnsi="Times New Roman"/>
          <w:i/>
          <w:iCs/>
        </w:rPr>
        <w:t>Journal of Policy Analysis and Management</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(3), 549–573. https://doi.org/10.1002/pam.20026</w:t>
      </w:r>
    </w:p>
    <w:p w14:paraId="2179C4A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Lubell, M. (2013). Governing institutional complexity: The ecology of games framework. </w:t>
      </w:r>
      <w:r w:rsidRPr="001523EB">
        <w:rPr>
          <w:rFonts w:ascii="Times New Roman" w:hAnsi="Times New Roman"/>
          <w:i/>
          <w:iCs/>
        </w:rPr>
        <w:t>Policy Studies Journal</w:t>
      </w:r>
      <w:r w:rsidRPr="001523EB">
        <w:rPr>
          <w:rFonts w:ascii="Times New Roman" w:hAnsi="Times New Roman"/>
        </w:rPr>
        <w:t xml:space="preserve">, </w:t>
      </w:r>
      <w:r w:rsidRPr="001523EB">
        <w:rPr>
          <w:rFonts w:ascii="Times New Roman" w:hAnsi="Times New Roman"/>
          <w:i/>
          <w:iCs/>
        </w:rPr>
        <w:t>41</w:t>
      </w:r>
      <w:r w:rsidRPr="001523EB">
        <w:rPr>
          <w:rFonts w:ascii="Times New Roman" w:hAnsi="Times New Roman"/>
        </w:rPr>
        <w:t>(3), 537–559. https://doi.org/10.1111/psj.12028</w:t>
      </w:r>
    </w:p>
    <w:p w14:paraId="577B3C0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Lubell, M., Henry, A. D., &amp; McCoy, M. (2010). Collaborative Institutions in an Ecology of Games. </w:t>
      </w:r>
      <w:r w:rsidRPr="001523EB">
        <w:rPr>
          <w:rFonts w:ascii="Times New Roman" w:hAnsi="Times New Roman"/>
          <w:i/>
          <w:iCs/>
        </w:rPr>
        <w:t>American Journal of Political Science</w:t>
      </w:r>
      <w:r w:rsidRPr="001523EB">
        <w:rPr>
          <w:rFonts w:ascii="Times New Roman" w:hAnsi="Times New Roman"/>
        </w:rPr>
        <w:t xml:space="preserve">, </w:t>
      </w:r>
      <w:r w:rsidRPr="001523EB">
        <w:rPr>
          <w:rFonts w:ascii="Times New Roman" w:hAnsi="Times New Roman"/>
          <w:i/>
          <w:iCs/>
        </w:rPr>
        <w:t>54</w:t>
      </w:r>
      <w:r w:rsidRPr="001523EB">
        <w:rPr>
          <w:rFonts w:ascii="Times New Roman" w:hAnsi="Times New Roman"/>
        </w:rPr>
        <w:t>(2), 287–300. https://doi.org/10.1111/j.1540-5907.2010.00431.x</w:t>
      </w:r>
    </w:p>
    <w:p w14:paraId="2DBA92D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Lubell, M., Jasny, L., &amp; Hastings, A. (2017). Network Governance for Invasive Species Management. </w:t>
      </w:r>
      <w:r w:rsidRPr="001523EB">
        <w:rPr>
          <w:rFonts w:ascii="Times New Roman" w:hAnsi="Times New Roman"/>
          <w:i/>
          <w:iCs/>
        </w:rPr>
        <w:t>Conservation Letters</w:t>
      </w:r>
      <w:r w:rsidRPr="001523EB">
        <w:rPr>
          <w:rFonts w:ascii="Times New Roman" w:hAnsi="Times New Roman"/>
        </w:rPr>
        <w:t xml:space="preserve">, </w:t>
      </w:r>
      <w:r w:rsidRPr="001523EB">
        <w:rPr>
          <w:rFonts w:ascii="Times New Roman" w:hAnsi="Times New Roman"/>
          <w:i/>
          <w:iCs/>
        </w:rPr>
        <w:t>10</w:t>
      </w:r>
      <w:r w:rsidRPr="001523EB">
        <w:rPr>
          <w:rFonts w:ascii="Times New Roman" w:hAnsi="Times New Roman"/>
        </w:rPr>
        <w:t>(6), 699–707. https://doi.org/10.1111/conl.12311</w:t>
      </w:r>
    </w:p>
    <w:p w14:paraId="69A001B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Lucy, F. E., Roy, H., Simpson, A., Carlton, J. T., Hanson, J. M., Magellan, K., Campbell, M. L., Costello, M. J., Pagad, S., Hewitt, C. L., McDonald, J., Cassey, P., Thomaz, S. M., Katsanevakis, S., Zenetos, A., Tricarico, E., Boggero, A., Groom, Q. J., Adriaens, T., … Panov, V. E. (2016). INVASIVESNET towards an international association for open knowledge on invasive alien species.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7</w:t>
      </w:r>
      <w:r w:rsidRPr="001523EB">
        <w:rPr>
          <w:rFonts w:ascii="Times New Roman" w:hAnsi="Times New Roman"/>
        </w:rPr>
        <w:t>(2), 131–139. https://doi.org/10.3391/mbi.2016.7.2.01</w:t>
      </w:r>
    </w:p>
    <w:p w14:paraId="3A6ED1D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LXIV Ordinary Meeting. (2017). </w:t>
      </w:r>
      <w:r w:rsidRPr="001523EB">
        <w:rPr>
          <w:rFonts w:ascii="Times New Roman" w:hAnsi="Times New Roman"/>
          <w:i/>
          <w:iCs/>
        </w:rPr>
        <w:t>SIM - Document Details</w:t>
      </w:r>
      <w:r w:rsidRPr="001523EB">
        <w:rPr>
          <w:rFonts w:ascii="Times New Roman" w:hAnsi="Times New Roman"/>
        </w:rPr>
        <w:t>. https://documentos.mercosur.int/public/reuniones/doc/6499</w:t>
      </w:r>
    </w:p>
    <w:p w14:paraId="4875622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Lynch, S. C. (2020). </w:t>
      </w:r>
      <w:r w:rsidRPr="001523EB">
        <w:rPr>
          <w:rFonts w:ascii="Times New Roman" w:hAnsi="Times New Roman"/>
          <w:i/>
          <w:iCs/>
        </w:rPr>
        <w:t>Responding to an emergent plant pest-pathogen complex across social-ecological scales</w:t>
      </w:r>
      <w:r w:rsidRPr="001523EB">
        <w:rPr>
          <w:rFonts w:ascii="Times New Roman" w:hAnsi="Times New Roman"/>
        </w:rPr>
        <w:t xml:space="preserve"> [Doctoral Thesis, University of California, Santa Cruz]. https://escholarship.org/uc/item/19f5d5vk</w:t>
      </w:r>
    </w:p>
    <w:p w14:paraId="5A43305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 Z., Clarke, M., &amp; Church, S. P. (2018). Insights into individual and cooperative invasive plant management on family forestlands. </w:t>
      </w:r>
      <w:r w:rsidRPr="001523EB">
        <w:rPr>
          <w:rFonts w:ascii="Times New Roman" w:hAnsi="Times New Roman"/>
          <w:i/>
          <w:iCs/>
        </w:rPr>
        <w:t>Land Use Policy</w:t>
      </w:r>
      <w:r w:rsidRPr="001523EB">
        <w:rPr>
          <w:rFonts w:ascii="Times New Roman" w:hAnsi="Times New Roman"/>
        </w:rPr>
        <w:t xml:space="preserve">, </w:t>
      </w:r>
      <w:r w:rsidRPr="001523EB">
        <w:rPr>
          <w:rFonts w:ascii="Times New Roman" w:hAnsi="Times New Roman"/>
          <w:i/>
          <w:iCs/>
        </w:rPr>
        <w:t>75</w:t>
      </w:r>
      <w:r w:rsidRPr="001523EB">
        <w:rPr>
          <w:rFonts w:ascii="Times New Roman" w:hAnsi="Times New Roman"/>
        </w:rPr>
        <w:t>, 682–693. https://doi.org/10.1016/j.landusepol.2018.02.010</w:t>
      </w:r>
    </w:p>
    <w:p w14:paraId="5EA30A1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Macdonald, E. A., Hinks, A., Weiss, D. J., Dickman, A., Burnham, D., Sandom, C. J., Malhi, Y., &amp; Macdonald, D. W. (2017). Identifying ambassador species for conservation marketing. </w:t>
      </w:r>
      <w:r w:rsidRPr="001523EB">
        <w:rPr>
          <w:rFonts w:ascii="Times New Roman" w:hAnsi="Times New Roman"/>
          <w:i/>
          <w:iCs/>
        </w:rPr>
        <w:t>Global Ecology and Conservation</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 204–214. https://doi.org/10.1016/j.gecco.2017.11.006</w:t>
      </w:r>
    </w:p>
    <w:p w14:paraId="2FC812C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Maclean, K., Farbotko, C., Mankad, A., Robinson, C. J., Curnock, M., Collins, K., &amp; McAllister, R. R. J. (2018). Building social resilience to biological invasions. A case study of Panama Tropical Race 4 in the Australian Banana Industry. </w:t>
      </w:r>
      <w:r w:rsidRPr="001523EB">
        <w:rPr>
          <w:rFonts w:ascii="Times New Roman" w:hAnsi="Times New Roman"/>
          <w:i/>
          <w:iCs/>
        </w:rPr>
        <w:t>Geoforum</w:t>
      </w:r>
      <w:r w:rsidRPr="001523EB">
        <w:rPr>
          <w:rFonts w:ascii="Times New Roman" w:hAnsi="Times New Roman"/>
        </w:rPr>
        <w:t xml:space="preserve">, </w:t>
      </w:r>
      <w:r w:rsidRPr="001523EB">
        <w:rPr>
          <w:rFonts w:ascii="Times New Roman" w:hAnsi="Times New Roman"/>
          <w:i/>
          <w:iCs/>
        </w:rPr>
        <w:t>97</w:t>
      </w:r>
      <w:r w:rsidRPr="001523EB">
        <w:rPr>
          <w:rFonts w:ascii="Times New Roman" w:hAnsi="Times New Roman"/>
        </w:rPr>
        <w:t>, 95–105. https://doi.org/10.1016/j.geoforum.2018.10.018</w:t>
      </w:r>
    </w:p>
    <w:p w14:paraId="2985ACD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Maclean, K., Robinson, C., Bock, E., &amp; Rist, P. (2022). Reconciling risk and responsibility on Indigenous country: Bridging the boundaries to guide knowledge sharing for cross-cultural biosecurity risk management in northern Australia. </w:t>
      </w:r>
      <w:r w:rsidRPr="001523EB">
        <w:rPr>
          <w:rFonts w:ascii="Times New Roman" w:hAnsi="Times New Roman"/>
          <w:i/>
          <w:iCs/>
        </w:rPr>
        <w:t>Journal of Cultural Geography</w:t>
      </w:r>
      <w:r w:rsidRPr="001523EB">
        <w:rPr>
          <w:rFonts w:ascii="Times New Roman" w:hAnsi="Times New Roman"/>
        </w:rPr>
        <w:t xml:space="preserve">, </w:t>
      </w:r>
      <w:r w:rsidRPr="001523EB">
        <w:rPr>
          <w:rFonts w:ascii="Times New Roman" w:hAnsi="Times New Roman"/>
          <w:i/>
          <w:iCs/>
        </w:rPr>
        <w:t>39</w:t>
      </w:r>
      <w:r w:rsidRPr="001523EB">
        <w:rPr>
          <w:rFonts w:ascii="Times New Roman" w:hAnsi="Times New Roman"/>
        </w:rPr>
        <w:t>(1), 32–54. https://doi.org/10.1080/08873631.2021.1911078</w:t>
      </w:r>
    </w:p>
    <w:p w14:paraId="0843BB2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Maggi, E., Benedetti</w:t>
      </w:r>
      <w:r w:rsidRPr="001523EB">
        <w:rPr>
          <w:rFonts w:ascii="Times New Roman" w:hAnsi="Times New Roman" w:hint="eastAsia"/>
        </w:rPr>
        <w:t>‐</w:t>
      </w:r>
      <w:r w:rsidRPr="001523EB">
        <w:rPr>
          <w:rFonts w:ascii="Times New Roman" w:hAnsi="Times New Roman"/>
        </w:rPr>
        <w:t>Cecchi, L., Castelli, A., Chatzinikolaou, E., Crowe, T. P., Ghedini, G., Kotta, J., Lyons, D. A., Ravaglioli, C., Rilov, G., Rindi, L., &amp; Bulleri, F. (2015). Ecological impacts of invading seaweeds: A meta</w:t>
      </w:r>
      <w:r w:rsidRPr="001523EB">
        <w:rPr>
          <w:rFonts w:ascii="Times New Roman" w:hAnsi="Times New Roman" w:hint="eastAsia"/>
        </w:rPr>
        <w:t>‐</w:t>
      </w:r>
      <w:r w:rsidRPr="001523EB">
        <w:rPr>
          <w:rFonts w:ascii="Times New Roman" w:hAnsi="Times New Roman"/>
        </w:rPr>
        <w:t xml:space="preserve">analysis of their effects at different trophic levels. </w:t>
      </w:r>
      <w:r w:rsidRPr="001523EB">
        <w:rPr>
          <w:rFonts w:ascii="Times New Roman" w:hAnsi="Times New Roman"/>
          <w:i/>
          <w:iCs/>
        </w:rPr>
        <w:t>Diversity and Distributions</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(1), 1–12. https://doi.org/10.1111/ddi.12264</w:t>
      </w:r>
    </w:p>
    <w:p w14:paraId="29705A6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Mainka, S. A., &amp; Howard, G. W. (2010). Climate change and invasive species: Double jeopardy. </w:t>
      </w:r>
      <w:r w:rsidRPr="001523EB">
        <w:rPr>
          <w:rFonts w:ascii="Times New Roman" w:hAnsi="Times New Roman"/>
          <w:i/>
          <w:iCs/>
        </w:rPr>
        <w:t>Integrative Zoology</w:t>
      </w:r>
      <w:r w:rsidRPr="001523EB">
        <w:rPr>
          <w:rFonts w:ascii="Times New Roman" w:hAnsi="Times New Roman"/>
        </w:rPr>
        <w:t xml:space="preserve">, </w:t>
      </w:r>
      <w:r w:rsidRPr="001523EB">
        <w:rPr>
          <w:rFonts w:ascii="Times New Roman" w:hAnsi="Times New Roman"/>
          <w:i/>
          <w:iCs/>
        </w:rPr>
        <w:t>5</w:t>
      </w:r>
      <w:r w:rsidRPr="001523EB">
        <w:rPr>
          <w:rFonts w:ascii="Times New Roman" w:hAnsi="Times New Roman"/>
        </w:rPr>
        <w:t>(2), 102–111. https://doi.org/10.1111/j.1749-4877.2010.00193.x</w:t>
      </w:r>
    </w:p>
    <w:p w14:paraId="56481B7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Manier, J., &amp; Martin, A. (1998). </w:t>
      </w:r>
      <w:r w:rsidRPr="001523EB">
        <w:rPr>
          <w:rFonts w:ascii="Times New Roman" w:hAnsi="Times New Roman"/>
          <w:i/>
          <w:iCs/>
        </w:rPr>
        <w:t>Park worker found beetle ID on web – Chicago Tribune</w:t>
      </w:r>
      <w:r w:rsidRPr="001523EB">
        <w:rPr>
          <w:rFonts w:ascii="Times New Roman" w:hAnsi="Times New Roman"/>
        </w:rPr>
        <w:t>. https://www.chicagotribune.com/news/ct-xpm-1998-07-17-9807170143-story.html</w:t>
      </w:r>
    </w:p>
    <w:p w14:paraId="2751C6F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Mannino, A. M., &amp; Balistreri, P. (2018). Citizen science: A successful tool for monitoring invasive alien species (IAS) in Marine Protected Areas. The case study of the Egadi Islands MPA (Tyrrhenian Sea, Italy). </w:t>
      </w:r>
      <w:r w:rsidRPr="001523EB">
        <w:rPr>
          <w:rFonts w:ascii="Times New Roman" w:hAnsi="Times New Roman"/>
          <w:i/>
          <w:iCs/>
        </w:rPr>
        <w:t>Biodiversity</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(1–2), 42–48. https://doi.org/10.1080/14888386.2018.1468280</w:t>
      </w:r>
    </w:p>
    <w:p w14:paraId="074A064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Mansouri, A., Cregut, M., Abbes, C., Durand, M.-J., Landoulsi, A., &amp; Thouand, G. (2017). The Environmental Issues of DDT Pollution and Bioremediation: A Multidisciplinary Review. </w:t>
      </w:r>
      <w:r w:rsidRPr="001523EB">
        <w:rPr>
          <w:rFonts w:ascii="Times New Roman" w:hAnsi="Times New Roman"/>
          <w:i/>
          <w:iCs/>
        </w:rPr>
        <w:t>Applied Biochemistry and Biotechnology</w:t>
      </w:r>
      <w:r w:rsidRPr="001523EB">
        <w:rPr>
          <w:rFonts w:ascii="Times New Roman" w:hAnsi="Times New Roman"/>
        </w:rPr>
        <w:t xml:space="preserve">, </w:t>
      </w:r>
      <w:r w:rsidRPr="001523EB">
        <w:rPr>
          <w:rFonts w:ascii="Times New Roman" w:hAnsi="Times New Roman"/>
          <w:i/>
          <w:iCs/>
        </w:rPr>
        <w:t>181</w:t>
      </w:r>
      <w:r w:rsidRPr="001523EB">
        <w:rPr>
          <w:rFonts w:ascii="Times New Roman" w:hAnsi="Times New Roman"/>
        </w:rPr>
        <w:t>(1), 309–339. https://doi.org/10.1007/s12010-016-2214-5</w:t>
      </w:r>
    </w:p>
    <w:p w14:paraId="3DDFE63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Marchante, H., Morais, M. C., Gamela, A., &amp; Marchante, E. (2017). Using a WebMapping Platform to Engage Volunteers to Collect Data on Invasive Plants Distribution. </w:t>
      </w:r>
      <w:r w:rsidRPr="001523EB">
        <w:rPr>
          <w:rFonts w:ascii="Times New Roman" w:hAnsi="Times New Roman"/>
          <w:i/>
          <w:iCs/>
        </w:rPr>
        <w:t>Transactions in GIS</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(2), 238–252. https://doi.org/10.1111/tgis.12198</w:t>
      </w:r>
    </w:p>
    <w:p w14:paraId="5190126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Marire, J. (2015). The Political Economy of South African Trout Fisheries. </w:t>
      </w:r>
      <w:r w:rsidRPr="001523EB">
        <w:rPr>
          <w:rFonts w:ascii="Times New Roman" w:hAnsi="Times New Roman"/>
          <w:i/>
          <w:iCs/>
        </w:rPr>
        <w:t>Journal of Economic Issues</w:t>
      </w:r>
      <w:r w:rsidRPr="001523EB">
        <w:rPr>
          <w:rFonts w:ascii="Times New Roman" w:hAnsi="Times New Roman"/>
        </w:rPr>
        <w:t xml:space="preserve">, </w:t>
      </w:r>
      <w:r w:rsidRPr="001523EB">
        <w:rPr>
          <w:rFonts w:ascii="Times New Roman" w:hAnsi="Times New Roman"/>
          <w:i/>
          <w:iCs/>
        </w:rPr>
        <w:t>49</w:t>
      </w:r>
      <w:r w:rsidRPr="001523EB">
        <w:rPr>
          <w:rFonts w:ascii="Times New Roman" w:hAnsi="Times New Roman"/>
        </w:rPr>
        <w:t>(1), 47–70. https://doi.org/10.1080/00213624.2015.1013878</w:t>
      </w:r>
    </w:p>
    <w:p w14:paraId="1F1E5F9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Marshall, G. R., Coleman, M. J., Sindel, B. M., Reeve, I. J., &amp; Berney, P. J. (2016). Collective action in invasive species control, and prospects for community-based governance: The case of serrated tussock (</w:t>
      </w:r>
      <w:r w:rsidRPr="001523EB">
        <w:rPr>
          <w:rFonts w:ascii="Times New Roman" w:hAnsi="Times New Roman"/>
          <w:i/>
          <w:iCs/>
        </w:rPr>
        <w:t>Nassella trichotoma</w:t>
      </w:r>
      <w:r w:rsidRPr="001523EB">
        <w:rPr>
          <w:rFonts w:ascii="Times New Roman" w:hAnsi="Times New Roman"/>
        </w:rPr>
        <w:t xml:space="preserve">) in New South Wales, Australia. </w:t>
      </w:r>
      <w:r w:rsidRPr="001523EB">
        <w:rPr>
          <w:rFonts w:ascii="Times New Roman" w:hAnsi="Times New Roman"/>
          <w:i/>
          <w:iCs/>
        </w:rPr>
        <w:t>Land Use Policy</w:t>
      </w:r>
      <w:r w:rsidRPr="001523EB">
        <w:rPr>
          <w:rFonts w:ascii="Times New Roman" w:hAnsi="Times New Roman"/>
        </w:rPr>
        <w:t xml:space="preserve">, </w:t>
      </w:r>
      <w:r w:rsidRPr="001523EB">
        <w:rPr>
          <w:rFonts w:ascii="Times New Roman" w:hAnsi="Times New Roman"/>
          <w:i/>
          <w:iCs/>
        </w:rPr>
        <w:t>56</w:t>
      </w:r>
      <w:r w:rsidRPr="001523EB">
        <w:rPr>
          <w:rFonts w:ascii="Times New Roman" w:hAnsi="Times New Roman"/>
        </w:rPr>
        <w:t>, 100–111. https://doi.org/10.1016/j.landusepol.2016.04.028</w:t>
      </w:r>
    </w:p>
    <w:p w14:paraId="6B45245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Martin, D. M., Mazzotta, M., &amp; Bousquin, J. (2018). Combining ecosystem services assessment with structured decision making to support ecological restoration planning. </w:t>
      </w:r>
      <w:r w:rsidRPr="001523EB">
        <w:rPr>
          <w:rFonts w:ascii="Times New Roman" w:hAnsi="Times New Roman"/>
          <w:i/>
          <w:iCs/>
        </w:rPr>
        <w:t>Environmental Management</w:t>
      </w:r>
      <w:r w:rsidRPr="001523EB">
        <w:rPr>
          <w:rFonts w:ascii="Times New Roman" w:hAnsi="Times New Roman"/>
        </w:rPr>
        <w:t xml:space="preserve">, </w:t>
      </w:r>
      <w:r w:rsidRPr="001523EB">
        <w:rPr>
          <w:rFonts w:ascii="Times New Roman" w:hAnsi="Times New Roman"/>
          <w:i/>
          <w:iCs/>
        </w:rPr>
        <w:t>62</w:t>
      </w:r>
      <w:r w:rsidRPr="001523EB">
        <w:rPr>
          <w:rFonts w:ascii="Times New Roman" w:hAnsi="Times New Roman"/>
        </w:rPr>
        <w:t>(3), 608–618. https://doi.org/10.1007/s00267-018-1038-1</w:t>
      </w:r>
    </w:p>
    <w:p w14:paraId="568F7E8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Martin, L. J., Blossey, B., &amp; Ellis, E. (2012). Mapping where ecologists work: Biases in the global distribution of terrestrial ecological observations. </w:t>
      </w:r>
      <w:r w:rsidRPr="001523EB">
        <w:rPr>
          <w:rFonts w:ascii="Times New Roman" w:hAnsi="Times New Roman"/>
          <w:i/>
          <w:iCs/>
        </w:rPr>
        <w:t>Frontiers in Ecology and the Environment</w:t>
      </w:r>
      <w:r w:rsidRPr="001523EB">
        <w:rPr>
          <w:rFonts w:ascii="Times New Roman" w:hAnsi="Times New Roman"/>
        </w:rPr>
        <w:t xml:space="preserve">, </w:t>
      </w:r>
      <w:r w:rsidRPr="001523EB">
        <w:rPr>
          <w:rFonts w:ascii="Times New Roman" w:hAnsi="Times New Roman"/>
          <w:i/>
          <w:iCs/>
        </w:rPr>
        <w:t>10</w:t>
      </w:r>
      <w:r w:rsidRPr="001523EB">
        <w:rPr>
          <w:rFonts w:ascii="Times New Roman" w:hAnsi="Times New Roman"/>
        </w:rPr>
        <w:t>(4), 195–201. https://doi.org/10.1890/110154</w:t>
      </w:r>
    </w:p>
    <w:p w14:paraId="59F532E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Martin, P., Le Gal, E., &amp; Choy, D. L. (2016). Effect of Social and Institutional Fragmentation on Collective Action in Peri-Urban Settings. In B. Maheshwari, B. Thoradeniya, &amp; V. P. Singh (Eds.), </w:t>
      </w:r>
      <w:r w:rsidRPr="001523EB">
        <w:rPr>
          <w:rFonts w:ascii="Times New Roman" w:hAnsi="Times New Roman"/>
          <w:i/>
          <w:iCs/>
        </w:rPr>
        <w:t>Balanced Urban Development: Options and Strategies for Liveable Cities</w:t>
      </w:r>
      <w:r w:rsidRPr="001523EB">
        <w:rPr>
          <w:rFonts w:ascii="Times New Roman" w:hAnsi="Times New Roman"/>
        </w:rPr>
        <w:t xml:space="preserve"> (Vol. 72, pp. 465–480). Springer. https://doi.org/10.1007/978-3-319-28112-4_28</w:t>
      </w:r>
    </w:p>
    <w:p w14:paraId="2EAE43B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Martin, P., &amp; Taylor, N. (2018). Environmental Stewardship Duties in Biosecurity: Issues and Challenges. </w:t>
      </w:r>
      <w:r w:rsidRPr="001523EB">
        <w:rPr>
          <w:rFonts w:ascii="Times New Roman" w:hAnsi="Times New Roman"/>
          <w:i/>
          <w:iCs/>
        </w:rPr>
        <w:t>Environmental and Planning Law Journal</w:t>
      </w:r>
      <w:r w:rsidRPr="001523EB">
        <w:rPr>
          <w:rFonts w:ascii="Times New Roman" w:hAnsi="Times New Roman"/>
        </w:rPr>
        <w:t xml:space="preserve">, </w:t>
      </w:r>
      <w:r w:rsidRPr="001523EB">
        <w:rPr>
          <w:rFonts w:ascii="Times New Roman" w:hAnsi="Times New Roman"/>
          <w:i/>
          <w:iCs/>
        </w:rPr>
        <w:t>35</w:t>
      </w:r>
      <w:r w:rsidRPr="001523EB">
        <w:rPr>
          <w:rFonts w:ascii="Times New Roman" w:hAnsi="Times New Roman"/>
        </w:rPr>
        <w:t>(6), 743–762. https://doi.org/10.3316/agispt.20181228005297</w:t>
      </w:r>
    </w:p>
    <w:p w14:paraId="6E68E37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Martinez, B., Reaser, J. K., Dehgan, A., Zamft, B., Baisch, D., McCormick, C., Giordano, A. J., Aicher, R., &amp; Selbe, S. (2020). Technology innovation: Advancing capacities for the early detection of and rapid response to invasive species.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(1), 75–100. https://doi.org/10.1007/s10530-019-02146-y</w:t>
      </w:r>
    </w:p>
    <w:p w14:paraId="48EAAB6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Mason, P. G., Cock, M. J. W., Barratt, B. I. P., Klapwijk, J. N., van Lenteren, J. C., Brodeur, J., Hoelmer, K. A., &amp; Heimpel, G. E. (2018). Best practices for the use and exchange of invertebrate biological control genetic resources relevant for food and agriculture. </w:t>
      </w:r>
      <w:r w:rsidRPr="001523EB">
        <w:rPr>
          <w:rFonts w:ascii="Times New Roman" w:hAnsi="Times New Roman"/>
          <w:i/>
          <w:iCs/>
        </w:rPr>
        <w:t>BioControl</w:t>
      </w:r>
      <w:r w:rsidRPr="001523EB">
        <w:rPr>
          <w:rFonts w:ascii="Times New Roman" w:hAnsi="Times New Roman"/>
        </w:rPr>
        <w:t xml:space="preserve">, </w:t>
      </w:r>
      <w:r w:rsidRPr="001523EB">
        <w:rPr>
          <w:rFonts w:ascii="Times New Roman" w:hAnsi="Times New Roman"/>
          <w:i/>
          <w:iCs/>
        </w:rPr>
        <w:t>63</w:t>
      </w:r>
      <w:r w:rsidRPr="001523EB">
        <w:rPr>
          <w:rFonts w:ascii="Times New Roman" w:hAnsi="Times New Roman"/>
        </w:rPr>
        <w:t>(1), 149–154. https://doi.org/10.1007/s10526-017-9810-3</w:t>
      </w:r>
    </w:p>
    <w:p w14:paraId="6DBEC61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Mato-Amboage, R., Pitchford, J. W., &amp; Touza, J. (2019). Public–private partnerships for biosecurity: An opportunity for risk sharing. </w:t>
      </w:r>
      <w:r w:rsidRPr="001523EB">
        <w:rPr>
          <w:rFonts w:ascii="Times New Roman" w:hAnsi="Times New Roman"/>
          <w:i/>
          <w:iCs/>
        </w:rPr>
        <w:t>Journal of Agricultural Economics</w:t>
      </w:r>
      <w:r w:rsidRPr="001523EB">
        <w:rPr>
          <w:rFonts w:ascii="Times New Roman" w:hAnsi="Times New Roman"/>
        </w:rPr>
        <w:t xml:space="preserve">, </w:t>
      </w:r>
      <w:r w:rsidRPr="001523EB">
        <w:rPr>
          <w:rFonts w:ascii="Times New Roman" w:hAnsi="Times New Roman"/>
          <w:i/>
          <w:iCs/>
        </w:rPr>
        <w:t>70</w:t>
      </w:r>
      <w:r w:rsidRPr="001523EB">
        <w:rPr>
          <w:rFonts w:ascii="Times New Roman" w:hAnsi="Times New Roman"/>
        </w:rPr>
        <w:t>(3), 771–788. https://doi.org/10.1111/1477-9552.12315</w:t>
      </w:r>
    </w:p>
    <w:p w14:paraId="4AC15BB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Mazza, G., Aquiloni, L., Inghilesi, A. F., Giuliani, C., Lazzaro, L., Ferretti, G., Lastrucci, L., Foggi, B., &amp; Tricarico, E. (2015). Aliens just a click away: The online aquarium trade in Italy.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6</w:t>
      </w:r>
      <w:r w:rsidRPr="001523EB">
        <w:rPr>
          <w:rFonts w:ascii="Times New Roman" w:hAnsi="Times New Roman"/>
        </w:rPr>
        <w:t>(3), 253–261. https://doi.org/10.3391/mbi.2015.6.3.04</w:t>
      </w:r>
    </w:p>
    <w:p w14:paraId="76E901F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McAllister, R. R. J., Kruger, H., Stenekes, N., &amp; Garrard, R. (2020). Multilevel stakeholder networks for Australian marine biosecurity: Well-structured for top-down information provision, requires better two-way communication.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25</w:t>
      </w:r>
      <w:r w:rsidRPr="001523EB">
        <w:rPr>
          <w:rFonts w:ascii="Times New Roman" w:hAnsi="Times New Roman"/>
        </w:rPr>
        <w:t>(3), art18. https://doi.org/10.5751/ES-11583-250318</w:t>
      </w:r>
    </w:p>
    <w:p w14:paraId="63FCD27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McAllister, R. R. J., Robinson, C. J., Maclean, K., Guerrero, A. M., Collins, K., Taylor, B. M., &amp; De Barro, P. J. (2015). From local to central: A network analysis of who manages plant pest and disease outbreaks across scales.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20</w:t>
      </w:r>
      <w:r w:rsidRPr="001523EB">
        <w:rPr>
          <w:rFonts w:ascii="Times New Roman" w:hAnsi="Times New Roman"/>
        </w:rPr>
        <w:t>(1), 67. https://doi.org/10.5751/ES-07469-200167</w:t>
      </w:r>
    </w:p>
    <w:p w14:paraId="7524187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McAusland, C., &amp; Costello, C. (2004). Avoiding invasives: Trade-related policies for controlling unintentional exotic species introductions. </w:t>
      </w:r>
      <w:r w:rsidRPr="001523EB">
        <w:rPr>
          <w:rFonts w:ascii="Times New Roman" w:hAnsi="Times New Roman"/>
          <w:i/>
          <w:iCs/>
        </w:rPr>
        <w:t>Journal of Environmental Economics and Management</w:t>
      </w:r>
      <w:r w:rsidRPr="001523EB">
        <w:rPr>
          <w:rFonts w:ascii="Times New Roman" w:hAnsi="Times New Roman"/>
        </w:rPr>
        <w:t xml:space="preserve">, </w:t>
      </w:r>
      <w:r w:rsidRPr="001523EB">
        <w:rPr>
          <w:rFonts w:ascii="Times New Roman" w:hAnsi="Times New Roman"/>
          <w:i/>
          <w:iCs/>
        </w:rPr>
        <w:t>48</w:t>
      </w:r>
      <w:r w:rsidRPr="001523EB">
        <w:rPr>
          <w:rFonts w:ascii="Times New Roman" w:hAnsi="Times New Roman"/>
        </w:rPr>
        <w:t>(2), 954–977. https://doi.org/10.1016/j.jeem.2003.11.002</w:t>
      </w:r>
    </w:p>
    <w:p w14:paraId="04CC891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McBeath, J. H., &amp; McBeath, J. (2010). Invasive Species and Food Security. In </w:t>
      </w:r>
      <w:r w:rsidRPr="001523EB">
        <w:rPr>
          <w:rFonts w:ascii="Times New Roman" w:hAnsi="Times New Roman"/>
          <w:i/>
          <w:iCs/>
        </w:rPr>
        <w:t>Environmental Change and Food Security in China</w:t>
      </w:r>
      <w:r w:rsidRPr="001523EB">
        <w:rPr>
          <w:rFonts w:ascii="Times New Roman" w:hAnsi="Times New Roman"/>
        </w:rPr>
        <w:t xml:space="preserve"> (Vol. 35, pp. 157–176). Springer. https://doi.org/10.1007/978-1-4020-9180-3_6</w:t>
      </w:r>
    </w:p>
    <w:p w14:paraId="35B51AB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McCarthy, A. H., Peck, L. S., Hughes, K. A., &amp; Aldridge, D. C. (2019). Antarctica: The final frontier for marine biological invasions. </w:t>
      </w:r>
      <w:r w:rsidRPr="001523EB">
        <w:rPr>
          <w:rFonts w:ascii="Times New Roman" w:hAnsi="Times New Roman"/>
          <w:i/>
          <w:iCs/>
        </w:rPr>
        <w:t>Global Change Biology</w:t>
      </w:r>
      <w:r w:rsidRPr="001523EB">
        <w:rPr>
          <w:rFonts w:ascii="Times New Roman" w:hAnsi="Times New Roman"/>
        </w:rPr>
        <w:t xml:space="preserve">, </w:t>
      </w:r>
      <w:r w:rsidRPr="001523EB">
        <w:rPr>
          <w:rFonts w:ascii="Times New Roman" w:hAnsi="Times New Roman"/>
          <w:i/>
          <w:iCs/>
        </w:rPr>
        <w:t>25</w:t>
      </w:r>
      <w:r w:rsidRPr="001523EB">
        <w:rPr>
          <w:rFonts w:ascii="Times New Roman" w:hAnsi="Times New Roman"/>
        </w:rPr>
        <w:t>(7), 2221–2241. https://doi.org/10.1111/gcb.14600</w:t>
      </w:r>
    </w:p>
    <w:p w14:paraId="7FCFB28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McClelland, G. T. W., Altwegg, R., van Aarde, R. J., Ferreira, S., Burger, A. E., &amp; Chown, S. L. (2018). Climate change leads to increasing population density and impacts of a key island invader. </w:t>
      </w:r>
      <w:r w:rsidRPr="001523EB">
        <w:rPr>
          <w:rFonts w:ascii="Times New Roman" w:hAnsi="Times New Roman"/>
          <w:i/>
          <w:iCs/>
        </w:rPr>
        <w:t>Ecological Applications</w:t>
      </w:r>
      <w:r w:rsidRPr="001523EB">
        <w:rPr>
          <w:rFonts w:ascii="Times New Roman" w:hAnsi="Times New Roman"/>
        </w:rPr>
        <w:t xml:space="preserve">, </w:t>
      </w:r>
      <w:r w:rsidRPr="001523EB">
        <w:rPr>
          <w:rFonts w:ascii="Times New Roman" w:hAnsi="Times New Roman"/>
          <w:i/>
          <w:iCs/>
        </w:rPr>
        <w:t>28</w:t>
      </w:r>
      <w:r w:rsidRPr="001523EB">
        <w:rPr>
          <w:rFonts w:ascii="Times New Roman" w:hAnsi="Times New Roman"/>
        </w:rPr>
        <w:t>(1), 212–224. https://doi.org/10.1002/eap.1642</w:t>
      </w:r>
    </w:p>
    <w:p w14:paraId="5DFFE3A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McDermott, S. M. (2015). Optimal regulation of invasive species long-range spread: A general equilibrium approach. </w:t>
      </w:r>
      <w:r w:rsidRPr="001523EB">
        <w:rPr>
          <w:rFonts w:ascii="Times New Roman" w:hAnsi="Times New Roman"/>
          <w:i/>
          <w:iCs/>
        </w:rPr>
        <w:t>The BE Journal of Economic Analysis &amp; Policy</w:t>
      </w:r>
      <w:r w:rsidRPr="001523EB">
        <w:rPr>
          <w:rFonts w:ascii="Times New Roman" w:hAnsi="Times New Roman"/>
        </w:rPr>
        <w:t xml:space="preserve">, </w:t>
      </w:r>
      <w:r w:rsidRPr="001523EB">
        <w:rPr>
          <w:rFonts w:ascii="Times New Roman" w:hAnsi="Times New Roman"/>
          <w:i/>
          <w:iCs/>
        </w:rPr>
        <w:t>15</w:t>
      </w:r>
      <w:r w:rsidRPr="001523EB">
        <w:rPr>
          <w:rFonts w:ascii="Times New Roman" w:hAnsi="Times New Roman"/>
        </w:rPr>
        <w:t>(4), 1731–1752. https://doi.org/10.1515/bejeap-2014-0087</w:t>
      </w:r>
    </w:p>
    <w:p w14:paraId="3CCCF04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McDermott, S. M., Irwin, R. E., &amp; Taylor, B. W. (2013). Using economic instruments to develop effective management of invasive species: Insights from a bioeconomic model. </w:t>
      </w:r>
      <w:r w:rsidRPr="001523EB">
        <w:rPr>
          <w:rFonts w:ascii="Times New Roman" w:hAnsi="Times New Roman"/>
          <w:i/>
          <w:iCs/>
        </w:rPr>
        <w:t>Ecological Applications</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(5), 1086–1100. https://doi.org/10.1890/12-0649.1</w:t>
      </w:r>
    </w:p>
    <w:p w14:paraId="1D29DA1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McGeoch, M. A., Butchart, S. H. M., Spear, D., Marais, E., Kleynhans, E. J., Symes, A., Chanson, J., &amp; Hoffmann, M. (2010). Global indicators of biological invasion: Species numbers, biodiversity impact and policy responses. </w:t>
      </w:r>
      <w:r w:rsidRPr="001523EB">
        <w:rPr>
          <w:rFonts w:ascii="Times New Roman" w:hAnsi="Times New Roman"/>
          <w:i/>
          <w:iCs/>
        </w:rPr>
        <w:t>Diversity and Distributions</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(1), 95–108. https://doi.org/10.1111/j.1472-4642.2009.00633.x</w:t>
      </w:r>
    </w:p>
    <w:p w14:paraId="69A13E9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McGeoch, M. A., Genovesi, P., Bellingham, P. J., Costello, M. J., McGrannachan, C., &amp; Sheppard, A. (2016). Prioritizing species, pathways, and sites to achieve conservation targets for biological invasion.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18</w:t>
      </w:r>
      <w:r w:rsidRPr="001523EB">
        <w:rPr>
          <w:rFonts w:ascii="Times New Roman" w:hAnsi="Times New Roman"/>
        </w:rPr>
        <w:t>(2), 299–314. https://doi.org/10.1007/s10530-015-1013-1</w:t>
      </w:r>
    </w:p>
    <w:p w14:paraId="69EBC9B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McGeoch, M. A., &amp; Jetz, W. (2019). Measure and Reduce the Harm Caused by Biological Invasions. </w:t>
      </w:r>
      <w:r w:rsidRPr="001523EB">
        <w:rPr>
          <w:rFonts w:ascii="Times New Roman" w:hAnsi="Times New Roman"/>
          <w:i/>
          <w:iCs/>
        </w:rPr>
        <w:t>One Earth</w:t>
      </w:r>
      <w:r w:rsidRPr="001523EB">
        <w:rPr>
          <w:rFonts w:ascii="Times New Roman" w:hAnsi="Times New Roman"/>
        </w:rPr>
        <w:t xml:space="preserve">, </w:t>
      </w:r>
      <w:r w:rsidRPr="001523EB">
        <w:rPr>
          <w:rFonts w:ascii="Times New Roman" w:hAnsi="Times New Roman"/>
          <w:i/>
          <w:iCs/>
        </w:rPr>
        <w:t>1</w:t>
      </w:r>
      <w:r w:rsidRPr="001523EB">
        <w:rPr>
          <w:rFonts w:ascii="Times New Roman" w:hAnsi="Times New Roman"/>
        </w:rPr>
        <w:t>(2), 171–174. https://doi.org/10.1016/j.oneear.2019.10.003</w:t>
      </w:r>
    </w:p>
    <w:p w14:paraId="15A6C35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McGeoch, M. A., Shaw, J. D., Terauds, A., Lee, J. E., &amp; Chown, S. L. (2015). Monitoring biological invasion across the broader Antarctic: A baseline and indicator framework. </w:t>
      </w:r>
      <w:r w:rsidRPr="001523EB">
        <w:rPr>
          <w:rFonts w:ascii="Times New Roman" w:hAnsi="Times New Roman"/>
          <w:i/>
          <w:iCs/>
        </w:rPr>
        <w:t>Global Environmental Change</w:t>
      </w:r>
      <w:r w:rsidRPr="001523EB">
        <w:rPr>
          <w:rFonts w:ascii="Times New Roman" w:hAnsi="Times New Roman"/>
        </w:rPr>
        <w:t xml:space="preserve">, </w:t>
      </w:r>
      <w:r w:rsidRPr="001523EB">
        <w:rPr>
          <w:rFonts w:ascii="Times New Roman" w:hAnsi="Times New Roman"/>
          <w:i/>
          <w:iCs/>
        </w:rPr>
        <w:t>32</w:t>
      </w:r>
      <w:r w:rsidRPr="001523EB">
        <w:rPr>
          <w:rFonts w:ascii="Times New Roman" w:hAnsi="Times New Roman"/>
        </w:rPr>
        <w:t>, 108–125. https://doi.org/10.1016/j.gloenvcha.2014.12.012</w:t>
      </w:r>
    </w:p>
    <w:p w14:paraId="39A14B4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McGeoch, M. A., Spear, D., Kleynhans, E. J., &amp; Marais, E. (2012). Uncertainty in invasive alien species listing. </w:t>
      </w:r>
      <w:r w:rsidRPr="001523EB">
        <w:rPr>
          <w:rFonts w:ascii="Times New Roman" w:hAnsi="Times New Roman"/>
          <w:i/>
          <w:iCs/>
        </w:rPr>
        <w:t>Ecological Applications</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(3), 959–971. https://doi.org/10.1890/11-1252.1</w:t>
      </w:r>
    </w:p>
    <w:p w14:paraId="7BD1DF1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McGeoch, M. A., &amp; Squires, Z. E. (2015). </w:t>
      </w:r>
      <w:r w:rsidRPr="001523EB">
        <w:rPr>
          <w:rFonts w:ascii="Times New Roman" w:hAnsi="Times New Roman"/>
          <w:i/>
          <w:iCs/>
        </w:rPr>
        <w:t>An essential variable approach to monitoring biological invasions: Guide for countries</w:t>
      </w:r>
      <w:r w:rsidRPr="001523EB">
        <w:rPr>
          <w:rFonts w:ascii="Times New Roman" w:hAnsi="Times New Roman"/>
        </w:rPr>
        <w:t>. GEO BON Technical Series 2. https://www.geobon.org/downloads/biodiversity-monitoring/technical-reports/GEOBON/2015/Monitoring-Biological-Invasions.pdf</w:t>
      </w:r>
    </w:p>
    <w:p w14:paraId="3D68A90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McGrannachan, C. M., Pagad, S., &amp; McGeoch, M. A. (2021). A multiregional assessment of transnational pathways of introduction. </w:t>
      </w:r>
      <w:r w:rsidRPr="001523EB">
        <w:rPr>
          <w:rFonts w:ascii="Times New Roman" w:hAnsi="Times New Roman"/>
          <w:i/>
          <w:iCs/>
        </w:rPr>
        <w:t>NeoBiota</w:t>
      </w:r>
      <w:r w:rsidRPr="001523EB">
        <w:rPr>
          <w:rFonts w:ascii="Times New Roman" w:hAnsi="Times New Roman"/>
        </w:rPr>
        <w:t xml:space="preserve">, </w:t>
      </w:r>
      <w:r w:rsidRPr="001523EB">
        <w:rPr>
          <w:rFonts w:ascii="Times New Roman" w:hAnsi="Times New Roman"/>
          <w:i/>
          <w:iCs/>
        </w:rPr>
        <w:t>64</w:t>
      </w:r>
      <w:r w:rsidRPr="001523EB">
        <w:rPr>
          <w:rFonts w:ascii="Times New Roman" w:hAnsi="Times New Roman"/>
        </w:rPr>
        <w:t>, 43–67. https://doi.org/10.3897/neobiota.64.60642</w:t>
      </w:r>
    </w:p>
    <w:p w14:paraId="732987E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McKiernan, S. (2018). Managing invasive plants in a rural-amenity landscape: The role of social capital and Landcare. </w:t>
      </w:r>
      <w:r w:rsidRPr="001523EB">
        <w:rPr>
          <w:rFonts w:ascii="Times New Roman" w:hAnsi="Times New Roman"/>
          <w:i/>
          <w:iCs/>
        </w:rPr>
        <w:t>Journal of Environmental Planning and Management</w:t>
      </w:r>
      <w:r w:rsidRPr="001523EB">
        <w:rPr>
          <w:rFonts w:ascii="Times New Roman" w:hAnsi="Times New Roman"/>
        </w:rPr>
        <w:t xml:space="preserve">, </w:t>
      </w:r>
      <w:r w:rsidRPr="001523EB">
        <w:rPr>
          <w:rFonts w:ascii="Times New Roman" w:hAnsi="Times New Roman"/>
          <w:i/>
          <w:iCs/>
        </w:rPr>
        <w:t>61</w:t>
      </w:r>
      <w:r w:rsidRPr="001523EB">
        <w:rPr>
          <w:rFonts w:ascii="Times New Roman" w:hAnsi="Times New Roman"/>
        </w:rPr>
        <w:t>(8), 1419–1437. https://doi.org/10.1080/09640568.2017.1351930</w:t>
      </w:r>
    </w:p>
    <w:p w14:paraId="1B5057C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McKinley, D. C., Miller-Rushing, A. J., Ballard, H. L., Bonney, R., Brown, H., Cook-Patton, S. C., Evans, D. M., French, R. A., Parrish, J. K., Phillips, T. B., Ryan, S. F., Shanley, L. A., Shirk, J. L., Stepenuck, K. F., Weltzin, J. F., Wiggins, A., Boyle, O. D., Briggs, R. D., Chapin, S. F., … Soukup, M. A. (2017). Citizen science can improve conservation science, natural resource management, and environmental protection.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208</w:t>
      </w:r>
      <w:r w:rsidRPr="001523EB">
        <w:rPr>
          <w:rFonts w:ascii="Times New Roman" w:hAnsi="Times New Roman"/>
        </w:rPr>
        <w:t>, 15–28. https://doi.org/10.1016/j.biocon.2016.05.015</w:t>
      </w:r>
    </w:p>
    <w:p w14:paraId="74444E9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McLeod, L. J., &amp; Saunders, G. R. (2011). Can legislation improve the effectiveness of fox control in NSW? </w:t>
      </w:r>
      <w:r w:rsidRPr="001523EB">
        <w:rPr>
          <w:rFonts w:ascii="Times New Roman" w:hAnsi="Times New Roman"/>
          <w:i/>
          <w:iCs/>
        </w:rPr>
        <w:t>Australasian Journal of Environmental Management</w:t>
      </w:r>
      <w:r w:rsidRPr="001523EB">
        <w:rPr>
          <w:rFonts w:ascii="Times New Roman" w:hAnsi="Times New Roman"/>
        </w:rPr>
        <w:t xml:space="preserve">, </w:t>
      </w:r>
      <w:r w:rsidRPr="001523EB">
        <w:rPr>
          <w:rFonts w:ascii="Times New Roman" w:hAnsi="Times New Roman"/>
          <w:i/>
          <w:iCs/>
        </w:rPr>
        <w:t>18</w:t>
      </w:r>
      <w:r w:rsidRPr="001523EB">
        <w:rPr>
          <w:rFonts w:ascii="Times New Roman" w:hAnsi="Times New Roman"/>
        </w:rPr>
        <w:t>(4), 248–259. https://doi.org/10.1080/14486563.2011.621409</w:t>
      </w:r>
    </w:p>
    <w:p w14:paraId="7B89281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Mcowen, C. J., Ivory, S., Dixon, M. J. R., Regan, E. C., Obrecht, A., Tittensor, D. P., Teller, A., &amp; Chenery, A. M. (2016). Sufficiency and Suitability of Global Biodiversity Indicators for Monitoring Progress to 2020 Targets. </w:t>
      </w:r>
      <w:r w:rsidRPr="001523EB">
        <w:rPr>
          <w:rFonts w:ascii="Times New Roman" w:hAnsi="Times New Roman"/>
          <w:i/>
          <w:iCs/>
        </w:rPr>
        <w:t>Conservation Letters</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(6), 489–494. https://doi.org/10.1111/conl.12329</w:t>
      </w:r>
    </w:p>
    <w:p w14:paraId="57D3DDC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McQuilton, P., Gonzalez-Beltran, A., Rocca-Serra, P., Thurston, M., Lister, A., Maguire, E., &amp; Sansone, S.-A. (2016). BioSharing: Curated and crowd-sourced metadata standards, databases and data policies in the life sciences. </w:t>
      </w:r>
      <w:r w:rsidRPr="001523EB">
        <w:rPr>
          <w:rFonts w:ascii="Times New Roman" w:hAnsi="Times New Roman"/>
          <w:i/>
          <w:iCs/>
        </w:rPr>
        <w:t>Database</w:t>
      </w:r>
      <w:r w:rsidRPr="001523EB">
        <w:rPr>
          <w:rFonts w:ascii="Times New Roman" w:hAnsi="Times New Roman"/>
        </w:rPr>
        <w:t xml:space="preserve">, </w:t>
      </w:r>
      <w:r w:rsidRPr="001523EB">
        <w:rPr>
          <w:rFonts w:ascii="Times New Roman" w:hAnsi="Times New Roman"/>
          <w:i/>
          <w:iCs/>
        </w:rPr>
        <w:t>2016</w:t>
      </w:r>
      <w:r w:rsidRPr="001523EB">
        <w:rPr>
          <w:rFonts w:ascii="Times New Roman" w:hAnsi="Times New Roman"/>
        </w:rPr>
        <w:t>, baw075. https://doi.org/10.1093/database/baw075</w:t>
      </w:r>
    </w:p>
    <w:p w14:paraId="75F0435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Meadows, D. H. (1999). </w:t>
      </w:r>
      <w:r w:rsidRPr="001523EB">
        <w:rPr>
          <w:rFonts w:ascii="Times New Roman" w:hAnsi="Times New Roman"/>
          <w:i/>
          <w:iCs/>
        </w:rPr>
        <w:t>Leverage points: Places to intervene in a system</w:t>
      </w:r>
      <w:r w:rsidRPr="001523EB">
        <w:rPr>
          <w:rFonts w:ascii="Times New Roman" w:hAnsi="Times New Roman"/>
        </w:rPr>
        <w:t>. The sustainability Institute. https://donellameadows.org/wp-content/userfiles/Leverage_Points.pdf</w:t>
      </w:r>
    </w:p>
    <w:p w14:paraId="1D54E40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MERCOSUR. (2006). </w:t>
      </w:r>
      <w:r w:rsidRPr="001523EB">
        <w:rPr>
          <w:rFonts w:ascii="Times New Roman" w:hAnsi="Times New Roman"/>
          <w:i/>
          <w:iCs/>
        </w:rPr>
        <w:t>Anexo III: Declaración De Los Ministros De Medio Ambiente Sobre Estrategia De Biodiversidad Del Mercosur</w:t>
      </w:r>
      <w:r w:rsidRPr="001523EB">
        <w:rPr>
          <w:rFonts w:ascii="Times New Roman" w:hAnsi="Times New Roman"/>
        </w:rPr>
        <w:t>. https://ambiente.mercosur.int/MD_upload/Archivos/1/File/biblioteca/pdf/Biodiversidad/Estrategia_Biodiversidad_Mercosur.pdf</w:t>
      </w:r>
    </w:p>
    <w:p w14:paraId="5CBBF49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MERCOSUR. (2019). </w:t>
      </w:r>
      <w:r w:rsidRPr="001523EB">
        <w:rPr>
          <w:rFonts w:ascii="Times New Roman" w:hAnsi="Times New Roman"/>
          <w:i/>
          <w:iCs/>
        </w:rPr>
        <w:t>Guidelines For The Development Of A Plan For The Prevention, Monitoring, Control And Mitigation Of Invasive Alien Specie</w:t>
      </w:r>
      <w:r w:rsidRPr="001523EB">
        <w:rPr>
          <w:rFonts w:ascii="Times New Roman" w:hAnsi="Times New Roman"/>
        </w:rPr>
        <w:t>. https://normas.mercosur.int/public/normativas/3769</w:t>
      </w:r>
    </w:p>
    <w:p w14:paraId="31A268B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Messetchkova, I. (2021, November 2). </w:t>
      </w:r>
      <w:r w:rsidRPr="001523EB">
        <w:rPr>
          <w:rFonts w:ascii="Times New Roman" w:hAnsi="Times New Roman"/>
          <w:i/>
          <w:iCs/>
        </w:rPr>
        <w:t>MDB Joint Nature Statement</w:t>
      </w:r>
      <w:r w:rsidRPr="001523EB">
        <w:rPr>
          <w:rFonts w:ascii="Times New Roman" w:hAnsi="Times New Roman"/>
        </w:rPr>
        <w:t>. UN Climate Change Conference (COP26) at the SEC – Glasgow 2021. https://ukcop26.org/mdb-joint-statement/</w:t>
      </w:r>
    </w:p>
    <w:p w14:paraId="3E973E7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Meyerson, L. A., &amp; Simberloff, D. (Eds.). (2020). Special Issue: Early Detection and Rapid Response.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(1). https://link.springer.com/journal/10530/volumes-and-issues/22-1?fbclid=IwAR3cO07H9rnlnalHbCVrxDlu1tvRiWLAFT_BLMjPbhq9mIHzfe2RomI5Rww</w:t>
      </w:r>
    </w:p>
    <w:p w14:paraId="4B44583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Mineur, F., Cook, E. J., Minchin, D., Bohn, K., MacLeod, A., &amp; Maggs, C. A. (2012). Changing coasts: Marine aliens and artificial structures. In R. N. Gibson, R. J. A. Atkinson, J. D. M. Gordon, &amp; R. N. Hughes (Eds.), </w:t>
      </w:r>
      <w:r w:rsidRPr="001523EB">
        <w:rPr>
          <w:rFonts w:ascii="Times New Roman" w:hAnsi="Times New Roman"/>
          <w:i/>
          <w:iCs/>
        </w:rPr>
        <w:t>Oceanography and Marine Biology: An Annual Review</w:t>
      </w:r>
      <w:r w:rsidRPr="001523EB">
        <w:rPr>
          <w:rFonts w:ascii="Times New Roman" w:hAnsi="Times New Roman"/>
        </w:rPr>
        <w:t xml:space="preserve"> (First edition, Vol. 50, pp. 189–233). CRC Press. https://www.taylorfrancis.com/chapters/edit/10.1201/b12157-6/changing-coasts-marine-aliens-arti%C2%8Dcial-structures-fr%C3%A9d%C3%A9ric-mineur-elizabeth-cook-dan-minchin-katrin-bohn-adrian-macleod-christine-maggs?context=ubx&amp;refId=2930e715-4984-4ce8-81b6-66fa5cbd65e9</w:t>
      </w:r>
    </w:p>
    <w:p w14:paraId="17F8E88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Ministério do Meio Ambiente/Secretaria de Biodiversidade. (2018). </w:t>
      </w:r>
      <w:r w:rsidRPr="001523EB">
        <w:rPr>
          <w:rFonts w:ascii="Times New Roman" w:hAnsi="Times New Roman"/>
          <w:i/>
          <w:iCs/>
        </w:rPr>
        <w:t>Comissão Nacional De Biodiversidade Resolução N</w:t>
      </w:r>
      <w:r w:rsidRPr="001523EB">
        <w:rPr>
          <w:rFonts w:ascii="Times New Roman" w:hAnsi="Times New Roman"/>
          <w:i/>
          <w:iCs/>
          <w:vertAlign w:val="superscript"/>
        </w:rPr>
        <w:t>o</w:t>
      </w:r>
      <w:r w:rsidRPr="001523EB">
        <w:rPr>
          <w:rFonts w:ascii="Times New Roman" w:hAnsi="Times New Roman"/>
          <w:i/>
          <w:iCs/>
        </w:rPr>
        <w:t xml:space="preserve"> 7, De 29 De Maio De 2018</w:t>
      </w:r>
      <w:r w:rsidRPr="001523EB">
        <w:rPr>
          <w:rFonts w:ascii="Times New Roman" w:hAnsi="Times New Roman"/>
        </w:rPr>
        <w:t xml:space="preserve"> (p. 69). https://www.gov.br/mma/pt-br/assuntos/biodiversidade/fauna-e-flora/especies-exoticas-invasoras/resconabio072018estratgianacionalparaespciesexticasinvasoras.pdf</w:t>
      </w:r>
    </w:p>
    <w:p w14:paraId="42FE80B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Miranda, R. J., Nunes, J. A. C. C., Creed, J. C., Barros, F., Macieira, R. M., Santos, R. G., Lima, G. V., Pontes, A. V. F., Silva, L. G. F. C., Cordeiro, R. T., Sampaio, C. L. S., Pinto, T. K., Malhado, A. C. M., Ladle, R., &amp; Pereira, P. H. (2020). Brazil policy invites marine invasive species. </w:t>
      </w:r>
      <w:r w:rsidRPr="001523EB">
        <w:rPr>
          <w:rFonts w:ascii="Times New Roman" w:hAnsi="Times New Roman"/>
          <w:i/>
          <w:iCs/>
        </w:rPr>
        <w:t>Science</w:t>
      </w:r>
      <w:r w:rsidRPr="001523EB">
        <w:rPr>
          <w:rFonts w:ascii="Times New Roman" w:hAnsi="Times New Roman"/>
        </w:rPr>
        <w:t xml:space="preserve">, </w:t>
      </w:r>
      <w:r w:rsidRPr="001523EB">
        <w:rPr>
          <w:rFonts w:ascii="Times New Roman" w:hAnsi="Times New Roman"/>
          <w:i/>
          <w:iCs/>
        </w:rPr>
        <w:t>368</w:t>
      </w:r>
      <w:r w:rsidRPr="001523EB">
        <w:rPr>
          <w:rFonts w:ascii="Times New Roman" w:hAnsi="Times New Roman"/>
        </w:rPr>
        <w:t>(6490), 481. https://doi.org/10.1126/science.abb7255</w:t>
      </w:r>
    </w:p>
    <w:p w14:paraId="389D440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Mitchell, P. D., Brown, Z., &amp; McRoberts, N. (2018). Economic issues to consider for gene drives. </w:t>
      </w:r>
      <w:r w:rsidRPr="001523EB">
        <w:rPr>
          <w:rFonts w:ascii="Times New Roman" w:hAnsi="Times New Roman"/>
          <w:i/>
          <w:iCs/>
        </w:rPr>
        <w:t>Journal of Responsible Innovation</w:t>
      </w:r>
      <w:r w:rsidRPr="001523EB">
        <w:rPr>
          <w:rFonts w:ascii="Times New Roman" w:hAnsi="Times New Roman"/>
        </w:rPr>
        <w:t xml:space="preserve">, </w:t>
      </w:r>
      <w:r w:rsidRPr="001523EB">
        <w:rPr>
          <w:rFonts w:ascii="Times New Roman" w:hAnsi="Times New Roman"/>
          <w:i/>
          <w:iCs/>
        </w:rPr>
        <w:t>5</w:t>
      </w:r>
      <w:r w:rsidRPr="001523EB">
        <w:rPr>
          <w:rFonts w:ascii="Times New Roman" w:hAnsi="Times New Roman"/>
        </w:rPr>
        <w:t>(sup1), S180–S202. https://doi.org/10.1080/23299460.2017.1407914</w:t>
      </w:r>
    </w:p>
    <w:p w14:paraId="0448707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Miyanaga, K., &amp; Nakai, K. (2021). Making adaptive governance work in biodiversity conservation: Lessons in invasive alien aquatic plant management in Lake Biwa, Japan.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26</w:t>
      </w:r>
      <w:r w:rsidRPr="001523EB">
        <w:rPr>
          <w:rFonts w:ascii="Times New Roman" w:hAnsi="Times New Roman"/>
        </w:rPr>
        <w:t>(2), 11. https://doi.org/10.5751/ES-12352-260211</w:t>
      </w:r>
    </w:p>
    <w:p w14:paraId="6A0EE1C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Molloy, J. C. (2011). The Open Knowledge Foundation: Open Data Means Better Science. </w:t>
      </w:r>
      <w:r w:rsidRPr="001523EB">
        <w:rPr>
          <w:rFonts w:ascii="Times New Roman" w:hAnsi="Times New Roman"/>
          <w:i/>
          <w:iCs/>
        </w:rPr>
        <w:t>PLoS Biology</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(12), e1001195. https://doi.org/10.1371/journal.pbio.1001195</w:t>
      </w:r>
    </w:p>
    <w:p w14:paraId="57F8DF7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Monaco, A. &amp; IUCN Invasive Species Specialist Group. (2021, August). </w:t>
      </w:r>
      <w:r w:rsidRPr="001523EB">
        <w:rPr>
          <w:rFonts w:ascii="Times New Roman" w:hAnsi="Times New Roman"/>
          <w:i/>
          <w:iCs/>
        </w:rPr>
        <w:t>Guidance Document on E-Commerce and IAS</w:t>
      </w:r>
      <w:r w:rsidRPr="001523EB">
        <w:rPr>
          <w:rFonts w:ascii="Times New Roman" w:hAnsi="Times New Roman"/>
        </w:rPr>
        <w:t>. 41st meeting of Convention on The Conservation of European Wildlife and Natural Habitats, Strasbourg. https://rm.coe.int/inf39e-rev-2021-guidance-document-e-commerce-and-ias/1680a4b7f3</w:t>
      </w:r>
    </w:p>
    <w:p w14:paraId="01A0E2D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Moon, K., Blackman, D. A., &amp; Brewer, T. D. (2015). Understanding and integrating knowledge to improve invasive species management.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17</w:t>
      </w:r>
      <w:r w:rsidRPr="001523EB">
        <w:rPr>
          <w:rFonts w:ascii="Times New Roman" w:hAnsi="Times New Roman"/>
        </w:rPr>
        <w:t>(9), 2675–2689. https://doi.org/10.1007/s10530-015-0904-5</w:t>
      </w:r>
    </w:p>
    <w:p w14:paraId="142A53E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Moon, K., Blackman, D., Brewer, T. D., &amp; Sarre, S. D. (2017). Environmental governance for urgent and uncertain problems.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(3), 785–797. https://doi.org/10.1007/s10530-016-1351-7</w:t>
      </w:r>
    </w:p>
    <w:p w14:paraId="36E2896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Mooney, H. A., &amp; Hobbs, R. J. (2000). Global change and invasive species: Where do we go from here. In H. A. Moone &amp; R. J. Hobbs (Eds.), </w:t>
      </w:r>
      <w:r w:rsidRPr="001523EB">
        <w:rPr>
          <w:rFonts w:ascii="Times New Roman" w:hAnsi="Times New Roman"/>
          <w:i/>
          <w:iCs/>
        </w:rPr>
        <w:t>Invasive species in a changing world</w:t>
      </w:r>
      <w:r w:rsidRPr="001523EB">
        <w:rPr>
          <w:rFonts w:ascii="Times New Roman" w:hAnsi="Times New Roman"/>
        </w:rPr>
        <w:t xml:space="preserve"> (pp. 425–434). Island Press.</w:t>
      </w:r>
    </w:p>
    <w:p w14:paraId="2BBF409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Morrisey, D., Inglis, G., Neil, K., Bradley, A., &amp; Fitridge, I. (2011). Characterization of the marine aquarium trade and management of associated marine pests in Australia, a country with stringent import biosecurity regulation. </w:t>
      </w:r>
      <w:r w:rsidRPr="001523EB">
        <w:rPr>
          <w:rFonts w:ascii="Times New Roman" w:hAnsi="Times New Roman"/>
          <w:i/>
          <w:iCs/>
        </w:rPr>
        <w:t>Environmental Conservation</w:t>
      </w:r>
      <w:r w:rsidRPr="001523EB">
        <w:rPr>
          <w:rFonts w:ascii="Times New Roman" w:hAnsi="Times New Roman"/>
        </w:rPr>
        <w:t xml:space="preserve">, </w:t>
      </w:r>
      <w:r w:rsidRPr="001523EB">
        <w:rPr>
          <w:rFonts w:ascii="Times New Roman" w:hAnsi="Times New Roman"/>
          <w:i/>
          <w:iCs/>
        </w:rPr>
        <w:t>38</w:t>
      </w:r>
      <w:r w:rsidRPr="001523EB">
        <w:rPr>
          <w:rFonts w:ascii="Times New Roman" w:hAnsi="Times New Roman"/>
        </w:rPr>
        <w:t>(1), 89–100. https://doi.org/10.1017/S0376892911000014</w:t>
      </w:r>
    </w:p>
    <w:p w14:paraId="631E2AD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Muller, A., Schader, C., El-Hage Scialabba, N., Brüggemann, J., Isensee, A., Erb, K.-H., Smith, P., Klocke, P., Leiber, F., Stolze, M., &amp; Niggli, U. (2017). Strategies for feeding the world more sustainably with organic agriculture. </w:t>
      </w:r>
      <w:r w:rsidRPr="001523EB">
        <w:rPr>
          <w:rFonts w:ascii="Times New Roman" w:hAnsi="Times New Roman"/>
          <w:i/>
          <w:iCs/>
        </w:rPr>
        <w:t>Nature Communications</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(1), 1290. https://doi.org/10.1038/s41467-017-01410-w</w:t>
      </w:r>
    </w:p>
    <w:p w14:paraId="175F2EB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Muller, S., Power, E. R., Suchet-Pearson, S., Wright, S., &amp; Lloyd, K. (2009). “Quarantine Matters!”: Quotidian Relationships around Quarantine in Australia’s Northern Borderlands. </w:t>
      </w:r>
      <w:r w:rsidRPr="001523EB">
        <w:rPr>
          <w:rFonts w:ascii="Times New Roman" w:hAnsi="Times New Roman"/>
          <w:i/>
          <w:iCs/>
        </w:rPr>
        <w:t>Environment and Planning A: Economy and Space</w:t>
      </w:r>
      <w:r w:rsidRPr="001523EB">
        <w:rPr>
          <w:rFonts w:ascii="Times New Roman" w:hAnsi="Times New Roman"/>
        </w:rPr>
        <w:t xml:space="preserve">, </w:t>
      </w:r>
      <w:r w:rsidRPr="001523EB">
        <w:rPr>
          <w:rFonts w:ascii="Times New Roman" w:hAnsi="Times New Roman"/>
          <w:i/>
          <w:iCs/>
        </w:rPr>
        <w:t>41</w:t>
      </w:r>
      <w:r w:rsidRPr="001523EB">
        <w:rPr>
          <w:rFonts w:ascii="Times New Roman" w:hAnsi="Times New Roman"/>
        </w:rPr>
        <w:t>(4), 780–795. https://doi.org/10.1068/a40196</w:t>
      </w:r>
    </w:p>
    <w:p w14:paraId="3990C2F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Mulligan, S., &amp; Stoett, P. (2000). A Global Bio-Prospecting Regime: Partnership or Piracy? </w:t>
      </w:r>
      <w:r w:rsidRPr="001523EB">
        <w:rPr>
          <w:rFonts w:ascii="Times New Roman" w:hAnsi="Times New Roman"/>
          <w:i/>
          <w:iCs/>
        </w:rPr>
        <w:t>International Journal</w:t>
      </w:r>
      <w:r w:rsidRPr="001523EB">
        <w:rPr>
          <w:rFonts w:ascii="Times New Roman" w:hAnsi="Times New Roman"/>
        </w:rPr>
        <w:t xml:space="preserve">, </w:t>
      </w:r>
      <w:r w:rsidRPr="001523EB">
        <w:rPr>
          <w:rFonts w:ascii="Times New Roman" w:hAnsi="Times New Roman"/>
          <w:i/>
          <w:iCs/>
        </w:rPr>
        <w:t>55</w:t>
      </w:r>
      <w:r w:rsidRPr="001523EB">
        <w:rPr>
          <w:rFonts w:ascii="Times New Roman" w:hAnsi="Times New Roman"/>
        </w:rPr>
        <w:t>(2), 224–246. https://doi.org/10.2307/40203478</w:t>
      </w:r>
    </w:p>
    <w:p w14:paraId="0193F09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Mumba, M., &amp; Thompson, J. R. (2005). Hydrological and ecological impacts of dams on the Kafue Flats floodplain system, southern Zambia. </w:t>
      </w:r>
      <w:r w:rsidRPr="001523EB">
        <w:rPr>
          <w:rFonts w:ascii="Times New Roman" w:hAnsi="Times New Roman"/>
          <w:i/>
          <w:iCs/>
        </w:rPr>
        <w:t>Physics and Chemistry of the Earth, Parts A/B/C</w:t>
      </w:r>
      <w:r w:rsidRPr="001523EB">
        <w:rPr>
          <w:rFonts w:ascii="Times New Roman" w:hAnsi="Times New Roman"/>
        </w:rPr>
        <w:t xml:space="preserve">, </w:t>
      </w:r>
      <w:r w:rsidRPr="001523EB">
        <w:rPr>
          <w:rFonts w:ascii="Times New Roman" w:hAnsi="Times New Roman"/>
          <w:i/>
          <w:iCs/>
        </w:rPr>
        <w:t>30</w:t>
      </w:r>
      <w:r w:rsidRPr="001523EB">
        <w:rPr>
          <w:rFonts w:ascii="Times New Roman" w:hAnsi="Times New Roman"/>
        </w:rPr>
        <w:t>(6–7), 442–447. https://doi.org/10.1016/j.pce.2005.06.009</w:t>
      </w:r>
    </w:p>
    <w:p w14:paraId="2382BF6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Munakamwe, Z., Constantine, A., &amp; McInerney, C. (2018). The Victorian weed spotters: Recruitment and training of citizen scientists. </w:t>
      </w:r>
      <w:r w:rsidRPr="001523EB">
        <w:rPr>
          <w:rFonts w:ascii="Times New Roman" w:hAnsi="Times New Roman"/>
          <w:i/>
          <w:iCs/>
        </w:rPr>
        <w:t>Proceedings of the 21st Australasian Weeds Conference</w:t>
      </w:r>
      <w:r w:rsidRPr="001523EB">
        <w:rPr>
          <w:rFonts w:ascii="Times New Roman" w:hAnsi="Times New Roman"/>
        </w:rPr>
        <w:t>, 9–13. https://caws.org.nz/old-site/awc/2018/awc201811931.pdf</w:t>
      </w:r>
    </w:p>
    <w:p w14:paraId="69F5C2B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Mungi, N. A., Qureshi, Q., &amp; Jhala, Y. V. (2020). Expanding niche and degrading forests: Key to the successful global invasion of </w:t>
      </w:r>
      <w:r w:rsidRPr="001523EB">
        <w:rPr>
          <w:rFonts w:ascii="Times New Roman" w:hAnsi="Times New Roman"/>
          <w:i/>
          <w:iCs/>
        </w:rPr>
        <w:t>Lantana camara</w:t>
      </w:r>
      <w:r w:rsidRPr="001523EB">
        <w:rPr>
          <w:rFonts w:ascii="Times New Roman" w:hAnsi="Times New Roman"/>
        </w:rPr>
        <w:t xml:space="preserve"> (sensu lato). </w:t>
      </w:r>
      <w:r w:rsidRPr="001523EB">
        <w:rPr>
          <w:rFonts w:ascii="Times New Roman" w:hAnsi="Times New Roman"/>
          <w:i/>
          <w:iCs/>
        </w:rPr>
        <w:t>Global Ecology and Conservation</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 e01080. https://doi.org/10.1016/j.gecco.2020.e01080</w:t>
      </w:r>
    </w:p>
    <w:p w14:paraId="143C965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Mungi, N. A., Qureshi, Q., &amp; Jhala, Y. V. (2021). Role of species richness and human impacts in resisting invasive species in tropical forests. </w:t>
      </w:r>
      <w:r w:rsidRPr="001523EB">
        <w:rPr>
          <w:rFonts w:ascii="Times New Roman" w:hAnsi="Times New Roman"/>
          <w:i/>
          <w:iCs/>
        </w:rPr>
        <w:t>Journal of Ecology</w:t>
      </w:r>
      <w:r w:rsidRPr="001523EB">
        <w:rPr>
          <w:rFonts w:ascii="Times New Roman" w:hAnsi="Times New Roman"/>
        </w:rPr>
        <w:t xml:space="preserve">, </w:t>
      </w:r>
      <w:r w:rsidRPr="001523EB">
        <w:rPr>
          <w:rFonts w:ascii="Times New Roman" w:hAnsi="Times New Roman"/>
          <w:i/>
          <w:iCs/>
        </w:rPr>
        <w:t>109</w:t>
      </w:r>
      <w:r w:rsidRPr="001523EB">
        <w:rPr>
          <w:rFonts w:ascii="Times New Roman" w:hAnsi="Times New Roman"/>
        </w:rPr>
        <w:t>(9), 3308–3321. https://doi.org/10.1111/1365-2745.13751</w:t>
      </w:r>
    </w:p>
    <w:p w14:paraId="7360DA0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Muñoz, E. N. (2016). </w:t>
      </w:r>
      <w:r w:rsidRPr="001523EB">
        <w:rPr>
          <w:rFonts w:ascii="Times New Roman" w:hAnsi="Times New Roman"/>
          <w:i/>
          <w:iCs/>
        </w:rPr>
        <w:t>Caulerpa Conquest: A Biological Eradication on the California Coast</w:t>
      </w:r>
      <w:r w:rsidRPr="001523EB">
        <w:rPr>
          <w:rFonts w:ascii="Times New Roman" w:hAnsi="Times New Roman"/>
        </w:rPr>
        <w:t>. Open Books Press.</w:t>
      </w:r>
    </w:p>
    <w:p w14:paraId="6598340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Murphy, S. T., &amp; Cheesman, O. D. (2006). </w:t>
      </w:r>
      <w:r w:rsidRPr="001523EB">
        <w:rPr>
          <w:rFonts w:ascii="Times New Roman" w:hAnsi="Times New Roman"/>
          <w:i/>
          <w:iCs/>
        </w:rPr>
        <w:t>The Aid Trade—International Assistance Programs as Pathways for the Introduction of Invasive Alien Species</w:t>
      </w:r>
      <w:r w:rsidRPr="001523EB">
        <w:rPr>
          <w:rFonts w:ascii="Times New Roman" w:hAnsi="Times New Roman"/>
        </w:rPr>
        <w:t xml:space="preserve"> (Biodiversity Series, p. 50) [A Preliminary Report]. World Bank Environmental Department.</w:t>
      </w:r>
    </w:p>
    <w:p w14:paraId="1B0FC38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MVOTMA, Ministerio de Relaciones Exteriores, &amp; UNDP. (2016). </w:t>
      </w:r>
      <w:r w:rsidRPr="001523EB">
        <w:rPr>
          <w:rFonts w:ascii="Times New Roman" w:hAnsi="Times New Roman"/>
          <w:i/>
          <w:iCs/>
        </w:rPr>
        <w:t>Estrategia Nacional para la Conservación y Uso Sostenible de la Diversidad Biológica del Uruguay 2016-2020</w:t>
      </w:r>
      <w:r w:rsidRPr="001523EB">
        <w:rPr>
          <w:rFonts w:ascii="Times New Roman" w:hAnsi="Times New Roman"/>
        </w:rPr>
        <w:t>. Ministerio de Vivienda, Ordenamiento Territorial y Medio Ambiente.</w:t>
      </w:r>
    </w:p>
    <w:p w14:paraId="46CD28F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NAPRA Network. (2010). Risk assessment scheme for non-native species in Great Britain. </w:t>
      </w:r>
      <w:r w:rsidRPr="001523EB">
        <w:rPr>
          <w:rFonts w:ascii="Times New Roman" w:hAnsi="Times New Roman"/>
          <w:i/>
          <w:iCs/>
        </w:rPr>
        <w:t>Non-Native Species Secretariat</w:t>
      </w:r>
      <w:r w:rsidRPr="001523EB">
        <w:rPr>
          <w:rFonts w:ascii="Times New Roman" w:hAnsi="Times New Roman"/>
        </w:rPr>
        <w:t>.</w:t>
      </w:r>
    </w:p>
    <w:p w14:paraId="47A8C55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Natural Justice. (2022). </w:t>
      </w:r>
      <w:r w:rsidRPr="001523EB">
        <w:rPr>
          <w:rFonts w:ascii="Times New Roman" w:hAnsi="Times New Roman"/>
          <w:i/>
          <w:iCs/>
        </w:rPr>
        <w:t>Biocultural Community Protocols</w:t>
      </w:r>
      <w:r w:rsidRPr="001523EB">
        <w:rPr>
          <w:rFonts w:ascii="Times New Roman" w:hAnsi="Times New Roman"/>
        </w:rPr>
        <w:t>. Natural Justice. https://naturaljustice.org/publication/biocultural-community-protocols/</w:t>
      </w:r>
    </w:p>
    <w:p w14:paraId="30A8B83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Neale, T., &amp; Macdonald, J. M. (2019). Permits to burn: Weeds, slow violence, and the extractive future of northern Australia. </w:t>
      </w:r>
      <w:r w:rsidRPr="001523EB">
        <w:rPr>
          <w:rFonts w:ascii="Times New Roman" w:hAnsi="Times New Roman"/>
          <w:i/>
          <w:iCs/>
        </w:rPr>
        <w:t>Australian Geographer</w:t>
      </w:r>
      <w:r w:rsidRPr="001523EB">
        <w:rPr>
          <w:rFonts w:ascii="Times New Roman" w:hAnsi="Times New Roman"/>
        </w:rPr>
        <w:t xml:space="preserve">, </w:t>
      </w:r>
      <w:r w:rsidRPr="001523EB">
        <w:rPr>
          <w:rFonts w:ascii="Times New Roman" w:hAnsi="Times New Roman"/>
          <w:i/>
          <w:iCs/>
        </w:rPr>
        <w:t>50</w:t>
      </w:r>
      <w:r w:rsidRPr="001523EB">
        <w:rPr>
          <w:rFonts w:ascii="Times New Roman" w:hAnsi="Times New Roman"/>
        </w:rPr>
        <w:t>(4), 417–433. https://doi.org/10.1080/00049182.2019.1686731</w:t>
      </w:r>
    </w:p>
    <w:p w14:paraId="53AFBC4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Nel, J. L., Roux, D. J., Driver, A., Hill, L., Maherry, A. C., Snaddon, K., Petersen, C. R., Smith-Adao, L. B., Van Deventer, H., &amp; Reyers, B. (2016). Knowledge co-production and boundary work to promote implementation of conservation plans.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30</w:t>
      </w:r>
      <w:r w:rsidRPr="001523EB">
        <w:rPr>
          <w:rFonts w:ascii="Times New Roman" w:hAnsi="Times New Roman"/>
        </w:rPr>
        <w:t>(1), 176–188. https://doi.org/10.1111/cobi.12560</w:t>
      </w:r>
    </w:p>
    <w:p w14:paraId="17D675F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Newig, J., Challies, E., Jager, N. W., Kochskaemper, E., &amp; Adzersen, A. (2018). The Environmental Performance of Participatory and Collaborative Governance: A Framework of Causal Mechanisms. </w:t>
      </w:r>
      <w:r w:rsidRPr="001523EB">
        <w:rPr>
          <w:rFonts w:ascii="Times New Roman" w:hAnsi="Times New Roman"/>
          <w:i/>
          <w:iCs/>
        </w:rPr>
        <w:t>Policy Studies Journal</w:t>
      </w:r>
      <w:r w:rsidRPr="001523EB">
        <w:rPr>
          <w:rFonts w:ascii="Times New Roman" w:hAnsi="Times New Roman"/>
        </w:rPr>
        <w:t xml:space="preserve">, </w:t>
      </w:r>
      <w:r w:rsidRPr="001523EB">
        <w:rPr>
          <w:rFonts w:ascii="Times New Roman" w:hAnsi="Times New Roman"/>
          <w:i/>
          <w:iCs/>
        </w:rPr>
        <w:t>46</w:t>
      </w:r>
      <w:r w:rsidRPr="001523EB">
        <w:rPr>
          <w:rFonts w:ascii="Times New Roman" w:hAnsi="Times New Roman"/>
        </w:rPr>
        <w:t>(2), 269–297. https://doi.org/10.1111/psj.12209</w:t>
      </w:r>
    </w:p>
    <w:p w14:paraId="19774DF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Nguyen, V. H. (2007). Vietnam’s catfish and marine shrimp  production: An example of growth and sustainability issues. </w:t>
      </w:r>
      <w:r w:rsidRPr="001523EB">
        <w:rPr>
          <w:rFonts w:ascii="Times New Roman" w:hAnsi="Times New Roman"/>
          <w:i/>
          <w:iCs/>
        </w:rPr>
        <w:t>AQUA Culture Asia Pacific Magazine</w:t>
      </w:r>
      <w:r w:rsidRPr="001523EB">
        <w:rPr>
          <w:rFonts w:ascii="Times New Roman" w:hAnsi="Times New Roman"/>
        </w:rPr>
        <w:t xml:space="preserve">, </w:t>
      </w:r>
      <w:r w:rsidRPr="001523EB">
        <w:rPr>
          <w:rFonts w:ascii="Times New Roman" w:hAnsi="Times New Roman"/>
          <w:i/>
          <w:iCs/>
        </w:rPr>
        <w:t>3</w:t>
      </w:r>
      <w:r w:rsidRPr="001523EB">
        <w:rPr>
          <w:rFonts w:ascii="Times New Roman" w:hAnsi="Times New Roman"/>
        </w:rPr>
        <w:t>(4), 36–38. https://aquaasiapac.com/issue/july-aug-2007/</w:t>
      </w:r>
    </w:p>
    <w:p w14:paraId="10F76F3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Niemiec, R. M., Ardoin, N. M., Wharton, C. B., &amp; Asner, G. P. (2016). Motivating residents to combat invasive species on private lands: Social norms and community reciprocity.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(2), 30. https://doi.org/10.5751/ES-08362-210230</w:t>
      </w:r>
    </w:p>
    <w:p w14:paraId="7F71C94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Niemiec, R. M., Willer, R., Ardoin, N. M., &amp; Brewer, F. K. (2019). Motivating landowners to recruit neighbors for private land conservation. In </w:t>
      </w:r>
      <w:r w:rsidRPr="001523EB">
        <w:rPr>
          <w:rFonts w:ascii="Times New Roman" w:hAnsi="Times New Roman"/>
          <w:i/>
          <w:iCs/>
        </w:rPr>
        <w:t>Conservation Biology</w:t>
      </w:r>
      <w:r w:rsidRPr="001523EB">
        <w:rPr>
          <w:rFonts w:ascii="Times New Roman" w:hAnsi="Times New Roman"/>
        </w:rPr>
        <w:t xml:space="preserve"> (Vol. 33, Issue 4, pp. 930–941). https://doi.org/10.1111/cobi.13294</w:t>
      </w:r>
    </w:p>
    <w:p w14:paraId="4B4362C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NISC. (2008). </w:t>
      </w:r>
      <w:r w:rsidRPr="001523EB">
        <w:rPr>
          <w:rFonts w:ascii="Times New Roman" w:hAnsi="Times New Roman"/>
          <w:i/>
          <w:iCs/>
        </w:rPr>
        <w:t>2008-2012 National Invasive Species Management Plan</w:t>
      </w:r>
      <w:r w:rsidRPr="001523EB">
        <w:rPr>
          <w:rFonts w:ascii="Times New Roman" w:hAnsi="Times New Roman"/>
        </w:rPr>
        <w:t>. National Invasive Species Council. https://www.landcan.org/pdfs/2008-2012%20National%20Invasive%20Species%20Management%20Plan.pdf</w:t>
      </w:r>
    </w:p>
    <w:p w14:paraId="7331A9A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NISC. (2016). </w:t>
      </w:r>
      <w:r w:rsidRPr="001523EB">
        <w:rPr>
          <w:rFonts w:ascii="Times New Roman" w:hAnsi="Times New Roman"/>
          <w:i/>
          <w:iCs/>
        </w:rPr>
        <w:t>Management Plan: 2016–2018</w:t>
      </w:r>
      <w:r w:rsidRPr="001523EB">
        <w:rPr>
          <w:rFonts w:ascii="Times New Roman" w:hAnsi="Times New Roman"/>
        </w:rPr>
        <w:t>. National Invasive Species Council. https://www.doi.gov/sites/doi.gov/files/uploads/2016-2018-nisc-management-plan.pdf</w:t>
      </w:r>
    </w:p>
    <w:p w14:paraId="5345AC4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Niyazov, Y., Vogel, C., Price, R., Lund, B., Judd, D., Akil, A., Mortonson, M., Schwartzman, J., &amp; Shron, M. (2016). Open Access Meets Discoverability: Citations to Articles Posted to Academia.edu.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11</w:t>
      </w:r>
      <w:r w:rsidRPr="001523EB">
        <w:rPr>
          <w:rFonts w:ascii="Times New Roman" w:hAnsi="Times New Roman"/>
        </w:rPr>
        <w:t>(2), e0148257. https://doi.org/10.1371/journal.pone.0148257</w:t>
      </w:r>
    </w:p>
    <w:p w14:paraId="32EF068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Nourani, S. W., Decker, D. J., &amp; Krasny, M. E. (2019). Extension as a Multilevel Bridging Organization: Supporting Networked Environmental Governance. </w:t>
      </w:r>
      <w:r w:rsidRPr="001523EB">
        <w:rPr>
          <w:rFonts w:ascii="Times New Roman" w:hAnsi="Times New Roman"/>
          <w:i/>
          <w:iCs/>
        </w:rPr>
        <w:t>Journal of Extension</w:t>
      </w:r>
      <w:r w:rsidRPr="001523EB">
        <w:rPr>
          <w:rFonts w:ascii="Times New Roman" w:hAnsi="Times New Roman"/>
        </w:rPr>
        <w:t xml:space="preserve">, </w:t>
      </w:r>
      <w:r w:rsidRPr="001523EB">
        <w:rPr>
          <w:rFonts w:ascii="Times New Roman" w:hAnsi="Times New Roman"/>
          <w:i/>
          <w:iCs/>
        </w:rPr>
        <w:t>57</w:t>
      </w:r>
      <w:r w:rsidRPr="001523EB">
        <w:rPr>
          <w:rFonts w:ascii="Times New Roman" w:hAnsi="Times New Roman"/>
        </w:rPr>
        <w:t>(5). https://archives.joe.org/joe/2019october/a2.php</w:t>
      </w:r>
    </w:p>
    <w:p w14:paraId="16D9F74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Nourani, S. W., Krasny, M. E., &amp; Decker, D. J. (2018). Learning and linking for invasive species management.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(3), 29. https://doi.org/10.5751/ES-10327-230329</w:t>
      </w:r>
    </w:p>
    <w:p w14:paraId="42F04C4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Novoa, A., Kaplan, H., Wilson, J. R. U., &amp; Richardson, D. M. (2016). Resolving a Prickly Situation: Involving Stakeholders in Invasive Cactus Management in South Africa. </w:t>
      </w:r>
      <w:r w:rsidRPr="001523EB">
        <w:rPr>
          <w:rFonts w:ascii="Times New Roman" w:hAnsi="Times New Roman"/>
          <w:i/>
          <w:iCs/>
        </w:rPr>
        <w:t>Environmental Management</w:t>
      </w:r>
      <w:r w:rsidRPr="001523EB">
        <w:rPr>
          <w:rFonts w:ascii="Times New Roman" w:hAnsi="Times New Roman"/>
        </w:rPr>
        <w:t xml:space="preserve">, </w:t>
      </w:r>
      <w:r w:rsidRPr="001523EB">
        <w:rPr>
          <w:rFonts w:ascii="Times New Roman" w:hAnsi="Times New Roman"/>
          <w:i/>
          <w:iCs/>
        </w:rPr>
        <w:t>57</w:t>
      </w:r>
      <w:r w:rsidRPr="001523EB">
        <w:rPr>
          <w:rFonts w:ascii="Times New Roman" w:hAnsi="Times New Roman"/>
        </w:rPr>
        <w:t>(5), 998–1008. https://doi.org/10.1007/s00267-015-0645-3</w:t>
      </w:r>
    </w:p>
    <w:p w14:paraId="17AA8EA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Nuñez, M. A., &amp; Amano, T. (2021). Monolingual searches can limit and bias results in global literature reviews. </w:t>
      </w:r>
      <w:r w:rsidRPr="001523EB">
        <w:rPr>
          <w:rFonts w:ascii="Times New Roman" w:hAnsi="Times New Roman"/>
          <w:i/>
          <w:iCs/>
        </w:rPr>
        <w:t>Nature Ecology &amp; Evolution</w:t>
      </w:r>
      <w:r w:rsidRPr="001523EB">
        <w:rPr>
          <w:rFonts w:ascii="Times New Roman" w:hAnsi="Times New Roman"/>
        </w:rPr>
        <w:t xml:space="preserve">, </w:t>
      </w:r>
      <w:r w:rsidRPr="001523EB">
        <w:rPr>
          <w:rFonts w:ascii="Times New Roman" w:hAnsi="Times New Roman"/>
          <w:i/>
          <w:iCs/>
        </w:rPr>
        <w:t>5</w:t>
      </w:r>
      <w:r w:rsidRPr="001523EB">
        <w:rPr>
          <w:rFonts w:ascii="Times New Roman" w:hAnsi="Times New Roman"/>
        </w:rPr>
        <w:t>(3), 264. https://doi.org/10.1038/s41559-020-01369-w</w:t>
      </w:r>
    </w:p>
    <w:p w14:paraId="052EFD6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Nuñez, M. A., Chiuffo, M. C., Seebens, H., Kuebbing, S., McCary, M. A., Lieurance, D., Zhang, B., Simberloff, D., &amp; Meyerson, L. A. (2021). Two decades of data reveal that Biological Invasions needs to increase participation beyond North America, Europe, and Australasia.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24</w:t>
      </w:r>
      <w:r w:rsidRPr="001523EB">
        <w:rPr>
          <w:rFonts w:ascii="Times New Roman" w:hAnsi="Times New Roman"/>
        </w:rPr>
        <w:t>, 333–340. https://doi.org/10.1007/s10530-021-02666-6</w:t>
      </w:r>
    </w:p>
    <w:p w14:paraId="76BCFBE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OECD. (2003). </w:t>
      </w:r>
      <w:r w:rsidRPr="001523EB">
        <w:rPr>
          <w:rFonts w:ascii="Times New Roman" w:hAnsi="Times New Roman"/>
          <w:i/>
          <w:iCs/>
        </w:rPr>
        <w:t>OECD environmental indicators: Development, measurement and use.</w:t>
      </w:r>
      <w:r w:rsidRPr="001523EB">
        <w:rPr>
          <w:rFonts w:ascii="Times New Roman" w:hAnsi="Times New Roman"/>
        </w:rPr>
        <w:t xml:space="preserve"> (OECD Environmental Indicators) [Reference Paper]. Organisation for Economic Co-operation and Development. https://www.oecd.org/env/indicators-modelling-outlooks/24993546.pdf</w:t>
      </w:r>
    </w:p>
    <w:p w14:paraId="4B1823A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OECD. (2007). </w:t>
      </w:r>
      <w:r w:rsidRPr="001523EB">
        <w:rPr>
          <w:rFonts w:ascii="Times New Roman" w:hAnsi="Times New Roman"/>
          <w:i/>
          <w:iCs/>
        </w:rPr>
        <w:t>Subsidy Reform and Sustainable Development: Political Economy Aspects</w:t>
      </w:r>
      <w:r w:rsidRPr="001523EB">
        <w:rPr>
          <w:rFonts w:ascii="Times New Roman" w:hAnsi="Times New Roman"/>
        </w:rPr>
        <w:t>. Organisation for Economic Co-operation and Development. https://www.cbd.int/financial/fiscalenviron/g-subsidyreform-oecd.pdf</w:t>
      </w:r>
    </w:p>
    <w:p w14:paraId="781BD48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OECD. (2017). </w:t>
      </w:r>
      <w:r w:rsidRPr="001523EB">
        <w:rPr>
          <w:rFonts w:ascii="Times New Roman" w:hAnsi="Times New Roman"/>
          <w:i/>
          <w:iCs/>
        </w:rPr>
        <w:t>Towards a G7 target to phase out environmentally harmful subsidies</w:t>
      </w:r>
      <w:r w:rsidRPr="001523EB">
        <w:rPr>
          <w:rFonts w:ascii="Times New Roman" w:hAnsi="Times New Roman"/>
        </w:rPr>
        <w:t>. https://www.minambiente.it/sites/default/files/archivio/allegati/sviluppo_sostenibile/background_paper_4_G7_env_OECD_Towards_G7_target_to_phase_out_EHSs.pdf</w:t>
      </w:r>
    </w:p>
    <w:p w14:paraId="5EB5B86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OECD. (2019). </w:t>
      </w:r>
      <w:r w:rsidRPr="001523EB">
        <w:rPr>
          <w:rFonts w:ascii="Times New Roman" w:hAnsi="Times New Roman"/>
          <w:i/>
          <w:iCs/>
        </w:rPr>
        <w:t>The Post-2020 Biodiversity Framework: Targets, indicators and measurability implications at global and national level</w:t>
      </w:r>
      <w:r w:rsidRPr="001523EB">
        <w:rPr>
          <w:rFonts w:ascii="Times New Roman" w:hAnsi="Times New Roman"/>
        </w:rPr>
        <w:t xml:space="preserve"> [November version]. https://www.oecd.org/environment/resources/biodiversity/report-the-post-2020-biodiversity-framework-targets-indicators-and-measurability-implications-at-global-and-national-level.pdf</w:t>
      </w:r>
    </w:p>
    <w:p w14:paraId="7C70346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OECD. (2020). </w:t>
      </w:r>
      <w:r w:rsidRPr="001523EB">
        <w:rPr>
          <w:rFonts w:ascii="Times New Roman" w:hAnsi="Times New Roman"/>
          <w:i/>
          <w:iCs/>
        </w:rPr>
        <w:t>Trade and the environment—OECD</w:t>
      </w:r>
      <w:r w:rsidRPr="001523EB">
        <w:rPr>
          <w:rFonts w:ascii="Times New Roman" w:hAnsi="Times New Roman"/>
        </w:rPr>
        <w:t>. https://www.oecd.org/trade/topics/trade-and-the-environment/</w:t>
      </w:r>
    </w:p>
    <w:p w14:paraId="7798918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Ojaveer, H., Galil, B. S., Campbell, M. L., Carlton, J. T., Canning-Clode, J., Cook, E. J., Davidson, A. D., Hewitt, C. L., Jelmert, A., Marchini, A., McKenzie, C. H., Minchin, D., Occhipinti-Ambrogi, A., Olenin, S., &amp; Ruiz, G. (2015). Classification of non-indigenous species based </w:t>
      </w:r>
      <w:r w:rsidRPr="001523EB">
        <w:rPr>
          <w:rFonts w:ascii="Times New Roman" w:hAnsi="Times New Roman"/>
        </w:rPr>
        <w:lastRenderedPageBreak/>
        <w:t xml:space="preserve">on their impacts: Considerations for application in marine management. </w:t>
      </w:r>
      <w:r w:rsidRPr="001523EB">
        <w:rPr>
          <w:rFonts w:ascii="Times New Roman" w:hAnsi="Times New Roman"/>
          <w:i/>
          <w:iCs/>
        </w:rPr>
        <w:t>PLoS Biology</w:t>
      </w:r>
      <w:r w:rsidRPr="001523EB">
        <w:rPr>
          <w:rFonts w:ascii="Times New Roman" w:hAnsi="Times New Roman"/>
        </w:rPr>
        <w:t xml:space="preserve">, </w:t>
      </w:r>
      <w:r w:rsidRPr="001523EB">
        <w:rPr>
          <w:rFonts w:ascii="Times New Roman" w:hAnsi="Times New Roman"/>
          <w:i/>
          <w:iCs/>
        </w:rPr>
        <w:t>13</w:t>
      </w:r>
      <w:r w:rsidRPr="001523EB">
        <w:rPr>
          <w:rFonts w:ascii="Times New Roman" w:hAnsi="Times New Roman"/>
        </w:rPr>
        <w:t>(4), e1002130. https://doi.org/10.1371/journal.pbio.1002130</w:t>
      </w:r>
    </w:p>
    <w:p w14:paraId="331447D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Ojaveer, H., Galil, B. S., Carlton, J. T., Alleway, H., Goulletquer, P., Lehtiniemi, M., Marchini, A., Miller, W., Occhipinti-Ambrogi, A., Peharda, M., Ruiz, G. M., Williams, S. L., &amp; Zaiko, A. (2018). Historical baselines in marine bioinvasions: Implications for policy and management.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13</w:t>
      </w:r>
      <w:r w:rsidRPr="001523EB">
        <w:rPr>
          <w:rFonts w:ascii="Times New Roman" w:hAnsi="Times New Roman"/>
        </w:rPr>
        <w:t>(8), e0202383. https://doi.org/10.1371/journal.pone.0202383</w:t>
      </w:r>
    </w:p>
    <w:p w14:paraId="2C15659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Olden, J. D., Poff, N. L., Douglas, M. R., Douglas, M. E., &amp; Fausch, K. D. (2004). Ecological and evolutionary consequences of biotic homogenization. </w:t>
      </w:r>
      <w:r w:rsidRPr="001523EB">
        <w:rPr>
          <w:rFonts w:ascii="Times New Roman" w:hAnsi="Times New Roman"/>
          <w:i/>
          <w:iCs/>
        </w:rPr>
        <w:t>Trends in Ecology &amp; Evolution</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(1), Article 1. https://doi.org/10.1016/j.tree.2003.09.010</w:t>
      </w:r>
    </w:p>
    <w:p w14:paraId="4BE815B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Oldoni, D., Groom, Q., Adriaens, T., Davis, A. J. S., Reyserhove, L., Strubbe, D., Vanderhoeven, S., &amp; Desmet, P. (2020). </w:t>
      </w:r>
      <w:r w:rsidRPr="001523EB">
        <w:rPr>
          <w:rFonts w:ascii="Times New Roman" w:hAnsi="Times New Roman"/>
          <w:i/>
          <w:iCs/>
        </w:rPr>
        <w:t>Occurrence cubes: A new paradigm for aggregating species occurrence data</w:t>
      </w:r>
      <w:r w:rsidRPr="001523EB">
        <w:rPr>
          <w:rFonts w:ascii="Times New Roman" w:hAnsi="Times New Roman"/>
        </w:rPr>
        <w:t xml:space="preserve"> [Preprint]. Ecology. https://doi.org/10.1101/2020.03.23.983601</w:t>
      </w:r>
    </w:p>
    <w:p w14:paraId="2195297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Olenin, S., Narščius, A., Minchin, D., David, M., Galil, B. S., Gollasch, S., Marchini, A., Occhipinti-Ambrogi, A., Ojaveer, H., &amp; Zaiko, A. (2014). Making non-indigenous species information systems practical for management and useful for research: An aquatic perspective.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173</w:t>
      </w:r>
      <w:r w:rsidRPr="001523EB">
        <w:rPr>
          <w:rFonts w:ascii="Times New Roman" w:hAnsi="Times New Roman"/>
        </w:rPr>
        <w:t>, 98–107. https://doi.org/10.1016/j.biocon.2013.07.040</w:t>
      </w:r>
    </w:p>
    <w:p w14:paraId="72640E2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Omondiagbe, H. A., Towns, D. R., Wood, J. K., &amp; Bollard-Breen, B. (2017). Stakeholders and social networks identify potential roles of communities in sustainable management of invasive species.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(10), 3037–3049. https://doi.org/10.1007/s10530-017-1506-1</w:t>
      </w:r>
    </w:p>
    <w:p w14:paraId="03808F5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Open Knowledge Foundation. (2021). </w:t>
      </w:r>
      <w:r w:rsidRPr="001523EB">
        <w:rPr>
          <w:rFonts w:ascii="Times New Roman" w:hAnsi="Times New Roman"/>
          <w:i/>
          <w:iCs/>
        </w:rPr>
        <w:t>Open Definition—Defining Open in Open Data, Open Content and Open Knowledge</w:t>
      </w:r>
      <w:r w:rsidRPr="001523EB">
        <w:rPr>
          <w:rFonts w:ascii="Times New Roman" w:hAnsi="Times New Roman"/>
        </w:rPr>
        <w:t>. https://opendefinition.org/</w:t>
      </w:r>
    </w:p>
    <w:p w14:paraId="7606EE7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Ostrom, E. (2010). Polycentric systems for coping with collective action and global environmental change. </w:t>
      </w:r>
      <w:r w:rsidRPr="001523EB">
        <w:rPr>
          <w:rFonts w:ascii="Times New Roman" w:hAnsi="Times New Roman"/>
          <w:i/>
          <w:iCs/>
        </w:rPr>
        <w:t>Global Environmental Change</w:t>
      </w:r>
      <w:r w:rsidRPr="001523EB">
        <w:rPr>
          <w:rFonts w:ascii="Times New Roman" w:hAnsi="Times New Roman"/>
        </w:rPr>
        <w:t xml:space="preserve">, </w:t>
      </w:r>
      <w:r w:rsidRPr="001523EB">
        <w:rPr>
          <w:rFonts w:ascii="Times New Roman" w:hAnsi="Times New Roman"/>
          <w:i/>
          <w:iCs/>
        </w:rPr>
        <w:t>20</w:t>
      </w:r>
      <w:r w:rsidRPr="001523EB">
        <w:rPr>
          <w:rFonts w:ascii="Times New Roman" w:hAnsi="Times New Roman"/>
        </w:rPr>
        <w:t>(4), 550–557. https://doi.org/10.1016/j.gloenvcha.2010.07.004</w:t>
      </w:r>
    </w:p>
    <w:p w14:paraId="02F7357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Oswalt, S., Oswalt, C., Crall, A., Rabaglia, R., Schwartz, M. K., Kerns, B. K., Poland, T. M., Patel-Weynand, T., Finch, D. M., Ford Miniat, C., Hayes, D. C., &amp; Lopez, V. M. (2021). Inventory and Monitoring of Invasive Species. In </w:t>
      </w:r>
      <w:r w:rsidRPr="001523EB">
        <w:rPr>
          <w:rFonts w:ascii="Times New Roman" w:hAnsi="Times New Roman"/>
          <w:i/>
          <w:iCs/>
        </w:rPr>
        <w:t>Invasive Species in Forests and Rangelands of the United States: A Comprehensive Science Synthesis for the United States Forest Sector</w:t>
      </w:r>
      <w:r w:rsidRPr="001523EB">
        <w:rPr>
          <w:rFonts w:ascii="Times New Roman" w:hAnsi="Times New Roman"/>
        </w:rPr>
        <w:t xml:space="preserve"> (pp. 231–242). Springer International Publishing. https://doi.org/10.1007/978-3-030-45367-1_10</w:t>
      </w:r>
    </w:p>
    <w:p w14:paraId="60CB790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Outhwaite, O. (2010). The International Legal Framework For Biosecurity And The Challenges Ahead. </w:t>
      </w:r>
      <w:r w:rsidRPr="001523EB">
        <w:rPr>
          <w:rFonts w:ascii="Times New Roman" w:hAnsi="Times New Roman"/>
          <w:i/>
          <w:iCs/>
        </w:rPr>
        <w:t>Review of European Community &amp; International Environmental Law</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(2), 207–226. https://doi.org/10.1111/j.1467-9388.2010.00678.x</w:t>
      </w:r>
    </w:p>
    <w:p w14:paraId="78EF47C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Outhwaite, O. (2013). Legal frameworks for biosecurity. In A. Dobson, K. Barker, &amp; S. L. Taylor (Eds.), </w:t>
      </w:r>
      <w:r w:rsidRPr="001523EB">
        <w:rPr>
          <w:rFonts w:ascii="Times New Roman" w:hAnsi="Times New Roman"/>
          <w:i/>
          <w:iCs/>
        </w:rPr>
        <w:t>Biosecurity: The Socio-Politics of Invasive Species and Infectious Diseases</w:t>
      </w:r>
      <w:r w:rsidRPr="001523EB">
        <w:rPr>
          <w:rFonts w:ascii="Times New Roman" w:hAnsi="Times New Roman"/>
        </w:rPr>
        <w:t xml:space="preserve"> (pp. 89–104). Routledge.</w:t>
      </w:r>
    </w:p>
    <w:p w14:paraId="0EA28C2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Outhwaite, O. (2017). Neither Fish, nor Fowl: Honeybees and the Parameters of Current Legal Frameworks for Animals, Wildlife and Biodiversity. </w:t>
      </w:r>
      <w:r w:rsidRPr="001523EB">
        <w:rPr>
          <w:rFonts w:ascii="Times New Roman" w:hAnsi="Times New Roman"/>
          <w:i/>
          <w:iCs/>
        </w:rPr>
        <w:t>Journal of Environmental Law</w:t>
      </w:r>
      <w:r w:rsidRPr="001523EB">
        <w:rPr>
          <w:rFonts w:ascii="Times New Roman" w:hAnsi="Times New Roman"/>
        </w:rPr>
        <w:t xml:space="preserve">, </w:t>
      </w:r>
      <w:r w:rsidRPr="001523EB">
        <w:rPr>
          <w:rFonts w:ascii="Times New Roman" w:hAnsi="Times New Roman"/>
          <w:i/>
          <w:iCs/>
        </w:rPr>
        <w:t>29</w:t>
      </w:r>
      <w:r w:rsidRPr="001523EB">
        <w:rPr>
          <w:rFonts w:ascii="Times New Roman" w:hAnsi="Times New Roman"/>
        </w:rPr>
        <w:t>(2), 317–341. https://doi.org/10.1093/jel/eqx005</w:t>
      </w:r>
    </w:p>
    <w:p w14:paraId="0CE726E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Outhwaite, O. (2018). Biosecurity, invasive species and the law. In C. R. McManis &amp; B. Ong (Eds.), </w:t>
      </w:r>
      <w:r w:rsidRPr="001523EB">
        <w:rPr>
          <w:rFonts w:ascii="Times New Roman" w:hAnsi="Times New Roman"/>
          <w:i/>
          <w:iCs/>
        </w:rPr>
        <w:t>Routledge handbook of biodiversity and the law</w:t>
      </w:r>
      <w:r w:rsidRPr="001523EB">
        <w:rPr>
          <w:rFonts w:ascii="Times New Roman" w:hAnsi="Times New Roman"/>
        </w:rPr>
        <w:t xml:space="preserve"> (1st edition., pp. 83–97). Routledge. https://www.taylorfrancis.com/chapters/edit/10.4324/9781315530857-6/biosecurity-invasive-species-law-opi-outhwaite</w:t>
      </w:r>
    </w:p>
    <w:p w14:paraId="1ACC665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Packer, J. G., Meyerson, L. A., Richardson, D. M., Brundu, G., Allen, W. J., Bhattarai, G. P., Brix, H., Canavan, S., Castiglione, S., Cicatelli, A., Čuda, J., Cronin, J. T., Eller, F., Guarino, F., Guo, W.-H., Guo, W.-Y., Guo, X., Hierro, J. L., Lambertini, C., … Pyšek, P. (2017). Global networks for invasion science: Benefits, challenges and guidelines.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(4), 1081–1096. https://doi.org/10.1007/s10530-016-1302-3</w:t>
      </w:r>
    </w:p>
    <w:p w14:paraId="2E7F5CE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Padilla, D. K., &amp; Williams, S. L. (2004). Beyond ballast water: Aquarium and ornamental trades as sources of invasive species in aquatic ecosystems. </w:t>
      </w:r>
      <w:r w:rsidRPr="001523EB">
        <w:rPr>
          <w:rFonts w:ascii="Times New Roman" w:hAnsi="Times New Roman"/>
          <w:i/>
          <w:iCs/>
        </w:rPr>
        <w:t xml:space="preserve">Frontiers in Ecology and the </w:t>
      </w:r>
      <w:r w:rsidRPr="001523EB">
        <w:rPr>
          <w:rFonts w:ascii="Times New Roman" w:hAnsi="Times New Roman"/>
          <w:i/>
          <w:iCs/>
        </w:rPr>
        <w:lastRenderedPageBreak/>
        <w:t>Environment</w:t>
      </w:r>
      <w:r w:rsidRPr="001523EB">
        <w:rPr>
          <w:rFonts w:ascii="Times New Roman" w:hAnsi="Times New Roman"/>
        </w:rPr>
        <w:t xml:space="preserve">, </w:t>
      </w:r>
      <w:r w:rsidRPr="001523EB">
        <w:rPr>
          <w:rFonts w:ascii="Times New Roman" w:hAnsi="Times New Roman"/>
          <w:i/>
          <w:iCs/>
        </w:rPr>
        <w:t>2</w:t>
      </w:r>
      <w:r w:rsidRPr="001523EB">
        <w:rPr>
          <w:rFonts w:ascii="Times New Roman" w:hAnsi="Times New Roman"/>
        </w:rPr>
        <w:t>(3), 131–138. https://doi.org/10.1890/1540-9295(2004)002[0131:BBWAAO]2.0.CO;2</w:t>
      </w:r>
    </w:p>
    <w:p w14:paraId="671B7AA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Padt, F., &amp; Arts, B. (2014). Concepts of scale. In F. Padt, P. Opdam, N. Polman, &amp; C. Termeer (Eds.), </w:t>
      </w:r>
      <w:r w:rsidRPr="001523EB">
        <w:rPr>
          <w:rFonts w:ascii="Times New Roman" w:hAnsi="Times New Roman"/>
          <w:i/>
          <w:iCs/>
        </w:rPr>
        <w:t>Scale-sensitive governance of the environment</w:t>
      </w:r>
      <w:r w:rsidRPr="001523EB">
        <w:rPr>
          <w:rFonts w:ascii="Times New Roman" w:hAnsi="Times New Roman"/>
        </w:rPr>
        <w:t xml:space="preserve"> (pp. 1–13). John Wiley &amp; Sons. https://doi.org/10.1002/9781118567135.ch1</w:t>
      </w:r>
    </w:p>
    <w:p w14:paraId="243C709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Padt, F., Opdam, P. F. M., Polman, N. B. P., &amp; Termeer, C. J. A. M. (Eds.). (2014). </w:t>
      </w:r>
      <w:r w:rsidRPr="001523EB">
        <w:rPr>
          <w:rFonts w:ascii="Times New Roman" w:hAnsi="Times New Roman"/>
          <w:i/>
          <w:iCs/>
        </w:rPr>
        <w:t>Scale-sensitive governance of the environment</w:t>
      </w:r>
      <w:r w:rsidRPr="001523EB">
        <w:rPr>
          <w:rFonts w:ascii="Times New Roman" w:hAnsi="Times New Roman"/>
        </w:rPr>
        <w:t>. John Wiley &amp; Sons. https://doi.org/10.1002/9781118567135</w:t>
      </w:r>
    </w:p>
    <w:p w14:paraId="3DB8459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Pagad, S., Affleck, S., &amp; McGeoch, M. A. (2020). </w:t>
      </w:r>
      <w:r w:rsidRPr="001523EB">
        <w:rPr>
          <w:rFonts w:ascii="Times New Roman" w:hAnsi="Times New Roman"/>
          <w:i/>
          <w:iCs/>
        </w:rPr>
        <w:t>International Adoption of Invasive Alien Species Policy</w:t>
      </w:r>
      <w:r w:rsidRPr="001523EB">
        <w:rPr>
          <w:rFonts w:ascii="Times New Roman" w:hAnsi="Times New Roman"/>
        </w:rPr>
        <w:t xml:space="preserve"> (p. 3420679 Bytes). La Trobe. https://doi.org/10.26181/5F7EA2D538147</w:t>
      </w:r>
    </w:p>
    <w:p w14:paraId="6152B1E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Pagad, S., Bisset, S., Genovesi, P., Groom, Q., Hirsch, T., Jetz, W., Ranipeta, A., Schigel, D., Sica, Y. V., &amp; McGeoch, M. A. (2022). Country Compendium of the Global Register of Introduced and Invasive Species. </w:t>
      </w:r>
      <w:r w:rsidRPr="001523EB">
        <w:rPr>
          <w:rFonts w:ascii="Times New Roman" w:hAnsi="Times New Roman"/>
          <w:i/>
          <w:iCs/>
        </w:rPr>
        <w:t>Scientific Data</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(1), 391. https://doi.org/10.1038/s41597-022-01514-z</w:t>
      </w:r>
    </w:p>
    <w:p w14:paraId="3C7FFB6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Pagad, S., Genovesi, P., Carnevali, L., Scalera, R., &amp; Clout, M. (2015). IUCN SSC Invasive Species Specialist Group: Invasive alien species information management supporting practitioners, policy makers and decision takers.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6</w:t>
      </w:r>
      <w:r w:rsidRPr="001523EB">
        <w:rPr>
          <w:rFonts w:ascii="Times New Roman" w:hAnsi="Times New Roman"/>
        </w:rPr>
        <w:t>(2), 127–135. https://doi.org/10.3391/mbi.2015.6.2.03</w:t>
      </w:r>
    </w:p>
    <w:p w14:paraId="14DB99D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Pagad, S., Genovesi, P., Carnevali, L., Schigel, D., &amp; McGeoch, M. A. (2018). Introducing the Global Register of Introduced and Invasive Species. </w:t>
      </w:r>
      <w:r w:rsidRPr="001523EB">
        <w:rPr>
          <w:rFonts w:ascii="Times New Roman" w:hAnsi="Times New Roman"/>
          <w:i/>
          <w:iCs/>
        </w:rPr>
        <w:t>Scientific Data</w:t>
      </w:r>
      <w:r w:rsidRPr="001523EB">
        <w:rPr>
          <w:rFonts w:ascii="Times New Roman" w:hAnsi="Times New Roman"/>
        </w:rPr>
        <w:t xml:space="preserve">, </w:t>
      </w:r>
      <w:r w:rsidRPr="001523EB">
        <w:rPr>
          <w:rFonts w:ascii="Times New Roman" w:hAnsi="Times New Roman"/>
          <w:i/>
          <w:iCs/>
        </w:rPr>
        <w:t>5</w:t>
      </w:r>
      <w:r w:rsidRPr="001523EB">
        <w:rPr>
          <w:rFonts w:ascii="Times New Roman" w:hAnsi="Times New Roman"/>
        </w:rPr>
        <w:t>(1), 170202. https://doi.org/10.1038/sdata.2017.202</w:t>
      </w:r>
    </w:p>
    <w:p w14:paraId="47AACD7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Paini, D. R., Sheppard, A. W., Cook, D. C., De Barro, P. J., Worner, S. P., &amp; Thomas, M. B. (2016). Global threat to agriculture from invasive species. </w:t>
      </w:r>
      <w:r w:rsidRPr="001523EB">
        <w:rPr>
          <w:rFonts w:ascii="Times New Roman" w:hAnsi="Times New Roman"/>
          <w:i/>
          <w:iCs/>
        </w:rPr>
        <w:t>Proceedings of the National Academy of Sciences of the United States of America</w:t>
      </w:r>
      <w:r w:rsidRPr="001523EB">
        <w:rPr>
          <w:rFonts w:ascii="Times New Roman" w:hAnsi="Times New Roman"/>
        </w:rPr>
        <w:t xml:space="preserve">, </w:t>
      </w:r>
      <w:r w:rsidRPr="001523EB">
        <w:rPr>
          <w:rFonts w:ascii="Times New Roman" w:hAnsi="Times New Roman"/>
          <w:i/>
          <w:iCs/>
        </w:rPr>
        <w:t>113</w:t>
      </w:r>
      <w:r w:rsidRPr="001523EB">
        <w:rPr>
          <w:rFonts w:ascii="Times New Roman" w:hAnsi="Times New Roman"/>
        </w:rPr>
        <w:t>(27), 7575–7579. https://doi.org/10.1073/pnas.1602205113</w:t>
      </w:r>
    </w:p>
    <w:p w14:paraId="7E9A073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Palacios, X. F. (1997). Contribution to the estimation of countries’ interdependence in the area of plant genetic resources. </w:t>
      </w:r>
      <w:r w:rsidRPr="001523EB">
        <w:rPr>
          <w:rFonts w:ascii="Times New Roman" w:hAnsi="Times New Roman"/>
          <w:i/>
          <w:iCs/>
        </w:rPr>
        <w:t>Comision de Recursos Geneticos Para La Alimentacion y La Agricultura. Reunion Extraordinaria. 4, Rome (Italy), 1-5 Dec 1997</w:t>
      </w:r>
      <w:r w:rsidRPr="001523EB">
        <w:rPr>
          <w:rFonts w:ascii="Times New Roman" w:hAnsi="Times New Roman"/>
        </w:rPr>
        <w:t>.</w:t>
      </w:r>
    </w:p>
    <w:p w14:paraId="76134B1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Palmer, J. R. B., Oltra, A., Collantes, F., Delgado, J. A., Lucientes, J., Delacour, S., Bengoa, M., Eritja, R., &amp; Bartumeus, F. (2017). Citizen science provides a reliable and scalable tool to track disease-carrying mosquitoes. </w:t>
      </w:r>
      <w:r w:rsidRPr="001523EB">
        <w:rPr>
          <w:rFonts w:ascii="Times New Roman" w:hAnsi="Times New Roman"/>
          <w:i/>
          <w:iCs/>
        </w:rPr>
        <w:t>Nature Communications</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(1), 916. https://doi.org/10.1038/s41467-017-00914-9</w:t>
      </w:r>
    </w:p>
    <w:p w14:paraId="5D341B6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Paola, M. di, &amp; Kravetz, D. (2004). Invasive alien species: Legal and institutional framework in Argentina. </w:t>
      </w:r>
      <w:r w:rsidRPr="001523EB">
        <w:rPr>
          <w:rFonts w:ascii="Times New Roman" w:hAnsi="Times New Roman"/>
          <w:i/>
          <w:iCs/>
        </w:rPr>
        <w:t>Environmental Law Institute</w:t>
      </w:r>
      <w:r w:rsidRPr="001523EB">
        <w:rPr>
          <w:rFonts w:ascii="Times New Roman" w:hAnsi="Times New Roman"/>
        </w:rPr>
        <w:t>, 71–87. https://www.ecolex.org/details/literature/invasive-alien-species-legal-and-institutional-framework-in-argentina-ana-072038/</w:t>
      </w:r>
    </w:p>
    <w:p w14:paraId="330C0FD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Pasiecznik, N. (1999). Prosopis-pest or providence, weed or wonder tree? </w:t>
      </w:r>
      <w:r w:rsidRPr="001523EB">
        <w:rPr>
          <w:rFonts w:ascii="Times New Roman" w:hAnsi="Times New Roman"/>
          <w:i/>
          <w:iCs/>
        </w:rPr>
        <w:t>European Tropical Forest Research Network Newsletter</w:t>
      </w:r>
      <w:r w:rsidRPr="001523EB">
        <w:rPr>
          <w:rFonts w:ascii="Times New Roman" w:hAnsi="Times New Roman"/>
        </w:rPr>
        <w:t xml:space="preserve">, </w:t>
      </w:r>
      <w:r w:rsidRPr="001523EB">
        <w:rPr>
          <w:rFonts w:ascii="Times New Roman" w:hAnsi="Times New Roman"/>
          <w:i/>
          <w:iCs/>
        </w:rPr>
        <w:t>28</w:t>
      </w:r>
      <w:r w:rsidRPr="001523EB">
        <w:rPr>
          <w:rFonts w:ascii="Times New Roman" w:hAnsi="Times New Roman"/>
        </w:rPr>
        <w:t>, 12–14. https://agris.fao.org/agris-search/search.do?recordID=GB2012108487</w:t>
      </w:r>
    </w:p>
    <w:p w14:paraId="70C97C2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Patterson, J. J., Thaler, T., Hoffmann, M., Hughes, S., Oels, A., Chu, E., Mert, A., Huitema, D., Burch, S., &amp; Jordan, A. (2018). Political feasibility of 1.5 C societal transformations: The role of social justice. </w:t>
      </w:r>
      <w:r w:rsidRPr="001523EB">
        <w:rPr>
          <w:rFonts w:ascii="Times New Roman" w:hAnsi="Times New Roman"/>
          <w:i/>
          <w:iCs/>
        </w:rPr>
        <w:t>Current Opinion in Environmental Sustainability</w:t>
      </w:r>
      <w:r w:rsidRPr="001523EB">
        <w:rPr>
          <w:rFonts w:ascii="Times New Roman" w:hAnsi="Times New Roman"/>
        </w:rPr>
        <w:t xml:space="preserve">, </w:t>
      </w:r>
      <w:r w:rsidRPr="001523EB">
        <w:rPr>
          <w:rFonts w:ascii="Times New Roman" w:hAnsi="Times New Roman"/>
          <w:i/>
          <w:iCs/>
        </w:rPr>
        <w:t>31</w:t>
      </w:r>
      <w:r w:rsidRPr="001523EB">
        <w:rPr>
          <w:rFonts w:ascii="Times New Roman" w:hAnsi="Times New Roman"/>
        </w:rPr>
        <w:t>, 1–9. https://doi.org/10.1016/j.cosust.2017.11.002</w:t>
      </w:r>
    </w:p>
    <w:p w14:paraId="7CABFEF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Pauchard, A., Quiroz, C., García, R., Anderson, C. B., &amp; Arroyo, M. T. K. (2011). Invasiones biológicas en América Latina y el Caribe: Tendencias en investigación para la conservación. In </w:t>
      </w:r>
      <w:r w:rsidRPr="001523EB">
        <w:rPr>
          <w:rFonts w:ascii="Times New Roman" w:hAnsi="Times New Roman"/>
          <w:i/>
          <w:iCs/>
        </w:rPr>
        <w:t>Conservación Biológica: Perspectivas desde América Latina</w:t>
      </w:r>
      <w:r w:rsidRPr="001523EB">
        <w:rPr>
          <w:rFonts w:ascii="Times New Roman" w:hAnsi="Times New Roman"/>
        </w:rPr>
        <w:t xml:space="preserve"> (p. 17). Editorial Universitaria.</w:t>
      </w:r>
    </w:p>
    <w:p w14:paraId="6D602E4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Pecl, G. T., Ogier, E., Jennings, S., van Putten, I., Crawford, C., Fogarty, H., Frusher, S., Hobday, A. J., Keane, J., Lee, E., MacLeod, C., Mundy, C., Stuart-Smith, J., &amp; Tracey, S. (2019). Autonomous adaptation to climate-driven change in marine biodiversity in a global marine hotspot. </w:t>
      </w:r>
      <w:r w:rsidRPr="001523EB">
        <w:rPr>
          <w:rFonts w:ascii="Times New Roman" w:hAnsi="Times New Roman"/>
          <w:i/>
          <w:iCs/>
        </w:rPr>
        <w:t>Ambio</w:t>
      </w:r>
      <w:r w:rsidRPr="001523EB">
        <w:rPr>
          <w:rFonts w:ascii="Times New Roman" w:hAnsi="Times New Roman"/>
        </w:rPr>
        <w:t xml:space="preserve">, </w:t>
      </w:r>
      <w:r w:rsidRPr="001523EB">
        <w:rPr>
          <w:rFonts w:ascii="Times New Roman" w:hAnsi="Times New Roman"/>
          <w:i/>
          <w:iCs/>
        </w:rPr>
        <w:t>48</w:t>
      </w:r>
      <w:r w:rsidRPr="001523EB">
        <w:rPr>
          <w:rFonts w:ascii="Times New Roman" w:hAnsi="Times New Roman"/>
        </w:rPr>
        <w:t>(12), 1498–1515. https://doi.org/10.1007/s13280-019-01186-x</w:t>
      </w:r>
    </w:p>
    <w:p w14:paraId="1DDB513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Peltzer, D. A., Bellingham, P. J., Dickie, I. A., Houliston, G., Hulme, P. E., Lyver, P. O., McGlone, M., Richardson, S. J., &amp; Wood, J. (2019). Scale and complexity implications of making New Zealand predator-free by 2050. </w:t>
      </w:r>
      <w:r w:rsidRPr="001523EB">
        <w:rPr>
          <w:rFonts w:ascii="Times New Roman" w:hAnsi="Times New Roman"/>
          <w:i/>
          <w:iCs/>
        </w:rPr>
        <w:t>Journal of the Royal Society of New Zealand</w:t>
      </w:r>
      <w:r w:rsidRPr="001523EB">
        <w:rPr>
          <w:rFonts w:ascii="Times New Roman" w:hAnsi="Times New Roman"/>
        </w:rPr>
        <w:t xml:space="preserve">, </w:t>
      </w:r>
      <w:r w:rsidRPr="001523EB">
        <w:rPr>
          <w:rFonts w:ascii="Times New Roman" w:hAnsi="Times New Roman"/>
          <w:i/>
          <w:iCs/>
        </w:rPr>
        <w:t>49</w:t>
      </w:r>
      <w:r w:rsidRPr="001523EB">
        <w:rPr>
          <w:rFonts w:ascii="Times New Roman" w:hAnsi="Times New Roman"/>
        </w:rPr>
        <w:t>(3), 412–439. https://doi.org/10.1080/03036758.2019.1653940</w:t>
      </w:r>
    </w:p>
    <w:p w14:paraId="01C6E66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Pereira, H. M., Ferrier, S., Walters, M., Geller, G. N., Jongman, R. H. G., Scholes, R. J., Bruford, M. W., Brummitt, N., Butchart, S. H. M., Cardoso, A. C., Coops, N. C., Dulloo, E., Faith, D. P., Freyhof, J., Gregory, R. D., Heip, C., Hoft, R., Hurtt, G., Jetz, W., … Wegmann, M. (2013). Essential Biodiversity Variables. </w:t>
      </w:r>
      <w:r w:rsidRPr="001523EB">
        <w:rPr>
          <w:rFonts w:ascii="Times New Roman" w:hAnsi="Times New Roman"/>
          <w:i/>
          <w:iCs/>
        </w:rPr>
        <w:t>Science</w:t>
      </w:r>
      <w:r w:rsidRPr="001523EB">
        <w:rPr>
          <w:rFonts w:ascii="Times New Roman" w:hAnsi="Times New Roman"/>
        </w:rPr>
        <w:t xml:space="preserve">, </w:t>
      </w:r>
      <w:r w:rsidRPr="001523EB">
        <w:rPr>
          <w:rFonts w:ascii="Times New Roman" w:hAnsi="Times New Roman"/>
          <w:i/>
          <w:iCs/>
        </w:rPr>
        <w:t>339</w:t>
      </w:r>
      <w:r w:rsidRPr="001523EB">
        <w:rPr>
          <w:rFonts w:ascii="Times New Roman" w:hAnsi="Times New Roman"/>
        </w:rPr>
        <w:t>(6117), 277–278. https://doi.org/10.1126/science.1229931</w:t>
      </w:r>
    </w:p>
    <w:p w14:paraId="46828F5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Pérez, J. E., Alfonsi, C., Nirchio, M., Muñoz, C., &amp; Gómez, J. A. (2003). The introduction of exotic species in aquaculture: A solution or part of the problem? </w:t>
      </w:r>
      <w:r w:rsidRPr="001523EB">
        <w:rPr>
          <w:rFonts w:ascii="Times New Roman" w:hAnsi="Times New Roman"/>
          <w:i/>
          <w:iCs/>
        </w:rPr>
        <w:t>Interciencia</w:t>
      </w:r>
      <w:r w:rsidRPr="001523EB">
        <w:rPr>
          <w:rFonts w:ascii="Times New Roman" w:hAnsi="Times New Roman"/>
        </w:rPr>
        <w:t xml:space="preserve">, </w:t>
      </w:r>
      <w:r w:rsidRPr="001523EB">
        <w:rPr>
          <w:rFonts w:ascii="Times New Roman" w:hAnsi="Times New Roman"/>
          <w:i/>
          <w:iCs/>
        </w:rPr>
        <w:t>28</w:t>
      </w:r>
      <w:r w:rsidRPr="001523EB">
        <w:rPr>
          <w:rFonts w:ascii="Times New Roman" w:hAnsi="Times New Roman"/>
        </w:rPr>
        <w:t>(4), 234–238. https://www.researchgate.net/publication/233808881_The_introduction_of_exotic_species_in_aquaculture_A_solution_or_part_of_the_problem</w:t>
      </w:r>
    </w:p>
    <w:p w14:paraId="19C272E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Perrings, C., Burgiel, S., Lonsdale, M., Mooney, H., &amp; Williamson, M. (2010). International cooperation in the solution to trade-related invasive species risks. </w:t>
      </w:r>
      <w:r w:rsidRPr="001523EB">
        <w:rPr>
          <w:rFonts w:ascii="Times New Roman" w:hAnsi="Times New Roman"/>
          <w:i/>
          <w:iCs/>
        </w:rPr>
        <w:t>Annals of the New York Academy of Sciences</w:t>
      </w:r>
      <w:r w:rsidRPr="001523EB">
        <w:rPr>
          <w:rFonts w:ascii="Times New Roman" w:hAnsi="Times New Roman"/>
        </w:rPr>
        <w:t xml:space="preserve">, </w:t>
      </w:r>
      <w:r w:rsidRPr="001523EB">
        <w:rPr>
          <w:rFonts w:ascii="Times New Roman" w:hAnsi="Times New Roman"/>
          <w:i/>
          <w:iCs/>
        </w:rPr>
        <w:t>1195</w:t>
      </w:r>
      <w:r w:rsidRPr="001523EB">
        <w:rPr>
          <w:rFonts w:ascii="Times New Roman" w:hAnsi="Times New Roman"/>
        </w:rPr>
        <w:t>(1), 198–212. https://doi.org/10.1111/j.1749-6632.2010.05453.x</w:t>
      </w:r>
    </w:p>
    <w:p w14:paraId="53BEAE0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Perrings, C., Williamson, M., Barbier, E. B., Delfino, D., Dalmazzone, S., Shogren, J., Simmons, P., &amp; Watkinson, A. (2002). Biological Invasion Risks and the Public Good: An Economic Perspective. </w:t>
      </w:r>
      <w:r w:rsidRPr="001523EB">
        <w:rPr>
          <w:rFonts w:ascii="Times New Roman" w:hAnsi="Times New Roman"/>
          <w:i/>
          <w:iCs/>
        </w:rPr>
        <w:t>Conservation Ecology</w:t>
      </w:r>
      <w:r w:rsidRPr="001523EB">
        <w:rPr>
          <w:rFonts w:ascii="Times New Roman" w:hAnsi="Times New Roman"/>
        </w:rPr>
        <w:t xml:space="preserve">, </w:t>
      </w:r>
      <w:r w:rsidRPr="001523EB">
        <w:rPr>
          <w:rFonts w:ascii="Times New Roman" w:hAnsi="Times New Roman"/>
          <w:i/>
          <w:iCs/>
        </w:rPr>
        <w:t>6</w:t>
      </w:r>
      <w:r w:rsidRPr="001523EB">
        <w:rPr>
          <w:rFonts w:ascii="Times New Roman" w:hAnsi="Times New Roman"/>
        </w:rPr>
        <w:t>(1). https://www.jstor.org/stable/26271860</w:t>
      </w:r>
    </w:p>
    <w:p w14:paraId="55283A6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Perry, D., &amp; Perry, G. (2008). Improving interactions between animal rights groups and conservation biologists.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(1), 27–35. https://doi.org/10.1111/j.1523-1739.2007.00845.x</w:t>
      </w:r>
    </w:p>
    <w:p w14:paraId="03549FA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Pertierra, L. R., Bartlett, J. C., Duffy, G. A., Vega, G. C., Hughes, K. A., Hayward, S. A. L., Convey, P., Olalla</w:t>
      </w:r>
      <w:r w:rsidRPr="001523EB">
        <w:rPr>
          <w:rFonts w:ascii="Times New Roman" w:hAnsi="Times New Roman" w:hint="eastAsia"/>
        </w:rPr>
        <w:t>‐</w:t>
      </w:r>
      <w:r w:rsidRPr="001523EB">
        <w:rPr>
          <w:rFonts w:ascii="Times New Roman" w:hAnsi="Times New Roman"/>
        </w:rPr>
        <w:t>Tarraga, M. A., &amp; Aragón, P. (2020). Combining correlative and mechanistic niche models with human activity data to elucidate the invasive potential of a sub</w:t>
      </w:r>
      <w:r w:rsidRPr="001523EB">
        <w:rPr>
          <w:rFonts w:ascii="Times New Roman" w:hAnsi="Times New Roman" w:hint="eastAsia"/>
        </w:rPr>
        <w:t>‐</w:t>
      </w:r>
      <w:r w:rsidRPr="001523EB">
        <w:rPr>
          <w:rFonts w:ascii="Times New Roman" w:hAnsi="Times New Roman"/>
        </w:rPr>
        <w:t xml:space="preserve">Antarctic insect. </w:t>
      </w:r>
      <w:r w:rsidRPr="001523EB">
        <w:rPr>
          <w:rFonts w:ascii="Times New Roman" w:hAnsi="Times New Roman"/>
          <w:i/>
          <w:iCs/>
        </w:rPr>
        <w:t>Journal of Biogeography</w:t>
      </w:r>
      <w:r w:rsidRPr="001523EB">
        <w:rPr>
          <w:rFonts w:ascii="Times New Roman" w:hAnsi="Times New Roman"/>
        </w:rPr>
        <w:t xml:space="preserve">, </w:t>
      </w:r>
      <w:r w:rsidRPr="001523EB">
        <w:rPr>
          <w:rFonts w:ascii="Times New Roman" w:hAnsi="Times New Roman"/>
          <w:i/>
          <w:iCs/>
        </w:rPr>
        <w:t>47</w:t>
      </w:r>
      <w:r w:rsidRPr="001523EB">
        <w:rPr>
          <w:rFonts w:ascii="Times New Roman" w:hAnsi="Times New Roman"/>
        </w:rPr>
        <w:t>(3), 658–673. https://doi.org/10.1111/jbi.13780</w:t>
      </w:r>
    </w:p>
    <w:p w14:paraId="607D087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Pheloung, P. C., Williams, P. A., &amp; Halloy, S. R. (1999). A weed risk assessment model for use as a biosecurity tool evaluating plant introductions.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57</w:t>
      </w:r>
      <w:r w:rsidRPr="001523EB">
        <w:rPr>
          <w:rFonts w:ascii="Times New Roman" w:hAnsi="Times New Roman"/>
        </w:rPr>
        <w:t>(4), 239–251. https://doi.org/10.1006/jema.1999.0297</w:t>
      </w:r>
    </w:p>
    <w:p w14:paraId="37BB2F7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Pidot, J. R. (2005). The Applicability of Nuisance Law to Invasive Plants: Can Common Law Liability Inspire Government Action? </w:t>
      </w:r>
      <w:r w:rsidRPr="001523EB">
        <w:rPr>
          <w:rFonts w:ascii="Times New Roman" w:hAnsi="Times New Roman"/>
          <w:i/>
          <w:iCs/>
        </w:rPr>
        <w:t>Virginia Environmental Law Journal</w:t>
      </w:r>
      <w:r w:rsidRPr="001523EB">
        <w:rPr>
          <w:rFonts w:ascii="Times New Roman" w:hAnsi="Times New Roman"/>
        </w:rPr>
        <w:t xml:space="preserve">, </w:t>
      </w:r>
      <w:r w:rsidRPr="001523EB">
        <w:rPr>
          <w:rFonts w:ascii="Times New Roman" w:hAnsi="Times New Roman"/>
          <w:i/>
          <w:iCs/>
        </w:rPr>
        <w:t>24</w:t>
      </w:r>
      <w:r w:rsidRPr="001523EB">
        <w:rPr>
          <w:rFonts w:ascii="Times New Roman" w:hAnsi="Times New Roman"/>
        </w:rPr>
        <w:t>(2), 183–230. https://www.jstor.org/stable/24787332</w:t>
      </w:r>
    </w:p>
    <w:p w14:paraId="23192F2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Pimentel, D., Zuniga, R., &amp; Morrison, D. (2005). Update on the environmental and economic costs associated with alien-invasive species in the United States. </w:t>
      </w:r>
      <w:r w:rsidRPr="001523EB">
        <w:rPr>
          <w:rFonts w:ascii="Times New Roman" w:hAnsi="Times New Roman"/>
          <w:i/>
          <w:iCs/>
        </w:rPr>
        <w:t>Ecological Economics</w:t>
      </w:r>
      <w:r w:rsidRPr="001523EB">
        <w:rPr>
          <w:rFonts w:ascii="Times New Roman" w:hAnsi="Times New Roman"/>
        </w:rPr>
        <w:t xml:space="preserve">, </w:t>
      </w:r>
      <w:r w:rsidRPr="001523EB">
        <w:rPr>
          <w:rFonts w:ascii="Times New Roman" w:hAnsi="Times New Roman"/>
          <w:i/>
          <w:iCs/>
        </w:rPr>
        <w:t>52</w:t>
      </w:r>
      <w:r w:rsidRPr="001523EB">
        <w:rPr>
          <w:rFonts w:ascii="Times New Roman" w:hAnsi="Times New Roman"/>
        </w:rPr>
        <w:t>(3), 273–288. https://doi.org/10.1016/j.ecolecon.2004.10.002</w:t>
      </w:r>
    </w:p>
    <w:p w14:paraId="183341E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Piria, M., Copp, G. H., Dick, J. T. A., Duplić, A., Groom, Q., Jelić, D., Lucy, F. E., Roy, H. E., Sarat, E., Simonović, P., Tomljanović, T., Tricarico, E., Weinlander, M., Adámek, Z., Sarah Bedolfe, Coughlan, N. E., Davis, E., Dobrzycka-Krahel, A., Grgić, Z., … Caffrey, J. M. (2017). Tackling invasive alien species in Europe II: Threats and opportunities until 2020.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(3), 273–286. https://doi.org/10.3391/mbi.2017.8.3.02</w:t>
      </w:r>
    </w:p>
    <w:p w14:paraId="017477D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Piwowar, H., Priem, J., Larivière, V., Alperin, J. P., Matthias, L., Norlander, B., Farley, A., West, J., &amp; Haustein, S. (2018). The state of OA: A large-scale analysis of the prevalence and impact of Open Access articles. </w:t>
      </w:r>
      <w:r w:rsidRPr="001523EB">
        <w:rPr>
          <w:rFonts w:ascii="Times New Roman" w:hAnsi="Times New Roman"/>
          <w:i/>
          <w:iCs/>
        </w:rPr>
        <w:t>PeerJ</w:t>
      </w:r>
      <w:r w:rsidRPr="001523EB">
        <w:rPr>
          <w:rFonts w:ascii="Times New Roman" w:hAnsi="Times New Roman"/>
        </w:rPr>
        <w:t xml:space="preserve">, </w:t>
      </w:r>
      <w:r w:rsidRPr="001523EB">
        <w:rPr>
          <w:rFonts w:ascii="Times New Roman" w:hAnsi="Times New Roman"/>
          <w:i/>
          <w:iCs/>
        </w:rPr>
        <w:t>6</w:t>
      </w:r>
      <w:r w:rsidRPr="001523EB">
        <w:rPr>
          <w:rFonts w:ascii="Times New Roman" w:hAnsi="Times New Roman"/>
        </w:rPr>
        <w:t>, e4375. https://doi.org/10.7717/peerj.4375</w:t>
      </w:r>
    </w:p>
    <w:p w14:paraId="6C253D2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Plummer, R., Armitage, D. R., &amp; de Loë, R. C. (2013). Adaptive Comanagement and Its Relationship to Environmental Governance.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18</w:t>
      </w:r>
      <w:r w:rsidRPr="001523EB">
        <w:rPr>
          <w:rFonts w:ascii="Times New Roman" w:hAnsi="Times New Roman"/>
        </w:rPr>
        <w:t>(1), 21. https://doi.org/10.5751/ES-05383-180121</w:t>
      </w:r>
    </w:p>
    <w:p w14:paraId="6BA8E6A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Plummer, R., Crona, B., Armitage, D. R., Olsson, P., Tengö, M., &amp; Yudina, O. (2012). Adaptive Comanagement: A Systematic Review and Analysis.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17</w:t>
      </w:r>
      <w:r w:rsidRPr="001523EB">
        <w:rPr>
          <w:rFonts w:ascii="Times New Roman" w:hAnsi="Times New Roman"/>
        </w:rPr>
        <w:t>(3), 11. https://doi.org/10.5751/ES-04952-170311</w:t>
      </w:r>
    </w:p>
    <w:p w14:paraId="49A56B0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PNW-IPC. (2018). </w:t>
      </w:r>
      <w:r w:rsidRPr="001523EB">
        <w:rPr>
          <w:rFonts w:ascii="Times New Roman" w:hAnsi="Times New Roman"/>
          <w:i/>
          <w:iCs/>
        </w:rPr>
        <w:t>Home</w:t>
      </w:r>
      <w:r w:rsidRPr="001523EB">
        <w:rPr>
          <w:rFonts w:ascii="Times New Roman" w:hAnsi="Times New Roman"/>
        </w:rPr>
        <w:t>. Pacific Northwest Invasive Plant Council. https://www.pnw-ipc.org</w:t>
      </w:r>
    </w:p>
    <w:p w14:paraId="6A0908E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Pochon, X., Bott, N. J., Smith, K. F., &amp; Wood, S. A. (2013). Evaluating Detection Limits of Next-Generation Sequencing for the Surveillance and Monitoring of International Marine Pests.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(9), e73935. https://doi.org/10.1371/journal.pone.0073935</w:t>
      </w:r>
    </w:p>
    <w:p w14:paraId="77A823D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Pocock, M. J. O., Chandler, M., Bonney, R., Thornhill, I., Albin, A., August, T., Bachman, S., Brown, P. M. J., Cunha, D. G. F., Grez, A., Jackson, C., Peters, M., Rabarijaon, N. R., Roy, H. E., Zaviezo, T., &amp; Danielsen, F. (2018). Chapter Six—A Vision for Global Biodiversity Monitoring With Citizen Science. In D. A. Bohan, A. J. Dumbrell, G. Woodward, &amp; M. Jackson (Eds.), </w:t>
      </w:r>
      <w:r w:rsidRPr="001523EB">
        <w:rPr>
          <w:rFonts w:ascii="Times New Roman" w:hAnsi="Times New Roman"/>
          <w:i/>
          <w:iCs/>
        </w:rPr>
        <w:t>Advances in Ecological Research</w:t>
      </w:r>
      <w:r w:rsidRPr="001523EB">
        <w:rPr>
          <w:rFonts w:ascii="Times New Roman" w:hAnsi="Times New Roman"/>
        </w:rPr>
        <w:t xml:space="preserve"> (Vol. 59, pp. 169–223). Academic Press. https://doi.org/10.1016/bs.aecr.2018.06.003</w:t>
      </w:r>
    </w:p>
    <w:p w14:paraId="0873F4B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Pocock, M. J. O., Roy, H. E., August, T., Kuria, A., Barasa, F., Bett, J., Githiru, M., Kairo, J., Kimani, J., Kinuthia, W., Kissui, B., Madindou, I., Mbogo, K., Mirembe, J., Mugo, P., Muniale, F. M., Njoroge, P., Njuguna, E. G., Olendo, M. I., … Trevelyan, R. (2019). Developing the global potential of citizen science: Assessing opportunities that benefit people, society and the environment in East Africa. </w:t>
      </w:r>
      <w:r w:rsidRPr="001523EB">
        <w:rPr>
          <w:rFonts w:ascii="Times New Roman" w:hAnsi="Times New Roman"/>
          <w:i/>
          <w:iCs/>
        </w:rPr>
        <w:t>Journal of Applied Ecology</w:t>
      </w:r>
      <w:r w:rsidRPr="001523EB">
        <w:rPr>
          <w:rFonts w:ascii="Times New Roman" w:hAnsi="Times New Roman"/>
        </w:rPr>
        <w:t xml:space="preserve">, </w:t>
      </w:r>
      <w:r w:rsidRPr="001523EB">
        <w:rPr>
          <w:rFonts w:ascii="Times New Roman" w:hAnsi="Times New Roman"/>
          <w:i/>
          <w:iCs/>
        </w:rPr>
        <w:t>56</w:t>
      </w:r>
      <w:r w:rsidRPr="001523EB">
        <w:rPr>
          <w:rFonts w:ascii="Times New Roman" w:hAnsi="Times New Roman"/>
        </w:rPr>
        <w:t>(2), 274–281. https://doi.org/10.1111/1365-2664.13279</w:t>
      </w:r>
    </w:p>
    <w:p w14:paraId="637F722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Poland, T. M., Emery, M. R., Ciaramitaro, T., Pigeon, E., &amp; Pigeon, A. (2017). Emerald ash borer, black ash, and Native American basketmaking: Invasive insects, forest ecosystems, and cultural practices. In E. Freedman &amp; M. Neuzil (Eds.), </w:t>
      </w:r>
      <w:r w:rsidRPr="001523EB">
        <w:rPr>
          <w:rFonts w:ascii="Times New Roman" w:hAnsi="Times New Roman"/>
          <w:i/>
          <w:iCs/>
        </w:rPr>
        <w:t>Biodiversity, Conservation, and Environmental Management in the Great Lakes Basin</w:t>
      </w:r>
      <w:r w:rsidRPr="001523EB">
        <w:rPr>
          <w:rFonts w:ascii="Times New Roman" w:hAnsi="Times New Roman"/>
        </w:rPr>
        <w:t xml:space="preserve"> (pp. 127–140). Routledge. https://doi.org/10.4324/9781315268774</w:t>
      </w:r>
    </w:p>
    <w:p w14:paraId="2B4A6CE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Poland, T. M., &amp; Rassati, D. (2019). Improved biosecurity surveillance of non-native forest insects: A review of current methods. </w:t>
      </w:r>
      <w:r w:rsidRPr="001523EB">
        <w:rPr>
          <w:rFonts w:ascii="Times New Roman" w:hAnsi="Times New Roman"/>
          <w:i/>
          <w:iCs/>
        </w:rPr>
        <w:t>Journal of Pest Science</w:t>
      </w:r>
      <w:r w:rsidRPr="001523EB">
        <w:rPr>
          <w:rFonts w:ascii="Times New Roman" w:hAnsi="Times New Roman"/>
        </w:rPr>
        <w:t xml:space="preserve">, </w:t>
      </w:r>
      <w:r w:rsidRPr="001523EB">
        <w:rPr>
          <w:rFonts w:ascii="Times New Roman" w:hAnsi="Times New Roman"/>
          <w:i/>
          <w:iCs/>
        </w:rPr>
        <w:t>92</w:t>
      </w:r>
      <w:r w:rsidRPr="001523EB">
        <w:rPr>
          <w:rFonts w:ascii="Times New Roman" w:hAnsi="Times New Roman"/>
        </w:rPr>
        <w:t>(1), 37–49. https://doi.org/10.1007/s10340-018-1004-y</w:t>
      </w:r>
    </w:p>
    <w:p w14:paraId="614098A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Praseeda Sanu, V., &amp; Newport, J. K. (2010). Invasive alien species dispersal: The millennium biodiversity disaster. </w:t>
      </w:r>
      <w:r w:rsidRPr="001523EB">
        <w:rPr>
          <w:rFonts w:ascii="Times New Roman" w:hAnsi="Times New Roman"/>
          <w:i/>
          <w:iCs/>
        </w:rPr>
        <w:t>Disaster Prevention and Management</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(3), 291–297. https://doi.org/10.1108/09653561011052475</w:t>
      </w:r>
    </w:p>
    <w:p w14:paraId="062C59F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Primmer, E., Jokinen, P., Blicharska, M., Barton, D. N., Bugter, R., &amp; Potschin, M. (2015). Governance of Ecosystem Services: A framework for empirical analysis. </w:t>
      </w:r>
      <w:r w:rsidRPr="001523EB">
        <w:rPr>
          <w:rFonts w:ascii="Times New Roman" w:hAnsi="Times New Roman"/>
          <w:i/>
          <w:iCs/>
        </w:rPr>
        <w:t>Ecosystem Services</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 158–166. https://doi.org/10.1016/j.ecoser.2015.05.002</w:t>
      </w:r>
    </w:p>
    <w:p w14:paraId="6E842DC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pro-iBiosphere Consortium. (2014). </w:t>
      </w:r>
      <w:r w:rsidRPr="001523EB">
        <w:rPr>
          <w:rFonts w:ascii="Times New Roman" w:hAnsi="Times New Roman"/>
          <w:i/>
          <w:iCs/>
        </w:rPr>
        <w:t>The Bouchout Declaration for Open Biodiversity Knowledge Management</w:t>
      </w:r>
      <w:r w:rsidRPr="001523EB">
        <w:rPr>
          <w:rFonts w:ascii="Times New Roman" w:hAnsi="Times New Roman"/>
        </w:rPr>
        <w:t>. http://www.bouchoutdeclaration.org/</w:t>
      </w:r>
    </w:p>
    <w:p w14:paraId="5FDCE4F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Provan, K. G., &amp; Kenis, P. (2008). Modes of Network Governance: Structure, Management, and Effectiveness. </w:t>
      </w:r>
      <w:r w:rsidRPr="001523EB">
        <w:rPr>
          <w:rFonts w:ascii="Times New Roman" w:hAnsi="Times New Roman"/>
          <w:i/>
          <w:iCs/>
        </w:rPr>
        <w:t>Journal of Public Administration Research and Theory</w:t>
      </w:r>
      <w:r w:rsidRPr="001523EB">
        <w:rPr>
          <w:rFonts w:ascii="Times New Roman" w:hAnsi="Times New Roman"/>
        </w:rPr>
        <w:t xml:space="preserve">, </w:t>
      </w:r>
      <w:r w:rsidRPr="001523EB">
        <w:rPr>
          <w:rFonts w:ascii="Times New Roman" w:hAnsi="Times New Roman"/>
          <w:i/>
          <w:iCs/>
        </w:rPr>
        <w:t>18</w:t>
      </w:r>
      <w:r w:rsidRPr="001523EB">
        <w:rPr>
          <w:rFonts w:ascii="Times New Roman" w:hAnsi="Times New Roman"/>
        </w:rPr>
        <w:t>(2), 229–252. https://doi.org/10.1093/jopart/mum015</w:t>
      </w:r>
    </w:p>
    <w:p w14:paraId="384992A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Pyšek, P., Hulme, P. E., Meyerson, L. A., Smith, G. F., Boatwright, J. S., Crouch, N. R., Figueiredo, E., Foxcroft, L. C., Jarošík, V., Richardson, D. M., Suda, J., &amp; Wilson, J. R. U. (2013). Hitting the right target: Taxonomic challenges for, and of, plant invasions. </w:t>
      </w:r>
      <w:r w:rsidRPr="001523EB">
        <w:rPr>
          <w:rFonts w:ascii="Times New Roman" w:hAnsi="Times New Roman"/>
          <w:i/>
          <w:iCs/>
        </w:rPr>
        <w:t>AoB PLANTS</w:t>
      </w:r>
      <w:r w:rsidRPr="001523EB">
        <w:rPr>
          <w:rFonts w:ascii="Times New Roman" w:hAnsi="Times New Roman"/>
        </w:rPr>
        <w:t xml:space="preserve">, </w:t>
      </w:r>
      <w:r w:rsidRPr="001523EB">
        <w:rPr>
          <w:rFonts w:ascii="Times New Roman" w:hAnsi="Times New Roman"/>
          <w:i/>
          <w:iCs/>
        </w:rPr>
        <w:t>5</w:t>
      </w:r>
      <w:r w:rsidRPr="001523EB">
        <w:rPr>
          <w:rFonts w:ascii="Times New Roman" w:hAnsi="Times New Roman"/>
        </w:rPr>
        <w:t>, plt042. https://doi.org/10.1093/aobpla/plt042</w:t>
      </w:r>
    </w:p>
    <w:p w14:paraId="798BFB3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Pyšek, P., Pergl, J., Dawson, W., Essl, F., Kreft, H., Weigelt, P., Winter, M., &amp; van Kleunen, M. (2020). European plant invasions. In D. R. Clements, M. K. Upadhyaya, S. Joshi, &amp; A. Shrestha (Eds.), </w:t>
      </w:r>
      <w:r w:rsidRPr="001523EB">
        <w:rPr>
          <w:rFonts w:ascii="Times New Roman" w:hAnsi="Times New Roman"/>
          <w:i/>
          <w:iCs/>
        </w:rPr>
        <w:t>Global Plant Invasions</w:t>
      </w:r>
      <w:r w:rsidRPr="001523EB">
        <w:rPr>
          <w:rFonts w:ascii="Times New Roman" w:hAnsi="Times New Roman"/>
        </w:rPr>
        <w:t xml:space="preserve"> (pp. 151–165). Springer. https://doi.org/10.1007/978-3-030-89684-3_7</w:t>
      </w:r>
    </w:p>
    <w:p w14:paraId="0A31521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Pyšek, P., Richardson, D. M., Pergl, J., Jarošík, V., Sixtová, Z., &amp; Weber, E. (2008). Geographical and taxonomic biases in invasion ecology. </w:t>
      </w:r>
      <w:r w:rsidRPr="001523EB">
        <w:rPr>
          <w:rFonts w:ascii="Times New Roman" w:hAnsi="Times New Roman"/>
          <w:i/>
          <w:iCs/>
        </w:rPr>
        <w:t>Trends in Ecology &amp; Evolution</w:t>
      </w:r>
      <w:r w:rsidRPr="001523EB">
        <w:rPr>
          <w:rFonts w:ascii="Times New Roman" w:hAnsi="Times New Roman"/>
        </w:rPr>
        <w:t xml:space="preserve">, </w:t>
      </w:r>
      <w:r w:rsidRPr="001523EB">
        <w:rPr>
          <w:rFonts w:ascii="Times New Roman" w:hAnsi="Times New Roman"/>
          <w:i/>
          <w:iCs/>
        </w:rPr>
        <w:t>23</w:t>
      </w:r>
      <w:r w:rsidRPr="001523EB">
        <w:rPr>
          <w:rFonts w:ascii="Times New Roman" w:hAnsi="Times New Roman"/>
        </w:rPr>
        <w:t>(5), 237–244. https://doi.org/10.1016/j.tree.2008.02.002</w:t>
      </w:r>
    </w:p>
    <w:p w14:paraId="2125E4A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Queloz, V., Grünig, C. R., Berndt, R., Kowalski, T., Sieber, T. N., &amp; Holdenrieder, O. (2011). Cryptic speciation in </w:t>
      </w:r>
      <w:r w:rsidRPr="001523EB">
        <w:rPr>
          <w:rFonts w:ascii="Times New Roman" w:hAnsi="Times New Roman"/>
          <w:i/>
          <w:iCs/>
        </w:rPr>
        <w:t>Hymenoscyphus albidus</w:t>
      </w:r>
      <w:r w:rsidRPr="001523EB">
        <w:rPr>
          <w:rFonts w:ascii="Times New Roman" w:hAnsi="Times New Roman"/>
        </w:rPr>
        <w:t xml:space="preserve">. </w:t>
      </w:r>
      <w:r w:rsidRPr="001523EB">
        <w:rPr>
          <w:rFonts w:ascii="Times New Roman" w:hAnsi="Times New Roman"/>
          <w:i/>
          <w:iCs/>
        </w:rPr>
        <w:t>Forest Pathology</w:t>
      </w:r>
      <w:r w:rsidRPr="001523EB">
        <w:rPr>
          <w:rFonts w:ascii="Times New Roman" w:hAnsi="Times New Roman"/>
        </w:rPr>
        <w:t xml:space="preserve">, </w:t>
      </w:r>
      <w:r w:rsidRPr="001523EB">
        <w:rPr>
          <w:rFonts w:ascii="Times New Roman" w:hAnsi="Times New Roman"/>
          <w:i/>
          <w:iCs/>
        </w:rPr>
        <w:t>41</w:t>
      </w:r>
      <w:r w:rsidRPr="001523EB">
        <w:rPr>
          <w:rFonts w:ascii="Times New Roman" w:hAnsi="Times New Roman"/>
        </w:rPr>
        <w:t>(2), 133–142. https://doi.org/10.1111/j.1439-0329.2010.00645.x</w:t>
      </w:r>
    </w:p>
    <w:p w14:paraId="45C11D3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Quirós, R. (1990). The Paraná river basin development and the changes in the lower basin fisheries. </w:t>
      </w:r>
      <w:r w:rsidRPr="001523EB">
        <w:rPr>
          <w:rFonts w:ascii="Times New Roman" w:hAnsi="Times New Roman"/>
          <w:i/>
          <w:iCs/>
        </w:rPr>
        <w:t>Interciencia</w:t>
      </w:r>
      <w:r w:rsidRPr="001523EB">
        <w:rPr>
          <w:rFonts w:ascii="Times New Roman" w:hAnsi="Times New Roman"/>
        </w:rPr>
        <w:t xml:space="preserve">, </w:t>
      </w:r>
      <w:r w:rsidRPr="001523EB">
        <w:rPr>
          <w:rFonts w:ascii="Times New Roman" w:hAnsi="Times New Roman"/>
          <w:i/>
          <w:iCs/>
        </w:rPr>
        <w:t>15</w:t>
      </w:r>
      <w:r w:rsidRPr="001523EB">
        <w:rPr>
          <w:rFonts w:ascii="Times New Roman" w:hAnsi="Times New Roman"/>
        </w:rPr>
        <w:t xml:space="preserve">(6), 442–451. </w:t>
      </w:r>
      <w:r w:rsidRPr="001523EB">
        <w:rPr>
          <w:rFonts w:ascii="Times New Roman" w:hAnsi="Times New Roman"/>
        </w:rPr>
        <w:lastRenderedPageBreak/>
        <w:t>https://scholar.google.com/scholar_lookup?title=The+Paran%C3%A1+river+basin+development+and+the+changes+in+the+lower+basin+fisheries&amp;author=Quir%C3%B3s,+R.&amp;publication_year=1990&amp;journal=Interciencia&amp;volume=15&amp;pages=442%E2%80%93451</w:t>
      </w:r>
    </w:p>
    <w:p w14:paraId="1C8B160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Ramírez-Albores, J. E., Badano, E. I., Flores, J., Flores-Flores, J. L., &amp; Yáñez-Espinosa, L. (2019). Scientific literature on invasive alien species in a megadiverse country: Advances and challenges in Mexico. </w:t>
      </w:r>
      <w:r w:rsidRPr="001523EB">
        <w:rPr>
          <w:rFonts w:ascii="Times New Roman" w:hAnsi="Times New Roman"/>
          <w:i/>
          <w:iCs/>
        </w:rPr>
        <w:t>NeoBiota</w:t>
      </w:r>
      <w:r w:rsidRPr="001523EB">
        <w:rPr>
          <w:rFonts w:ascii="Times New Roman" w:hAnsi="Times New Roman"/>
        </w:rPr>
        <w:t xml:space="preserve">, </w:t>
      </w:r>
      <w:r w:rsidRPr="001523EB">
        <w:rPr>
          <w:rFonts w:ascii="Times New Roman" w:hAnsi="Times New Roman"/>
          <w:i/>
          <w:iCs/>
        </w:rPr>
        <w:t>48</w:t>
      </w:r>
      <w:r w:rsidRPr="001523EB">
        <w:rPr>
          <w:rFonts w:ascii="Times New Roman" w:hAnsi="Times New Roman"/>
        </w:rPr>
        <w:t>, 113–127. https://doi.org/10.3897/neobiota.48.36201</w:t>
      </w:r>
    </w:p>
    <w:p w14:paraId="1ED81FB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Ray, R. (2021). Who Controls Multilateral Development Finance? </w:t>
      </w:r>
      <w:r w:rsidRPr="001523EB">
        <w:rPr>
          <w:rFonts w:ascii="Times New Roman" w:hAnsi="Times New Roman"/>
          <w:i/>
          <w:iCs/>
        </w:rPr>
        <w:t>Global Governance: A Review of Multilateralism and International Organizations</w:t>
      </w:r>
      <w:r w:rsidRPr="001523EB">
        <w:rPr>
          <w:rFonts w:ascii="Times New Roman" w:hAnsi="Times New Roman"/>
        </w:rPr>
        <w:t xml:space="preserve">, </w:t>
      </w:r>
      <w:r w:rsidRPr="001523EB">
        <w:rPr>
          <w:rFonts w:ascii="Times New Roman" w:hAnsi="Times New Roman"/>
          <w:i/>
          <w:iCs/>
        </w:rPr>
        <w:t>27</w:t>
      </w:r>
      <w:r w:rsidRPr="001523EB">
        <w:rPr>
          <w:rFonts w:ascii="Times New Roman" w:hAnsi="Times New Roman"/>
        </w:rPr>
        <w:t>(1), 118–143. https://doi.org/10.1163/19426720-02701006</w:t>
      </w:r>
    </w:p>
    <w:p w14:paraId="6444C8C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RDA. (2019). </w:t>
      </w:r>
      <w:r w:rsidRPr="001523EB">
        <w:rPr>
          <w:rFonts w:ascii="Times New Roman" w:hAnsi="Times New Roman"/>
          <w:i/>
          <w:iCs/>
        </w:rPr>
        <w:t>International Indigenous Data Sovereignty IG</w:t>
      </w:r>
      <w:r w:rsidRPr="001523EB">
        <w:rPr>
          <w:rFonts w:ascii="Times New Roman" w:hAnsi="Times New Roman"/>
        </w:rPr>
        <w:t>. Research Data Alliance. https://www.rd-alliance.org/groups/international-indigenous-data-sovereignty-ig</w:t>
      </w:r>
    </w:p>
    <w:p w14:paraId="3DD66CD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Redpath, S. M., Young, J., Evely, A., Adams, W. M., Sutherland, W. J., Whitehouse, A., Amar, A., Lambert, R. A., Linnell, J. D. C., Watt, A., &amp; Gutiérrez, R. J. (2013). Understanding and managing conservation conflicts. </w:t>
      </w:r>
      <w:r w:rsidRPr="001523EB">
        <w:rPr>
          <w:rFonts w:ascii="Times New Roman" w:hAnsi="Times New Roman"/>
          <w:i/>
          <w:iCs/>
        </w:rPr>
        <w:t>Trends in Ecology and Evolution</w:t>
      </w:r>
      <w:r w:rsidRPr="001523EB">
        <w:rPr>
          <w:rFonts w:ascii="Times New Roman" w:hAnsi="Times New Roman"/>
        </w:rPr>
        <w:t xml:space="preserve">, </w:t>
      </w:r>
      <w:r w:rsidRPr="001523EB">
        <w:rPr>
          <w:rFonts w:ascii="Times New Roman" w:hAnsi="Times New Roman"/>
          <w:i/>
          <w:iCs/>
        </w:rPr>
        <w:t>28</w:t>
      </w:r>
      <w:r w:rsidRPr="001523EB">
        <w:rPr>
          <w:rFonts w:ascii="Times New Roman" w:hAnsi="Times New Roman"/>
        </w:rPr>
        <w:t>(2), 100–109. https://doi.org/10.1016/j.tree.2012.08.021</w:t>
      </w:r>
    </w:p>
    <w:p w14:paraId="6619DD4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Reed, J., Van Vianen, J., Deakin, E. L., Barlow, J., &amp; Sunderland, T. (2016). Integrated landscape approaches to managing social and environmental issues in the tropics: Learning from the past to guide the future. </w:t>
      </w:r>
      <w:r w:rsidRPr="001523EB">
        <w:rPr>
          <w:rFonts w:ascii="Times New Roman" w:hAnsi="Times New Roman"/>
          <w:i/>
          <w:iCs/>
        </w:rPr>
        <w:t>Global Change Biology</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(7), 2540–2554. https://doi.org/10.1111/gcb.13284</w:t>
      </w:r>
    </w:p>
    <w:p w14:paraId="0949D11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Reed, M. S. (2008). Stakeholder participation for environmental management: A literature review.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141</w:t>
      </w:r>
      <w:r w:rsidRPr="001523EB">
        <w:rPr>
          <w:rFonts w:ascii="Times New Roman" w:hAnsi="Times New Roman"/>
        </w:rPr>
        <w:t>(10), 2417–2431. https://doi.org/10.1016/J.BIOCON.2008.07.014</w:t>
      </w:r>
    </w:p>
    <w:p w14:paraId="6FE74E5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Reed, M. S., Bonn, A., Slee, W., Beharry-Borg, N., Birch, J., Brown, I., Burt, T. P., Chapman, D., Chapman, P. J., Clay, G. D., Cornell, S. J., Fraser, E. D. G., Glass, J. H., Holden, J., Hodgson, J. A., Hubacek, K., Irvine, B., Jin, N., Kirkby, M. J., … Worrall, F. (2009). The Future of the Uplands. </w:t>
      </w:r>
      <w:r w:rsidRPr="001523EB">
        <w:rPr>
          <w:rFonts w:ascii="Times New Roman" w:hAnsi="Times New Roman"/>
          <w:i/>
          <w:iCs/>
        </w:rPr>
        <w:t>Land Use Policy</w:t>
      </w:r>
      <w:r w:rsidRPr="001523EB">
        <w:rPr>
          <w:rFonts w:ascii="Times New Roman" w:hAnsi="Times New Roman"/>
        </w:rPr>
        <w:t xml:space="preserve">, </w:t>
      </w:r>
      <w:r w:rsidRPr="001523EB">
        <w:rPr>
          <w:rFonts w:ascii="Times New Roman" w:hAnsi="Times New Roman"/>
          <w:i/>
          <w:iCs/>
        </w:rPr>
        <w:t>26</w:t>
      </w:r>
      <w:r w:rsidRPr="001523EB">
        <w:rPr>
          <w:rFonts w:ascii="Times New Roman" w:hAnsi="Times New Roman"/>
        </w:rPr>
        <w:t>(1), S204–S216. https://doi.org/10.1016/j.landusepol.2009.09.013</w:t>
      </w:r>
    </w:p>
    <w:p w14:paraId="17B4A05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Reed, M. S., &amp; Curzon, R. (2015). Stakeholder mapping for the governance of biosecurity: A literature review. </w:t>
      </w:r>
      <w:r w:rsidRPr="001523EB">
        <w:rPr>
          <w:rFonts w:ascii="Times New Roman" w:hAnsi="Times New Roman"/>
          <w:i/>
          <w:iCs/>
        </w:rPr>
        <w:t>Journal of Integrative Environmental Sciences</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(1), 15–38. https://doi.org/10.1080/1943815X.2014.975723</w:t>
      </w:r>
    </w:p>
    <w:p w14:paraId="0779044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Reed, M. S., Vella, S., Challies, E., de Vente, J., Frewer, L., Hohenwallner-Ries, D., Huber, T., Neumann, R. K., Oughton, E. A., Sidoli del Ceno, J., &amp; van Delden, H. (2018). A theory of participation: What makes stakeholder and public engagement in environmental management work? </w:t>
      </w:r>
      <w:r w:rsidRPr="001523EB">
        <w:rPr>
          <w:rFonts w:ascii="Times New Roman" w:hAnsi="Times New Roman"/>
          <w:i/>
          <w:iCs/>
        </w:rPr>
        <w:t>Restoration Ecology</w:t>
      </w:r>
      <w:r w:rsidRPr="001523EB">
        <w:rPr>
          <w:rFonts w:ascii="Times New Roman" w:hAnsi="Times New Roman"/>
        </w:rPr>
        <w:t xml:space="preserve">, </w:t>
      </w:r>
      <w:r w:rsidRPr="001523EB">
        <w:rPr>
          <w:rFonts w:ascii="Times New Roman" w:hAnsi="Times New Roman"/>
          <w:i/>
          <w:iCs/>
        </w:rPr>
        <w:t>26</w:t>
      </w:r>
      <w:r w:rsidRPr="001523EB">
        <w:rPr>
          <w:rFonts w:ascii="Times New Roman" w:hAnsi="Times New Roman"/>
        </w:rPr>
        <w:t>(S1), S7–S17. https://doi.org/10.1111/rec.12541</w:t>
      </w:r>
    </w:p>
    <w:p w14:paraId="48A6C2C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Reichard, S., Schmitz, C., Simberloff, D., Morrison, D., Lehtonen, P. P., Windle, P. N., Chavarría, G., &amp; Mezitt, R. W. (2005). The tragedy of the commons revisited: Invasive species. </w:t>
      </w:r>
      <w:r w:rsidRPr="001523EB">
        <w:rPr>
          <w:rFonts w:ascii="Times New Roman" w:hAnsi="Times New Roman"/>
          <w:i/>
          <w:iCs/>
        </w:rPr>
        <w:t>Frontiers in Ecology and the Environment</w:t>
      </w:r>
      <w:r w:rsidRPr="001523EB">
        <w:rPr>
          <w:rFonts w:ascii="Times New Roman" w:hAnsi="Times New Roman"/>
        </w:rPr>
        <w:t xml:space="preserve">, </w:t>
      </w:r>
      <w:r w:rsidRPr="001523EB">
        <w:rPr>
          <w:rFonts w:ascii="Times New Roman" w:hAnsi="Times New Roman"/>
          <w:i/>
          <w:iCs/>
        </w:rPr>
        <w:t>3</w:t>
      </w:r>
      <w:r w:rsidRPr="001523EB">
        <w:rPr>
          <w:rFonts w:ascii="Times New Roman" w:hAnsi="Times New Roman"/>
        </w:rPr>
        <w:t>(2), 109–115. https://doi.org/10.1890/1540-9295(2005)003[0103:TTOTCR]2.0.CO;2</w:t>
      </w:r>
    </w:p>
    <w:p w14:paraId="408A5C9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Reichman, O. J., Jones, M. B., &amp; Schildhauer, M. P. (2011). Challenges and Opportunities of Open Data in Ecology. </w:t>
      </w:r>
      <w:r w:rsidRPr="001523EB">
        <w:rPr>
          <w:rFonts w:ascii="Times New Roman" w:hAnsi="Times New Roman"/>
          <w:i/>
          <w:iCs/>
        </w:rPr>
        <w:t>Science</w:t>
      </w:r>
      <w:r w:rsidRPr="001523EB">
        <w:rPr>
          <w:rFonts w:ascii="Times New Roman" w:hAnsi="Times New Roman"/>
        </w:rPr>
        <w:t xml:space="preserve">, </w:t>
      </w:r>
      <w:r w:rsidRPr="001523EB">
        <w:rPr>
          <w:rFonts w:ascii="Times New Roman" w:hAnsi="Times New Roman"/>
          <w:i/>
          <w:iCs/>
        </w:rPr>
        <w:t>331</w:t>
      </w:r>
      <w:r w:rsidRPr="001523EB">
        <w:rPr>
          <w:rFonts w:ascii="Times New Roman" w:hAnsi="Times New Roman"/>
        </w:rPr>
        <w:t>(6018), 703–705. https://doi.org/10.1126/science.1197962</w:t>
      </w:r>
    </w:p>
    <w:p w14:paraId="170E53E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Reid, M. J., Hull, L. A., Alter, T. R., Adams, L. B., Kleinert, H. M., &amp; Woolnough, A. P. (2019). New development: Public sector responses to complex socio-ecological issues—no silver bullets for rabbits. </w:t>
      </w:r>
      <w:r w:rsidRPr="001523EB">
        <w:rPr>
          <w:rFonts w:ascii="Times New Roman" w:hAnsi="Times New Roman"/>
          <w:i/>
          <w:iCs/>
        </w:rPr>
        <w:t>Public Money &amp; Management</w:t>
      </w:r>
      <w:r w:rsidRPr="001523EB">
        <w:rPr>
          <w:rFonts w:ascii="Times New Roman" w:hAnsi="Times New Roman"/>
        </w:rPr>
        <w:t xml:space="preserve">, </w:t>
      </w:r>
      <w:r w:rsidRPr="001523EB">
        <w:rPr>
          <w:rFonts w:ascii="Times New Roman" w:hAnsi="Times New Roman"/>
          <w:i/>
          <w:iCs/>
        </w:rPr>
        <w:t>41</w:t>
      </w:r>
      <w:r w:rsidRPr="001523EB">
        <w:rPr>
          <w:rFonts w:ascii="Times New Roman" w:hAnsi="Times New Roman"/>
        </w:rPr>
        <w:t>(4), 351–355. https://doi.org/10.1080/09540962.2019.1685168</w:t>
      </w:r>
    </w:p>
    <w:p w14:paraId="1BB5E9B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Reo, N. J., Whyte, K., Ranco, D., Brandt, J., Blackmer, E., &amp; Elliott, B. (2017). Invasive Species, Indigenous Stewards, and Vulnerability Discourse. </w:t>
      </w:r>
      <w:r w:rsidRPr="001523EB">
        <w:rPr>
          <w:rFonts w:ascii="Times New Roman" w:hAnsi="Times New Roman"/>
          <w:i/>
          <w:iCs/>
        </w:rPr>
        <w:t>American Indian Quarterly</w:t>
      </w:r>
      <w:r w:rsidRPr="001523EB">
        <w:rPr>
          <w:rFonts w:ascii="Times New Roman" w:hAnsi="Times New Roman"/>
        </w:rPr>
        <w:t xml:space="preserve">, </w:t>
      </w:r>
      <w:r w:rsidRPr="001523EB">
        <w:rPr>
          <w:rFonts w:ascii="Times New Roman" w:hAnsi="Times New Roman"/>
          <w:i/>
          <w:iCs/>
        </w:rPr>
        <w:t>41</w:t>
      </w:r>
      <w:r w:rsidRPr="001523EB">
        <w:rPr>
          <w:rFonts w:ascii="Times New Roman" w:hAnsi="Times New Roman"/>
        </w:rPr>
        <w:t>(3), 201–223. https://doi.org/10.5250/amerindiquar.41.3.0201</w:t>
      </w:r>
    </w:p>
    <w:p w14:paraId="2CD2C8D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Reyserhove, L., Desmet, P., Oldoni, D., Adriaens, T., Strubbe, D., Davis, A. J. S., Vanderhoeven, S., Verloove, F., &amp; Groom, Q. (2020). A checklist recipe: Making species data open and FAIR. </w:t>
      </w:r>
      <w:r w:rsidRPr="001523EB">
        <w:rPr>
          <w:rFonts w:ascii="Times New Roman" w:hAnsi="Times New Roman"/>
          <w:i/>
          <w:iCs/>
        </w:rPr>
        <w:t>Database</w:t>
      </w:r>
      <w:r w:rsidRPr="001523EB">
        <w:rPr>
          <w:rFonts w:ascii="Times New Roman" w:hAnsi="Times New Roman"/>
        </w:rPr>
        <w:t xml:space="preserve">, </w:t>
      </w:r>
      <w:r w:rsidRPr="001523EB">
        <w:rPr>
          <w:rFonts w:ascii="Times New Roman" w:hAnsi="Times New Roman"/>
          <w:i/>
          <w:iCs/>
        </w:rPr>
        <w:t>2020</w:t>
      </w:r>
      <w:r w:rsidRPr="001523EB">
        <w:rPr>
          <w:rFonts w:ascii="Times New Roman" w:hAnsi="Times New Roman"/>
        </w:rPr>
        <w:t>, baaa084. https://doi.org/10.1093/database/baaa084</w:t>
      </w:r>
    </w:p>
    <w:p w14:paraId="2D6F0FD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Ricciardi, A., Blackburn, T. M., Carlton, J. T., Dick, J. T. A., Hulme, P. E., Iacarella, J. C., Jeschke, J. M., Liebhold, A. M., Lockwood, J. L., MacIsaac, H. J., Pyšek, P., Richardson, D. M., </w:t>
      </w:r>
      <w:r w:rsidRPr="001523EB">
        <w:rPr>
          <w:rFonts w:ascii="Times New Roman" w:hAnsi="Times New Roman"/>
        </w:rPr>
        <w:lastRenderedPageBreak/>
        <w:t xml:space="preserve">Ruiz, G. M., Simberloff, D., Sutherland, W. J., Wardle, D. A., &amp; Aldridge, D. C. (2017). Invasion Science: A Horizon Scan of Emerging Challenges and Opportunities. </w:t>
      </w:r>
      <w:r w:rsidRPr="001523EB">
        <w:rPr>
          <w:rFonts w:ascii="Times New Roman" w:hAnsi="Times New Roman"/>
          <w:i/>
          <w:iCs/>
        </w:rPr>
        <w:t>Trends in Ecology &amp; Evolution</w:t>
      </w:r>
      <w:r w:rsidRPr="001523EB">
        <w:rPr>
          <w:rFonts w:ascii="Times New Roman" w:hAnsi="Times New Roman"/>
        </w:rPr>
        <w:t xml:space="preserve">, </w:t>
      </w:r>
      <w:r w:rsidRPr="001523EB">
        <w:rPr>
          <w:rFonts w:ascii="Times New Roman" w:hAnsi="Times New Roman"/>
          <w:i/>
          <w:iCs/>
        </w:rPr>
        <w:t>32</w:t>
      </w:r>
      <w:r w:rsidRPr="001523EB">
        <w:rPr>
          <w:rFonts w:ascii="Times New Roman" w:hAnsi="Times New Roman"/>
        </w:rPr>
        <w:t>(6), 464–474. https://doi.org/10.1016/j.tree.2017.03.007</w:t>
      </w:r>
    </w:p>
    <w:p w14:paraId="18C0302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Ricciardi, A., Steiner, W. W. M., Mack, R. N., &amp; Simberloff, D. (2000). Toward a Global Information System for Invasive Species. </w:t>
      </w:r>
      <w:r w:rsidRPr="001523EB">
        <w:rPr>
          <w:rFonts w:ascii="Times New Roman" w:hAnsi="Times New Roman"/>
          <w:i/>
          <w:iCs/>
        </w:rPr>
        <w:t>BioScience</w:t>
      </w:r>
      <w:r w:rsidRPr="001523EB">
        <w:rPr>
          <w:rFonts w:ascii="Times New Roman" w:hAnsi="Times New Roman"/>
        </w:rPr>
        <w:t xml:space="preserve">, </w:t>
      </w:r>
      <w:r w:rsidRPr="001523EB">
        <w:rPr>
          <w:rFonts w:ascii="Times New Roman" w:hAnsi="Times New Roman"/>
          <w:i/>
          <w:iCs/>
        </w:rPr>
        <w:t>50</w:t>
      </w:r>
      <w:r w:rsidRPr="001523EB">
        <w:rPr>
          <w:rFonts w:ascii="Times New Roman" w:hAnsi="Times New Roman"/>
        </w:rPr>
        <w:t>(3), 239–244. https://doi.org/10.1641/0006-3568(2000)050[0239:TAGISF]2.3.CO;2</w:t>
      </w:r>
    </w:p>
    <w:p w14:paraId="2004421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Richards, T. J., Ellsworth, P., Tronstad, R., &amp; Naranjo, S. (2010). Market-Based Instruments for the Optimal Control of Invasive Insect Species: </w:t>
      </w:r>
      <w:r w:rsidRPr="001523EB">
        <w:rPr>
          <w:rFonts w:ascii="Times New Roman" w:hAnsi="Times New Roman"/>
          <w:i/>
          <w:iCs/>
        </w:rPr>
        <w:t>B. Tabaci</w:t>
      </w:r>
      <w:r w:rsidRPr="001523EB">
        <w:rPr>
          <w:rFonts w:ascii="Times New Roman" w:hAnsi="Times New Roman"/>
        </w:rPr>
        <w:t xml:space="preserve"> in Arizona. </w:t>
      </w:r>
      <w:r w:rsidRPr="001523EB">
        <w:rPr>
          <w:rFonts w:ascii="Times New Roman" w:hAnsi="Times New Roman"/>
          <w:i/>
          <w:iCs/>
        </w:rPr>
        <w:t>Journal of Agricultural and Resource Economics</w:t>
      </w:r>
      <w:r w:rsidRPr="001523EB">
        <w:rPr>
          <w:rFonts w:ascii="Times New Roman" w:hAnsi="Times New Roman"/>
        </w:rPr>
        <w:t xml:space="preserve">, </w:t>
      </w:r>
      <w:r w:rsidRPr="001523EB">
        <w:rPr>
          <w:rFonts w:ascii="Times New Roman" w:hAnsi="Times New Roman"/>
          <w:i/>
          <w:iCs/>
        </w:rPr>
        <w:t>35</w:t>
      </w:r>
      <w:r w:rsidRPr="001523EB">
        <w:rPr>
          <w:rFonts w:ascii="Times New Roman" w:hAnsi="Times New Roman"/>
        </w:rPr>
        <w:t>(3), 349–367. https://doi.org/10.22004/ag.econ.97852</w:t>
      </w:r>
    </w:p>
    <w:p w14:paraId="5E67C10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Richardson, D. M. (1998). Forestry Trees as Invasive Aliens.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(1), 18–26. https://doi.org/10.1046/j.1523-1739.1998.96392.x</w:t>
      </w:r>
    </w:p>
    <w:p w14:paraId="4D65C3A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Richardson, D. M., &amp; Higgins, S. I. (1998). Pines as invaders in the southern hemisphere. In D. M. Richardson &amp; S. I. Higgins (Eds.), </w:t>
      </w:r>
      <w:r w:rsidRPr="001523EB">
        <w:rPr>
          <w:rFonts w:ascii="Times New Roman" w:hAnsi="Times New Roman"/>
          <w:i/>
          <w:iCs/>
        </w:rPr>
        <w:t>Ecology and biogeography of Pinus</w:t>
      </w:r>
      <w:r w:rsidRPr="001523EB">
        <w:rPr>
          <w:rFonts w:ascii="Times New Roman" w:hAnsi="Times New Roman"/>
        </w:rPr>
        <w:t>. Cambridge University Press.</w:t>
      </w:r>
    </w:p>
    <w:p w14:paraId="540F8C6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Richardson, D. M., &amp; Rejmanek, M. (2004). Conifers as invasive aliens: A global survey and predictive framework. </w:t>
      </w:r>
      <w:r w:rsidRPr="001523EB">
        <w:rPr>
          <w:rFonts w:ascii="Times New Roman" w:hAnsi="Times New Roman"/>
          <w:i/>
          <w:iCs/>
        </w:rPr>
        <w:t>Diversity and Distributions</w:t>
      </w:r>
      <w:r w:rsidRPr="001523EB">
        <w:rPr>
          <w:rFonts w:ascii="Times New Roman" w:hAnsi="Times New Roman"/>
        </w:rPr>
        <w:t xml:space="preserve">, </w:t>
      </w:r>
      <w:r w:rsidRPr="001523EB">
        <w:rPr>
          <w:rFonts w:ascii="Times New Roman" w:hAnsi="Times New Roman"/>
          <w:i/>
          <w:iCs/>
        </w:rPr>
        <w:t>10</w:t>
      </w:r>
      <w:r w:rsidRPr="001523EB">
        <w:rPr>
          <w:rFonts w:ascii="Times New Roman" w:hAnsi="Times New Roman"/>
        </w:rPr>
        <w:t>(5–6), Article 5–6. https://doi.org/10.1111/j.1366-9516.2004.00096.x</w:t>
      </w:r>
    </w:p>
    <w:p w14:paraId="738AF24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Richardson, S., Mill, A. C., Davis, D., Jam, D., &amp; Ward, A. I. (2020). A systematic review of adaptive wildlife management for the control of invasive, non</w:t>
      </w:r>
      <w:r w:rsidRPr="001523EB">
        <w:rPr>
          <w:rFonts w:ascii="Times New Roman" w:hAnsi="Times New Roman" w:hint="eastAsia"/>
        </w:rPr>
        <w:t>‐</w:t>
      </w:r>
      <w:r w:rsidRPr="001523EB">
        <w:rPr>
          <w:rFonts w:ascii="Times New Roman" w:hAnsi="Times New Roman"/>
        </w:rPr>
        <w:t>native mammals, and other human</w:t>
      </w:r>
      <w:r w:rsidRPr="001523EB">
        <w:rPr>
          <w:rFonts w:ascii="Times New Roman" w:hAnsi="Times New Roman" w:hint="eastAsia"/>
        </w:rPr>
        <w:t>–</w:t>
      </w:r>
      <w:r w:rsidRPr="001523EB">
        <w:rPr>
          <w:rFonts w:ascii="Times New Roman" w:hAnsi="Times New Roman"/>
        </w:rPr>
        <w:t xml:space="preserve">wildlife conflicts. </w:t>
      </w:r>
      <w:r w:rsidRPr="001523EB">
        <w:rPr>
          <w:rFonts w:ascii="Times New Roman" w:hAnsi="Times New Roman"/>
          <w:i/>
          <w:iCs/>
        </w:rPr>
        <w:t>Mammal Review</w:t>
      </w:r>
      <w:r w:rsidRPr="001523EB">
        <w:rPr>
          <w:rFonts w:ascii="Times New Roman" w:hAnsi="Times New Roman"/>
        </w:rPr>
        <w:t xml:space="preserve">, </w:t>
      </w:r>
      <w:r w:rsidRPr="001523EB">
        <w:rPr>
          <w:rFonts w:ascii="Times New Roman" w:hAnsi="Times New Roman"/>
          <w:i/>
          <w:iCs/>
        </w:rPr>
        <w:t>50</w:t>
      </w:r>
      <w:r w:rsidRPr="001523EB">
        <w:rPr>
          <w:rFonts w:ascii="Times New Roman" w:hAnsi="Times New Roman"/>
        </w:rPr>
        <w:t>(2), 147–156. https://doi.org/10.1111/mam.12182</w:t>
      </w:r>
    </w:p>
    <w:p w14:paraId="347CC4D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Riley, S. (2012). Law is order, and good law is good order: The role of governance in the regulation of invasive alien species. </w:t>
      </w:r>
      <w:r w:rsidRPr="001523EB">
        <w:rPr>
          <w:rFonts w:ascii="Times New Roman" w:hAnsi="Times New Roman"/>
          <w:i/>
          <w:iCs/>
        </w:rPr>
        <w:t>Environmental and Planning Law Journal</w:t>
      </w:r>
      <w:r w:rsidRPr="001523EB">
        <w:rPr>
          <w:rFonts w:ascii="Times New Roman" w:hAnsi="Times New Roman"/>
        </w:rPr>
        <w:t xml:space="preserve">, </w:t>
      </w:r>
      <w:r w:rsidRPr="001523EB">
        <w:rPr>
          <w:rFonts w:ascii="Times New Roman" w:hAnsi="Times New Roman"/>
          <w:i/>
          <w:iCs/>
        </w:rPr>
        <w:t>29</w:t>
      </w:r>
      <w:r w:rsidRPr="001523EB">
        <w:rPr>
          <w:rFonts w:ascii="Times New Roman" w:hAnsi="Times New Roman"/>
        </w:rPr>
        <w:t>(1), 16–44. https://doi.org/10.3316/agispt.20121130</w:t>
      </w:r>
    </w:p>
    <w:p w14:paraId="31973CB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Rintoul, S. R., Chown, S. L., DeConto, R. M., England, M. H., Fricker, H. A., Masson-Delmotte, V., Naish, T. R., Siegert, M. J., &amp; Xavier, J. C. (2018). Choosing the future of Antarctica. </w:t>
      </w:r>
      <w:r w:rsidRPr="001523EB">
        <w:rPr>
          <w:rFonts w:ascii="Times New Roman" w:hAnsi="Times New Roman"/>
          <w:i/>
          <w:iCs/>
        </w:rPr>
        <w:t>Nature</w:t>
      </w:r>
      <w:r w:rsidRPr="001523EB">
        <w:rPr>
          <w:rFonts w:ascii="Times New Roman" w:hAnsi="Times New Roman"/>
        </w:rPr>
        <w:t xml:space="preserve">, </w:t>
      </w:r>
      <w:r w:rsidRPr="001523EB">
        <w:rPr>
          <w:rFonts w:ascii="Times New Roman" w:hAnsi="Times New Roman"/>
          <w:i/>
          <w:iCs/>
        </w:rPr>
        <w:t>558</w:t>
      </w:r>
      <w:r w:rsidRPr="001523EB">
        <w:rPr>
          <w:rFonts w:ascii="Times New Roman" w:hAnsi="Times New Roman"/>
        </w:rPr>
        <w:t>, 233–241. https://doi.org/10.1038/s41586-018-0173-4</w:t>
      </w:r>
    </w:p>
    <w:p w14:paraId="1200706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Roberts, S. (2003). Supply chain specific? Understanding the patchy success of ethical sourcing initiatives. In </w:t>
      </w:r>
      <w:r w:rsidRPr="001523EB">
        <w:rPr>
          <w:rFonts w:ascii="Times New Roman" w:hAnsi="Times New Roman"/>
          <w:i/>
          <w:iCs/>
        </w:rPr>
        <w:t>Journal of business ethics</w:t>
      </w:r>
      <w:r w:rsidRPr="001523EB">
        <w:rPr>
          <w:rFonts w:ascii="Times New Roman" w:hAnsi="Times New Roman"/>
        </w:rPr>
        <w:t xml:space="preserve"> (Vol. 44, Issue 2, pp. 159–170). https://doi.org/10.1023/A:1023395631811</w:t>
      </w:r>
    </w:p>
    <w:p w14:paraId="35E4DCE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Robin, S., Wolcott, R., &amp; Quintela, C. E. (2003). Perverse Subsidies and the Implications for Biodiversity: A review of recent findings and the status of policy reforms. </w:t>
      </w:r>
      <w:r w:rsidRPr="001523EB">
        <w:rPr>
          <w:rFonts w:ascii="Times New Roman" w:hAnsi="Times New Roman"/>
          <w:i/>
          <w:iCs/>
        </w:rPr>
        <w:t>5th IUCN World Park Congress</w:t>
      </w:r>
      <w:r w:rsidRPr="001523EB">
        <w:rPr>
          <w:rFonts w:ascii="Times New Roman" w:hAnsi="Times New Roman"/>
        </w:rPr>
        <w:t>, 8–17.</w:t>
      </w:r>
    </w:p>
    <w:p w14:paraId="27FC9B8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Robinson, C. J., Smyth, D., &amp; Whitehead, P. J. (2005). Bush Tucker, Bush Pets, and Bush Threats: Cooperative Management of Feral Animals in Australia’s Kakadu National Park.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(5), 1385–1391. https://doi.org/10.1111/j.1523-1739.2005.00196.x</w:t>
      </w:r>
    </w:p>
    <w:p w14:paraId="20E7A10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Rocca-Serra, P., Salek, R. M., Arita, M., Correa, E., Dayalan, S., Gonzalez-Beltran, A., Ebbels, T., Goodacre, R., Hastings, J., Haug, K., Koulman, A., Nikolski, M., Oresic, M., Sansone, S.-A., Schober, D., Smith, J., Steinbeck, C., Viant, M. R., &amp; Neumann, S. (2016). Data standards can boost metabolomics research, and if there is a will, there is a way. </w:t>
      </w:r>
      <w:r w:rsidRPr="001523EB">
        <w:rPr>
          <w:rFonts w:ascii="Times New Roman" w:hAnsi="Times New Roman"/>
          <w:i/>
          <w:iCs/>
        </w:rPr>
        <w:t>Metabolomics</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(1), 14. https://doi.org/10.1007/s11306-015-0879-3</w:t>
      </w:r>
    </w:p>
    <w:p w14:paraId="71193D3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Roder, W. (2001). </w:t>
      </w:r>
      <w:r w:rsidRPr="001523EB">
        <w:rPr>
          <w:rFonts w:ascii="Times New Roman" w:hAnsi="Times New Roman"/>
          <w:i/>
          <w:iCs/>
        </w:rPr>
        <w:t>Slash-and-burn rice systems in the hills of Northern Lao PDR: Description, challenges, and opportunities</w:t>
      </w:r>
      <w:r w:rsidRPr="001523EB">
        <w:rPr>
          <w:rFonts w:ascii="Times New Roman" w:hAnsi="Times New Roman"/>
        </w:rPr>
        <w:t>. International Rice Research Institute.</w:t>
      </w:r>
    </w:p>
    <w:p w14:paraId="704F5A1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Rodríguez-Labajos, B., Binimelis, R., &amp; Monterroso, I. (2009). Multi-level driving forces of biological invasions. </w:t>
      </w:r>
      <w:r w:rsidRPr="001523EB">
        <w:rPr>
          <w:rFonts w:ascii="Times New Roman" w:hAnsi="Times New Roman"/>
          <w:i/>
          <w:iCs/>
        </w:rPr>
        <w:t>Ecological Economics</w:t>
      </w:r>
      <w:r w:rsidRPr="001523EB">
        <w:rPr>
          <w:rFonts w:ascii="Times New Roman" w:hAnsi="Times New Roman"/>
        </w:rPr>
        <w:t xml:space="preserve">, </w:t>
      </w:r>
      <w:r w:rsidRPr="001523EB">
        <w:rPr>
          <w:rFonts w:ascii="Times New Roman" w:hAnsi="Times New Roman"/>
          <w:i/>
          <w:iCs/>
        </w:rPr>
        <w:t>69</w:t>
      </w:r>
      <w:r w:rsidRPr="001523EB">
        <w:rPr>
          <w:rFonts w:ascii="Times New Roman" w:hAnsi="Times New Roman"/>
        </w:rPr>
        <w:t>(1), 63–75. https://doi.org/10.1016/j.ecolecon.2009.08.022</w:t>
      </w:r>
    </w:p>
    <w:p w14:paraId="2F40648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Roman, J., &amp; Darling, J. A. (2007). Paradox lost: Genetic diversity and the success of aquatic invasions. </w:t>
      </w:r>
      <w:r w:rsidRPr="001523EB">
        <w:rPr>
          <w:rFonts w:ascii="Times New Roman" w:hAnsi="Times New Roman"/>
          <w:i/>
          <w:iCs/>
        </w:rPr>
        <w:t>Trends in Ecology &amp; Evolution</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(9), 454–464. https://doi.org/10.1016/j.tree.2007.07.002</w:t>
      </w:r>
    </w:p>
    <w:p w14:paraId="545E254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Rondinelli, D. A., &amp; Berry, M. A. (2000). Environmental citizenship in multinational corporations: Social responsibility and sustainable development. In </w:t>
      </w:r>
      <w:r w:rsidRPr="001523EB">
        <w:rPr>
          <w:rFonts w:ascii="Times New Roman" w:hAnsi="Times New Roman"/>
          <w:i/>
          <w:iCs/>
        </w:rPr>
        <w:t>European Management Journal</w:t>
      </w:r>
      <w:r w:rsidRPr="001523EB">
        <w:rPr>
          <w:rFonts w:ascii="Times New Roman" w:hAnsi="Times New Roman"/>
        </w:rPr>
        <w:t xml:space="preserve"> (Vol. 18, Issue 1, pp. 70–84). https://doi.org/10.1016/S0263-2373(99)00070-5</w:t>
      </w:r>
    </w:p>
    <w:p w14:paraId="3AC7F2A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Rosenthal, M. F., Gertler, M., Hamilton, A. D., Prasad, S., &amp; Andrade, M. C. B. (2017). Taxonomic bias in animal behaviour publications. </w:t>
      </w:r>
      <w:r w:rsidRPr="001523EB">
        <w:rPr>
          <w:rFonts w:ascii="Times New Roman" w:hAnsi="Times New Roman"/>
          <w:i/>
          <w:iCs/>
        </w:rPr>
        <w:t>Animal Behaviour</w:t>
      </w:r>
      <w:r w:rsidRPr="001523EB">
        <w:rPr>
          <w:rFonts w:ascii="Times New Roman" w:hAnsi="Times New Roman"/>
        </w:rPr>
        <w:t xml:space="preserve">, </w:t>
      </w:r>
      <w:r w:rsidRPr="001523EB">
        <w:rPr>
          <w:rFonts w:ascii="Times New Roman" w:hAnsi="Times New Roman"/>
          <w:i/>
          <w:iCs/>
        </w:rPr>
        <w:t>127</w:t>
      </w:r>
      <w:r w:rsidRPr="001523EB">
        <w:rPr>
          <w:rFonts w:ascii="Times New Roman" w:hAnsi="Times New Roman"/>
        </w:rPr>
        <w:t>, 83–89. https://doi.org/10.1016/j.anbehav.2017.02.017</w:t>
      </w:r>
    </w:p>
    <w:p w14:paraId="23B4A17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Rouillard, J., Lago, M., Abhold, K., Roeschel, L., Kafyeke, T., Klimmek, H., &amp; Mattheiß, V. (2018). Protecting and Restoring Biodiversity across the Freshwater, Coastal and Marine Realms: Is the existing EU policy framework fit for purpose? </w:t>
      </w:r>
      <w:r w:rsidRPr="001523EB">
        <w:rPr>
          <w:rFonts w:ascii="Times New Roman" w:hAnsi="Times New Roman"/>
          <w:i/>
          <w:iCs/>
        </w:rPr>
        <w:t>Environmental Policy and Governance</w:t>
      </w:r>
      <w:r w:rsidRPr="001523EB">
        <w:rPr>
          <w:rFonts w:ascii="Times New Roman" w:hAnsi="Times New Roman"/>
        </w:rPr>
        <w:t xml:space="preserve">, </w:t>
      </w:r>
      <w:r w:rsidRPr="001523EB">
        <w:rPr>
          <w:rFonts w:ascii="Times New Roman" w:hAnsi="Times New Roman"/>
          <w:i/>
          <w:iCs/>
        </w:rPr>
        <w:t>28</w:t>
      </w:r>
      <w:r w:rsidRPr="001523EB">
        <w:rPr>
          <w:rFonts w:ascii="Times New Roman" w:hAnsi="Times New Roman"/>
        </w:rPr>
        <w:t>(2), 114–128. https://doi.org/10.1002/eet.1793</w:t>
      </w:r>
    </w:p>
    <w:p w14:paraId="63A275C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Roura-Pascual, N., Leung, B., Rabitsch, W., Rutting, L., Vervoort, J., Bacher, S., Dullinger, S., Erb, K.-H., Jeschke, J. M., Katsanevakis, S., Kühn, I., Lenzner, B., Liebhold, A. M., Obersteiner, M., Pauchard, A., Peterson, G. D., Roy, H. E., Seebens, H., Winter, M., … Essl, F. (2021). Alternative futures for global biological invasions. </w:t>
      </w:r>
      <w:r w:rsidRPr="001523EB">
        <w:rPr>
          <w:rFonts w:ascii="Times New Roman" w:hAnsi="Times New Roman"/>
          <w:i/>
          <w:iCs/>
        </w:rPr>
        <w:t>Sustainability Science</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(5), 1637–1650. https://doi.org/10.1007/s11625-021-00963-6</w:t>
      </w:r>
    </w:p>
    <w:p w14:paraId="6A8CDAD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Roy, H. E., Groom, Q., Adriaens, T., Agnello, G., Antic, M., Archambeau, A.-S., Bacher, S., Bonn, A., Brown, P., Brundu, G., López, B. C., Cleary, M., Cogălniceanu, D., de Groot, M., De Sousa, T., Deidun, A., Essl, F., Fišer Pečnikar, Ž., Gazda, A., … Cardoso, A. C. (2018). Increasing understanding of alien species through citizen science (Alien-CSI). </w:t>
      </w:r>
      <w:r w:rsidRPr="001523EB">
        <w:rPr>
          <w:rFonts w:ascii="Times New Roman" w:hAnsi="Times New Roman"/>
          <w:i/>
          <w:iCs/>
        </w:rPr>
        <w:t>Research Ideas and Outcomes</w:t>
      </w:r>
      <w:r w:rsidRPr="001523EB">
        <w:rPr>
          <w:rFonts w:ascii="Times New Roman" w:hAnsi="Times New Roman"/>
        </w:rPr>
        <w:t xml:space="preserve">, </w:t>
      </w:r>
      <w:r w:rsidRPr="001523EB">
        <w:rPr>
          <w:rFonts w:ascii="Times New Roman" w:hAnsi="Times New Roman"/>
          <w:i/>
          <w:iCs/>
        </w:rPr>
        <w:t>4</w:t>
      </w:r>
      <w:r w:rsidRPr="001523EB">
        <w:rPr>
          <w:rFonts w:ascii="Times New Roman" w:hAnsi="Times New Roman"/>
        </w:rPr>
        <w:t>, e31412. https://doi.org/10.3897/rio.4.e31412</w:t>
      </w:r>
    </w:p>
    <w:p w14:paraId="38B5110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Roy, H. E., &amp; Roy, D. B. (2008). </w:t>
      </w:r>
      <w:r w:rsidRPr="001523EB">
        <w:rPr>
          <w:rFonts w:ascii="Times New Roman" w:hAnsi="Times New Roman"/>
          <w:i/>
          <w:iCs/>
        </w:rPr>
        <w:t>Deliverable: Review of invasive alien species monitoring in Europe including a plan for an early warning network.</w:t>
      </w:r>
      <w:r w:rsidRPr="001523EB">
        <w:rPr>
          <w:rFonts w:ascii="Times New Roman" w:hAnsi="Times New Roman"/>
        </w:rPr>
        <w:t xml:space="preserve"> DAISIE project deliverables.</w:t>
      </w:r>
    </w:p>
    <w:p w14:paraId="155AEAA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Ruckelshaus, M. H., Jackson, S. T., Mooney, H. A., Jacobs, K. L., Kassam, K.-A. S., Arroyo, M. T. K., Báldi, A., Bartuska, A. M., Boyd, J., Joppa, L. N., Kovács-Hostyánszki, A., Parsons, J. P., Scholes, R. J., Shogren, J. F., &amp; Ouyang, Z. (2020). The IPBES Global Assessment: Pathways to Action. </w:t>
      </w:r>
      <w:r w:rsidRPr="001523EB">
        <w:rPr>
          <w:rFonts w:ascii="Times New Roman" w:hAnsi="Times New Roman"/>
          <w:i/>
          <w:iCs/>
        </w:rPr>
        <w:t>Trends in Ecology &amp; Evolution</w:t>
      </w:r>
      <w:r w:rsidRPr="001523EB">
        <w:rPr>
          <w:rFonts w:ascii="Times New Roman" w:hAnsi="Times New Roman"/>
        </w:rPr>
        <w:t xml:space="preserve">, </w:t>
      </w:r>
      <w:r w:rsidRPr="001523EB">
        <w:rPr>
          <w:rFonts w:ascii="Times New Roman" w:hAnsi="Times New Roman"/>
          <w:i/>
          <w:iCs/>
        </w:rPr>
        <w:t>35</w:t>
      </w:r>
      <w:r w:rsidRPr="001523EB">
        <w:rPr>
          <w:rFonts w:ascii="Times New Roman" w:hAnsi="Times New Roman"/>
        </w:rPr>
        <w:t>(5), 407–414. https://doi.org/10.1016/j.tree.2020.01.009</w:t>
      </w:r>
    </w:p>
    <w:p w14:paraId="5BE7AEA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Rudd, M. A., Dickey-Collas, M., Ferretti, J., Johannesen, E., Macdonald, N. M., McLaughlin, R., Rae, M., Thiele, T., &amp; Link, J. S. (2018). Ocean Ecosystem-Based Management Mandates and Implementation in the North Atlantic. </w:t>
      </w:r>
      <w:r w:rsidRPr="001523EB">
        <w:rPr>
          <w:rFonts w:ascii="Times New Roman" w:hAnsi="Times New Roman"/>
          <w:i/>
          <w:iCs/>
        </w:rPr>
        <w:t>Frontiers in Marine Science</w:t>
      </w:r>
      <w:r w:rsidRPr="001523EB">
        <w:rPr>
          <w:rFonts w:ascii="Times New Roman" w:hAnsi="Times New Roman"/>
        </w:rPr>
        <w:t xml:space="preserve">, </w:t>
      </w:r>
      <w:r w:rsidRPr="001523EB">
        <w:rPr>
          <w:rFonts w:ascii="Times New Roman" w:hAnsi="Times New Roman"/>
          <w:i/>
          <w:iCs/>
        </w:rPr>
        <w:t>5</w:t>
      </w:r>
      <w:r w:rsidRPr="001523EB">
        <w:rPr>
          <w:rFonts w:ascii="Times New Roman" w:hAnsi="Times New Roman"/>
        </w:rPr>
        <w:t>. https://doi.org/10.3389/fmars.2018.00485</w:t>
      </w:r>
    </w:p>
    <w:p w14:paraId="62231A4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Russell, J. C., Jones, H. P., Armstrong, D. P., Courchamp, F., Kappes, P. J., Seddon, P. J., Oppel, S., Rauzon, M. J., Cowan, P. E., Rocamora, G., Genovesi, P., Bonnaud, E., Keitt, B. S., Holmes, N. D., &amp; Tershy, B. R. (2016). Importance of lethal control of invasive predators for island conservation. </w:t>
      </w:r>
      <w:r w:rsidRPr="001523EB">
        <w:rPr>
          <w:rFonts w:ascii="Times New Roman" w:hAnsi="Times New Roman"/>
          <w:i/>
          <w:iCs/>
        </w:rPr>
        <w:t>Conservation Biology</w:t>
      </w:r>
      <w:r w:rsidRPr="001523EB">
        <w:rPr>
          <w:rFonts w:ascii="Times New Roman" w:hAnsi="Times New Roman"/>
        </w:rPr>
        <w:t xml:space="preserve">, </w:t>
      </w:r>
      <w:r w:rsidRPr="001523EB">
        <w:rPr>
          <w:rFonts w:ascii="Times New Roman" w:hAnsi="Times New Roman"/>
          <w:i/>
          <w:iCs/>
        </w:rPr>
        <w:t>30</w:t>
      </w:r>
      <w:r w:rsidRPr="001523EB">
        <w:rPr>
          <w:rFonts w:ascii="Times New Roman" w:hAnsi="Times New Roman"/>
        </w:rPr>
        <w:t>(3), 670–672. https://doi.org/10.1111/cobi.12666</w:t>
      </w:r>
    </w:p>
    <w:p w14:paraId="77B4BE3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Ruttenberg, B. I., Schofield, P. J., Akins, J. L., Acosta, A., Feeley, M. W., Blondeau, J., Smith, S. G., &amp; Ault, J. S. (2012). Rapid invasion of the Indo-Pacific lionfishes (</w:t>
      </w:r>
      <w:r w:rsidRPr="001523EB">
        <w:rPr>
          <w:rFonts w:ascii="Times New Roman" w:hAnsi="Times New Roman"/>
          <w:i/>
          <w:iCs/>
        </w:rPr>
        <w:t>Pterois volitans</w:t>
      </w:r>
      <w:r w:rsidRPr="001523EB">
        <w:rPr>
          <w:rFonts w:ascii="Times New Roman" w:hAnsi="Times New Roman"/>
        </w:rPr>
        <w:t xml:space="preserve"> and </w:t>
      </w:r>
      <w:r w:rsidRPr="001523EB">
        <w:rPr>
          <w:rFonts w:ascii="Times New Roman" w:hAnsi="Times New Roman"/>
          <w:i/>
          <w:iCs/>
        </w:rPr>
        <w:t>Pterois miles</w:t>
      </w:r>
      <w:r w:rsidRPr="001523EB">
        <w:rPr>
          <w:rFonts w:ascii="Times New Roman" w:hAnsi="Times New Roman"/>
        </w:rPr>
        <w:t xml:space="preserve">) in the Florida Keys, USA: evidence from multiple pre-and post-invasion data sets. </w:t>
      </w:r>
      <w:r w:rsidRPr="001523EB">
        <w:rPr>
          <w:rFonts w:ascii="Times New Roman" w:hAnsi="Times New Roman"/>
          <w:i/>
          <w:iCs/>
        </w:rPr>
        <w:t>Bulletin of Marine Science</w:t>
      </w:r>
      <w:r w:rsidRPr="001523EB">
        <w:rPr>
          <w:rFonts w:ascii="Times New Roman" w:hAnsi="Times New Roman"/>
        </w:rPr>
        <w:t xml:space="preserve">, </w:t>
      </w:r>
      <w:r w:rsidRPr="001523EB">
        <w:rPr>
          <w:rFonts w:ascii="Times New Roman" w:hAnsi="Times New Roman"/>
          <w:i/>
          <w:iCs/>
        </w:rPr>
        <w:t>88</w:t>
      </w:r>
      <w:r w:rsidRPr="001523EB">
        <w:rPr>
          <w:rFonts w:ascii="Times New Roman" w:hAnsi="Times New Roman"/>
        </w:rPr>
        <w:t>(4), 10511059. https://doi.org/10.5343/bms.2011.1108</w:t>
      </w:r>
    </w:p>
    <w:p w14:paraId="6BF1E6F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Sandmo, A. (1975). Optimal taxation in the presence of externalities. In </w:t>
      </w:r>
      <w:r w:rsidRPr="001523EB">
        <w:rPr>
          <w:rFonts w:ascii="Times New Roman" w:hAnsi="Times New Roman"/>
          <w:i/>
          <w:iCs/>
        </w:rPr>
        <w:t>The Swedish Journal of Economics</w:t>
      </w:r>
      <w:r w:rsidRPr="001523EB">
        <w:rPr>
          <w:rFonts w:ascii="Times New Roman" w:hAnsi="Times New Roman"/>
        </w:rPr>
        <w:t xml:space="preserve"> (Vol. 77, Issue 1, pp. 86–98). https://doi.org/10.2307/3439329</w:t>
      </w:r>
    </w:p>
    <w:p w14:paraId="3A36B1B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Sandmo, A. (2008). Pigouvian taxes. In </w:t>
      </w:r>
      <w:r w:rsidRPr="001523EB">
        <w:rPr>
          <w:rFonts w:ascii="Times New Roman" w:hAnsi="Times New Roman"/>
          <w:i/>
          <w:iCs/>
        </w:rPr>
        <w:t>The new Palgrave dictionary of economics</w:t>
      </w:r>
      <w:r w:rsidRPr="001523EB">
        <w:rPr>
          <w:rFonts w:ascii="Times New Roman" w:hAnsi="Times New Roman"/>
        </w:rPr>
        <w:t xml:space="preserve"> (Vol. 2). Palgrave Macmillan. https://doi.org/10.1057/978-1-349-95121-5_2678-1</w:t>
      </w:r>
    </w:p>
    <w:p w14:paraId="5F4C18B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Sarà, G., Palmeri, V., Rinaldi, A., Montalto, V., &amp; Helmuth, B. (2013). Predicting biological invasions in marine habitats through eco-physiological mechanistic models: A case study with the bivalve </w:t>
      </w:r>
      <w:r w:rsidRPr="001523EB">
        <w:rPr>
          <w:rFonts w:ascii="Times New Roman" w:hAnsi="Times New Roman"/>
          <w:i/>
          <w:iCs/>
        </w:rPr>
        <w:t>Brachidontes pharaonis</w:t>
      </w:r>
      <w:r w:rsidRPr="001523EB">
        <w:rPr>
          <w:rFonts w:ascii="Times New Roman" w:hAnsi="Times New Roman"/>
        </w:rPr>
        <w:t xml:space="preserve">. </w:t>
      </w:r>
      <w:r w:rsidRPr="001523EB">
        <w:rPr>
          <w:rFonts w:ascii="Times New Roman" w:hAnsi="Times New Roman"/>
          <w:i/>
          <w:iCs/>
        </w:rPr>
        <w:t>Diversity &amp; Distributions</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(10), 1235–1247. https://doi.org/10.1111/ddi.12074</w:t>
      </w:r>
    </w:p>
    <w:p w14:paraId="055DD60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Sarat, E., Dutartre, A., Soubeyran, Y., &amp; Poulet, N. (2017). A French working group on biological invasions in aquatic environments: Towards an improvement of knowledge and management of freshwater invasive alien species. </w:t>
      </w:r>
      <w:r w:rsidRPr="001523EB">
        <w:rPr>
          <w:rFonts w:ascii="Times New Roman" w:hAnsi="Times New Roman"/>
          <w:i/>
          <w:iCs/>
        </w:rPr>
        <w:t>Management of Biological Invasions</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(3), 415–424. https://doi.org/10.3391/mbi.2017.8.3.15</w:t>
      </w:r>
    </w:p>
    <w:p w14:paraId="7BE90D2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Saul, W.-C., Roy, H. E., Booy, O., Carnevali, L., Chen, H.-J., Genovesi, P., Harrower, C. A., Hulme, P. E., Pagad, S., Pergl, J., &amp; Jeschke, J. M. (2017). Assessing patterns in introduction pathways of alien species by linking major invasion data bases. </w:t>
      </w:r>
      <w:r w:rsidRPr="001523EB">
        <w:rPr>
          <w:rFonts w:ascii="Times New Roman" w:hAnsi="Times New Roman"/>
          <w:i/>
          <w:iCs/>
        </w:rPr>
        <w:t>Journal of Applied Ecology</w:t>
      </w:r>
      <w:r w:rsidRPr="001523EB">
        <w:rPr>
          <w:rFonts w:ascii="Times New Roman" w:hAnsi="Times New Roman"/>
        </w:rPr>
        <w:t xml:space="preserve">, </w:t>
      </w:r>
      <w:r w:rsidRPr="001523EB">
        <w:rPr>
          <w:rFonts w:ascii="Times New Roman" w:hAnsi="Times New Roman"/>
          <w:i/>
          <w:iCs/>
        </w:rPr>
        <w:t>54</w:t>
      </w:r>
      <w:r w:rsidRPr="001523EB">
        <w:rPr>
          <w:rFonts w:ascii="Times New Roman" w:hAnsi="Times New Roman"/>
        </w:rPr>
        <w:t>(2), 657–669. https://doi.org/10.1111/1365-2664.12819</w:t>
      </w:r>
    </w:p>
    <w:p w14:paraId="36A9A07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SCAR &amp; COMNAP. (2019). </w:t>
      </w:r>
      <w:r w:rsidRPr="001523EB">
        <w:rPr>
          <w:rFonts w:ascii="Times New Roman" w:hAnsi="Times New Roman"/>
          <w:i/>
          <w:iCs/>
        </w:rPr>
        <w:t>Inter-continental Checklists: For supply chain managers of the National Antarctic Programmes for the reduction in risk of transfer of non</w:t>
      </w:r>
      <w:r w:rsidRPr="001523EB">
        <w:rPr>
          <w:rFonts w:ascii="Times New Roman" w:hAnsi="Times New Roman" w:hint="eastAsia"/>
          <w:i/>
          <w:iCs/>
        </w:rPr>
        <w:t>‐</w:t>
      </w:r>
      <w:r w:rsidRPr="001523EB">
        <w:rPr>
          <w:rFonts w:ascii="Times New Roman" w:hAnsi="Times New Roman"/>
          <w:i/>
          <w:iCs/>
        </w:rPr>
        <w:t>native species</w:t>
      </w:r>
      <w:r w:rsidRPr="001523EB">
        <w:rPr>
          <w:rFonts w:ascii="Times New Roman" w:hAnsi="Times New Roman"/>
        </w:rPr>
        <w:t>. Scientific Committee on Antarctic Research &amp; Council of Managers of National Antarctic Programs. https://documents.ats.aq/ATCM42/att/ATCM42_att068_e.pdf</w:t>
      </w:r>
    </w:p>
    <w:p w14:paraId="247E3AF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Schofield, P. J. (2009). Geographic extent and chronology of the invasion of non-native lionfish (</w:t>
      </w:r>
      <w:r w:rsidRPr="001523EB">
        <w:rPr>
          <w:rFonts w:ascii="Times New Roman" w:hAnsi="Times New Roman"/>
          <w:i/>
          <w:iCs/>
        </w:rPr>
        <w:t>Pterois volitans</w:t>
      </w:r>
      <w:r w:rsidRPr="001523EB">
        <w:rPr>
          <w:rFonts w:ascii="Times New Roman" w:hAnsi="Times New Roman"/>
        </w:rPr>
        <w:t xml:space="preserve"> [Linnaeus 1758] and </w:t>
      </w:r>
      <w:r w:rsidRPr="001523EB">
        <w:rPr>
          <w:rFonts w:ascii="Times New Roman" w:hAnsi="Times New Roman"/>
          <w:i/>
          <w:iCs/>
        </w:rPr>
        <w:t>P. miles</w:t>
      </w:r>
      <w:r w:rsidRPr="001523EB">
        <w:rPr>
          <w:rFonts w:ascii="Times New Roman" w:hAnsi="Times New Roman"/>
        </w:rPr>
        <w:t xml:space="preserve"> [Bennett 1828]) in the Western North Atlantic and Caribbean Sea. </w:t>
      </w:r>
      <w:r w:rsidRPr="001523EB">
        <w:rPr>
          <w:rFonts w:ascii="Times New Roman" w:hAnsi="Times New Roman"/>
          <w:i/>
          <w:iCs/>
        </w:rPr>
        <w:t>Aquatic Invasions</w:t>
      </w:r>
      <w:r w:rsidRPr="001523EB">
        <w:rPr>
          <w:rFonts w:ascii="Times New Roman" w:hAnsi="Times New Roman"/>
        </w:rPr>
        <w:t xml:space="preserve">, </w:t>
      </w:r>
      <w:r w:rsidRPr="001523EB">
        <w:rPr>
          <w:rFonts w:ascii="Times New Roman" w:hAnsi="Times New Roman"/>
          <w:i/>
          <w:iCs/>
        </w:rPr>
        <w:t>4</w:t>
      </w:r>
      <w:r w:rsidRPr="001523EB">
        <w:rPr>
          <w:rFonts w:ascii="Times New Roman" w:hAnsi="Times New Roman"/>
        </w:rPr>
        <w:t>(3), 473–479. https://doi.org/10.3391/ai.2009.4.3.5</w:t>
      </w:r>
    </w:p>
    <w:p w14:paraId="19A8FCF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Schot, J., &amp; Steinmueller, W. E. (2018). Three frames for innovation policy: R&amp;D, systems of innovation and transformative change. </w:t>
      </w:r>
      <w:r w:rsidRPr="001523EB">
        <w:rPr>
          <w:rFonts w:ascii="Times New Roman" w:hAnsi="Times New Roman"/>
          <w:i/>
          <w:iCs/>
        </w:rPr>
        <w:t>Research Policy</w:t>
      </w:r>
      <w:r w:rsidRPr="001523EB">
        <w:rPr>
          <w:rFonts w:ascii="Times New Roman" w:hAnsi="Times New Roman"/>
        </w:rPr>
        <w:t xml:space="preserve">, </w:t>
      </w:r>
      <w:r w:rsidRPr="001523EB">
        <w:rPr>
          <w:rFonts w:ascii="Times New Roman" w:hAnsi="Times New Roman"/>
          <w:i/>
          <w:iCs/>
        </w:rPr>
        <w:t>47</w:t>
      </w:r>
      <w:r w:rsidRPr="001523EB">
        <w:rPr>
          <w:rFonts w:ascii="Times New Roman" w:hAnsi="Times New Roman"/>
        </w:rPr>
        <w:t>(9), 1554–1567. https://doi.org/10.1016/j.respol.2018.08.011</w:t>
      </w:r>
    </w:p>
    <w:p w14:paraId="02FE0E9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Schuster, R., Germain, R. R., Bennett, J. R., Reo, N. J., &amp; Arcese, P. (2019). Vertebrate biodiversity on indigenous-managed lands in Australia, Brazil, and Canada equals that in protected areas. </w:t>
      </w:r>
      <w:r w:rsidRPr="001523EB">
        <w:rPr>
          <w:rFonts w:ascii="Times New Roman" w:hAnsi="Times New Roman"/>
          <w:i/>
          <w:iCs/>
        </w:rPr>
        <w:t>Environmental Science &amp; Policy</w:t>
      </w:r>
      <w:r w:rsidRPr="001523EB">
        <w:rPr>
          <w:rFonts w:ascii="Times New Roman" w:hAnsi="Times New Roman"/>
        </w:rPr>
        <w:t xml:space="preserve">, </w:t>
      </w:r>
      <w:r w:rsidRPr="001523EB">
        <w:rPr>
          <w:rFonts w:ascii="Times New Roman" w:hAnsi="Times New Roman"/>
          <w:i/>
          <w:iCs/>
        </w:rPr>
        <w:t>101</w:t>
      </w:r>
      <w:r w:rsidRPr="001523EB">
        <w:rPr>
          <w:rFonts w:ascii="Times New Roman" w:hAnsi="Times New Roman"/>
        </w:rPr>
        <w:t>, 1–6. https://doi.org/10.1016/j.envsci.2019.07.002</w:t>
      </w:r>
    </w:p>
    <w:p w14:paraId="67817AE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Schwindt, E., &amp; Bortolus, A. (2017). Aquatic invasion biology research in South America: Geographic patterns, advances and perspectives. </w:t>
      </w:r>
      <w:r w:rsidRPr="001523EB">
        <w:rPr>
          <w:rFonts w:ascii="Times New Roman" w:hAnsi="Times New Roman"/>
          <w:i/>
          <w:iCs/>
        </w:rPr>
        <w:t>Aquatic Ecosystem Health &amp; Management</w:t>
      </w:r>
      <w:r w:rsidRPr="001523EB">
        <w:rPr>
          <w:rFonts w:ascii="Times New Roman" w:hAnsi="Times New Roman"/>
        </w:rPr>
        <w:t xml:space="preserve">, </w:t>
      </w:r>
      <w:r w:rsidRPr="001523EB">
        <w:rPr>
          <w:rFonts w:ascii="Times New Roman" w:hAnsi="Times New Roman"/>
          <w:i/>
          <w:iCs/>
        </w:rPr>
        <w:t>20</w:t>
      </w:r>
      <w:r w:rsidRPr="001523EB">
        <w:rPr>
          <w:rFonts w:ascii="Times New Roman" w:hAnsi="Times New Roman"/>
        </w:rPr>
        <w:t>(4), 322–333. https://doi.org/10.1080/14634988.2017.1404413</w:t>
      </w:r>
    </w:p>
    <w:p w14:paraId="6D560DB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Scoones, I., Stirling, A., Abrol, D., Atela, J., Charli-Joseph, L., Eakin, H., Ely, A., Olsson, P., Pereira, L., Priya, R., van Zwanenberg, P., &amp; Yang, L. (2020). Transformations to sustainability: Combining structural, systemic and enabling approaches. </w:t>
      </w:r>
      <w:r w:rsidRPr="001523EB">
        <w:rPr>
          <w:rFonts w:ascii="Times New Roman" w:hAnsi="Times New Roman"/>
          <w:i/>
          <w:iCs/>
        </w:rPr>
        <w:t>Current Opinion in Environmental Sustainability</w:t>
      </w:r>
      <w:r w:rsidRPr="001523EB">
        <w:rPr>
          <w:rFonts w:ascii="Times New Roman" w:hAnsi="Times New Roman"/>
        </w:rPr>
        <w:t xml:space="preserve">, </w:t>
      </w:r>
      <w:r w:rsidRPr="001523EB">
        <w:rPr>
          <w:rFonts w:ascii="Times New Roman" w:hAnsi="Times New Roman"/>
          <w:i/>
          <w:iCs/>
        </w:rPr>
        <w:t>42</w:t>
      </w:r>
      <w:r w:rsidRPr="001523EB">
        <w:rPr>
          <w:rFonts w:ascii="Times New Roman" w:hAnsi="Times New Roman"/>
        </w:rPr>
        <w:t>, 65–75. https://doi.org/10.1016/j.cosust.2019.12.004</w:t>
      </w:r>
    </w:p>
    <w:p w14:paraId="195A50F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SEAM. (2006). </w:t>
      </w:r>
      <w:r w:rsidRPr="001523EB">
        <w:rPr>
          <w:rFonts w:ascii="Times New Roman" w:hAnsi="Times New Roman"/>
          <w:i/>
          <w:iCs/>
        </w:rPr>
        <w:t>Resolución N° 1.185/06—Por la cual se establecen los Términos Oficiales de Referencia para la introducción de especies exóticas de flora.</w:t>
      </w:r>
      <w:r w:rsidRPr="001523EB">
        <w:rPr>
          <w:rFonts w:ascii="Times New Roman" w:hAnsi="Times New Roman"/>
        </w:rPr>
        <w:t xml:space="preserve"> https://www.ecolex.org/details/legislation/resolucion-n-118506-por-la-cual-se-establecen-los-terminos-oficiales-de-referencia-para-la-introduccion-de-especies-exoticas-de-flora-lex-faoc087501/</w:t>
      </w:r>
    </w:p>
    <w:p w14:paraId="38E037C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Seaton, K., Bettin, A., &amp; Grüneberg, H. (2014). New Ornamental Plants for Horticulture. In G. R. Dixon &amp; D. E. Aldous (Eds.), </w:t>
      </w:r>
      <w:r w:rsidRPr="001523EB">
        <w:rPr>
          <w:rFonts w:ascii="Times New Roman" w:hAnsi="Times New Roman"/>
          <w:i/>
          <w:iCs/>
        </w:rPr>
        <w:t>Horticulture: Plants for People and Places, Volume 1: Production Horticulture</w:t>
      </w:r>
      <w:r w:rsidRPr="001523EB">
        <w:rPr>
          <w:rFonts w:ascii="Times New Roman" w:hAnsi="Times New Roman"/>
        </w:rPr>
        <w:t xml:space="preserve"> (pp. 435–463). Springer Netherlands. https://doi.org/10.1007/978-94-017-8578-5_12</w:t>
      </w:r>
    </w:p>
    <w:p w14:paraId="0CC9457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Secretariat, Great Britain Non-native Species. (2015). </w:t>
      </w:r>
      <w:r w:rsidRPr="001523EB">
        <w:rPr>
          <w:rFonts w:ascii="Times New Roman" w:hAnsi="Times New Roman"/>
          <w:i/>
          <w:iCs/>
        </w:rPr>
        <w:t>The Great Britain Invasive Non-native Species Strategy</w:t>
      </w:r>
      <w:r w:rsidRPr="001523EB">
        <w:rPr>
          <w:rFonts w:ascii="Times New Roman" w:hAnsi="Times New Roman"/>
        </w:rPr>
        <w:t>.</w:t>
      </w:r>
    </w:p>
    <w:p w14:paraId="207A63C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Secretariat of Convention on Wetlands. (1971). </w:t>
      </w:r>
      <w:r w:rsidRPr="001523EB">
        <w:rPr>
          <w:rFonts w:ascii="Times New Roman" w:hAnsi="Times New Roman"/>
          <w:i/>
          <w:iCs/>
        </w:rPr>
        <w:t>Convention on Wetlands of International Importance especially as Waterfowl Habitat: Final Text adopted by the International Conference on the Wetlands and Waterfowl</w:t>
      </w:r>
      <w:r w:rsidRPr="001523EB">
        <w:rPr>
          <w:rFonts w:ascii="Times New Roman" w:hAnsi="Times New Roman"/>
        </w:rPr>
        <w:t>. https:// www.ramsar.org/sites/default/files/ documents/library/original_1971_ convention_e.pdf</w:t>
      </w:r>
    </w:p>
    <w:p w14:paraId="1251E38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Secretariat of the CBD. (2001). </w:t>
      </w:r>
      <w:r w:rsidRPr="001523EB">
        <w:rPr>
          <w:rFonts w:ascii="Times New Roman" w:hAnsi="Times New Roman"/>
          <w:i/>
          <w:iCs/>
        </w:rPr>
        <w:t>Review of the efficiency and efficacy of existing legal instruments applicable to invasive alien species</w:t>
      </w:r>
      <w:r w:rsidRPr="001523EB">
        <w:rPr>
          <w:rFonts w:ascii="Times New Roman" w:hAnsi="Times New Roman"/>
        </w:rPr>
        <w:t xml:space="preserve"> (CBD Technical Series no. 2; p. 42). Secretariat of the Convention on Biological Diversity.</w:t>
      </w:r>
    </w:p>
    <w:p w14:paraId="6A930BB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Secretariat of the CBD. (2014). </w:t>
      </w:r>
      <w:r w:rsidRPr="001523EB">
        <w:rPr>
          <w:rFonts w:ascii="Times New Roman" w:hAnsi="Times New Roman"/>
          <w:i/>
          <w:iCs/>
        </w:rPr>
        <w:t>Global Biodiversity Outlook 4</w:t>
      </w:r>
      <w:r w:rsidRPr="001523EB">
        <w:rPr>
          <w:rFonts w:ascii="Times New Roman" w:hAnsi="Times New Roman"/>
        </w:rPr>
        <w:t xml:space="preserve"> (p. 155). Secretariat of the Convention on Biological Diversity. https://www.cbd.int/gbo/gbo4/publication/gbo4-en-hr.pdf</w:t>
      </w:r>
    </w:p>
    <w:p w14:paraId="2635122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Secretariat of the CBD. (2020). </w:t>
      </w:r>
      <w:r w:rsidRPr="001523EB">
        <w:rPr>
          <w:rFonts w:ascii="Times New Roman" w:hAnsi="Times New Roman"/>
          <w:i/>
          <w:iCs/>
        </w:rPr>
        <w:t>Global Biodiversity Outlook 5</w:t>
      </w:r>
      <w:r w:rsidRPr="001523EB">
        <w:rPr>
          <w:rFonts w:ascii="Times New Roman" w:hAnsi="Times New Roman"/>
        </w:rPr>
        <w:t xml:space="preserve"> (p. 211). Secretariat of the Convention on Biological Diversity. https://www.cbd.int/gbo/gbo5/publication/gbo-5-en.pdf</w:t>
      </w:r>
    </w:p>
    <w:p w14:paraId="5D05E4C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Seebens, H., Blackburn, T. M., Dyer, E. E., Genovesi, P., Hulme, P. E., Jeschke, J. M., Pagad, S., Pyšek, P., van Kleunen, M., Winter, M., Ansong, M., Arianoutsou, M., Bacher, S., Blasius, B., Brockerhoff, E. G., Brundu, G., Capinha, C., Causton, C. E., Celesti-Grapow, L., … Essl, F. (2018). Global rise in emerging alien species results from increased accessibility of new source pools. </w:t>
      </w:r>
      <w:r w:rsidRPr="001523EB">
        <w:rPr>
          <w:rFonts w:ascii="Times New Roman" w:hAnsi="Times New Roman"/>
          <w:i/>
          <w:iCs/>
        </w:rPr>
        <w:t>Proceedings of the National Academy of Sciences</w:t>
      </w:r>
      <w:r w:rsidRPr="001523EB">
        <w:rPr>
          <w:rFonts w:ascii="Times New Roman" w:hAnsi="Times New Roman"/>
        </w:rPr>
        <w:t xml:space="preserve">, </w:t>
      </w:r>
      <w:r w:rsidRPr="001523EB">
        <w:rPr>
          <w:rFonts w:ascii="Times New Roman" w:hAnsi="Times New Roman"/>
          <w:i/>
          <w:iCs/>
        </w:rPr>
        <w:t>115</w:t>
      </w:r>
      <w:r w:rsidRPr="001523EB">
        <w:rPr>
          <w:rFonts w:ascii="Times New Roman" w:hAnsi="Times New Roman"/>
        </w:rPr>
        <w:t>(10), E2264–E2273. https://doi.org/10.1073/pnas.1719429115</w:t>
      </w:r>
    </w:p>
    <w:p w14:paraId="462700E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Seebens, H., Blackburn, T. M., Dyer, E. E., Genovesi, P., Hulme, P. E., Jeschke, J. M., Pagad, S., Pyšek, P., Winter, M., Arianoutsou, M., Bacher, S., Blasius, B., Brundu, G., Capinha, C., Celesti-Grapow, L., Dawson, W., Dullinger, S., Fuentes, N., Jäger, H., … Essl, F. (2017). No saturation in the accumulation of alien species worldwide. </w:t>
      </w:r>
      <w:r w:rsidRPr="001523EB">
        <w:rPr>
          <w:rFonts w:ascii="Times New Roman" w:hAnsi="Times New Roman"/>
          <w:i/>
          <w:iCs/>
        </w:rPr>
        <w:t>Nature Communications</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(1), 14435. https://doi.org/10.1038/ncomms14435</w:t>
      </w:r>
    </w:p>
    <w:p w14:paraId="615BABB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Seebens, H., Clarke, D. A., Groom, Q., Wilson, J. R. U., García-Berthou, E., Kühn, I., Roigé, M., Pagad, S., Essl, F., Vicente, J., Winter, M., &amp; McGeoch, M. A. (2020). A workflow for standardising and integrating alien species distribution data. </w:t>
      </w:r>
      <w:r w:rsidRPr="001523EB">
        <w:rPr>
          <w:rFonts w:ascii="Times New Roman" w:hAnsi="Times New Roman"/>
          <w:i/>
          <w:iCs/>
        </w:rPr>
        <w:t>NeoBiota</w:t>
      </w:r>
      <w:r w:rsidRPr="001523EB">
        <w:rPr>
          <w:rFonts w:ascii="Times New Roman" w:hAnsi="Times New Roman"/>
        </w:rPr>
        <w:t xml:space="preserve">, </w:t>
      </w:r>
      <w:r w:rsidRPr="001523EB">
        <w:rPr>
          <w:rFonts w:ascii="Times New Roman" w:hAnsi="Times New Roman"/>
          <w:i/>
          <w:iCs/>
        </w:rPr>
        <w:t>59</w:t>
      </w:r>
      <w:r w:rsidRPr="001523EB">
        <w:rPr>
          <w:rFonts w:ascii="Times New Roman" w:hAnsi="Times New Roman"/>
        </w:rPr>
        <w:t>, 39–59. https://doi.org/10.3897/neobiota.59.53578</w:t>
      </w:r>
    </w:p>
    <w:p w14:paraId="14D74B9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Seebens, H., Essl, F., Dawson, W., Fuentes, N., Moser, D., Pergl, J., Pyšek, P., Van Kleunen, M., Weber, E., Winter, M., &amp; Blasius, B. (2015). Global trade will accelerate plant invasions in emerging economies under climate change. </w:t>
      </w:r>
      <w:r w:rsidRPr="001523EB">
        <w:rPr>
          <w:rFonts w:ascii="Times New Roman" w:hAnsi="Times New Roman"/>
          <w:i/>
          <w:iCs/>
        </w:rPr>
        <w:t>Global Change Biology</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(11), 4128–4140. https://doi.org/10.1111/gcb.13021</w:t>
      </w:r>
    </w:p>
    <w:p w14:paraId="227CD8D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Segerson, K. (1988). Uncertainty and incentives for nonpoint pollution control. </w:t>
      </w:r>
      <w:r w:rsidRPr="001523EB">
        <w:rPr>
          <w:rFonts w:ascii="Times New Roman" w:hAnsi="Times New Roman"/>
          <w:i/>
          <w:iCs/>
        </w:rPr>
        <w:t>Journal of Environmental Economics and Management</w:t>
      </w:r>
      <w:r w:rsidRPr="001523EB">
        <w:rPr>
          <w:rFonts w:ascii="Times New Roman" w:hAnsi="Times New Roman"/>
        </w:rPr>
        <w:t xml:space="preserve">, </w:t>
      </w:r>
      <w:r w:rsidRPr="001523EB">
        <w:rPr>
          <w:rFonts w:ascii="Times New Roman" w:hAnsi="Times New Roman"/>
          <w:i/>
          <w:iCs/>
        </w:rPr>
        <w:t>15</w:t>
      </w:r>
      <w:r w:rsidRPr="001523EB">
        <w:rPr>
          <w:rFonts w:ascii="Times New Roman" w:hAnsi="Times New Roman"/>
        </w:rPr>
        <w:t>(1), 87–98. https://doi.org/10.1016/0095-0696(88)90030-7</w:t>
      </w:r>
    </w:p>
    <w:p w14:paraId="2A96C3C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Seipel, T., Kueffer, C., Rew, L. J., Daehler, C. C., Pauchard, A., Naylor, B. J., Alexander, J. M., Edwards, P. J., Parks, C. G., Arevalo, J. R., Cavieres, L. A., Dietz, H., Jakobs, G., McDougall, K., Otto, R., &amp; Walsh, N. (2012). Processes at multiple scales affect richness and similarity of non-native plant species in mountains around the world. </w:t>
      </w:r>
      <w:r w:rsidRPr="001523EB">
        <w:rPr>
          <w:rFonts w:ascii="Times New Roman" w:hAnsi="Times New Roman"/>
          <w:i/>
          <w:iCs/>
        </w:rPr>
        <w:t>Global Ecology and Biogeography</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(2), 236–246. https://doi.org/10.1111/j.1466-8238.2011.00664.x</w:t>
      </w:r>
    </w:p>
    <w:p w14:paraId="74E0D0A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Sen, A. (1982). Approaches to the choice of discount rates for social cost benefit analysis. In R. C. Lind (Ed.), </w:t>
      </w:r>
      <w:r w:rsidRPr="001523EB">
        <w:rPr>
          <w:rFonts w:ascii="Times New Roman" w:hAnsi="Times New Roman"/>
          <w:i/>
          <w:iCs/>
        </w:rPr>
        <w:t>Discounting for Time an Risk in Energy Policy</w:t>
      </w:r>
      <w:r w:rsidRPr="001523EB">
        <w:rPr>
          <w:rFonts w:ascii="Times New Roman" w:hAnsi="Times New Roman"/>
        </w:rPr>
        <w:t>. Taylor &amp; Francis Inc. https://scholar.harvard.edu/sen/publications/approaches-choice-discount-rates-social-cost-benefit-analysis</w:t>
      </w:r>
    </w:p>
    <w:p w14:paraId="6FB1751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Sethi, S. P. (2011). Self-regulation through voluntary codes of conduct. In </w:t>
      </w:r>
      <w:r w:rsidRPr="001523EB">
        <w:rPr>
          <w:rFonts w:ascii="Times New Roman" w:hAnsi="Times New Roman"/>
          <w:i/>
          <w:iCs/>
        </w:rPr>
        <w:t>Globalization and Self-Regulation</w:t>
      </w:r>
      <w:r w:rsidRPr="001523EB">
        <w:rPr>
          <w:rFonts w:ascii="Times New Roman" w:hAnsi="Times New Roman"/>
        </w:rPr>
        <w:t xml:space="preserve"> (pp. 3–14). Palgrave Macmillan. https://doi.org/10.1057/9780230348578_1</w:t>
      </w:r>
    </w:p>
    <w:p w14:paraId="05E5550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Shabani, F., Ahmadi, M., Kumar, L., Solhjouy-fard, S., Tehrany, M. S., Shabani, F., Kalantar, B., &amp; Esmaeili, A. (2020). Invasive weed species’ threats to global biodiversity: Future scenarios of changes in the number of invasive species in a changing climate. In </w:t>
      </w:r>
      <w:r w:rsidRPr="001523EB">
        <w:rPr>
          <w:rFonts w:ascii="Times New Roman" w:hAnsi="Times New Roman"/>
          <w:i/>
          <w:iCs/>
        </w:rPr>
        <w:t>Ecological Indicators</w:t>
      </w:r>
      <w:r w:rsidRPr="001523EB">
        <w:rPr>
          <w:rFonts w:ascii="Times New Roman" w:hAnsi="Times New Roman"/>
        </w:rPr>
        <w:t xml:space="preserve"> (Vol. 116, p. 106436). https://doi.org/10.1016/j.ecolind.2020.106436</w:t>
      </w:r>
    </w:p>
    <w:p w14:paraId="49FB185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Shackleton, R. T., Adriaens, T., Brundu, G., Dehnen-Schmutz, K., Estévez, R. A., Fried, J., Larson, B. M. H., Liu, S., Marchante, E., Marchante, H., Moshobane, M. C., Novoa, A., Reed, M., &amp; Richardson, D. M. (2019). Stakeholder engagement in the study and management of invasive alien species.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229</w:t>
      </w:r>
      <w:r w:rsidRPr="001523EB">
        <w:rPr>
          <w:rFonts w:ascii="Times New Roman" w:hAnsi="Times New Roman"/>
        </w:rPr>
        <w:t>, 88–101. https://doi.org/10.1016/j.jenvman.2018.04.044</w:t>
      </w:r>
    </w:p>
    <w:p w14:paraId="40E1FA6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Shackleton, R. T., Le Maitre, D. C., van Wilgen, B. W., &amp; Richardson, D. M. (2015). The impact of invasive alien </w:t>
      </w:r>
      <w:r w:rsidRPr="001523EB">
        <w:rPr>
          <w:rFonts w:ascii="Times New Roman" w:hAnsi="Times New Roman"/>
          <w:i/>
          <w:iCs/>
        </w:rPr>
        <w:t>Prosopis</w:t>
      </w:r>
      <w:r w:rsidRPr="001523EB">
        <w:rPr>
          <w:rFonts w:ascii="Times New Roman" w:hAnsi="Times New Roman"/>
        </w:rPr>
        <w:t xml:space="preserve"> species (mesquite) on native plants in different environments in South Africa. </w:t>
      </w:r>
      <w:r w:rsidRPr="001523EB">
        <w:rPr>
          <w:rFonts w:ascii="Times New Roman" w:hAnsi="Times New Roman"/>
          <w:i/>
          <w:iCs/>
        </w:rPr>
        <w:t>South African Journal of Botany</w:t>
      </w:r>
      <w:r w:rsidRPr="001523EB">
        <w:rPr>
          <w:rFonts w:ascii="Times New Roman" w:hAnsi="Times New Roman"/>
        </w:rPr>
        <w:t xml:space="preserve">, </w:t>
      </w:r>
      <w:r w:rsidRPr="001523EB">
        <w:rPr>
          <w:rFonts w:ascii="Times New Roman" w:hAnsi="Times New Roman"/>
          <w:i/>
          <w:iCs/>
        </w:rPr>
        <w:t>97</w:t>
      </w:r>
      <w:r w:rsidRPr="001523EB">
        <w:rPr>
          <w:rFonts w:ascii="Times New Roman" w:hAnsi="Times New Roman"/>
        </w:rPr>
        <w:t>, 25–31. https://doi.org/10.1016/j.sajb.2014.12.008</w:t>
      </w:r>
    </w:p>
    <w:p w14:paraId="384F323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Shackleton, R. T., Richardson, D. M., Shackleton, C. M., Bennett, B., Crowley, S. L., Dehnen-Schmutz, K., Estévez, R. A., Fischer, A., Kueffer, C., Kull, C. A., Marchante, E., Novoa, A., Potgieter, L. J., Vaas, J., Vaz, A. S., &amp; Larson, B. M. H. (2019). Explaining people’s perceptions of invasive alien species: A conceptual framework.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229</w:t>
      </w:r>
      <w:r w:rsidRPr="001523EB">
        <w:rPr>
          <w:rFonts w:ascii="Times New Roman" w:hAnsi="Times New Roman"/>
        </w:rPr>
        <w:t>, 10–26. https://doi.org/10.1016/j.jenvman.2018.04.045</w:t>
      </w:r>
    </w:p>
    <w:p w14:paraId="5146D6D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Shackleton, R. T., Shackleton, C. M., &amp; Kull, C. A. (2019). The role of invasive alien species in shaping local livelihoods and human well-being: A review.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229</w:t>
      </w:r>
      <w:r w:rsidRPr="001523EB">
        <w:rPr>
          <w:rFonts w:ascii="Times New Roman" w:hAnsi="Times New Roman"/>
        </w:rPr>
        <w:t>, 145–157. https://doi.org/10.1016/j.jenvman.2018.05.007</w:t>
      </w:r>
    </w:p>
    <w:p w14:paraId="25AD45B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Shackleton, R. T., Witt, A. B. R., Piroris, F. M., &amp; van Wilgen, B. W. (2017). Distribution and socio-ecological impacts of the invasive alien cactus </w:t>
      </w:r>
      <w:r w:rsidRPr="001523EB">
        <w:rPr>
          <w:rFonts w:ascii="Times New Roman" w:hAnsi="Times New Roman"/>
          <w:i/>
          <w:iCs/>
        </w:rPr>
        <w:t>Opuntia stricta</w:t>
      </w:r>
      <w:r w:rsidRPr="001523EB">
        <w:rPr>
          <w:rFonts w:ascii="Times New Roman" w:hAnsi="Times New Roman"/>
        </w:rPr>
        <w:t xml:space="preserve"> in eastern Africa.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(8), 2427–2441. https://doi.org/10.1007/s10530-017-1453-x</w:t>
      </w:r>
    </w:p>
    <w:p w14:paraId="0358FD4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Shanungu, G. K. (2009). Management of the invasive </w:t>
      </w:r>
      <w:r w:rsidRPr="001523EB">
        <w:rPr>
          <w:rFonts w:ascii="Times New Roman" w:hAnsi="Times New Roman"/>
          <w:i/>
          <w:iCs/>
        </w:rPr>
        <w:t>Mimosa pigra</w:t>
      </w:r>
      <w:r w:rsidRPr="001523EB">
        <w:rPr>
          <w:rFonts w:ascii="Times New Roman" w:hAnsi="Times New Roman"/>
        </w:rPr>
        <w:t xml:space="preserve"> L. in Lochinvar National Park, Zambia. </w:t>
      </w:r>
      <w:r w:rsidRPr="001523EB">
        <w:rPr>
          <w:rFonts w:ascii="Times New Roman" w:hAnsi="Times New Roman"/>
          <w:i/>
          <w:iCs/>
        </w:rPr>
        <w:t>Biodiversity</w:t>
      </w:r>
      <w:r w:rsidRPr="001523EB">
        <w:rPr>
          <w:rFonts w:ascii="Times New Roman" w:hAnsi="Times New Roman"/>
        </w:rPr>
        <w:t xml:space="preserve">, </w:t>
      </w:r>
      <w:r w:rsidRPr="001523EB">
        <w:rPr>
          <w:rFonts w:ascii="Times New Roman" w:hAnsi="Times New Roman"/>
          <w:i/>
          <w:iCs/>
        </w:rPr>
        <w:t>10</w:t>
      </w:r>
      <w:r w:rsidRPr="001523EB">
        <w:rPr>
          <w:rFonts w:ascii="Times New Roman" w:hAnsi="Times New Roman"/>
        </w:rPr>
        <w:t>(2–3), 56–60. https://doi.org/10.1080/14888386.2009.9712844</w:t>
      </w:r>
    </w:p>
    <w:p w14:paraId="07F9B80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Shine, C. (2003). Overview of international instruments addressing invasive alien species. In N. Pallewatta, J. Reaser, &amp; A. Gutierrez (Eds.), </w:t>
      </w:r>
      <w:r w:rsidRPr="001523EB">
        <w:rPr>
          <w:rFonts w:ascii="Times New Roman" w:hAnsi="Times New Roman"/>
          <w:i/>
          <w:iCs/>
        </w:rPr>
        <w:t>Prevention and Management of Invasive Alien Species: Proceedings of a Workshop on Forging Cooperation throughout South and Southeast Asia</w:t>
      </w:r>
      <w:r w:rsidRPr="001523EB">
        <w:rPr>
          <w:rFonts w:ascii="Times New Roman" w:hAnsi="Times New Roman"/>
        </w:rPr>
        <w:t xml:space="preserve"> (pp. 19–35). Global Invasive Species Programme. https://www.researchgate.net/publication/303442790_Prevention_and_Management_of_Invasive_Alien_Species_Proceedings_of_a_Workshop_on_Forging_Cooperation_throughout_South_and_Southeast_Asia</w:t>
      </w:r>
    </w:p>
    <w:p w14:paraId="1214DA1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Shine, C. (2007). Invasive species in an international context: IPPC, CBD, European Strategy on Invasive Alien Species and other legal instruments. </w:t>
      </w:r>
      <w:r w:rsidRPr="001523EB">
        <w:rPr>
          <w:rFonts w:ascii="Times New Roman" w:hAnsi="Times New Roman"/>
          <w:i/>
          <w:iCs/>
        </w:rPr>
        <w:t>EPPO Bulletin</w:t>
      </w:r>
      <w:r w:rsidRPr="001523EB">
        <w:rPr>
          <w:rFonts w:ascii="Times New Roman" w:hAnsi="Times New Roman"/>
        </w:rPr>
        <w:t xml:space="preserve">, </w:t>
      </w:r>
      <w:r w:rsidRPr="001523EB">
        <w:rPr>
          <w:rFonts w:ascii="Times New Roman" w:hAnsi="Times New Roman"/>
          <w:i/>
          <w:iCs/>
        </w:rPr>
        <w:t>37</w:t>
      </w:r>
      <w:r w:rsidRPr="001523EB">
        <w:rPr>
          <w:rFonts w:ascii="Times New Roman" w:hAnsi="Times New Roman"/>
        </w:rPr>
        <w:t>(1), 103–113. https://doi.org/10.1111/j.1365-2338.2007.01087.x</w:t>
      </w:r>
    </w:p>
    <w:p w14:paraId="44FEF15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Shine, C., Williams, N., &amp; Gündling, L. (2000). </w:t>
      </w:r>
      <w:r w:rsidRPr="001523EB">
        <w:rPr>
          <w:rFonts w:ascii="Times New Roman" w:hAnsi="Times New Roman"/>
          <w:i/>
          <w:iCs/>
        </w:rPr>
        <w:t>A guide to designing legal and institutional frameworks on alien invasive species</w:t>
      </w:r>
      <w:r w:rsidRPr="001523EB">
        <w:rPr>
          <w:rFonts w:ascii="Times New Roman" w:hAnsi="Times New Roman"/>
        </w:rPr>
        <w:t>. IUCN. https://www.nobanis.org/globalassets/articlesreports/a-guide-to-designing-legal-framework-on-ias.pdf</w:t>
      </w:r>
    </w:p>
    <w:p w14:paraId="037D08F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Shine, C., Williams, N. M., &amp; Burnhenne-Guilmin, F. (2005). Legal and institutional frameworks for invasive alien species. In H. A. Mooney, R. N. Mack, J. A. McNeely, L. E. Neville, P. J. Schei, &amp; J. K. Waage (Eds.), </w:t>
      </w:r>
      <w:r w:rsidRPr="001523EB">
        <w:rPr>
          <w:rFonts w:ascii="Times New Roman" w:hAnsi="Times New Roman"/>
          <w:i/>
          <w:iCs/>
        </w:rPr>
        <w:t>Invasive alien species: A new synthesis</w:t>
      </w:r>
      <w:r w:rsidRPr="001523EB">
        <w:rPr>
          <w:rFonts w:ascii="Times New Roman" w:hAnsi="Times New Roman"/>
        </w:rPr>
        <w:t xml:space="preserve"> (pp. 233–284). Island Press.</w:t>
      </w:r>
    </w:p>
    <w:p w14:paraId="6ECDE9A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Shrestha, B. B., Shrestha, U. B., Sharma, K. P., Thapa-Parajuli, R. B., Devkota, A., &amp; Siwakoti, M. (2019). Community perception and prioritization of invasive alien plants in Chitwan-Annapurna Landscape, Nepal.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229</w:t>
      </w:r>
      <w:r w:rsidRPr="001523EB">
        <w:rPr>
          <w:rFonts w:ascii="Times New Roman" w:hAnsi="Times New Roman"/>
        </w:rPr>
        <w:t>, 38–47. https://doi.org/10.1016/j.jenvman.2018.06.034</w:t>
      </w:r>
    </w:p>
    <w:p w14:paraId="6C8AC56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Sillitoe, P. (1998). The Development of Indigenous Knowledge. </w:t>
      </w:r>
      <w:r w:rsidRPr="001523EB">
        <w:rPr>
          <w:rFonts w:ascii="Times New Roman" w:hAnsi="Times New Roman"/>
          <w:i/>
          <w:iCs/>
        </w:rPr>
        <w:t>Current Anthropology</w:t>
      </w:r>
      <w:r w:rsidRPr="001523EB">
        <w:rPr>
          <w:rFonts w:ascii="Times New Roman" w:hAnsi="Times New Roman"/>
        </w:rPr>
        <w:t xml:space="preserve">, </w:t>
      </w:r>
      <w:r w:rsidRPr="001523EB">
        <w:rPr>
          <w:rFonts w:ascii="Times New Roman" w:hAnsi="Times New Roman"/>
          <w:i/>
          <w:iCs/>
        </w:rPr>
        <w:t>39</w:t>
      </w:r>
      <w:r w:rsidRPr="001523EB">
        <w:rPr>
          <w:rFonts w:ascii="Times New Roman" w:hAnsi="Times New Roman"/>
        </w:rPr>
        <w:t>(2), 223–252. https://doi.org/10.1086/204722</w:t>
      </w:r>
    </w:p>
    <w:p w14:paraId="22C2D5C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Sillitoe, P., &amp; Marzano, M. (2009). Future of indigenous knowledge research in development. </w:t>
      </w:r>
      <w:r w:rsidRPr="001523EB">
        <w:rPr>
          <w:rFonts w:ascii="Times New Roman" w:hAnsi="Times New Roman"/>
          <w:i/>
          <w:iCs/>
        </w:rPr>
        <w:t>Futures</w:t>
      </w:r>
      <w:r w:rsidRPr="001523EB">
        <w:rPr>
          <w:rFonts w:ascii="Times New Roman" w:hAnsi="Times New Roman"/>
        </w:rPr>
        <w:t xml:space="preserve">, </w:t>
      </w:r>
      <w:r w:rsidRPr="001523EB">
        <w:rPr>
          <w:rFonts w:ascii="Times New Roman" w:hAnsi="Times New Roman"/>
          <w:i/>
          <w:iCs/>
        </w:rPr>
        <w:t>41</w:t>
      </w:r>
      <w:r w:rsidRPr="001523EB">
        <w:rPr>
          <w:rFonts w:ascii="Times New Roman" w:hAnsi="Times New Roman"/>
        </w:rPr>
        <w:t>(1), 13–23. https://doi.org/10.1016/j.futures.2008.07.004</w:t>
      </w:r>
    </w:p>
    <w:p w14:paraId="2791294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Simberloff, D. (2021). Maintenance management and eradication of established aquatic invaders. </w:t>
      </w:r>
      <w:r w:rsidRPr="001523EB">
        <w:rPr>
          <w:rFonts w:ascii="Times New Roman" w:hAnsi="Times New Roman"/>
          <w:i/>
          <w:iCs/>
        </w:rPr>
        <w:t>Hydrobiologia</w:t>
      </w:r>
      <w:r w:rsidRPr="001523EB">
        <w:rPr>
          <w:rFonts w:ascii="Times New Roman" w:hAnsi="Times New Roman"/>
        </w:rPr>
        <w:t xml:space="preserve">, </w:t>
      </w:r>
      <w:r w:rsidRPr="001523EB">
        <w:rPr>
          <w:rFonts w:ascii="Times New Roman" w:hAnsi="Times New Roman"/>
          <w:i/>
          <w:iCs/>
        </w:rPr>
        <w:t>848</w:t>
      </w:r>
      <w:r w:rsidRPr="001523EB">
        <w:rPr>
          <w:rFonts w:ascii="Times New Roman" w:hAnsi="Times New Roman"/>
        </w:rPr>
        <w:t>(9), 2399–2420. https://doi.org/10.1007/s10750-020-04352-5</w:t>
      </w:r>
    </w:p>
    <w:p w14:paraId="06E8B8A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Simberloff, D., Nuñez, M. A., Ledgard, N. J., Pauchard, A., Richardson, D. M., Sarasola, M., Van Wilgen, B. W., Zalba, S. M., Zenni, R. D., Bustamante, R., Peña, E., &amp; Ziller, S. R. (2009). Spread and impact of introduced conifers in South America: Lessons from other southern hemisphere regions. </w:t>
      </w:r>
      <w:r w:rsidRPr="001523EB">
        <w:rPr>
          <w:rFonts w:ascii="Times New Roman" w:hAnsi="Times New Roman"/>
          <w:i/>
          <w:iCs/>
        </w:rPr>
        <w:t>Austral Ecology</w:t>
      </w:r>
      <w:r w:rsidRPr="001523EB">
        <w:rPr>
          <w:rFonts w:ascii="Times New Roman" w:hAnsi="Times New Roman"/>
        </w:rPr>
        <w:t xml:space="preserve">, </w:t>
      </w:r>
      <w:r w:rsidRPr="001523EB">
        <w:rPr>
          <w:rFonts w:ascii="Times New Roman" w:hAnsi="Times New Roman"/>
          <w:i/>
          <w:iCs/>
        </w:rPr>
        <w:t>35</w:t>
      </w:r>
      <w:r w:rsidRPr="001523EB">
        <w:rPr>
          <w:rFonts w:ascii="Times New Roman" w:hAnsi="Times New Roman"/>
        </w:rPr>
        <w:t>(5), 489–504. https://doi.org/10.1111/j.1442-9993.2009.02058.x</w:t>
      </w:r>
    </w:p>
    <w:p w14:paraId="28FF77F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Singh, R. S., &amp; Kaur, J. (2002). Alien plant pathogens in India. </w:t>
      </w:r>
      <w:r w:rsidRPr="001523EB">
        <w:rPr>
          <w:rFonts w:ascii="Times New Roman" w:hAnsi="Times New Roman"/>
          <w:i/>
          <w:iCs/>
        </w:rPr>
        <w:t>Biological Invasions</w:t>
      </w:r>
      <w:r w:rsidRPr="001523EB">
        <w:rPr>
          <w:rFonts w:ascii="Times New Roman" w:hAnsi="Times New Roman"/>
        </w:rPr>
        <w:t>, 159–170.</w:t>
      </w:r>
    </w:p>
    <w:p w14:paraId="6BAA0E2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Skultety, D., &amp; Matthews, J. W. (2017). Urbanization and roads drive non-native plant invasion in the Chicago Metropolitan region.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19</w:t>
      </w:r>
      <w:r w:rsidRPr="001523EB">
        <w:rPr>
          <w:rFonts w:ascii="Times New Roman" w:hAnsi="Times New Roman"/>
        </w:rPr>
        <w:t>(9), 2553–2566. https://doi.org/10.1007/s10530-017-1464-7</w:t>
      </w:r>
    </w:p>
    <w:p w14:paraId="75EDDCA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Smith, A. L., Klenk, N., Wood, S., Hewitt, N., Henriques, I., Yan, N., &amp; Bazely, D. R. (2013). Second generation biofuels and bioinvasions: An evaluation of invasive risks and policy responses in the United States and Canada. </w:t>
      </w:r>
      <w:r w:rsidRPr="001523EB">
        <w:rPr>
          <w:rFonts w:ascii="Times New Roman" w:hAnsi="Times New Roman"/>
          <w:i/>
          <w:iCs/>
        </w:rPr>
        <w:t>Renewable and Sustainable Energy Reviews</w:t>
      </w:r>
      <w:r w:rsidRPr="001523EB">
        <w:rPr>
          <w:rFonts w:ascii="Times New Roman" w:hAnsi="Times New Roman"/>
        </w:rPr>
        <w:t xml:space="preserve">, </w:t>
      </w:r>
      <w:r w:rsidRPr="001523EB">
        <w:rPr>
          <w:rFonts w:ascii="Times New Roman" w:hAnsi="Times New Roman"/>
          <w:i/>
          <w:iCs/>
        </w:rPr>
        <w:t>27</w:t>
      </w:r>
      <w:r w:rsidRPr="001523EB">
        <w:rPr>
          <w:rFonts w:ascii="Times New Roman" w:hAnsi="Times New Roman"/>
        </w:rPr>
        <w:t>, 30–42. https://doi.org/10.1016/j.rser.2013.06.013</w:t>
      </w:r>
    </w:p>
    <w:p w14:paraId="413822C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Smith, D., Hinz, H., Mulema, J., Weyl, P., &amp; Ryan, M. J. (2018). Biological control and the Nagoya Protocol on access and benefit sharing–a case of effective due diligence. </w:t>
      </w:r>
      <w:r w:rsidRPr="001523EB">
        <w:rPr>
          <w:rFonts w:ascii="Times New Roman" w:hAnsi="Times New Roman"/>
          <w:i/>
          <w:iCs/>
        </w:rPr>
        <w:t>Biocontrol Science and Technology</w:t>
      </w:r>
      <w:r w:rsidRPr="001523EB">
        <w:rPr>
          <w:rFonts w:ascii="Times New Roman" w:hAnsi="Times New Roman"/>
        </w:rPr>
        <w:t xml:space="preserve">, </w:t>
      </w:r>
      <w:r w:rsidRPr="001523EB">
        <w:rPr>
          <w:rFonts w:ascii="Times New Roman" w:hAnsi="Times New Roman"/>
          <w:i/>
          <w:iCs/>
        </w:rPr>
        <w:t>28</w:t>
      </w:r>
      <w:r w:rsidRPr="001523EB">
        <w:rPr>
          <w:rFonts w:ascii="Times New Roman" w:hAnsi="Times New Roman"/>
        </w:rPr>
        <w:t>(10), 914–926. https://doi.org/10.1080/09583157.2018.1460317</w:t>
      </w:r>
    </w:p>
    <w:p w14:paraId="219B1A3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Smolarz, K., Biskup, P., &amp; Zgrundo, A. (2016). Biological Invasions: A Case Study of Baltic Sea Environmental Governance. In M. Gilek, M. Karlsson, S. Linke, &amp; K. Smolarz (Eds.), </w:t>
      </w:r>
      <w:r w:rsidRPr="001523EB">
        <w:rPr>
          <w:rFonts w:ascii="Times New Roman" w:hAnsi="Times New Roman"/>
          <w:i/>
          <w:iCs/>
        </w:rPr>
        <w:t>Environmental Governance of the Baltic Sea</w:t>
      </w:r>
      <w:r w:rsidRPr="001523EB">
        <w:rPr>
          <w:rFonts w:ascii="Times New Roman" w:hAnsi="Times New Roman"/>
        </w:rPr>
        <w:t xml:space="preserve"> (Vol. 10, pp. 73–95). Springer. https://doi.org/10.1007/978-3-319-27006-7_4</w:t>
      </w:r>
    </w:p>
    <w:p w14:paraId="5649755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Söderström, S., Kern, K., Boström, M., &amp; Gilek, M. (2016). “Environmental governance” and “ecosystem management”: Avenues for synergies between two approaches. </w:t>
      </w:r>
      <w:r w:rsidRPr="001523EB">
        <w:rPr>
          <w:rFonts w:ascii="Times New Roman" w:hAnsi="Times New Roman"/>
          <w:i/>
          <w:iCs/>
        </w:rPr>
        <w:t>Interdisciplinary Environmental Review</w:t>
      </w:r>
      <w:r w:rsidRPr="001523EB">
        <w:rPr>
          <w:rFonts w:ascii="Times New Roman" w:hAnsi="Times New Roman"/>
        </w:rPr>
        <w:t xml:space="preserve">, </w:t>
      </w:r>
      <w:r w:rsidRPr="001523EB">
        <w:rPr>
          <w:rFonts w:ascii="Times New Roman" w:hAnsi="Times New Roman"/>
          <w:i/>
          <w:iCs/>
        </w:rPr>
        <w:t>17</w:t>
      </w:r>
      <w:r w:rsidRPr="001523EB">
        <w:rPr>
          <w:rFonts w:ascii="Times New Roman" w:hAnsi="Times New Roman"/>
        </w:rPr>
        <w:t>(1), 1–19. https://doi.org/10.1504/IER.2016.074871</w:t>
      </w:r>
    </w:p>
    <w:p w14:paraId="5B28524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Solomon Genet, B. (2007). </w:t>
      </w:r>
      <w:r w:rsidRPr="001523EB">
        <w:rPr>
          <w:rFonts w:ascii="Times New Roman" w:hAnsi="Times New Roman"/>
          <w:i/>
          <w:iCs/>
        </w:rPr>
        <w:t>Shrub encroachment into grassland and its impact on Kafue Lechwe in Lochinvar National Park, Zambia</w:t>
      </w:r>
      <w:r w:rsidRPr="001523EB">
        <w:rPr>
          <w:rFonts w:ascii="Times New Roman" w:hAnsi="Times New Roman"/>
        </w:rPr>
        <w:t xml:space="preserve"> [Master of Science in Geo-Information Science and Earth Observation, University of Twente International Institute for Geo-Information Science and Earth Observation (ITC)]. https://doi.org/10.13140/RG.2.1.4126.7287</w:t>
      </w:r>
    </w:p>
    <w:p w14:paraId="34E8E09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Soroye, P., Ahmed, N., &amp; Kerr, J. T. (2018). Opportunistic citizen science data transform understanding of species distributions, phenology, and diversity gradients for global change research. </w:t>
      </w:r>
      <w:r w:rsidRPr="001523EB">
        <w:rPr>
          <w:rFonts w:ascii="Times New Roman" w:hAnsi="Times New Roman"/>
          <w:i/>
          <w:iCs/>
        </w:rPr>
        <w:t>Global Change Biology</w:t>
      </w:r>
      <w:r w:rsidRPr="001523EB">
        <w:rPr>
          <w:rFonts w:ascii="Times New Roman" w:hAnsi="Times New Roman"/>
        </w:rPr>
        <w:t xml:space="preserve">, </w:t>
      </w:r>
      <w:r w:rsidRPr="001523EB">
        <w:rPr>
          <w:rFonts w:ascii="Times New Roman" w:hAnsi="Times New Roman"/>
          <w:i/>
          <w:iCs/>
        </w:rPr>
        <w:t>24</w:t>
      </w:r>
      <w:r w:rsidRPr="001523EB">
        <w:rPr>
          <w:rFonts w:ascii="Times New Roman" w:hAnsi="Times New Roman"/>
        </w:rPr>
        <w:t>(11), 5281–5291. https://doi.org/10.1111/gcb.14358</w:t>
      </w:r>
    </w:p>
    <w:p w14:paraId="64FD755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Sovacool, B. K. (2017). Reviewing, Reforming, and Rethinking Global Energy Subsidies: Towards a Political Economy Research Agenda. </w:t>
      </w:r>
      <w:r w:rsidRPr="001523EB">
        <w:rPr>
          <w:rFonts w:ascii="Times New Roman" w:hAnsi="Times New Roman"/>
          <w:i/>
          <w:iCs/>
        </w:rPr>
        <w:t>Ecological Economics</w:t>
      </w:r>
      <w:r w:rsidRPr="001523EB">
        <w:rPr>
          <w:rFonts w:ascii="Times New Roman" w:hAnsi="Times New Roman"/>
        </w:rPr>
        <w:t xml:space="preserve">, </w:t>
      </w:r>
      <w:r w:rsidRPr="001523EB">
        <w:rPr>
          <w:rFonts w:ascii="Times New Roman" w:hAnsi="Times New Roman"/>
          <w:i/>
          <w:iCs/>
        </w:rPr>
        <w:t>135</w:t>
      </w:r>
      <w:r w:rsidRPr="001523EB">
        <w:rPr>
          <w:rFonts w:ascii="Times New Roman" w:hAnsi="Times New Roman"/>
        </w:rPr>
        <w:t>, 150–163. https://doi.org/10.1016/j.ecolecon.2016.12.009</w:t>
      </w:r>
    </w:p>
    <w:p w14:paraId="6A8BA56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Spencer, R. D., &amp; Cross, R. G. (2007). The international code of botanical nomenclature (ICBN), the international code of nomenclature for cultivated plants (ICNCP), and the cultigen. </w:t>
      </w:r>
      <w:r w:rsidRPr="001523EB">
        <w:rPr>
          <w:rFonts w:ascii="Times New Roman" w:hAnsi="Times New Roman"/>
          <w:i/>
          <w:iCs/>
        </w:rPr>
        <w:t>Taxon</w:t>
      </w:r>
      <w:r w:rsidRPr="001523EB">
        <w:rPr>
          <w:rFonts w:ascii="Times New Roman" w:hAnsi="Times New Roman"/>
        </w:rPr>
        <w:t xml:space="preserve">, </w:t>
      </w:r>
      <w:r w:rsidRPr="001523EB">
        <w:rPr>
          <w:rFonts w:ascii="Times New Roman" w:hAnsi="Times New Roman"/>
          <w:i/>
          <w:iCs/>
        </w:rPr>
        <w:t>56</w:t>
      </w:r>
      <w:r w:rsidRPr="001523EB">
        <w:rPr>
          <w:rFonts w:ascii="Times New Roman" w:hAnsi="Times New Roman"/>
        </w:rPr>
        <w:t>(3), 938–940.</w:t>
      </w:r>
    </w:p>
    <w:p w14:paraId="0A556AF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Speziale, K. L., Lambertucci, S. A., Carrete, M., &amp; Tella, J. L. (2012). Dealing with non-native species: What makes the difference in South America?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14</w:t>
      </w:r>
      <w:r w:rsidRPr="001523EB">
        <w:rPr>
          <w:rFonts w:ascii="Times New Roman" w:hAnsi="Times New Roman"/>
        </w:rPr>
        <w:t>(8), 1609–1621. https://doi.org/10.1007/s10530-011-0162-0</w:t>
      </w:r>
    </w:p>
    <w:p w14:paraId="09F5339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Springborn, M., Romagosa, C. M., &amp; Keller, R. P. (2011). The value of nonindigenous species risk assessment in international trade. </w:t>
      </w:r>
      <w:r w:rsidRPr="001523EB">
        <w:rPr>
          <w:rFonts w:ascii="Times New Roman" w:hAnsi="Times New Roman"/>
          <w:i/>
          <w:iCs/>
        </w:rPr>
        <w:t>Ecological Economics</w:t>
      </w:r>
      <w:r w:rsidRPr="001523EB">
        <w:rPr>
          <w:rFonts w:ascii="Times New Roman" w:hAnsi="Times New Roman"/>
        </w:rPr>
        <w:t xml:space="preserve">, </w:t>
      </w:r>
      <w:r w:rsidRPr="001523EB">
        <w:rPr>
          <w:rFonts w:ascii="Times New Roman" w:hAnsi="Times New Roman"/>
          <w:i/>
          <w:iCs/>
        </w:rPr>
        <w:t>70</w:t>
      </w:r>
      <w:r w:rsidRPr="001523EB">
        <w:rPr>
          <w:rFonts w:ascii="Times New Roman" w:hAnsi="Times New Roman"/>
        </w:rPr>
        <w:t>(11), Article 11. https://doi.org/10.1016/j.ecolecon.2011.06.016</w:t>
      </w:r>
    </w:p>
    <w:p w14:paraId="1EC8E1A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Staddon, S. C., Nightingale, A., &amp; Shrestha, S. K. (2015). Exploring participation in ecological monitoring in Nepal’s community forests. </w:t>
      </w:r>
      <w:r w:rsidRPr="001523EB">
        <w:rPr>
          <w:rFonts w:ascii="Times New Roman" w:hAnsi="Times New Roman"/>
          <w:i/>
          <w:iCs/>
        </w:rPr>
        <w:t>Environmental Conservation</w:t>
      </w:r>
      <w:r w:rsidRPr="001523EB">
        <w:rPr>
          <w:rFonts w:ascii="Times New Roman" w:hAnsi="Times New Roman"/>
        </w:rPr>
        <w:t xml:space="preserve">, </w:t>
      </w:r>
      <w:r w:rsidRPr="001523EB">
        <w:rPr>
          <w:rFonts w:ascii="Times New Roman" w:hAnsi="Times New Roman"/>
          <w:i/>
          <w:iCs/>
        </w:rPr>
        <w:t>42</w:t>
      </w:r>
      <w:r w:rsidRPr="001523EB">
        <w:rPr>
          <w:rFonts w:ascii="Times New Roman" w:hAnsi="Times New Roman"/>
        </w:rPr>
        <w:t>(3), 268–277. https://doi.org/10.1017/S037689291500003X</w:t>
      </w:r>
    </w:p>
    <w:p w14:paraId="1B8492B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Stallman, H. R., &amp; James, H. S. (2015). Determinants affecting farmers’ willingness to cooperate to control pests. </w:t>
      </w:r>
      <w:r w:rsidRPr="001523EB">
        <w:rPr>
          <w:rFonts w:ascii="Times New Roman" w:hAnsi="Times New Roman"/>
          <w:i/>
          <w:iCs/>
        </w:rPr>
        <w:t>Ecological Economics</w:t>
      </w:r>
      <w:r w:rsidRPr="001523EB">
        <w:rPr>
          <w:rFonts w:ascii="Times New Roman" w:hAnsi="Times New Roman"/>
        </w:rPr>
        <w:t xml:space="preserve">, </w:t>
      </w:r>
      <w:r w:rsidRPr="001523EB">
        <w:rPr>
          <w:rFonts w:ascii="Times New Roman" w:hAnsi="Times New Roman"/>
          <w:i/>
          <w:iCs/>
        </w:rPr>
        <w:t>117</w:t>
      </w:r>
      <w:r w:rsidRPr="001523EB">
        <w:rPr>
          <w:rFonts w:ascii="Times New Roman" w:hAnsi="Times New Roman"/>
        </w:rPr>
        <w:t>, 182–192. https://doi.org/10.1016/j.ecolecon.2015.07.006</w:t>
      </w:r>
    </w:p>
    <w:p w14:paraId="47FC426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Staples, D. J., &amp; Hermes, R. (2012). Marine biodiversity and resource management—What is the link? </w:t>
      </w:r>
      <w:r w:rsidRPr="001523EB">
        <w:rPr>
          <w:rFonts w:ascii="Times New Roman" w:hAnsi="Times New Roman"/>
          <w:i/>
          <w:iCs/>
        </w:rPr>
        <w:t>Aquatic Ecosystem Health &amp; Management</w:t>
      </w:r>
      <w:r w:rsidRPr="001523EB">
        <w:rPr>
          <w:rFonts w:ascii="Times New Roman" w:hAnsi="Times New Roman"/>
        </w:rPr>
        <w:t xml:space="preserve">, </w:t>
      </w:r>
      <w:r w:rsidRPr="001523EB">
        <w:rPr>
          <w:rFonts w:ascii="Times New Roman" w:hAnsi="Times New Roman"/>
          <w:i/>
          <w:iCs/>
        </w:rPr>
        <w:t>15</w:t>
      </w:r>
      <w:r w:rsidRPr="001523EB">
        <w:rPr>
          <w:rFonts w:ascii="Times New Roman" w:hAnsi="Times New Roman"/>
        </w:rPr>
        <w:t>(3), 245–252. https://doi.org/10.1080/14634988.2012.709429</w:t>
      </w:r>
    </w:p>
    <w:p w14:paraId="338D3D4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Stilgoe, J., Owen, R., &amp; Macnaghten, P. (2020). Developing a framework for responsible innovation. </w:t>
      </w:r>
      <w:r w:rsidRPr="001523EB">
        <w:rPr>
          <w:rFonts w:ascii="Times New Roman" w:hAnsi="Times New Roman"/>
          <w:i/>
          <w:iCs/>
        </w:rPr>
        <w:t>Research Policy</w:t>
      </w:r>
      <w:r w:rsidRPr="001523EB">
        <w:rPr>
          <w:rFonts w:ascii="Times New Roman" w:hAnsi="Times New Roman"/>
        </w:rPr>
        <w:t xml:space="preserve">, </w:t>
      </w:r>
      <w:r w:rsidRPr="001523EB">
        <w:rPr>
          <w:rFonts w:ascii="Times New Roman" w:hAnsi="Times New Roman"/>
          <w:i/>
          <w:iCs/>
        </w:rPr>
        <w:t>42</w:t>
      </w:r>
      <w:r w:rsidRPr="001523EB">
        <w:rPr>
          <w:rFonts w:ascii="Times New Roman" w:hAnsi="Times New Roman"/>
        </w:rPr>
        <w:t>(9), 1568–1580. https://doi.org/10.1016/j.respol.2013.05.008</w:t>
      </w:r>
    </w:p>
    <w:p w14:paraId="4C753D1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Stilwell, M., &amp; Turk, E. (1999). Trade measures and multilateral environmental agreements: Resolving uncertainty and removing the WTO chill factor. </w:t>
      </w:r>
      <w:r w:rsidRPr="001523EB">
        <w:rPr>
          <w:rFonts w:ascii="Times New Roman" w:hAnsi="Times New Roman"/>
          <w:i/>
          <w:iCs/>
        </w:rPr>
        <w:t>A WWF International Discussion Paper</w:t>
      </w:r>
      <w:r w:rsidRPr="001523EB">
        <w:rPr>
          <w:rFonts w:ascii="Times New Roman" w:hAnsi="Times New Roman"/>
        </w:rPr>
        <w:t>. https://wwfint.awsassets.panda.org/downloads/chillfactor.pdf</w:t>
      </w:r>
    </w:p>
    <w:p w14:paraId="48B562D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Stirling, A. (2010). Keep it complex. </w:t>
      </w:r>
      <w:r w:rsidRPr="001523EB">
        <w:rPr>
          <w:rFonts w:ascii="Times New Roman" w:hAnsi="Times New Roman"/>
          <w:i/>
          <w:iCs/>
        </w:rPr>
        <w:t>Nature</w:t>
      </w:r>
      <w:r w:rsidRPr="001523EB">
        <w:rPr>
          <w:rFonts w:ascii="Times New Roman" w:hAnsi="Times New Roman"/>
        </w:rPr>
        <w:t xml:space="preserve">, </w:t>
      </w:r>
      <w:r w:rsidRPr="001523EB">
        <w:rPr>
          <w:rFonts w:ascii="Times New Roman" w:hAnsi="Times New Roman"/>
          <w:i/>
          <w:iCs/>
        </w:rPr>
        <w:t>468</w:t>
      </w:r>
      <w:r w:rsidRPr="001523EB">
        <w:rPr>
          <w:rFonts w:ascii="Times New Roman" w:hAnsi="Times New Roman"/>
        </w:rPr>
        <w:t>(7327), Article 7327. https://doi.org/10.1038/4681029a</w:t>
      </w:r>
    </w:p>
    <w:p w14:paraId="719D908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Stockhammer, E., Hochreiter, H., Obermayr, B., &amp; Steiner, K. (1997). The index of sustainable economic welfare (ISEW) as an alternative to GDP in measuring economic welfare. The results of the Austrian (revised) ISEW calculation 1955–1992. </w:t>
      </w:r>
      <w:r w:rsidRPr="001523EB">
        <w:rPr>
          <w:rFonts w:ascii="Times New Roman" w:hAnsi="Times New Roman"/>
          <w:i/>
          <w:iCs/>
        </w:rPr>
        <w:t>Ecological Economics</w:t>
      </w:r>
      <w:r w:rsidRPr="001523EB">
        <w:rPr>
          <w:rFonts w:ascii="Times New Roman" w:hAnsi="Times New Roman"/>
        </w:rPr>
        <w:t xml:space="preserve">, </w:t>
      </w:r>
      <w:r w:rsidRPr="001523EB">
        <w:rPr>
          <w:rFonts w:ascii="Times New Roman" w:hAnsi="Times New Roman"/>
          <w:i/>
          <w:iCs/>
        </w:rPr>
        <w:t>21</w:t>
      </w:r>
      <w:r w:rsidRPr="001523EB">
        <w:rPr>
          <w:rFonts w:ascii="Times New Roman" w:hAnsi="Times New Roman"/>
        </w:rPr>
        <w:t>(1), 19–34. https://doi.org/10.1016/S0921-8009(96)00088-2</w:t>
      </w:r>
    </w:p>
    <w:p w14:paraId="44BE23EB"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Stoett, P. (2007). Counter-bioinvasion: Conceptual and governance challenges. </w:t>
      </w:r>
      <w:r w:rsidRPr="001523EB">
        <w:rPr>
          <w:rFonts w:ascii="Times New Roman" w:hAnsi="Times New Roman"/>
          <w:i/>
          <w:iCs/>
        </w:rPr>
        <w:t>Environmental Politics</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(3), 433–452. https://doi.org/10.1080/09644010701251672</w:t>
      </w:r>
    </w:p>
    <w:p w14:paraId="4D74D3E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Stoett, P. (2010). Framing Bioinvasion: Biodiversity, Climate Change, Security, Trade, and Global Governance. </w:t>
      </w:r>
      <w:r w:rsidRPr="001523EB">
        <w:rPr>
          <w:rFonts w:ascii="Times New Roman" w:hAnsi="Times New Roman"/>
          <w:i/>
          <w:iCs/>
        </w:rPr>
        <w:t>Global Governance: A Review of Multilateralism and International Organizations</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(1), 103–120. https://doi.org/10.1163/19426720-01601007</w:t>
      </w:r>
    </w:p>
    <w:p w14:paraId="15F1FD1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Stoett, P., Roy, H. E., &amp; Pauchard, A. (2019). Invasive alien species and planetary and global health policy. </w:t>
      </w:r>
      <w:r w:rsidRPr="001523EB">
        <w:rPr>
          <w:rFonts w:ascii="Times New Roman" w:hAnsi="Times New Roman"/>
          <w:i/>
          <w:iCs/>
        </w:rPr>
        <w:t>The Lancet Planetary Health</w:t>
      </w:r>
      <w:r w:rsidRPr="001523EB">
        <w:rPr>
          <w:rFonts w:ascii="Times New Roman" w:hAnsi="Times New Roman"/>
        </w:rPr>
        <w:t xml:space="preserve">, </w:t>
      </w:r>
      <w:r w:rsidRPr="001523EB">
        <w:rPr>
          <w:rFonts w:ascii="Times New Roman" w:hAnsi="Times New Roman"/>
          <w:i/>
          <w:iCs/>
        </w:rPr>
        <w:t>3</w:t>
      </w:r>
      <w:r w:rsidRPr="001523EB">
        <w:rPr>
          <w:rFonts w:ascii="Times New Roman" w:hAnsi="Times New Roman"/>
        </w:rPr>
        <w:t>(10), e400–e401. https://doi.org/10.1016/S2542-5196(19)30194-9</w:t>
      </w:r>
    </w:p>
    <w:p w14:paraId="7F88243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Stokes, K. E., O</w:t>
      </w:r>
      <w:r w:rsidRPr="001523EB">
        <w:rPr>
          <w:rFonts w:ascii="Times New Roman" w:eastAsia="ＭＳ ゴシック" w:hAnsi="Times New Roman"/>
        </w:rPr>
        <w:t>℉</w:t>
      </w:r>
      <w:r w:rsidRPr="001523EB">
        <w:rPr>
          <w:rFonts w:ascii="Times New Roman" w:hAnsi="Times New Roman"/>
        </w:rPr>
        <w:t xml:space="preserve">Neill, K. P., Montgomery, W. I., Dick, J. T. A., Maggs, C. A., &amp; McDonald, R. A. (2006). The Importance of Stakeholder Engagement in Invasive Species Management: A Cross-jurisdictional Perspective in Ireland. </w:t>
      </w:r>
      <w:r w:rsidRPr="001523EB">
        <w:rPr>
          <w:rFonts w:ascii="Times New Roman" w:hAnsi="Times New Roman"/>
          <w:i/>
          <w:iCs/>
        </w:rPr>
        <w:t>Biodiversity and Conservation</w:t>
      </w:r>
      <w:r w:rsidRPr="001523EB">
        <w:rPr>
          <w:rFonts w:ascii="Times New Roman" w:hAnsi="Times New Roman"/>
        </w:rPr>
        <w:t xml:space="preserve">, </w:t>
      </w:r>
      <w:r w:rsidRPr="001523EB">
        <w:rPr>
          <w:rFonts w:ascii="Times New Roman" w:hAnsi="Times New Roman"/>
          <w:i/>
          <w:iCs/>
        </w:rPr>
        <w:t>15</w:t>
      </w:r>
      <w:r w:rsidRPr="001523EB">
        <w:rPr>
          <w:rFonts w:ascii="Times New Roman" w:hAnsi="Times New Roman"/>
        </w:rPr>
        <w:t>(8), 2829–2852. https://doi.org/10.1007/s10531-005-3137-6</w:t>
      </w:r>
    </w:p>
    <w:p w14:paraId="24E2344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Stone, C. D. (2004). Common but differentiated responsibilities in international law. In </w:t>
      </w:r>
      <w:r w:rsidRPr="001523EB">
        <w:rPr>
          <w:rFonts w:ascii="Times New Roman" w:hAnsi="Times New Roman"/>
          <w:i/>
          <w:iCs/>
        </w:rPr>
        <w:t>American Journal of International Law</w:t>
      </w:r>
      <w:r w:rsidRPr="001523EB">
        <w:rPr>
          <w:rFonts w:ascii="Times New Roman" w:hAnsi="Times New Roman"/>
        </w:rPr>
        <w:t xml:space="preserve"> (Vol. 98, Issue 2, pp. 276–301). https://doi.org/10.2307/3176729</w:t>
      </w:r>
    </w:p>
    <w:p w14:paraId="14FCBA5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Suiter, K., &amp; Sferrazza, S. (2007). Monitoring the sale and trafficking of invasive vertebrate species using automated internet search and surveillance tools. </w:t>
      </w:r>
      <w:r w:rsidRPr="001523EB">
        <w:rPr>
          <w:rFonts w:ascii="Times New Roman" w:hAnsi="Times New Roman"/>
          <w:i/>
          <w:iCs/>
        </w:rPr>
        <w:t>Managing Vertebrate Invasive Species</w:t>
      </w:r>
      <w:r w:rsidRPr="001523EB">
        <w:rPr>
          <w:rFonts w:ascii="Times New Roman" w:hAnsi="Times New Roman"/>
        </w:rPr>
        <w:t xml:space="preserve">, </w:t>
      </w:r>
      <w:r w:rsidRPr="001523EB">
        <w:rPr>
          <w:rFonts w:ascii="Times New Roman" w:hAnsi="Times New Roman"/>
          <w:i/>
          <w:iCs/>
        </w:rPr>
        <w:t>51</w:t>
      </w:r>
      <w:r w:rsidRPr="001523EB">
        <w:rPr>
          <w:rFonts w:ascii="Times New Roman" w:hAnsi="Times New Roman"/>
        </w:rPr>
        <w:t>. https://digitalcommons.unl.edu/nwrcinvasive/51</w:t>
      </w:r>
    </w:p>
    <w:p w14:paraId="3E85BC6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Sullivan, A., York, A. M., White, D. D., Hall, S. J., &amp; Yabiku, S. T. (2017). De jure versus de facto institutions: Trust, information, and collective efforts to manage the invasive mile-a-minute weed (</w:t>
      </w:r>
      <w:r w:rsidRPr="001523EB">
        <w:rPr>
          <w:rFonts w:ascii="Times New Roman" w:hAnsi="Times New Roman"/>
          <w:i/>
          <w:iCs/>
        </w:rPr>
        <w:t>Mikania micrantha</w:t>
      </w:r>
      <w:r w:rsidRPr="001523EB">
        <w:rPr>
          <w:rFonts w:ascii="Times New Roman" w:hAnsi="Times New Roman"/>
        </w:rPr>
        <w:t xml:space="preserve">). </w:t>
      </w:r>
      <w:r w:rsidRPr="001523EB">
        <w:rPr>
          <w:rFonts w:ascii="Times New Roman" w:hAnsi="Times New Roman"/>
          <w:i/>
          <w:iCs/>
        </w:rPr>
        <w:t>The Commons Journal</w:t>
      </w:r>
      <w:r w:rsidRPr="001523EB">
        <w:rPr>
          <w:rFonts w:ascii="Times New Roman" w:hAnsi="Times New Roman"/>
        </w:rPr>
        <w:t xml:space="preserve">, </w:t>
      </w:r>
      <w:r w:rsidRPr="001523EB">
        <w:rPr>
          <w:rFonts w:ascii="Times New Roman" w:hAnsi="Times New Roman"/>
          <w:i/>
          <w:iCs/>
        </w:rPr>
        <w:t>11</w:t>
      </w:r>
      <w:r w:rsidRPr="001523EB">
        <w:rPr>
          <w:rFonts w:ascii="Times New Roman" w:hAnsi="Times New Roman"/>
        </w:rPr>
        <w:t>(1), 171–199. https://doi.org/10.18352/ijc.676</w:t>
      </w:r>
    </w:p>
    <w:p w14:paraId="2B998D9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Sullivan, B. L., Aycrigg, J. L., Barry, J. H., Bonney, R. E., Bruns, N., Cooper, C. B., Damoulas, T., Dhondt, A. A., Dietterich, T., Farnsworth, A., Fink, D., Fitzpatrick, J. W., Fredericks, T., Gerbracht, J., Gomes, C., Hochachka, W. M., Iliff, M. J., Lagoze, C., La Sorte, F. A., … Kelling, S. (2014). The eBird enterprise: An integrated approach to development and application of citizen science.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169</w:t>
      </w:r>
      <w:r w:rsidRPr="001523EB">
        <w:rPr>
          <w:rFonts w:ascii="Times New Roman" w:hAnsi="Times New Roman"/>
        </w:rPr>
        <w:t>, 31–40. https://doi.org/10.1016/j.biocon.2013.11.003</w:t>
      </w:r>
    </w:p>
    <w:p w14:paraId="3CDAA3D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Sustainable Development Solution Network. (2021). </w:t>
      </w:r>
      <w:r w:rsidRPr="001523EB">
        <w:rPr>
          <w:rFonts w:ascii="Times New Roman" w:hAnsi="Times New Roman"/>
          <w:i/>
          <w:iCs/>
        </w:rPr>
        <w:t>Indicators and a Monitoring Framework Launching a data revolution for the Sustainable Development Goals</w:t>
      </w:r>
      <w:r w:rsidRPr="001523EB">
        <w:rPr>
          <w:rFonts w:ascii="Times New Roman" w:hAnsi="Times New Roman"/>
        </w:rPr>
        <w:t>. https://indicators.report/targets/15-8/</w:t>
      </w:r>
    </w:p>
    <w:p w14:paraId="2ACC46D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Swart, N. C., Gille, S. T., Fyfe, J. C., &amp; Gillett, N. P. (2018). Recent Southern Ocean warming and freshening driven by greenhouse gas emissions and ozone depletion. </w:t>
      </w:r>
      <w:r w:rsidRPr="001523EB">
        <w:rPr>
          <w:rFonts w:ascii="Times New Roman" w:hAnsi="Times New Roman"/>
          <w:i/>
          <w:iCs/>
        </w:rPr>
        <w:t>Nature Geoscience</w:t>
      </w:r>
      <w:r w:rsidRPr="001523EB">
        <w:rPr>
          <w:rFonts w:ascii="Times New Roman" w:hAnsi="Times New Roman"/>
        </w:rPr>
        <w:t xml:space="preserve">, </w:t>
      </w:r>
      <w:r w:rsidRPr="001523EB">
        <w:rPr>
          <w:rFonts w:ascii="Times New Roman" w:hAnsi="Times New Roman"/>
          <w:i/>
          <w:iCs/>
        </w:rPr>
        <w:t>11</w:t>
      </w:r>
      <w:r w:rsidRPr="001523EB">
        <w:rPr>
          <w:rFonts w:ascii="Times New Roman" w:hAnsi="Times New Roman"/>
        </w:rPr>
        <w:t>, 836–841. https://doi.org/10.1038/s41561-018-0226-1</w:t>
      </w:r>
    </w:p>
    <w:p w14:paraId="79C6C13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Taleb, N. N. (2007). </w:t>
      </w:r>
      <w:r w:rsidRPr="001523EB">
        <w:rPr>
          <w:rFonts w:ascii="Times New Roman" w:hAnsi="Times New Roman"/>
          <w:i/>
          <w:iCs/>
        </w:rPr>
        <w:t>The black swan: The impact of the highly improbable</w:t>
      </w:r>
      <w:r w:rsidRPr="001523EB">
        <w:rPr>
          <w:rFonts w:ascii="Times New Roman" w:hAnsi="Times New Roman"/>
        </w:rPr>
        <w:t>. Random House. http://catalog.hathitrust.org/api/volumes/oclc/71833470.html</w:t>
      </w:r>
    </w:p>
    <w:p w14:paraId="58EEE7F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Taylor, R. V., Holthuijzen, W., Humphrey, A., &amp; Posthumus, E. (2020). Using phenology data to improve control of invasive plant species: A case study on Midway Atoll NWR. </w:t>
      </w:r>
      <w:r w:rsidRPr="001523EB">
        <w:rPr>
          <w:rFonts w:ascii="Times New Roman" w:hAnsi="Times New Roman"/>
          <w:i/>
          <w:iCs/>
        </w:rPr>
        <w:t>Ecological Solutions and Evidence</w:t>
      </w:r>
      <w:r w:rsidRPr="001523EB">
        <w:rPr>
          <w:rFonts w:ascii="Times New Roman" w:hAnsi="Times New Roman"/>
        </w:rPr>
        <w:t xml:space="preserve">, </w:t>
      </w:r>
      <w:r w:rsidRPr="001523EB">
        <w:rPr>
          <w:rFonts w:ascii="Times New Roman" w:hAnsi="Times New Roman"/>
          <w:i/>
          <w:iCs/>
        </w:rPr>
        <w:t>1</w:t>
      </w:r>
      <w:r w:rsidRPr="001523EB">
        <w:rPr>
          <w:rFonts w:ascii="Times New Roman" w:hAnsi="Times New Roman"/>
        </w:rPr>
        <w:t>(1), e12007. https://doi.org/10.1002/2688-8319.12007</w:t>
      </w:r>
    </w:p>
    <w:p w14:paraId="6044F2B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Tekiela, D. R., &amp; Barney, J. N. (2017). Invasion Shadows: The Accumulation and Loss of Ecological Impacts from an Invasive Plant. </w:t>
      </w:r>
      <w:r w:rsidRPr="001523EB">
        <w:rPr>
          <w:rFonts w:ascii="Times New Roman" w:hAnsi="Times New Roman"/>
          <w:i/>
          <w:iCs/>
        </w:rPr>
        <w:t>Invasive Plant Science and Management</w:t>
      </w:r>
      <w:r w:rsidRPr="001523EB">
        <w:rPr>
          <w:rFonts w:ascii="Times New Roman" w:hAnsi="Times New Roman"/>
        </w:rPr>
        <w:t xml:space="preserve">, </w:t>
      </w:r>
      <w:r w:rsidRPr="001523EB">
        <w:rPr>
          <w:rFonts w:ascii="Times New Roman" w:hAnsi="Times New Roman"/>
          <w:i/>
          <w:iCs/>
        </w:rPr>
        <w:t>10</w:t>
      </w:r>
      <w:r w:rsidRPr="001523EB">
        <w:rPr>
          <w:rFonts w:ascii="Times New Roman" w:hAnsi="Times New Roman"/>
        </w:rPr>
        <w:t>(1), 1–8. https://doi.org/10.1017/inp.2017.3</w:t>
      </w:r>
    </w:p>
    <w:p w14:paraId="50208BC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Temper, L., Walter, M., Rodriguez, I., Kothari, A., &amp; Turhan, E. (2018). A perspective on radical transformations to sustainability: Resistances, movements and alternatives. </w:t>
      </w:r>
      <w:r w:rsidRPr="001523EB">
        <w:rPr>
          <w:rFonts w:ascii="Times New Roman" w:hAnsi="Times New Roman"/>
          <w:i/>
          <w:iCs/>
        </w:rPr>
        <w:t>Sustainability Science</w:t>
      </w:r>
      <w:r w:rsidRPr="001523EB">
        <w:rPr>
          <w:rFonts w:ascii="Times New Roman" w:hAnsi="Times New Roman"/>
        </w:rPr>
        <w:t xml:space="preserve">, </w:t>
      </w:r>
      <w:r w:rsidRPr="001523EB">
        <w:rPr>
          <w:rFonts w:ascii="Times New Roman" w:hAnsi="Times New Roman"/>
          <w:i/>
          <w:iCs/>
        </w:rPr>
        <w:t>13</w:t>
      </w:r>
      <w:r w:rsidRPr="001523EB">
        <w:rPr>
          <w:rFonts w:ascii="Times New Roman" w:hAnsi="Times New Roman"/>
        </w:rPr>
        <w:t>(3), 747–764. https://doi.org/10.1007/s11625-018-0543-8</w:t>
      </w:r>
    </w:p>
    <w:p w14:paraId="0BA04D8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Termeer, C. J. A. M., &amp; Dewulf, A. (2014). Scale-Sensitivity as a Governance Capability: Observing, Acting and Enabling. In F. Padt, P. Opdam, N. Polman, &amp; C. J. A. M. Termeer (Eds.), </w:t>
      </w:r>
      <w:r w:rsidRPr="001523EB">
        <w:rPr>
          <w:rFonts w:ascii="Times New Roman" w:hAnsi="Times New Roman"/>
          <w:i/>
          <w:iCs/>
        </w:rPr>
        <w:t>Scale-sensitive Governance of the Environment</w:t>
      </w:r>
      <w:r w:rsidRPr="001523EB">
        <w:rPr>
          <w:rFonts w:ascii="Times New Roman" w:hAnsi="Times New Roman"/>
        </w:rPr>
        <w:t xml:space="preserve"> (pp. 38–55). John Wiley &amp; Sons, Ltd. https://doi.org/10.1002/9781118567135.ch3</w:t>
      </w:r>
    </w:p>
    <w:p w14:paraId="1FCC13C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Termeer, C. J. A. M., Dewulf, A., Karlsson-Vinkhuyzen, S. I., Vink, M., &amp; van Vliet, M. (2016). Coping with the wicked problem of climate adaptation across scales: The Five R </w:t>
      </w:r>
      <w:r w:rsidRPr="001523EB">
        <w:rPr>
          <w:rFonts w:ascii="Times New Roman" w:hAnsi="Times New Roman"/>
        </w:rPr>
        <w:lastRenderedPageBreak/>
        <w:t xml:space="preserve">Governance Capabilities. </w:t>
      </w:r>
      <w:r w:rsidRPr="001523EB">
        <w:rPr>
          <w:rFonts w:ascii="Times New Roman" w:hAnsi="Times New Roman"/>
          <w:i/>
          <w:iCs/>
        </w:rPr>
        <w:t>Landscape and Urban Planning</w:t>
      </w:r>
      <w:r w:rsidRPr="001523EB">
        <w:rPr>
          <w:rFonts w:ascii="Times New Roman" w:hAnsi="Times New Roman"/>
        </w:rPr>
        <w:t xml:space="preserve">, </w:t>
      </w:r>
      <w:r w:rsidRPr="001523EB">
        <w:rPr>
          <w:rFonts w:ascii="Times New Roman" w:hAnsi="Times New Roman"/>
          <w:i/>
          <w:iCs/>
        </w:rPr>
        <w:t>154</w:t>
      </w:r>
      <w:r w:rsidRPr="001523EB">
        <w:rPr>
          <w:rFonts w:ascii="Times New Roman" w:hAnsi="Times New Roman"/>
        </w:rPr>
        <w:t>, 11–19. http://dx.doi.org/10.1016/j.landurbplan.2016.01.007</w:t>
      </w:r>
    </w:p>
    <w:p w14:paraId="731EC4C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Termeer, C. J. A. M., Dewulf, A., &amp; Van Lieshout, M. (2010). Disentangling scale approaches in governance research: Comparing monocentric, multilevel, and adaptive governance.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15</w:t>
      </w:r>
      <w:r w:rsidRPr="001523EB">
        <w:rPr>
          <w:rFonts w:ascii="Times New Roman" w:hAnsi="Times New Roman"/>
        </w:rPr>
        <w:t>(4), 29. http://www.ecologyandsociety.org/vol15/iss4/art29/</w:t>
      </w:r>
    </w:p>
    <w:p w14:paraId="7E6FF52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Theobald, E. J., Ettinger, A. K., Burgess, H. K., DeBey, L. B., Schmidt, N. R., Froehlich, H. E., Wagner, C., HilleRisLambers, J., Tewksbury, J., Harsch, M. A., &amp; Parrish, J. K. (2015). Global change and local solutions: Tapping the unrealized potential of citizen science for biodiversity research.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181</w:t>
      </w:r>
      <w:r w:rsidRPr="001523EB">
        <w:rPr>
          <w:rFonts w:ascii="Times New Roman" w:hAnsi="Times New Roman"/>
        </w:rPr>
        <w:t>, 236–244. https://doi.org/10.1016/j.biocon.2014.10.021</w:t>
      </w:r>
    </w:p>
    <w:p w14:paraId="281E05A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Thiel, M., Penna-Díaz, M. A., Luna-Jorquera, G., Salas, S., Sellanes, J., &amp; Stotz, W. (2014). Citizen scientist and marine research: Volunteers participatns, their contribbutions, and projection for the future. In R. N. Hughes, D. J. Hughes, &amp; I. P. Smith (Eds.), </w:t>
      </w:r>
      <w:r w:rsidRPr="001523EB">
        <w:rPr>
          <w:rFonts w:ascii="Times New Roman" w:hAnsi="Times New Roman"/>
          <w:i/>
          <w:iCs/>
        </w:rPr>
        <w:t>Oceanography and Marine Biology: An annual review</w:t>
      </w:r>
      <w:r w:rsidRPr="001523EB">
        <w:rPr>
          <w:rFonts w:ascii="Times New Roman" w:hAnsi="Times New Roman"/>
        </w:rPr>
        <w:t xml:space="preserve"> (Vol. 52, p. 52). CRC Press. http://dx.doi.org/10.1201/b17143-6</w:t>
      </w:r>
    </w:p>
    <w:p w14:paraId="22CCDCE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Thomas, I. J. (2007). </w:t>
      </w:r>
      <w:r w:rsidRPr="001523EB">
        <w:rPr>
          <w:rFonts w:ascii="Times New Roman" w:hAnsi="Times New Roman"/>
          <w:i/>
          <w:iCs/>
        </w:rPr>
        <w:t xml:space="preserve">Mapping and modelling of </w:t>
      </w:r>
      <w:r w:rsidRPr="001523EB">
        <w:rPr>
          <w:rFonts w:ascii="Times New Roman" w:hAnsi="Times New Roman"/>
        </w:rPr>
        <w:t>Mimosa pigra</w:t>
      </w:r>
      <w:r w:rsidRPr="001523EB">
        <w:rPr>
          <w:rFonts w:ascii="Times New Roman" w:hAnsi="Times New Roman"/>
          <w:i/>
          <w:iCs/>
        </w:rPr>
        <w:t xml:space="preserve"> expansion in Lochinvar National Park, Zambia</w:t>
      </w:r>
      <w:r w:rsidRPr="001523EB">
        <w:rPr>
          <w:rFonts w:ascii="Times New Roman" w:hAnsi="Times New Roman"/>
        </w:rPr>
        <w:t xml:space="preserve"> [Master of Science in Geo-Information Science and Earth Observation, International Institute for Geo-information Science and Earth  Observation]. https://webapps.itc.utwente.nl/librarywww/papers_2007/msc/gem/indira.pdf</w:t>
      </w:r>
    </w:p>
    <w:p w14:paraId="2844151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Tiago, P., Pereira, H. M., &amp; Capinha, C. (2017). Using citizen science data to estimate climatic niches and species distributions. </w:t>
      </w:r>
      <w:r w:rsidRPr="001523EB">
        <w:rPr>
          <w:rFonts w:ascii="Times New Roman" w:hAnsi="Times New Roman"/>
          <w:i/>
          <w:iCs/>
        </w:rPr>
        <w:t>Basic and Applied Ecology</w:t>
      </w:r>
      <w:r w:rsidRPr="001523EB">
        <w:rPr>
          <w:rFonts w:ascii="Times New Roman" w:hAnsi="Times New Roman"/>
        </w:rPr>
        <w:t xml:space="preserve">, </w:t>
      </w:r>
      <w:r w:rsidRPr="001523EB">
        <w:rPr>
          <w:rFonts w:ascii="Times New Roman" w:hAnsi="Times New Roman"/>
          <w:i/>
          <w:iCs/>
        </w:rPr>
        <w:t>20</w:t>
      </w:r>
      <w:r w:rsidRPr="001523EB">
        <w:rPr>
          <w:rFonts w:ascii="Times New Roman" w:hAnsi="Times New Roman"/>
        </w:rPr>
        <w:t>, 75–85. https://doi.org/10.1016/j.baae.2017.04.001</w:t>
      </w:r>
    </w:p>
    <w:p w14:paraId="56EAC90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Tilahun, M., Birner, R., &amp; Ilukor, J. (2017). Household-level preferences for mitigation of </w:t>
      </w:r>
      <w:r w:rsidRPr="001523EB">
        <w:rPr>
          <w:rFonts w:ascii="Times New Roman" w:hAnsi="Times New Roman"/>
          <w:i/>
          <w:iCs/>
        </w:rPr>
        <w:t>Prosopis juliflora</w:t>
      </w:r>
      <w:r w:rsidRPr="001523EB">
        <w:rPr>
          <w:rFonts w:ascii="Times New Roman" w:hAnsi="Times New Roman"/>
        </w:rPr>
        <w:t xml:space="preserve"> invasion in the Afar region of Ethiopia: A contingent valuation. </w:t>
      </w:r>
      <w:r w:rsidRPr="001523EB">
        <w:rPr>
          <w:rFonts w:ascii="Times New Roman" w:hAnsi="Times New Roman"/>
          <w:i/>
          <w:iCs/>
        </w:rPr>
        <w:t>Journal of Environmental Planning and Management</w:t>
      </w:r>
      <w:r w:rsidRPr="001523EB">
        <w:rPr>
          <w:rFonts w:ascii="Times New Roman" w:hAnsi="Times New Roman"/>
        </w:rPr>
        <w:t xml:space="preserve">, </w:t>
      </w:r>
      <w:r w:rsidRPr="001523EB">
        <w:rPr>
          <w:rFonts w:ascii="Times New Roman" w:hAnsi="Times New Roman"/>
          <w:i/>
          <w:iCs/>
        </w:rPr>
        <w:t>60</w:t>
      </w:r>
      <w:r w:rsidRPr="001523EB">
        <w:rPr>
          <w:rFonts w:ascii="Times New Roman" w:hAnsi="Times New Roman"/>
        </w:rPr>
        <w:t>(2), 282–308. https://doi.org/10.1080/09640568.2016.1152955</w:t>
      </w:r>
    </w:p>
    <w:p w14:paraId="082F2D6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Timus, N., &amp; Babutsidze, Z. (2016). Pirating European Studies. </w:t>
      </w:r>
      <w:r w:rsidRPr="001523EB">
        <w:rPr>
          <w:rFonts w:ascii="Times New Roman" w:hAnsi="Times New Roman"/>
          <w:i/>
          <w:iCs/>
        </w:rPr>
        <w:t>Journal of Contemporary European Research</w:t>
      </w:r>
      <w:r w:rsidRPr="001523EB">
        <w:rPr>
          <w:rFonts w:ascii="Times New Roman" w:hAnsi="Times New Roman"/>
        </w:rPr>
        <w:t xml:space="preserve">, </w:t>
      </w:r>
      <w:r w:rsidRPr="001523EB">
        <w:rPr>
          <w:rFonts w:ascii="Times New Roman" w:hAnsi="Times New Roman"/>
          <w:i/>
          <w:iCs/>
        </w:rPr>
        <w:t>12</w:t>
      </w:r>
      <w:r w:rsidRPr="001523EB">
        <w:rPr>
          <w:rFonts w:ascii="Times New Roman" w:hAnsi="Times New Roman"/>
        </w:rPr>
        <w:t>(3), 783–791. https://www.proquest.com/docview/2673249500?pq-origsite=gscholar&amp;fromopenview=true</w:t>
      </w:r>
    </w:p>
    <w:p w14:paraId="14ED4E5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Tollington, S., Turbé, A., Rabitsch, W., Groombridge, J. J., Scalera, R., Essl, F., &amp; Shwartz, A. (2017). Making the EU Legislation on Invasive Species a Conservation Success. </w:t>
      </w:r>
      <w:r w:rsidRPr="001523EB">
        <w:rPr>
          <w:rFonts w:ascii="Times New Roman" w:hAnsi="Times New Roman"/>
          <w:i/>
          <w:iCs/>
        </w:rPr>
        <w:t>Conservation Letters</w:t>
      </w:r>
      <w:r w:rsidRPr="001523EB">
        <w:rPr>
          <w:rFonts w:ascii="Times New Roman" w:hAnsi="Times New Roman"/>
        </w:rPr>
        <w:t xml:space="preserve">, </w:t>
      </w:r>
      <w:r w:rsidRPr="001523EB">
        <w:rPr>
          <w:rFonts w:ascii="Times New Roman" w:hAnsi="Times New Roman"/>
          <w:i/>
          <w:iCs/>
        </w:rPr>
        <w:t>10</w:t>
      </w:r>
      <w:r w:rsidRPr="001523EB">
        <w:rPr>
          <w:rFonts w:ascii="Times New Roman" w:hAnsi="Times New Roman"/>
        </w:rPr>
        <w:t>(1), 112–120. https://doi.org/10.1111/conl.12214</w:t>
      </w:r>
    </w:p>
    <w:p w14:paraId="6EE3207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Touza, J., Pérez-Alonso, A., Chas-Amil, M. L., &amp; Dehnen-Schmutz, K. (2014). Explaining the rank order of invasive plants by stakeholder groups. </w:t>
      </w:r>
      <w:r w:rsidRPr="001523EB">
        <w:rPr>
          <w:rFonts w:ascii="Times New Roman" w:hAnsi="Times New Roman"/>
          <w:i/>
          <w:iCs/>
        </w:rPr>
        <w:t>Ecological Economics</w:t>
      </w:r>
      <w:r w:rsidRPr="001523EB">
        <w:rPr>
          <w:rFonts w:ascii="Times New Roman" w:hAnsi="Times New Roman"/>
        </w:rPr>
        <w:t xml:space="preserve">, </w:t>
      </w:r>
      <w:r w:rsidRPr="001523EB">
        <w:rPr>
          <w:rFonts w:ascii="Times New Roman" w:hAnsi="Times New Roman"/>
          <w:i/>
          <w:iCs/>
        </w:rPr>
        <w:t>105</w:t>
      </w:r>
      <w:r w:rsidRPr="001523EB">
        <w:rPr>
          <w:rFonts w:ascii="Times New Roman" w:hAnsi="Times New Roman"/>
        </w:rPr>
        <w:t>, 330–341. https://doi.org/10.1016/j.ecolecon.2014.06.019</w:t>
      </w:r>
    </w:p>
    <w:p w14:paraId="1A62672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Trégarot, E., Fumaroli, M., Arqué, A., Hellio, C., &amp; Maréchal, J.-P. (2015). First records of the red lionfish (</w:t>
      </w:r>
      <w:r w:rsidRPr="001523EB">
        <w:rPr>
          <w:rFonts w:ascii="Times New Roman" w:hAnsi="Times New Roman"/>
          <w:i/>
          <w:iCs/>
        </w:rPr>
        <w:t>Pterois volitans</w:t>
      </w:r>
      <w:r w:rsidRPr="001523EB">
        <w:rPr>
          <w:rFonts w:ascii="Times New Roman" w:hAnsi="Times New Roman"/>
        </w:rPr>
        <w:t xml:space="preserve">) in Martinique, French West Indies: Monitoring invasion status through visual surveys. </w:t>
      </w:r>
      <w:r w:rsidRPr="001523EB">
        <w:rPr>
          <w:rFonts w:ascii="Times New Roman" w:hAnsi="Times New Roman"/>
          <w:i/>
          <w:iCs/>
        </w:rPr>
        <w:t>Marine Biodiversity Records</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 e1. https://doi.org/10.1017/S1755267214001341</w:t>
      </w:r>
    </w:p>
    <w:p w14:paraId="4C1C13D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Trillo, T. (2021). Using Multilateral Development Banks to Achieve Paris Climate Goals. </w:t>
      </w:r>
      <w:r w:rsidRPr="001523EB">
        <w:rPr>
          <w:rFonts w:ascii="Times New Roman" w:hAnsi="Times New Roman"/>
          <w:i/>
          <w:iCs/>
        </w:rPr>
        <w:t>Environmental Law Reporter</w:t>
      </w:r>
      <w:r w:rsidRPr="001523EB">
        <w:rPr>
          <w:rFonts w:ascii="Times New Roman" w:hAnsi="Times New Roman"/>
        </w:rPr>
        <w:t xml:space="preserve">, </w:t>
      </w:r>
      <w:r w:rsidRPr="001523EB">
        <w:rPr>
          <w:rFonts w:ascii="Times New Roman" w:hAnsi="Times New Roman"/>
          <w:i/>
          <w:iCs/>
        </w:rPr>
        <w:t>51</w:t>
      </w:r>
      <w:r w:rsidRPr="001523EB">
        <w:rPr>
          <w:rFonts w:ascii="Times New Roman" w:hAnsi="Times New Roman"/>
        </w:rPr>
        <w:t>(9), 10762–10772. https://heinonline.org/HOL/Page?handle=hein.journals/elrna51&amp;id=1&amp;collection=journals&amp;index=</w:t>
      </w:r>
    </w:p>
    <w:p w14:paraId="6C32F72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Troudet, J., Grandcolas, P., Blin, A., Vignes-Lebbe, R., &amp; Legendre, F. (2017). Taxonomic bias in biodiversity data and societal preferences. </w:t>
      </w:r>
      <w:r w:rsidRPr="001523EB">
        <w:rPr>
          <w:rFonts w:ascii="Times New Roman" w:hAnsi="Times New Roman"/>
          <w:i/>
          <w:iCs/>
        </w:rPr>
        <w:t>Scientific Reports</w:t>
      </w:r>
      <w:r w:rsidRPr="001523EB">
        <w:rPr>
          <w:rFonts w:ascii="Times New Roman" w:hAnsi="Times New Roman"/>
        </w:rPr>
        <w:t xml:space="preserve">, </w:t>
      </w:r>
      <w:r w:rsidRPr="001523EB">
        <w:rPr>
          <w:rFonts w:ascii="Times New Roman" w:hAnsi="Times New Roman"/>
          <w:i/>
          <w:iCs/>
        </w:rPr>
        <w:t>7</w:t>
      </w:r>
      <w:r w:rsidRPr="001523EB">
        <w:rPr>
          <w:rFonts w:ascii="Times New Roman" w:hAnsi="Times New Roman"/>
        </w:rPr>
        <w:t>(1), 9132. https://doi.org/10.1038/s41598-017-09084-6</w:t>
      </w:r>
    </w:p>
    <w:p w14:paraId="7A4156C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Trump, B. D., Foran, C., Rycroft, T., Wood, M. D., Bandolin, N., Cains, M., Cary, T., Crocker, F., Friedenberg, N. A., Gurian, P., Hamilton, K., Hoover, J. J., Meyer, C., Pokrzywinski, K., Ritterson, R., Schulte, P., Warner, C., Perkins, E., &amp; Linkov, I. (2018). Development of community of practice to support quantitative risk assessment for synthetic biology products: Contaminant bioremediation and invasive carp control as cases. </w:t>
      </w:r>
      <w:r w:rsidRPr="001523EB">
        <w:rPr>
          <w:rFonts w:ascii="Times New Roman" w:hAnsi="Times New Roman"/>
          <w:i/>
          <w:iCs/>
        </w:rPr>
        <w:t>Environment Systems &amp; Decisions</w:t>
      </w:r>
      <w:r w:rsidRPr="001523EB">
        <w:rPr>
          <w:rFonts w:ascii="Times New Roman" w:hAnsi="Times New Roman"/>
        </w:rPr>
        <w:t xml:space="preserve">, </w:t>
      </w:r>
      <w:r w:rsidRPr="001523EB">
        <w:rPr>
          <w:rFonts w:ascii="Times New Roman" w:hAnsi="Times New Roman"/>
          <w:i/>
          <w:iCs/>
        </w:rPr>
        <w:t>38</w:t>
      </w:r>
      <w:r w:rsidRPr="001523EB">
        <w:rPr>
          <w:rFonts w:ascii="Times New Roman" w:hAnsi="Times New Roman"/>
        </w:rPr>
        <w:t>(4), 517–527. https://doi.org/10.1007/s10669-018-9710-9</w:t>
      </w:r>
    </w:p>
    <w:p w14:paraId="37AB23F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Turbelin, A. J., Malamud, B. D., &amp; Francis, R. A. (2017). Mapping the global state of invasive alien species: Patterns of invasion and policy responses: Mapping the global state of invasive alien species. </w:t>
      </w:r>
      <w:r w:rsidRPr="001523EB">
        <w:rPr>
          <w:rFonts w:ascii="Times New Roman" w:hAnsi="Times New Roman"/>
          <w:i/>
          <w:iCs/>
        </w:rPr>
        <w:t>Global Ecology and Biogeography</w:t>
      </w:r>
      <w:r w:rsidRPr="001523EB">
        <w:rPr>
          <w:rFonts w:ascii="Times New Roman" w:hAnsi="Times New Roman"/>
        </w:rPr>
        <w:t xml:space="preserve">, </w:t>
      </w:r>
      <w:r w:rsidRPr="001523EB">
        <w:rPr>
          <w:rFonts w:ascii="Times New Roman" w:hAnsi="Times New Roman"/>
          <w:i/>
          <w:iCs/>
        </w:rPr>
        <w:t>26</w:t>
      </w:r>
      <w:r w:rsidRPr="001523EB">
        <w:rPr>
          <w:rFonts w:ascii="Times New Roman" w:hAnsi="Times New Roman"/>
        </w:rPr>
        <w:t>(1), 78–92. https://doi.org/10.1111/geb.12517</w:t>
      </w:r>
    </w:p>
    <w:p w14:paraId="3B90084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Turchini, G. M., &amp; De Silva, S. S. (2008). Bio-economical and ethical impacts of alien finfish culture in European inland waters. </w:t>
      </w:r>
      <w:r w:rsidRPr="001523EB">
        <w:rPr>
          <w:rFonts w:ascii="Times New Roman" w:hAnsi="Times New Roman"/>
          <w:i/>
          <w:iCs/>
        </w:rPr>
        <w:t>Aquaculture International</w:t>
      </w:r>
      <w:r w:rsidRPr="001523EB">
        <w:rPr>
          <w:rFonts w:ascii="Times New Roman" w:hAnsi="Times New Roman"/>
        </w:rPr>
        <w:t xml:space="preserve">, </w:t>
      </w:r>
      <w:r w:rsidRPr="001523EB">
        <w:rPr>
          <w:rFonts w:ascii="Times New Roman" w:hAnsi="Times New Roman"/>
          <w:i/>
          <w:iCs/>
        </w:rPr>
        <w:t>16</w:t>
      </w:r>
      <w:r w:rsidRPr="001523EB">
        <w:rPr>
          <w:rFonts w:ascii="Times New Roman" w:hAnsi="Times New Roman"/>
        </w:rPr>
        <w:t>(3), 243–272. https://doi.org/10.1007/s10499-007-9141-y</w:t>
      </w:r>
    </w:p>
    <w:p w14:paraId="1F99AF0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Turnhout, E., Metze, T., Wyborn, C., Klenk, N., &amp; Louder, E. (2020). The politics of co-production: Participation, power, and transformation. </w:t>
      </w:r>
      <w:r w:rsidRPr="001523EB">
        <w:rPr>
          <w:rFonts w:ascii="Times New Roman" w:hAnsi="Times New Roman"/>
          <w:i/>
          <w:iCs/>
        </w:rPr>
        <w:t>Current Opinion in Environmental Sustainability</w:t>
      </w:r>
      <w:r w:rsidRPr="001523EB">
        <w:rPr>
          <w:rFonts w:ascii="Times New Roman" w:hAnsi="Times New Roman"/>
        </w:rPr>
        <w:t xml:space="preserve">, </w:t>
      </w:r>
      <w:r w:rsidRPr="001523EB">
        <w:rPr>
          <w:rFonts w:ascii="Times New Roman" w:hAnsi="Times New Roman"/>
          <w:i/>
          <w:iCs/>
        </w:rPr>
        <w:t>42</w:t>
      </w:r>
      <w:r w:rsidRPr="001523EB">
        <w:rPr>
          <w:rFonts w:ascii="Times New Roman" w:hAnsi="Times New Roman"/>
        </w:rPr>
        <w:t>, 15–21. https://doi.org/10.1016/j.cosust.2019.11.009</w:t>
      </w:r>
    </w:p>
    <w:p w14:paraId="65DCA4B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Tye, A. (Ed.). (2018). </w:t>
      </w:r>
      <w:r w:rsidRPr="001523EB">
        <w:rPr>
          <w:rFonts w:ascii="Times New Roman" w:hAnsi="Times New Roman"/>
          <w:i/>
          <w:iCs/>
        </w:rPr>
        <w:t>Guidelines for invasive species planning and management on islands</w:t>
      </w:r>
      <w:r w:rsidRPr="001523EB">
        <w:rPr>
          <w:rFonts w:ascii="Times New Roman" w:hAnsi="Times New Roman"/>
        </w:rPr>
        <w:t xml:space="preserve"> (1st ed.). IUCN, International Union for Conservation of Nature. https://doi.org/10.2305/IUCN.CH.2018.15.en</w:t>
      </w:r>
    </w:p>
    <w:p w14:paraId="5CA6EB8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Udovyk, O., &amp; Gilek, M. (2013). Coping with uncertainties in science-based advice informing environmental management of the Baltic Sea. </w:t>
      </w:r>
      <w:r w:rsidRPr="001523EB">
        <w:rPr>
          <w:rFonts w:ascii="Times New Roman" w:hAnsi="Times New Roman"/>
          <w:i/>
          <w:iCs/>
        </w:rPr>
        <w:t>Environmental Science &amp; Policy</w:t>
      </w:r>
      <w:r w:rsidRPr="001523EB">
        <w:rPr>
          <w:rFonts w:ascii="Times New Roman" w:hAnsi="Times New Roman"/>
        </w:rPr>
        <w:t xml:space="preserve">, </w:t>
      </w:r>
      <w:r w:rsidRPr="001523EB">
        <w:rPr>
          <w:rFonts w:ascii="Times New Roman" w:hAnsi="Times New Roman"/>
          <w:i/>
          <w:iCs/>
        </w:rPr>
        <w:t>29</w:t>
      </w:r>
      <w:r w:rsidRPr="001523EB">
        <w:rPr>
          <w:rFonts w:ascii="Times New Roman" w:hAnsi="Times New Roman"/>
        </w:rPr>
        <w:t>, 12–23. https://doi.org/10.1016/j.envsci.2013.01.015</w:t>
      </w:r>
    </w:p>
    <w:p w14:paraId="0AA649A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UK Parliament. (2019). </w:t>
      </w:r>
      <w:r w:rsidRPr="001523EB">
        <w:rPr>
          <w:rFonts w:ascii="Times New Roman" w:hAnsi="Times New Roman"/>
          <w:i/>
          <w:iCs/>
        </w:rPr>
        <w:t>Invasive species—Environmental Audit Committee—House of Commons</w:t>
      </w:r>
      <w:r w:rsidRPr="001523EB">
        <w:rPr>
          <w:rFonts w:ascii="Times New Roman" w:hAnsi="Times New Roman"/>
        </w:rPr>
        <w:t>. https://publications.parliament.uk/pa/cm201919/cmselect/cmenvaud/88/8804.htm</w:t>
      </w:r>
    </w:p>
    <w:p w14:paraId="28633FB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UN. (2008). </w:t>
      </w:r>
      <w:r w:rsidRPr="001523EB">
        <w:rPr>
          <w:rFonts w:ascii="Times New Roman" w:hAnsi="Times New Roman"/>
          <w:i/>
          <w:iCs/>
        </w:rPr>
        <w:t>Reforming energy subsidies: Opportunities to contribute to the climate change agenda</w:t>
      </w:r>
      <w:r w:rsidRPr="001523EB">
        <w:rPr>
          <w:rFonts w:ascii="Times New Roman" w:hAnsi="Times New Roman"/>
        </w:rPr>
        <w:t>. United Nations Environment Programme. https://wedocs.unep.org/20.500.11822/25941</w:t>
      </w:r>
    </w:p>
    <w:p w14:paraId="029018F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UN. (2021). </w:t>
      </w:r>
      <w:r w:rsidRPr="001523EB">
        <w:rPr>
          <w:rFonts w:ascii="Times New Roman" w:hAnsi="Times New Roman"/>
          <w:i/>
          <w:iCs/>
        </w:rPr>
        <w:t>SDG Indicators—Metadata repository</w:t>
      </w:r>
      <w:r w:rsidRPr="001523EB">
        <w:rPr>
          <w:rFonts w:ascii="Times New Roman" w:hAnsi="Times New Roman"/>
        </w:rPr>
        <w:t xml:space="preserve"> [United Nations Statistics Division, Development Data and Outreach Branch]. https://unstats.un.org/sdgs/metadata/?Text=&amp;Goal=15&amp;Target=15.8</w:t>
      </w:r>
    </w:p>
    <w:p w14:paraId="6D1B5CA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Underwood, E., Scalera, R., &amp; Rabitsch, W. (2020). </w:t>
      </w:r>
      <w:r w:rsidRPr="001523EB">
        <w:rPr>
          <w:rFonts w:ascii="Times New Roman" w:hAnsi="Times New Roman"/>
          <w:i/>
          <w:iCs/>
        </w:rPr>
        <w:t>FAQs on how the EU Invasive Alien Species Regulation interacts with the EU Nature Directives</w:t>
      </w:r>
      <w:r w:rsidRPr="001523EB">
        <w:rPr>
          <w:rFonts w:ascii="Times New Roman" w:hAnsi="Times New Roman"/>
        </w:rPr>
        <w:t>. https://ieep.eu/publications/faqs-on-how-the-eu-invasive-alien-species-regulation-interacts-with-the-eu-nature-directives/</w:t>
      </w:r>
    </w:p>
    <w:p w14:paraId="4DBE5C1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UNEP. (2014). </w:t>
      </w:r>
      <w:r w:rsidRPr="001523EB">
        <w:rPr>
          <w:rFonts w:ascii="Times New Roman" w:hAnsi="Times New Roman"/>
          <w:i/>
          <w:iCs/>
        </w:rPr>
        <w:t>Action Plan concerning species introductions and invasive species in the Mediterranean Sea</w:t>
      </w:r>
      <w:r w:rsidRPr="001523EB">
        <w:rPr>
          <w:rFonts w:ascii="Times New Roman" w:hAnsi="Times New Roman"/>
        </w:rPr>
        <w:t>. UNDP. https://www.undp.org/turkiye/publications/action-plan-concerning-species-introductions-and-invasive-species-mediterranean-sea</w:t>
      </w:r>
    </w:p>
    <w:p w14:paraId="1ADFE501"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UNESCO. (2017). </w:t>
      </w:r>
      <w:r w:rsidRPr="001523EB">
        <w:rPr>
          <w:rFonts w:ascii="Times New Roman" w:hAnsi="Times New Roman"/>
          <w:i/>
          <w:iCs/>
        </w:rPr>
        <w:t>The World Heritage Convention</w:t>
      </w:r>
      <w:r w:rsidRPr="001523EB">
        <w:rPr>
          <w:rFonts w:ascii="Times New Roman" w:hAnsi="Times New Roman"/>
        </w:rPr>
        <w:t>. The United Nations Educational, Scientific and Cultural Organization. http://whc.unesco.org/en/ Convention/</w:t>
      </w:r>
    </w:p>
    <w:p w14:paraId="1A611A8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Ura, K., Alkire, S., Zangmo, T., &amp; Wangdi, K. (2012). </w:t>
      </w:r>
      <w:r w:rsidRPr="001523EB">
        <w:rPr>
          <w:rFonts w:ascii="Times New Roman" w:hAnsi="Times New Roman"/>
          <w:i/>
          <w:iCs/>
        </w:rPr>
        <w:t>A short guide to gross national happiness index</w:t>
      </w:r>
      <w:r w:rsidRPr="001523EB">
        <w:rPr>
          <w:rFonts w:ascii="Times New Roman" w:hAnsi="Times New Roman"/>
        </w:rPr>
        <w:t>. https://www.gov.uk/research-for-development-outputs/a-short-guide-to-gross-national-happiness-index</w:t>
      </w:r>
    </w:p>
    <w:p w14:paraId="1A4270C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Usher, M. B., Kruger, F. J., Macdonald, I. A. W., Loope, L. L., &amp; Brockie, R. E. (1988). The Ecology of Biological Invasions into Nature Reserves—An Introduction. </w:t>
      </w:r>
      <w:r w:rsidRPr="001523EB">
        <w:rPr>
          <w:rFonts w:ascii="Times New Roman" w:hAnsi="Times New Roman"/>
          <w:i/>
          <w:iCs/>
        </w:rPr>
        <w:t>Biological Conservation</w:t>
      </w:r>
      <w:r w:rsidRPr="001523EB">
        <w:rPr>
          <w:rFonts w:ascii="Times New Roman" w:hAnsi="Times New Roman"/>
        </w:rPr>
        <w:t xml:space="preserve">, </w:t>
      </w:r>
      <w:r w:rsidRPr="001523EB">
        <w:rPr>
          <w:rFonts w:ascii="Times New Roman" w:hAnsi="Times New Roman"/>
          <w:i/>
          <w:iCs/>
        </w:rPr>
        <w:t>44</w:t>
      </w:r>
      <w:r w:rsidRPr="001523EB">
        <w:rPr>
          <w:rFonts w:ascii="Times New Roman" w:hAnsi="Times New Roman"/>
        </w:rPr>
        <w:t>(1–2), 1–8. https://doi.org/10.1016/0006-3207(88)90002-X</w:t>
      </w:r>
    </w:p>
    <w:p w14:paraId="01EC3DD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Vaas, J., Driessen, P. P. J., Giezen, M., van Laerhoven, F., &amp; Wassen, M. J. (2017). Who’s in charge here anyway? Polycentric governance configurations and the development of policy on invasive alien species in the semisovereign Caribbean.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22</w:t>
      </w:r>
      <w:r w:rsidRPr="001523EB">
        <w:rPr>
          <w:rFonts w:ascii="Times New Roman" w:hAnsi="Times New Roman"/>
        </w:rPr>
        <w:t>(4), 1. https://doi.org/10.5751/ES-09487-220401</w:t>
      </w:r>
    </w:p>
    <w:p w14:paraId="5F0CE42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van der Ven, H., Rothacker, C., &amp; Cashore, B. (2018). Do eco-labels prevent deforestation? Lessons from non-state market driven governance in the soy, palm oil, and cocoa sectors. </w:t>
      </w:r>
      <w:r w:rsidRPr="001523EB">
        <w:rPr>
          <w:rFonts w:ascii="Times New Roman" w:hAnsi="Times New Roman"/>
          <w:i/>
          <w:iCs/>
        </w:rPr>
        <w:t>Global Environmental Change</w:t>
      </w:r>
      <w:r w:rsidRPr="001523EB">
        <w:rPr>
          <w:rFonts w:ascii="Times New Roman" w:hAnsi="Times New Roman"/>
        </w:rPr>
        <w:t xml:space="preserve">, </w:t>
      </w:r>
      <w:r w:rsidRPr="001523EB">
        <w:rPr>
          <w:rFonts w:ascii="Times New Roman" w:hAnsi="Times New Roman"/>
          <w:i/>
          <w:iCs/>
        </w:rPr>
        <w:t>52</w:t>
      </w:r>
      <w:r w:rsidRPr="001523EB">
        <w:rPr>
          <w:rFonts w:ascii="Times New Roman" w:hAnsi="Times New Roman"/>
        </w:rPr>
        <w:t>, 141–151. https://doi.org/10.1016/j.gloenvcha.2018.07.002</w:t>
      </w:r>
    </w:p>
    <w:p w14:paraId="0C9A7D5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van Heezik, Y. M., Dickinson, K. J. M., &amp; Freeman, C. (2012). Closing the Gap: Communicating to Change Gardening Practices in Support of Native Biodiversity in Urban Private Gardens. </w:t>
      </w:r>
      <w:r w:rsidRPr="001523EB">
        <w:rPr>
          <w:rFonts w:ascii="Times New Roman" w:hAnsi="Times New Roman"/>
          <w:i/>
          <w:iCs/>
        </w:rPr>
        <w:t>Ecology and Society</w:t>
      </w:r>
      <w:r w:rsidRPr="001523EB">
        <w:rPr>
          <w:rFonts w:ascii="Times New Roman" w:hAnsi="Times New Roman"/>
        </w:rPr>
        <w:t xml:space="preserve">, </w:t>
      </w:r>
      <w:r w:rsidRPr="001523EB">
        <w:rPr>
          <w:rFonts w:ascii="Times New Roman" w:hAnsi="Times New Roman"/>
          <w:i/>
          <w:iCs/>
        </w:rPr>
        <w:t>17</w:t>
      </w:r>
      <w:r w:rsidRPr="001523EB">
        <w:rPr>
          <w:rFonts w:ascii="Times New Roman" w:hAnsi="Times New Roman"/>
        </w:rPr>
        <w:t>(1), Article 1. https://doi.org/10.5751/Es-04712-170134</w:t>
      </w:r>
    </w:p>
    <w:p w14:paraId="1DC7988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van Rees, C. B., Hand, B. K., Carter, S. C., Bargeron, C., Cline, T. J., Daniel, W., Ferrante, J. A., Gaddis, K., Hunter, M. E., Jarnevich, C. S., McGeoch, M. A., Morisette, J. T., Neilson, M. E., Roy, H. E., Rozance, M. A., Sepulveda, A., Wallace, R. D., Whited, D., Wilcox, T., … </w:t>
      </w:r>
      <w:r w:rsidRPr="001523EB">
        <w:rPr>
          <w:rFonts w:ascii="Times New Roman" w:hAnsi="Times New Roman"/>
        </w:rPr>
        <w:lastRenderedPageBreak/>
        <w:t xml:space="preserve">Luikart, G. (2022). A framework to integrate innovations in invasion science for proactive management. </w:t>
      </w:r>
      <w:r w:rsidRPr="001523EB">
        <w:rPr>
          <w:rFonts w:ascii="Times New Roman" w:hAnsi="Times New Roman"/>
          <w:i/>
          <w:iCs/>
        </w:rPr>
        <w:t>Biological Reviews</w:t>
      </w:r>
      <w:r w:rsidRPr="001523EB">
        <w:rPr>
          <w:rFonts w:ascii="Times New Roman" w:hAnsi="Times New Roman"/>
        </w:rPr>
        <w:t xml:space="preserve">, </w:t>
      </w:r>
      <w:r w:rsidRPr="001523EB">
        <w:rPr>
          <w:rFonts w:ascii="Times New Roman" w:hAnsi="Times New Roman"/>
          <w:i/>
          <w:iCs/>
        </w:rPr>
        <w:t>97</w:t>
      </w:r>
      <w:r w:rsidRPr="001523EB">
        <w:rPr>
          <w:rFonts w:ascii="Times New Roman" w:hAnsi="Times New Roman"/>
        </w:rPr>
        <w:t>(4), 1712–1735. https://doi.org/10.1111/brv.12859</w:t>
      </w:r>
    </w:p>
    <w:p w14:paraId="0D321FD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Vane, M., &amp; Runhaar, H. A. C. (2016). Public support for invasive alien species eradication programs: Insights from the Netherlands. </w:t>
      </w:r>
      <w:r w:rsidRPr="001523EB">
        <w:rPr>
          <w:rFonts w:ascii="Times New Roman" w:hAnsi="Times New Roman"/>
          <w:i/>
          <w:iCs/>
        </w:rPr>
        <w:t>Restoration Ecology</w:t>
      </w:r>
      <w:r w:rsidRPr="001523EB">
        <w:rPr>
          <w:rFonts w:ascii="Times New Roman" w:hAnsi="Times New Roman"/>
        </w:rPr>
        <w:t xml:space="preserve">, </w:t>
      </w:r>
      <w:r w:rsidRPr="001523EB">
        <w:rPr>
          <w:rFonts w:ascii="Times New Roman" w:hAnsi="Times New Roman"/>
          <w:i/>
          <w:iCs/>
        </w:rPr>
        <w:t>24</w:t>
      </w:r>
      <w:r w:rsidRPr="001523EB">
        <w:rPr>
          <w:rFonts w:ascii="Times New Roman" w:hAnsi="Times New Roman"/>
        </w:rPr>
        <w:t>(6), 743–748. https://doi.org/10.1111/rec.12379</w:t>
      </w:r>
    </w:p>
    <w:p w14:paraId="56FB936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VanNijnatten, D. L. (2016). The Aquatic Invasion: Assembling Transboundary Governance Capacity for Prevention and Detection. </w:t>
      </w:r>
      <w:r w:rsidRPr="001523EB">
        <w:rPr>
          <w:rFonts w:ascii="Times New Roman" w:hAnsi="Times New Roman"/>
          <w:i/>
          <w:iCs/>
        </w:rPr>
        <w:t>International Journal of Water Governance</w:t>
      </w:r>
      <w:r w:rsidRPr="001523EB">
        <w:rPr>
          <w:rFonts w:ascii="Times New Roman" w:hAnsi="Times New Roman"/>
        </w:rPr>
        <w:t xml:space="preserve">, </w:t>
      </w:r>
      <w:r w:rsidRPr="001523EB">
        <w:rPr>
          <w:rFonts w:ascii="Times New Roman" w:hAnsi="Times New Roman"/>
          <w:i/>
          <w:iCs/>
        </w:rPr>
        <w:t>4</w:t>
      </w:r>
      <w:r w:rsidRPr="001523EB">
        <w:rPr>
          <w:rFonts w:ascii="Times New Roman" w:hAnsi="Times New Roman"/>
        </w:rPr>
        <w:t>(6), 91–110. https://doi.org/10.7564/15-ijwg84</w:t>
      </w:r>
    </w:p>
    <w:p w14:paraId="0C52C7A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Vaz, A. S., Kueffer, C., Kull, C. A., Richardson, D. M., Schindler, S., Muñoz-Pajares, A. J., Vicente, J. R., Martins, J., Hui, C., Kühn, I., &amp; Honrado, J. P. (2017). The progress of interdisciplinarity in invasion science. </w:t>
      </w:r>
      <w:r w:rsidRPr="001523EB">
        <w:rPr>
          <w:rFonts w:ascii="Times New Roman" w:hAnsi="Times New Roman"/>
          <w:i/>
          <w:iCs/>
        </w:rPr>
        <w:t>Ambio</w:t>
      </w:r>
      <w:r w:rsidRPr="001523EB">
        <w:rPr>
          <w:rFonts w:ascii="Times New Roman" w:hAnsi="Times New Roman"/>
        </w:rPr>
        <w:t xml:space="preserve">, </w:t>
      </w:r>
      <w:r w:rsidRPr="001523EB">
        <w:rPr>
          <w:rFonts w:ascii="Times New Roman" w:hAnsi="Times New Roman"/>
          <w:i/>
          <w:iCs/>
        </w:rPr>
        <w:t>46</w:t>
      </w:r>
      <w:r w:rsidRPr="001523EB">
        <w:rPr>
          <w:rFonts w:ascii="Times New Roman" w:hAnsi="Times New Roman"/>
        </w:rPr>
        <w:t>(4), 428–442. https://doi.org/10.1007/s13280-017-0897-7</w:t>
      </w:r>
    </w:p>
    <w:p w14:paraId="5EC17D4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Verbrugge, L. N. H., Leuven, R. S. E. W., van Valkenburg, J. L. C. H., &amp; van den Born, R. J. G. (2014). Evaluating stakeholder awareness and involvement in risk prevention of aquatic invasive plant species by a national code of conduct. </w:t>
      </w:r>
      <w:r w:rsidRPr="001523EB">
        <w:rPr>
          <w:rFonts w:ascii="Times New Roman" w:hAnsi="Times New Roman"/>
          <w:i/>
          <w:iCs/>
        </w:rPr>
        <w:t>Aquatic Invasions</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(3), 369–381. https://doi.org/10.3391/ai.2014.9.3.11</w:t>
      </w:r>
    </w:p>
    <w:p w14:paraId="3FF0B89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Vicente, J. R. S., Vaz, A. S., Roige, M., Winter, M., Clarke, D., Lenzner, B., &amp; McGeoch, M. A. (2022). Existing indicators do not adequately monitor progress towards meeting invasive alien species targets. In </w:t>
      </w:r>
      <w:r w:rsidRPr="001523EB">
        <w:rPr>
          <w:rFonts w:ascii="Times New Roman" w:hAnsi="Times New Roman"/>
          <w:i/>
          <w:iCs/>
        </w:rPr>
        <w:t>Conservation Letters</w:t>
      </w:r>
      <w:r w:rsidRPr="001523EB">
        <w:rPr>
          <w:rFonts w:ascii="Times New Roman" w:hAnsi="Times New Roman"/>
        </w:rPr>
        <w:t xml:space="preserve"> (Vol. 15, Issue 5, p. e12918). https://doi.org/10.1111/conl.12918</w:t>
      </w:r>
    </w:p>
    <w:p w14:paraId="10E5FC2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Victorian Government. (2010). </w:t>
      </w:r>
      <w:r w:rsidRPr="001523EB">
        <w:rPr>
          <w:rFonts w:ascii="Times New Roman" w:hAnsi="Times New Roman"/>
          <w:i/>
          <w:iCs/>
        </w:rPr>
        <w:t>Invasive plants and animals: Policy framework</w:t>
      </w:r>
      <w:r w:rsidRPr="001523EB">
        <w:rPr>
          <w:rFonts w:ascii="Times New Roman" w:hAnsi="Times New Roman"/>
        </w:rPr>
        <w:t>. Dept. of Primary Industries. https://agriculture.vic.gov.au/__data/assets/pdf_file/0009/582255/Invasive-Plants-and-Animals-Policy-Framework-IPAPF.pdf</w:t>
      </w:r>
    </w:p>
    <w:p w14:paraId="62073DB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Vines, T. H., Albert, A. Y. K., Andrew, R. L., Débarre, F., Bock, D. G., Franklin, M. T., Gilbert, K. J., Moore, J.-S., Renaut, S., &amp; Rennison, D. J. (2014). The Availability of Research Data Declines Rapidly with Article Age. </w:t>
      </w:r>
      <w:r w:rsidRPr="001523EB">
        <w:rPr>
          <w:rFonts w:ascii="Times New Roman" w:hAnsi="Times New Roman"/>
          <w:i/>
          <w:iCs/>
        </w:rPr>
        <w:t>Current Biology</w:t>
      </w:r>
      <w:r w:rsidRPr="001523EB">
        <w:rPr>
          <w:rFonts w:ascii="Times New Roman" w:hAnsi="Times New Roman"/>
        </w:rPr>
        <w:t xml:space="preserve">, </w:t>
      </w:r>
      <w:r w:rsidRPr="001523EB">
        <w:rPr>
          <w:rFonts w:ascii="Times New Roman" w:hAnsi="Times New Roman"/>
          <w:i/>
          <w:iCs/>
        </w:rPr>
        <w:t>24</w:t>
      </w:r>
      <w:r w:rsidRPr="001523EB">
        <w:rPr>
          <w:rFonts w:ascii="Times New Roman" w:hAnsi="Times New Roman"/>
        </w:rPr>
        <w:t>(1), 94–97. https://doi.org/10.1016/j.cub.2013.11.014</w:t>
      </w:r>
    </w:p>
    <w:p w14:paraId="4AD724E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Visseren-Hamakers, I. J. (2015). Integrative environmental governance: Enhancing governance in the era of synergies. </w:t>
      </w:r>
      <w:r w:rsidRPr="001523EB">
        <w:rPr>
          <w:rFonts w:ascii="Times New Roman" w:hAnsi="Times New Roman"/>
          <w:i/>
          <w:iCs/>
        </w:rPr>
        <w:t>Current Opinion in Environmental Sustainability</w:t>
      </w:r>
      <w:r w:rsidRPr="001523EB">
        <w:rPr>
          <w:rFonts w:ascii="Times New Roman" w:hAnsi="Times New Roman"/>
        </w:rPr>
        <w:t xml:space="preserve">, </w:t>
      </w:r>
      <w:r w:rsidRPr="001523EB">
        <w:rPr>
          <w:rFonts w:ascii="Times New Roman" w:hAnsi="Times New Roman"/>
          <w:i/>
          <w:iCs/>
        </w:rPr>
        <w:t>14</w:t>
      </w:r>
      <w:r w:rsidRPr="001523EB">
        <w:rPr>
          <w:rFonts w:ascii="Times New Roman" w:hAnsi="Times New Roman"/>
        </w:rPr>
        <w:t>, 136–143. https://doi.org/10.1016/j.cosust.2015.05.008</w:t>
      </w:r>
    </w:p>
    <w:p w14:paraId="3AB00EE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Visseren-Hamakers, I. J., Razzaque, J., McElwee, P., Turnhout, E., Kelemen, E., Rusch, G. M., Fernández-Llamazares, Á., Chan, I., Lim, M., Islar, M., Gautam, A. P., Williams, M., Mungatana, E., Karim, M. S., Muradian, R., Gerber, L. R., Lui, G., Liu, J., Spangenberg, J. H., &amp; Zaleski, D. (2021). Transformative governance of biodiversity: Insights for sustainable development. </w:t>
      </w:r>
      <w:r w:rsidRPr="001523EB">
        <w:rPr>
          <w:rFonts w:ascii="Times New Roman" w:hAnsi="Times New Roman"/>
          <w:i/>
          <w:iCs/>
        </w:rPr>
        <w:t>Current Opinion in Environmental Sustainability</w:t>
      </w:r>
      <w:r w:rsidRPr="001523EB">
        <w:rPr>
          <w:rFonts w:ascii="Times New Roman" w:hAnsi="Times New Roman"/>
        </w:rPr>
        <w:t xml:space="preserve">, </w:t>
      </w:r>
      <w:r w:rsidRPr="001523EB">
        <w:rPr>
          <w:rFonts w:ascii="Times New Roman" w:hAnsi="Times New Roman"/>
          <w:i/>
          <w:iCs/>
        </w:rPr>
        <w:t>53</w:t>
      </w:r>
      <w:r w:rsidRPr="001523EB">
        <w:rPr>
          <w:rFonts w:ascii="Times New Roman" w:hAnsi="Times New Roman"/>
        </w:rPr>
        <w:t>, 20–28. https://doi.org/10.1016/j.cosust.2021.06.002</w:t>
      </w:r>
    </w:p>
    <w:p w14:paraId="0F37C0D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Wald, D. M., Nelson, K. A., Gawel, A. M., &amp; Rogers, H. S. (2019). The role of trust in public attitudes toward invasive species management on Guam: A case study. </w:t>
      </w:r>
      <w:r w:rsidRPr="001523EB">
        <w:rPr>
          <w:rFonts w:ascii="Times New Roman" w:hAnsi="Times New Roman"/>
          <w:i/>
          <w:iCs/>
        </w:rPr>
        <w:t>Journal of Environmental Management</w:t>
      </w:r>
      <w:r w:rsidRPr="001523EB">
        <w:rPr>
          <w:rFonts w:ascii="Times New Roman" w:hAnsi="Times New Roman"/>
        </w:rPr>
        <w:t xml:space="preserve">, </w:t>
      </w:r>
      <w:r w:rsidRPr="001523EB">
        <w:rPr>
          <w:rFonts w:ascii="Times New Roman" w:hAnsi="Times New Roman"/>
          <w:i/>
          <w:iCs/>
        </w:rPr>
        <w:t>229</w:t>
      </w:r>
      <w:r w:rsidRPr="001523EB">
        <w:rPr>
          <w:rFonts w:ascii="Times New Roman" w:hAnsi="Times New Roman"/>
        </w:rPr>
        <w:t>, 133–144. https://doi.org/10.1016/j.jenvman.2018.06.047</w:t>
      </w:r>
    </w:p>
    <w:p w14:paraId="68ED5ED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Walker, K. R., Ricciardone, M. D., &amp; Jensen, J. (2003). Developing an international consensus on DDT: a balance of environmental protection and disease control. </w:t>
      </w:r>
      <w:r w:rsidRPr="001523EB">
        <w:rPr>
          <w:rFonts w:ascii="Times New Roman" w:hAnsi="Times New Roman"/>
          <w:i/>
          <w:iCs/>
        </w:rPr>
        <w:t>International Journal of Hygiene and Environmental Health</w:t>
      </w:r>
      <w:r w:rsidRPr="001523EB">
        <w:rPr>
          <w:rFonts w:ascii="Times New Roman" w:hAnsi="Times New Roman"/>
        </w:rPr>
        <w:t xml:space="preserve">, </w:t>
      </w:r>
      <w:r w:rsidRPr="001523EB">
        <w:rPr>
          <w:rFonts w:ascii="Times New Roman" w:hAnsi="Times New Roman"/>
          <w:i/>
          <w:iCs/>
        </w:rPr>
        <w:t>206</w:t>
      </w:r>
      <w:r w:rsidRPr="001523EB">
        <w:rPr>
          <w:rFonts w:ascii="Times New Roman" w:hAnsi="Times New Roman"/>
        </w:rPr>
        <w:t>(4–5), Article 4–5. https://doi.org/10.1078/1438-4639-00239</w:t>
      </w:r>
    </w:p>
    <w:p w14:paraId="755CC93A"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Wallace, R. D., &amp; Bargeron, C. T. (2014). Identifying invasive species in real time: Early detection and distribution mapping system (EDDMapS) and other mapping tools. In </w:t>
      </w:r>
      <w:r w:rsidRPr="001523EB">
        <w:rPr>
          <w:rFonts w:ascii="Times New Roman" w:hAnsi="Times New Roman"/>
          <w:i/>
          <w:iCs/>
        </w:rPr>
        <w:t>Invasive Species and Global Climate Change</w:t>
      </w:r>
      <w:r w:rsidRPr="001523EB">
        <w:rPr>
          <w:rFonts w:ascii="Times New Roman" w:hAnsi="Times New Roman"/>
        </w:rPr>
        <w:t xml:space="preserve"> (Vol. 4, pp. 219–231). https://www.scopus.com/inward/record.uri?eid=2-s2.0-84927795231&amp;partnerID=40&amp;md5=b5a281e3a1844e2fdb58a863e3e3fcbe</w:t>
      </w:r>
    </w:p>
    <w:p w14:paraId="03A0B5D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Walters, L. J., Brown, K. R., Stam, W. T., &amp; Olsen, J. L. (2006). E-commerce and </w:t>
      </w:r>
      <w:r w:rsidRPr="001523EB">
        <w:rPr>
          <w:rFonts w:ascii="Times New Roman" w:hAnsi="Times New Roman"/>
          <w:i/>
          <w:iCs/>
        </w:rPr>
        <w:t>Caulerpa</w:t>
      </w:r>
      <w:r w:rsidRPr="001523EB">
        <w:rPr>
          <w:rFonts w:ascii="Times New Roman" w:hAnsi="Times New Roman"/>
        </w:rPr>
        <w:t xml:space="preserve">: Unregulated dispersal of invasive species. </w:t>
      </w:r>
      <w:r w:rsidRPr="001523EB">
        <w:rPr>
          <w:rFonts w:ascii="Times New Roman" w:hAnsi="Times New Roman"/>
          <w:i/>
          <w:iCs/>
        </w:rPr>
        <w:t>Frontiers in Ecology and the Environment</w:t>
      </w:r>
      <w:r w:rsidRPr="001523EB">
        <w:rPr>
          <w:rFonts w:ascii="Times New Roman" w:hAnsi="Times New Roman"/>
        </w:rPr>
        <w:t xml:space="preserve">, </w:t>
      </w:r>
      <w:r w:rsidRPr="001523EB">
        <w:rPr>
          <w:rFonts w:ascii="Times New Roman" w:hAnsi="Times New Roman"/>
          <w:i/>
          <w:iCs/>
        </w:rPr>
        <w:t>4</w:t>
      </w:r>
      <w:r w:rsidRPr="001523EB">
        <w:rPr>
          <w:rFonts w:ascii="Times New Roman" w:hAnsi="Times New Roman"/>
        </w:rPr>
        <w:t>(2), 75–79. https://doi.org/10.1890/1540-9295(2006)004[0075:EACUDO]2.0.CO;2</w:t>
      </w:r>
    </w:p>
    <w:p w14:paraId="476C2DF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Warwick, H. (2012). Comment: Uist Hedgehogs—Lessons learnt in wildlife management. </w:t>
      </w:r>
      <w:r w:rsidRPr="001523EB">
        <w:rPr>
          <w:rFonts w:ascii="Times New Roman" w:hAnsi="Times New Roman"/>
          <w:i/>
          <w:iCs/>
        </w:rPr>
        <w:t>British Wildlife</w:t>
      </w:r>
      <w:r w:rsidRPr="001523EB">
        <w:rPr>
          <w:rFonts w:ascii="Times New Roman" w:hAnsi="Times New Roman"/>
        </w:rPr>
        <w:t xml:space="preserve">, </w:t>
      </w:r>
      <w:r w:rsidRPr="001523EB">
        <w:rPr>
          <w:rFonts w:ascii="Times New Roman" w:hAnsi="Times New Roman"/>
          <w:i/>
          <w:iCs/>
        </w:rPr>
        <w:t>24</w:t>
      </w:r>
      <w:r w:rsidRPr="001523EB">
        <w:rPr>
          <w:rFonts w:ascii="Times New Roman" w:hAnsi="Times New Roman"/>
        </w:rPr>
        <w:t>(2), 111.</w:t>
      </w:r>
    </w:p>
    <w:p w14:paraId="1C2BBC5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WCO. (2018). </w:t>
      </w:r>
      <w:r w:rsidRPr="001523EB">
        <w:rPr>
          <w:rFonts w:ascii="Times New Roman" w:hAnsi="Times New Roman"/>
          <w:i/>
          <w:iCs/>
        </w:rPr>
        <w:t>WCO Cross-border e-commerce framework of standards</w:t>
      </w:r>
      <w:r w:rsidRPr="001523EB">
        <w:rPr>
          <w:rFonts w:ascii="Times New Roman" w:hAnsi="Times New Roman"/>
        </w:rPr>
        <w:t>. World Customs Organization. http://www.wcoomd.org/-/media/wco/public/global/pdf/topics/facilitation/activities-and-programmes/ecommerce/wco-framework-of-standards-on-crossborder-ecommerce_en.pdf?la=en</w:t>
      </w:r>
    </w:p>
    <w:p w14:paraId="54E603A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WCO. (2019). </w:t>
      </w:r>
      <w:r w:rsidRPr="001523EB">
        <w:rPr>
          <w:rFonts w:ascii="Times New Roman" w:hAnsi="Times New Roman"/>
          <w:i/>
          <w:iCs/>
        </w:rPr>
        <w:t>Technical Specifications Framework Of Standards On Cross-Border E-Commerce</w:t>
      </w:r>
      <w:r w:rsidRPr="001523EB">
        <w:rPr>
          <w:rFonts w:ascii="Times New Roman" w:hAnsi="Times New Roman"/>
        </w:rPr>
        <w:t>. World Customs Organization. https://img1.wsimg.com/blobby/go/3868ba55-a36a-45cf-a1be-6d257a2f1a32/downloads/Technical%20Specifications%20Framework%20of%20Standard.pdf?ver=1594066770640</w:t>
      </w:r>
    </w:p>
    <w:p w14:paraId="17268BD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Weitz, N., Strambo, C., Kemp-Benedict, E., &amp; Nilsson, M. (2017). Closing the governance gaps in the water-energy-food nexus: Insights from integrative governance. </w:t>
      </w:r>
      <w:r w:rsidRPr="001523EB">
        <w:rPr>
          <w:rFonts w:ascii="Times New Roman" w:hAnsi="Times New Roman"/>
          <w:i/>
          <w:iCs/>
        </w:rPr>
        <w:t>Global Environmental Change</w:t>
      </w:r>
      <w:r w:rsidRPr="001523EB">
        <w:rPr>
          <w:rFonts w:ascii="Times New Roman" w:hAnsi="Times New Roman"/>
        </w:rPr>
        <w:t xml:space="preserve">, </w:t>
      </w:r>
      <w:r w:rsidRPr="001523EB">
        <w:rPr>
          <w:rFonts w:ascii="Times New Roman" w:hAnsi="Times New Roman"/>
          <w:i/>
          <w:iCs/>
        </w:rPr>
        <w:t>45</w:t>
      </w:r>
      <w:r w:rsidRPr="001523EB">
        <w:rPr>
          <w:rFonts w:ascii="Times New Roman" w:hAnsi="Times New Roman"/>
        </w:rPr>
        <w:t>, 165–173. https://doi.org/10.1016/j.gloenvcha.2017.06.006</w:t>
      </w:r>
    </w:p>
    <w:p w14:paraId="3CCF61BD"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Westley, F., Olsson, P., Folke, C., Homer-Dixon, T., Vredenburg, H., Loorbach, D., Thompson, J., Nilsson, M., Lambin, E., Sendzimir, J., Banerjee, B., Galaz, V., &amp; van der Leeuw, S. (2011). Tipping toward sustainability: Emerging pathways of transformation. </w:t>
      </w:r>
      <w:r w:rsidRPr="001523EB">
        <w:rPr>
          <w:rFonts w:ascii="Times New Roman" w:hAnsi="Times New Roman"/>
          <w:i/>
          <w:iCs/>
        </w:rPr>
        <w:t>Ambio</w:t>
      </w:r>
      <w:r w:rsidRPr="001523EB">
        <w:rPr>
          <w:rFonts w:ascii="Times New Roman" w:hAnsi="Times New Roman"/>
        </w:rPr>
        <w:t xml:space="preserve">, </w:t>
      </w:r>
      <w:r w:rsidRPr="001523EB">
        <w:rPr>
          <w:rFonts w:ascii="Times New Roman" w:hAnsi="Times New Roman"/>
          <w:i/>
          <w:iCs/>
        </w:rPr>
        <w:t>40</w:t>
      </w:r>
      <w:r w:rsidRPr="001523EB">
        <w:rPr>
          <w:rFonts w:ascii="Times New Roman" w:hAnsi="Times New Roman"/>
        </w:rPr>
        <w:t>(7), 762–780. https://doi.org/10.1007/s13280-011-0186-9</w:t>
      </w:r>
    </w:p>
    <w:p w14:paraId="7AE5770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Westphal, M. I., Browne, M., MacKinnon, K., &amp; Noble, I. (2008). The link between international trade and the global distribution of invasive alien species.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10</w:t>
      </w:r>
      <w:r w:rsidRPr="001523EB">
        <w:rPr>
          <w:rFonts w:ascii="Times New Roman" w:hAnsi="Times New Roman"/>
        </w:rPr>
        <w:t>(4), 391–398. https://doi.org/10.1007/s10530-007-9138-5</w:t>
      </w:r>
    </w:p>
    <w:p w14:paraId="50156DC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Wilkinson, M. D., Dumontier, M., Aalbersberg, Ij. J., Appleton, G., Axton, M., Baak, A., Blomberg, N., Boiten, J.-W., da Silva Santos, L. B., Bourne, P. E., Bouwman, J., Brookes, A. J., Clark, T., Crosas, M., Dillo, I., Dumon, O., Edmunds, S., Evelo, C. T., Finkers, R., … Mons, B. (2016). The FAIR Guiding Principles for scientific data management and stewardship. </w:t>
      </w:r>
      <w:r w:rsidRPr="001523EB">
        <w:rPr>
          <w:rFonts w:ascii="Times New Roman" w:hAnsi="Times New Roman"/>
          <w:i/>
          <w:iCs/>
        </w:rPr>
        <w:t>Scientific Data</w:t>
      </w:r>
      <w:r w:rsidRPr="001523EB">
        <w:rPr>
          <w:rFonts w:ascii="Times New Roman" w:hAnsi="Times New Roman"/>
        </w:rPr>
        <w:t xml:space="preserve">, </w:t>
      </w:r>
      <w:r w:rsidRPr="001523EB">
        <w:rPr>
          <w:rFonts w:ascii="Times New Roman" w:hAnsi="Times New Roman"/>
          <w:i/>
          <w:iCs/>
        </w:rPr>
        <w:t>3</w:t>
      </w:r>
      <w:r w:rsidRPr="001523EB">
        <w:rPr>
          <w:rFonts w:ascii="Times New Roman" w:hAnsi="Times New Roman"/>
        </w:rPr>
        <w:t>(1), 160018. https://doi.org/10.1038/sdata.2016.18</w:t>
      </w:r>
    </w:p>
    <w:p w14:paraId="6120C0A8"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Williams, T., &amp; Hardison, P. (2013). Culture, law, risk and governance: Contexts of traditional knowledge in climate change adaptation. In J. K. Maldonado, B. Colombi, &amp; R. Pandya (Eds.), </w:t>
      </w:r>
      <w:r w:rsidRPr="001523EB">
        <w:rPr>
          <w:rFonts w:ascii="Times New Roman" w:hAnsi="Times New Roman"/>
          <w:i/>
          <w:iCs/>
        </w:rPr>
        <w:t>Climate Change and Indigenous Peoples in the United States</w:t>
      </w:r>
      <w:r w:rsidRPr="001523EB">
        <w:rPr>
          <w:rFonts w:ascii="Times New Roman" w:hAnsi="Times New Roman"/>
        </w:rPr>
        <w:t xml:space="preserve"> (pp. 23–36). Springer. https://doi.org/10.1007/978-3-319-05266-3_3</w:t>
      </w:r>
    </w:p>
    <w:p w14:paraId="408BDFA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Wilson, E. O. (1999). </w:t>
      </w:r>
      <w:r w:rsidRPr="001523EB">
        <w:rPr>
          <w:rFonts w:ascii="Times New Roman" w:hAnsi="Times New Roman"/>
          <w:i/>
          <w:iCs/>
        </w:rPr>
        <w:t>The diversity of life</w:t>
      </w:r>
      <w:r w:rsidRPr="001523EB">
        <w:rPr>
          <w:rFonts w:ascii="Times New Roman" w:hAnsi="Times New Roman"/>
        </w:rPr>
        <w:t>. WW Norton &amp; Company.</w:t>
      </w:r>
    </w:p>
    <w:p w14:paraId="51109FE0"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Wilson, J. R. U., Faulkner, K. T., Rahlao, S. J., Richardson, D. M., Zengeya, T. A., &amp; van Wilgen, B. W. (2018). Indicators for monitoring biological invasions at a national level. </w:t>
      </w:r>
      <w:r w:rsidRPr="001523EB">
        <w:rPr>
          <w:rFonts w:ascii="Times New Roman" w:hAnsi="Times New Roman"/>
          <w:i/>
          <w:iCs/>
        </w:rPr>
        <w:t>Journal of Applied Ecology</w:t>
      </w:r>
      <w:r w:rsidRPr="001523EB">
        <w:rPr>
          <w:rFonts w:ascii="Times New Roman" w:hAnsi="Times New Roman"/>
        </w:rPr>
        <w:t xml:space="preserve">, </w:t>
      </w:r>
      <w:r w:rsidRPr="001523EB">
        <w:rPr>
          <w:rFonts w:ascii="Times New Roman" w:hAnsi="Times New Roman"/>
          <w:i/>
          <w:iCs/>
        </w:rPr>
        <w:t>55</w:t>
      </w:r>
      <w:r w:rsidRPr="001523EB">
        <w:rPr>
          <w:rFonts w:ascii="Times New Roman" w:hAnsi="Times New Roman"/>
        </w:rPr>
        <w:t>(6), 2612–2620. https://doi.org/10.1111/1365-2664.13251</w:t>
      </w:r>
    </w:p>
    <w:p w14:paraId="05D23EC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Wise, L. K. (2019). iMapInvasives 3.0: New features and improvements. </w:t>
      </w:r>
      <w:r w:rsidRPr="001523EB">
        <w:rPr>
          <w:rFonts w:ascii="Times New Roman" w:hAnsi="Times New Roman"/>
          <w:i/>
          <w:iCs/>
        </w:rPr>
        <w:t>Portland/Vancouver Urban Ecology &amp; Conservation Symposium 2019: 17th Annual</w:t>
      </w:r>
      <w:r w:rsidRPr="001523EB">
        <w:rPr>
          <w:rFonts w:ascii="Times New Roman" w:hAnsi="Times New Roman"/>
        </w:rPr>
        <w:t>. 2019 Urban Ecology &amp; Conservation Symposium. https://archives.pdx.edu/ds/psu/33784</w:t>
      </w:r>
    </w:p>
    <w:p w14:paraId="6DBF0912"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WOAH. (2011). </w:t>
      </w:r>
      <w:r w:rsidRPr="001523EB">
        <w:rPr>
          <w:rFonts w:ascii="Times New Roman" w:hAnsi="Times New Roman"/>
          <w:i/>
          <w:iCs/>
        </w:rPr>
        <w:t>Guidelines For Assessing The Risk Of  Non-Native Animals Becoming Invasive</w:t>
      </w:r>
      <w:r w:rsidRPr="001523EB">
        <w:rPr>
          <w:rFonts w:ascii="Times New Roman" w:hAnsi="Times New Roman"/>
        </w:rPr>
        <w:t>. World Organization for Animal Health. https://www.woah.org/app/uploads/2021/03/oieguidelines-nonnativeanimals-2012.pdf</w:t>
      </w:r>
    </w:p>
    <w:p w14:paraId="54CBDAE5"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Wonham, M. J., &amp; Carlton, J. T. (2005). Trends in marine biological invasions at local and regional scales: The Northeast Pacific Ocean as a model system. </w:t>
      </w:r>
      <w:r w:rsidRPr="001523EB">
        <w:rPr>
          <w:rFonts w:ascii="Times New Roman" w:hAnsi="Times New Roman"/>
          <w:i/>
          <w:iCs/>
        </w:rPr>
        <w:t>Biological Invasions</w:t>
      </w:r>
      <w:r w:rsidRPr="001523EB">
        <w:rPr>
          <w:rFonts w:ascii="Times New Roman" w:hAnsi="Times New Roman"/>
        </w:rPr>
        <w:t xml:space="preserve">, </w:t>
      </w:r>
      <w:r w:rsidRPr="001523EB">
        <w:rPr>
          <w:rFonts w:ascii="Times New Roman" w:hAnsi="Times New Roman"/>
          <w:i/>
          <w:iCs/>
        </w:rPr>
        <w:t>7</w:t>
      </w:r>
      <w:r w:rsidRPr="001523EB">
        <w:rPr>
          <w:rFonts w:ascii="Times New Roman" w:hAnsi="Times New Roman"/>
        </w:rPr>
        <w:t>(3), 369–392. https://doi.org/10.1007/s10530-004-2581-7</w:t>
      </w:r>
    </w:p>
    <w:p w14:paraId="2B9957A3"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Woodford, D. J., Richardson, D. M., MacIsaac, H. J., Mandrak, N. E., van Wilgen, B. W., Wilson, J. R. U., &amp; Weyl, O. L. F. (2016). Confronting the wicked problem of managing biological invasions. </w:t>
      </w:r>
      <w:r w:rsidRPr="001523EB">
        <w:rPr>
          <w:rFonts w:ascii="Times New Roman" w:hAnsi="Times New Roman"/>
          <w:i/>
          <w:iCs/>
        </w:rPr>
        <w:t>NeoBiota</w:t>
      </w:r>
      <w:r w:rsidRPr="001523EB">
        <w:rPr>
          <w:rFonts w:ascii="Times New Roman" w:hAnsi="Times New Roman"/>
        </w:rPr>
        <w:t xml:space="preserve">, </w:t>
      </w:r>
      <w:r w:rsidRPr="001523EB">
        <w:rPr>
          <w:rFonts w:ascii="Times New Roman" w:hAnsi="Times New Roman"/>
          <w:i/>
          <w:iCs/>
        </w:rPr>
        <w:t>31</w:t>
      </w:r>
      <w:r w:rsidRPr="001523EB">
        <w:rPr>
          <w:rFonts w:ascii="Times New Roman" w:hAnsi="Times New Roman"/>
        </w:rPr>
        <w:t>, 63–86. https://doi.org/10.3897/neobiota.31.10038</w:t>
      </w:r>
    </w:p>
    <w:p w14:paraId="34C3D6E4"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Wright, E. M., Bhammar, H. M., Gonzalez Velosa, A. M., &amp; Sobrevila, C. (2016). </w:t>
      </w:r>
      <w:r w:rsidRPr="001523EB">
        <w:rPr>
          <w:rFonts w:ascii="Times New Roman" w:hAnsi="Times New Roman"/>
          <w:i/>
          <w:iCs/>
        </w:rPr>
        <w:t>Analysis of international funding to tackle illegal wildlife trade</w:t>
      </w:r>
      <w:r w:rsidRPr="001523EB">
        <w:rPr>
          <w:rFonts w:ascii="Times New Roman" w:hAnsi="Times New Roman"/>
        </w:rPr>
        <w:t>. The World Bank. https://documents1.worldbank.org/curated/en/695451479221164739/pdf/110267-WP-Illegal-Wildlife-Trade-OUO-9.pdf</w:t>
      </w:r>
    </w:p>
    <w:p w14:paraId="5817B807"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lastRenderedPageBreak/>
        <w:t xml:space="preserve">WTO. (1995). </w:t>
      </w:r>
      <w:r w:rsidRPr="001523EB">
        <w:rPr>
          <w:rFonts w:ascii="Times New Roman" w:hAnsi="Times New Roman"/>
          <w:i/>
          <w:iCs/>
        </w:rPr>
        <w:t>The WTO Agreement on the Application of Sanitary and Phytosanitary Measures (SPS Agreement)</w:t>
      </w:r>
      <w:r w:rsidRPr="001523EB">
        <w:rPr>
          <w:rFonts w:ascii="Times New Roman" w:hAnsi="Times New Roman"/>
        </w:rPr>
        <w:t xml:space="preserve"> (pp. 69–83). World Trade Organization. https://www.wto.org/english/docs_e/legal_e/15sps_01_e.htm</w:t>
      </w:r>
    </w:p>
    <w:p w14:paraId="20FBBE2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Yesson, C., Brewer, P. W., Sutton, T., Caithness, N., Pahwa, J. S., Burgess, M., Gray, W. A., White, R. J., Jones, A. C., Bisby, F. A., &amp; Culham, A. (2007). How Global Is the Global Biodiversity Information Facility? </w:t>
      </w:r>
      <w:r w:rsidRPr="001523EB">
        <w:rPr>
          <w:rFonts w:ascii="Times New Roman" w:hAnsi="Times New Roman"/>
          <w:i/>
          <w:iCs/>
        </w:rPr>
        <w:t>PLoS ONE</w:t>
      </w:r>
      <w:r w:rsidRPr="001523EB">
        <w:rPr>
          <w:rFonts w:ascii="Times New Roman" w:hAnsi="Times New Roman"/>
        </w:rPr>
        <w:t xml:space="preserve">, </w:t>
      </w:r>
      <w:r w:rsidRPr="001523EB">
        <w:rPr>
          <w:rFonts w:ascii="Times New Roman" w:hAnsi="Times New Roman"/>
          <w:i/>
          <w:iCs/>
        </w:rPr>
        <w:t>2</w:t>
      </w:r>
      <w:r w:rsidRPr="001523EB">
        <w:rPr>
          <w:rFonts w:ascii="Times New Roman" w:hAnsi="Times New Roman"/>
        </w:rPr>
        <w:t>(11), e1124. https://doi.org/10.1371/journal.pone.0001124</w:t>
      </w:r>
    </w:p>
    <w:p w14:paraId="74BAE7A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Yung, L., Chandler, J., &amp; Haverhals, M. (2015). Effective Weed Management, Collective Action, and Landownership Change in Western Montana. </w:t>
      </w:r>
      <w:r w:rsidRPr="001523EB">
        <w:rPr>
          <w:rFonts w:ascii="Times New Roman" w:hAnsi="Times New Roman"/>
          <w:i/>
          <w:iCs/>
        </w:rPr>
        <w:t>Invasive Plant Science and Management</w:t>
      </w:r>
      <w:r w:rsidRPr="001523EB">
        <w:rPr>
          <w:rFonts w:ascii="Times New Roman" w:hAnsi="Times New Roman"/>
        </w:rPr>
        <w:t xml:space="preserve">, </w:t>
      </w:r>
      <w:r w:rsidRPr="001523EB">
        <w:rPr>
          <w:rFonts w:ascii="Times New Roman" w:hAnsi="Times New Roman"/>
          <w:i/>
          <w:iCs/>
        </w:rPr>
        <w:t>8</w:t>
      </w:r>
      <w:r w:rsidRPr="001523EB">
        <w:rPr>
          <w:rFonts w:ascii="Times New Roman" w:hAnsi="Times New Roman"/>
        </w:rPr>
        <w:t>(2), 193–202. https://doi.org/10.1614/IPSM-D-14-00059.1</w:t>
      </w:r>
    </w:p>
    <w:p w14:paraId="4156242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Zalom, F., Grieshop, J., Lelea, M. A., &amp; Sedell, J. K. (2013). </w:t>
      </w:r>
      <w:r w:rsidRPr="001523EB">
        <w:rPr>
          <w:rFonts w:ascii="Times New Roman" w:hAnsi="Times New Roman"/>
          <w:i/>
          <w:iCs/>
        </w:rPr>
        <w:t>Community perceptions of emergency responses to invasive species in California: Case studies of the light brown apple moth and the European grapevine moth</w:t>
      </w:r>
      <w:r w:rsidRPr="001523EB">
        <w:rPr>
          <w:rFonts w:ascii="Times New Roman" w:hAnsi="Times New Roman"/>
        </w:rPr>
        <w:t xml:space="preserve"> (pp. 10–8100) [Report submitted to USDA in fulfillment of Cooperative Agreement]. https://ucanr.edu/blogs/strawberries_caneberries/blogfiles/16221.pdf</w:t>
      </w:r>
    </w:p>
    <w:p w14:paraId="20B5930F"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Zamora</w:t>
      </w:r>
      <w:r w:rsidRPr="001523EB">
        <w:rPr>
          <w:rFonts w:ascii="Times New Roman" w:hAnsi="Times New Roman" w:hint="eastAsia"/>
        </w:rPr>
        <w:t>‐</w:t>
      </w:r>
      <w:r w:rsidRPr="001523EB">
        <w:rPr>
          <w:rFonts w:ascii="Times New Roman" w:hAnsi="Times New Roman"/>
        </w:rPr>
        <w:t xml:space="preserve">Gutierrez, V., Amano, T., &amp; Jones, K. E. (2019). Spatial and taxonomic biases in bat records: Drivers and conservation implications in a megadiverse country. </w:t>
      </w:r>
      <w:r w:rsidRPr="001523EB">
        <w:rPr>
          <w:rFonts w:ascii="Times New Roman" w:hAnsi="Times New Roman"/>
          <w:i/>
          <w:iCs/>
        </w:rPr>
        <w:t>Ecology and Evolution</w:t>
      </w:r>
      <w:r w:rsidRPr="001523EB">
        <w:rPr>
          <w:rFonts w:ascii="Times New Roman" w:hAnsi="Times New Roman"/>
        </w:rPr>
        <w:t xml:space="preserve">, </w:t>
      </w:r>
      <w:r w:rsidRPr="001523EB">
        <w:rPr>
          <w:rFonts w:ascii="Times New Roman" w:hAnsi="Times New Roman"/>
          <w:i/>
          <w:iCs/>
        </w:rPr>
        <w:t>9</w:t>
      </w:r>
      <w:r w:rsidRPr="001523EB">
        <w:rPr>
          <w:rFonts w:ascii="Times New Roman" w:hAnsi="Times New Roman"/>
        </w:rPr>
        <w:t>(24), 14130–14141. https://doi.org/10.1002/ece3.5848</w:t>
      </w:r>
    </w:p>
    <w:p w14:paraId="70D7645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Zeng, H., Liu, X., Zhang, L., Li, Y., Zhu, M., &amp; Chen, D. (2021). Educational approaches help bridge perception gaps of invasive alien species (</w:t>
      </w:r>
      <w:r w:rsidRPr="001523EB">
        <w:rPr>
          <w:rFonts w:ascii="Times New Roman" w:hAnsi="Times New Roman"/>
          <w:i/>
          <w:iCs/>
        </w:rPr>
        <w:t>Mikania micrantha</w:t>
      </w:r>
      <w:r w:rsidRPr="001523EB">
        <w:rPr>
          <w:rFonts w:ascii="Times New Roman" w:hAnsi="Times New Roman"/>
        </w:rPr>
        <w:t xml:space="preserve">) between managers and non-managers. </w:t>
      </w:r>
      <w:r w:rsidRPr="001523EB">
        <w:rPr>
          <w:rFonts w:ascii="Times New Roman" w:hAnsi="Times New Roman"/>
          <w:i/>
          <w:iCs/>
        </w:rPr>
        <w:t>Environmental Management</w:t>
      </w:r>
      <w:r w:rsidRPr="001523EB">
        <w:rPr>
          <w:rFonts w:ascii="Times New Roman" w:hAnsi="Times New Roman"/>
        </w:rPr>
        <w:t xml:space="preserve">, </w:t>
      </w:r>
      <w:r w:rsidRPr="001523EB">
        <w:rPr>
          <w:rFonts w:ascii="Times New Roman" w:hAnsi="Times New Roman"/>
          <w:i/>
          <w:iCs/>
        </w:rPr>
        <w:t>68</w:t>
      </w:r>
      <w:r w:rsidRPr="001523EB">
        <w:rPr>
          <w:rFonts w:ascii="Times New Roman" w:hAnsi="Times New Roman"/>
        </w:rPr>
        <w:t>, 340–352. https://doi.org/10.1007/s00267-021-01505-7</w:t>
      </w:r>
    </w:p>
    <w:p w14:paraId="123138CC"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Zengeya, T. A., Ivey, P., Woodford, D. J., Weyl, O., Novoa, A., Shackleton, R., Richardson, D., &amp; Van Wilgen, B. (2017). Managing conflict-generating invasive species in South Africa: Challenges and trade-offs. </w:t>
      </w:r>
      <w:r w:rsidRPr="001523EB">
        <w:rPr>
          <w:rFonts w:ascii="Times New Roman" w:hAnsi="Times New Roman"/>
          <w:i/>
          <w:iCs/>
        </w:rPr>
        <w:t>Bothalia</w:t>
      </w:r>
      <w:r w:rsidRPr="001523EB">
        <w:rPr>
          <w:rFonts w:ascii="Times New Roman" w:hAnsi="Times New Roman"/>
        </w:rPr>
        <w:t xml:space="preserve">, </w:t>
      </w:r>
      <w:r w:rsidRPr="001523EB">
        <w:rPr>
          <w:rFonts w:ascii="Times New Roman" w:hAnsi="Times New Roman"/>
          <w:i/>
          <w:iCs/>
        </w:rPr>
        <w:t>47</w:t>
      </w:r>
      <w:r w:rsidRPr="001523EB">
        <w:rPr>
          <w:rFonts w:ascii="Times New Roman" w:hAnsi="Times New Roman"/>
        </w:rPr>
        <w:t>(2), a2160. https://doi.org/10.4102/abc.v47i2.2160</w:t>
      </w:r>
    </w:p>
    <w:p w14:paraId="055C9FD6"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Zengeya, T. A., &amp; Wilson, J. R. (2020). </w:t>
      </w:r>
      <w:r w:rsidRPr="001523EB">
        <w:rPr>
          <w:rFonts w:ascii="Times New Roman" w:hAnsi="Times New Roman"/>
          <w:i/>
          <w:iCs/>
        </w:rPr>
        <w:t>The status of biological invasions and their management in South Africa in 2019</w:t>
      </w:r>
      <w:r w:rsidRPr="001523EB">
        <w:rPr>
          <w:rFonts w:ascii="Times New Roman" w:hAnsi="Times New Roman"/>
        </w:rPr>
        <w:t xml:space="preserve"> (Final Report) [Final Report]. Zenodo. https://doi.org/10.5281/ZENODO.3947613</w:t>
      </w:r>
    </w:p>
    <w:p w14:paraId="4D6C9149"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Zenni, R. D., &amp; Nuñez, M. A. (2013). The elephant in the room: The role of failed invasions in understanding invasion biology. </w:t>
      </w:r>
      <w:r w:rsidRPr="001523EB">
        <w:rPr>
          <w:rFonts w:ascii="Times New Roman" w:hAnsi="Times New Roman"/>
          <w:i/>
          <w:iCs/>
        </w:rPr>
        <w:t>Oikos</w:t>
      </w:r>
      <w:r w:rsidRPr="001523EB">
        <w:rPr>
          <w:rFonts w:ascii="Times New Roman" w:hAnsi="Times New Roman"/>
        </w:rPr>
        <w:t xml:space="preserve">, </w:t>
      </w:r>
      <w:r w:rsidRPr="001523EB">
        <w:rPr>
          <w:rFonts w:ascii="Times New Roman" w:hAnsi="Times New Roman"/>
          <w:i/>
          <w:iCs/>
        </w:rPr>
        <w:t>122</w:t>
      </w:r>
      <w:r w:rsidRPr="001523EB">
        <w:rPr>
          <w:rFonts w:ascii="Times New Roman" w:hAnsi="Times New Roman"/>
        </w:rPr>
        <w:t>(6), 801–815. https://doi.org/10.1111/j.1600-0706.2012.00254.x</w:t>
      </w:r>
    </w:p>
    <w:p w14:paraId="590E6E5E" w14:textId="77777777" w:rsidR="002D2756" w:rsidRPr="001523EB" w:rsidRDefault="002D2756" w:rsidP="001523EB">
      <w:pPr>
        <w:pStyle w:val="Bibliography"/>
        <w:spacing w:before="0" w:after="0" w:line="240" w:lineRule="auto"/>
        <w:rPr>
          <w:rFonts w:ascii="Times New Roman" w:hAnsi="Times New Roman"/>
        </w:rPr>
      </w:pPr>
      <w:r w:rsidRPr="001523EB">
        <w:rPr>
          <w:rFonts w:ascii="Times New Roman" w:hAnsi="Times New Roman"/>
        </w:rPr>
        <w:t xml:space="preserve">Zhao, Y.-J., Hosoya, T., Baral, H.-O., Hosaka, K., &amp; Kakishima, M. (2013). </w:t>
      </w:r>
      <w:r w:rsidRPr="001523EB">
        <w:rPr>
          <w:rFonts w:ascii="Times New Roman" w:hAnsi="Times New Roman"/>
          <w:i/>
          <w:iCs/>
        </w:rPr>
        <w:t>Hymenoscyphus pseudoalbidus</w:t>
      </w:r>
      <w:r w:rsidRPr="001523EB">
        <w:rPr>
          <w:rFonts w:ascii="Times New Roman" w:hAnsi="Times New Roman"/>
        </w:rPr>
        <w:t xml:space="preserve">, the correct name for </w:t>
      </w:r>
      <w:r w:rsidRPr="001523EB">
        <w:rPr>
          <w:rFonts w:ascii="Times New Roman" w:hAnsi="Times New Roman"/>
          <w:i/>
          <w:iCs/>
        </w:rPr>
        <w:t>Lambertella albida</w:t>
      </w:r>
      <w:r w:rsidRPr="001523EB">
        <w:rPr>
          <w:rFonts w:ascii="Times New Roman" w:hAnsi="Times New Roman"/>
        </w:rPr>
        <w:t xml:space="preserve"> reported from Japan. </w:t>
      </w:r>
      <w:r w:rsidRPr="001523EB">
        <w:rPr>
          <w:rFonts w:ascii="Times New Roman" w:hAnsi="Times New Roman"/>
          <w:i/>
          <w:iCs/>
        </w:rPr>
        <w:t>Mycotaxon</w:t>
      </w:r>
      <w:r w:rsidRPr="001523EB">
        <w:rPr>
          <w:rFonts w:ascii="Times New Roman" w:hAnsi="Times New Roman"/>
        </w:rPr>
        <w:t xml:space="preserve">, </w:t>
      </w:r>
      <w:r w:rsidRPr="001523EB">
        <w:rPr>
          <w:rFonts w:ascii="Times New Roman" w:hAnsi="Times New Roman"/>
          <w:i/>
          <w:iCs/>
        </w:rPr>
        <w:t>122</w:t>
      </w:r>
      <w:r w:rsidRPr="001523EB">
        <w:rPr>
          <w:rFonts w:ascii="Times New Roman" w:hAnsi="Times New Roman"/>
        </w:rPr>
        <w:t>(1), 25–41. https://doi.org/10.5248/122.25</w:t>
      </w:r>
    </w:p>
    <w:p w14:paraId="4A011252" w14:textId="19ACE59E" w:rsidR="00017C04" w:rsidRDefault="00EA1962" w:rsidP="002D2756">
      <w:pPr>
        <w:spacing w:before="0" w:after="0"/>
        <w:contextualSpacing/>
      </w:pPr>
      <w:r w:rsidRPr="001523EB">
        <w:rPr>
          <w:lang w:eastAsia="ko-KR"/>
        </w:rPr>
        <w:fldChar w:fldCharType="end"/>
      </w:r>
      <w:bookmarkStart w:id="688" w:name="_heading=h.46ad4c2" w:colFirst="0" w:colLast="0"/>
      <w:bookmarkStart w:id="689" w:name="_heading=h.2lfnejv" w:colFirst="0" w:colLast="0"/>
      <w:bookmarkEnd w:id="688"/>
      <w:bookmarkEnd w:id="689"/>
    </w:p>
    <w:sectPr w:rsidR="00017C04" w:rsidSect="00040684">
      <w:headerReference w:type="even" r:id="rId62"/>
      <w:headerReference w:type="default" r:id="rId63"/>
      <w:footerReference w:type="even" r:id="rId64"/>
      <w:footerReference w:type="default" r:id="rId65"/>
      <w:headerReference w:type="first" r:id="rId66"/>
      <w:pgSz w:w="11900" w:h="16840" w:code="9"/>
      <w:pgMar w:top="1138" w:right="1138" w:bottom="1138" w:left="1138" w:header="216" w:footer="432" w:gutter="0"/>
      <w:pgNumType w:start="1"/>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333954" w14:textId="77777777" w:rsidR="007C7AC3" w:rsidRDefault="007C7AC3" w:rsidP="00192C26">
      <w:pPr>
        <w:spacing w:before="0" w:after="0"/>
      </w:pPr>
      <w:r>
        <w:separator/>
      </w:r>
    </w:p>
  </w:endnote>
  <w:endnote w:type="continuationSeparator" w:id="0">
    <w:p w14:paraId="6A97D71A" w14:textId="77777777" w:rsidR="007C7AC3" w:rsidRDefault="007C7AC3" w:rsidP="00192C26">
      <w:pPr>
        <w:spacing w:before="0" w:after="0"/>
      </w:pPr>
      <w:r>
        <w:continuationSeparator/>
      </w:r>
    </w:p>
  </w:endnote>
  <w:endnote w:type="continuationNotice" w:id="1">
    <w:p w14:paraId="2508FFB0" w14:textId="77777777" w:rsidR="007C7AC3" w:rsidRDefault="007C7AC3" w:rsidP="00192C26">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Berling-Roman-SC800">
    <w:altName w:val="Times New Roman"/>
    <w:panose1 w:val="00000000000000000000"/>
    <w:charset w:val="00"/>
    <w:family w:val="roman"/>
    <w:notTrueType/>
    <w:pitch w:val="default"/>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notTrueType/>
    <w:pitch w:val="default"/>
  </w:font>
  <w:font w:name="ＭＳ 明朝">
    <w:altName w:val="MS Mincho"/>
    <w:panose1 w:val="02020609040205080304"/>
    <w:charset w:val="80"/>
    <w:family w:val="roma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webkit-standard">
    <w:altName w:val="Cambria"/>
    <w:charset w:val="00"/>
    <w:family w:val="auto"/>
    <w:pitch w:val="default"/>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A99F3" w14:textId="2E48051C" w:rsidR="00801584" w:rsidRPr="00192C26" w:rsidRDefault="00801584" w:rsidP="00192C26">
    <w:pPr>
      <w:pBdr>
        <w:top w:val="nil"/>
        <w:left w:val="nil"/>
        <w:bottom w:val="nil"/>
        <w:right w:val="nil"/>
        <w:between w:val="nil"/>
      </w:pBdr>
      <w:tabs>
        <w:tab w:val="center" w:pos="4680"/>
        <w:tab w:val="right" w:pos="9360"/>
      </w:tabs>
      <w:spacing w:before="0" w:after="0"/>
      <w:ind w:right="360" w:firstLine="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4AF8F0" w14:textId="2456533C" w:rsidR="00801584" w:rsidRPr="00192C26" w:rsidRDefault="00801584" w:rsidP="00CB2C93">
    <w:pPr>
      <w:pBdr>
        <w:top w:val="nil"/>
        <w:left w:val="nil"/>
        <w:bottom w:val="nil"/>
        <w:right w:val="nil"/>
        <w:between w:val="nil"/>
      </w:pBdr>
      <w:tabs>
        <w:tab w:val="center" w:pos="4680"/>
        <w:tab w:val="right" w:pos="9360"/>
      </w:tabs>
      <w:spacing w:before="0" w:after="0"/>
      <w:jc w:val="center"/>
      <w:rPr>
        <w:color w:val="000000"/>
      </w:rPr>
    </w:pPr>
    <w:r w:rsidRPr="00192C26">
      <w:rPr>
        <w:color w:val="000000"/>
      </w:rPr>
      <w:fldChar w:fldCharType="begin"/>
    </w:r>
    <w:r>
      <w:rPr>
        <w:color w:val="000000"/>
      </w:rPr>
      <w:instrText>PAGE</w:instrText>
    </w:r>
    <w:r w:rsidRPr="00192C26">
      <w:rPr>
        <w:color w:val="000000"/>
      </w:rPr>
      <w:fldChar w:fldCharType="separate"/>
    </w:r>
    <w:r>
      <w:rPr>
        <w:noProof/>
        <w:color w:val="000000"/>
      </w:rPr>
      <w:t>8</w:t>
    </w:r>
    <w:r w:rsidRPr="00192C26">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29522613"/>
      <w:docPartObj>
        <w:docPartGallery w:val="Page Numbers (Bottom of Page)"/>
        <w:docPartUnique/>
      </w:docPartObj>
    </w:sdtPr>
    <w:sdtEndPr>
      <w:rPr>
        <w:noProof/>
      </w:rPr>
    </w:sdtEndPr>
    <w:sdtContent>
      <w:p w14:paraId="451EA81D" w14:textId="3ACC7E79" w:rsidR="00040684" w:rsidRDefault="0004068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823D518" w14:textId="580ABF90" w:rsidR="00801584" w:rsidRPr="00040684" w:rsidRDefault="00801584" w:rsidP="000406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58A783" w14:textId="77777777" w:rsidR="007C7AC3" w:rsidRDefault="007C7AC3" w:rsidP="00192C26">
      <w:pPr>
        <w:spacing w:before="0" w:after="0"/>
      </w:pPr>
      <w:r>
        <w:separator/>
      </w:r>
    </w:p>
  </w:footnote>
  <w:footnote w:type="continuationSeparator" w:id="0">
    <w:p w14:paraId="6C75DD8E" w14:textId="77777777" w:rsidR="007C7AC3" w:rsidRDefault="007C7AC3" w:rsidP="00192C26">
      <w:pPr>
        <w:spacing w:before="0" w:after="0"/>
      </w:pPr>
      <w:r>
        <w:continuationSeparator/>
      </w:r>
    </w:p>
  </w:footnote>
  <w:footnote w:type="continuationNotice" w:id="1">
    <w:p w14:paraId="198F4D27" w14:textId="77777777" w:rsidR="007C7AC3" w:rsidRDefault="007C7AC3" w:rsidP="00192C26">
      <w:pPr>
        <w:spacing w:before="0" w:after="0"/>
      </w:pPr>
    </w:p>
  </w:footnote>
  <w:footnote w:id="2">
    <w:p w14:paraId="7225460C" w14:textId="77777777" w:rsidR="00801584" w:rsidRPr="00192C26" w:rsidRDefault="00801584" w:rsidP="00192C26">
      <w:pPr>
        <w:pBdr>
          <w:top w:val="nil"/>
          <w:left w:val="nil"/>
          <w:bottom w:val="nil"/>
          <w:right w:val="nil"/>
          <w:between w:val="nil"/>
        </w:pBdr>
        <w:spacing w:before="0" w:after="0"/>
        <w:rPr>
          <w:color w:val="000000"/>
          <w:sz w:val="20"/>
        </w:rPr>
      </w:pPr>
      <w:r w:rsidRPr="00192C26">
        <w:rPr>
          <w:vertAlign w:val="superscript"/>
        </w:rPr>
        <w:footnoteRef/>
      </w:r>
      <w:r w:rsidRPr="00192C26">
        <w:rPr>
          <w:color w:val="000000"/>
          <w:sz w:val="20"/>
        </w:rPr>
        <w:t xml:space="preserve"> Authors are listed in alphabetical order with, in parentheses, their country or countries of citizenship, separated by a comma when they have more than one; and, following a slash, their country of affiliation, if different from that or those of their citizenship, or their organization if they belong to an international organization. The countries and organizations having nominated the experts are listed on the IPBES website (except for contributing authors who were not nominated).</w:t>
      </w:r>
    </w:p>
  </w:footnote>
  <w:footnote w:id="3">
    <w:p w14:paraId="1AFD3AF0" w14:textId="4B096145" w:rsidR="00801584" w:rsidRPr="00F80082" w:rsidRDefault="00801584" w:rsidP="008521D1">
      <w:pPr>
        <w:pBdr>
          <w:top w:val="nil"/>
          <w:left w:val="nil"/>
          <w:bottom w:val="nil"/>
          <w:right w:val="nil"/>
          <w:between w:val="nil"/>
        </w:pBdr>
        <w:spacing w:before="0" w:after="0"/>
        <w:rPr>
          <w:color w:val="000000"/>
          <w:sz w:val="20"/>
          <w:szCs w:val="20"/>
        </w:rPr>
      </w:pPr>
      <w:r w:rsidRPr="00F80082">
        <w:rPr>
          <w:sz w:val="20"/>
          <w:szCs w:val="20"/>
          <w:vertAlign w:val="superscript"/>
        </w:rPr>
        <w:footnoteRef/>
      </w:r>
      <w:r w:rsidRPr="00F80082">
        <w:rPr>
          <w:color w:val="000000"/>
          <w:sz w:val="20"/>
          <w:szCs w:val="20"/>
          <w:vertAlign w:val="superscript"/>
        </w:rPr>
        <w:t xml:space="preserve"> </w:t>
      </w:r>
      <w:hyperlink r:id="rId1">
        <w:r w:rsidRPr="00F80082">
          <w:rPr>
            <w:color w:val="0563C1"/>
            <w:sz w:val="20"/>
            <w:szCs w:val="20"/>
            <w:u w:val="single"/>
          </w:rPr>
          <w:t>https://www.ippc.int/en/core-activities/standards-setting/ispms/</w:t>
        </w:r>
      </w:hyperlink>
      <w:r w:rsidRPr="00F80082">
        <w:rPr>
          <w:color w:val="000000"/>
          <w:sz w:val="20"/>
          <w:szCs w:val="20"/>
        </w:rPr>
        <w:t xml:space="preserve"> </w:t>
      </w:r>
    </w:p>
  </w:footnote>
  <w:footnote w:id="4">
    <w:p w14:paraId="7FCAD756" w14:textId="77777777" w:rsidR="00801584" w:rsidRPr="008521D1" w:rsidRDefault="00801584" w:rsidP="008521D1">
      <w:pPr>
        <w:pBdr>
          <w:top w:val="nil"/>
          <w:left w:val="nil"/>
          <w:bottom w:val="nil"/>
          <w:right w:val="nil"/>
          <w:between w:val="nil"/>
        </w:pBdr>
        <w:spacing w:before="0" w:after="0"/>
        <w:rPr>
          <w:color w:val="000000"/>
          <w:sz w:val="20"/>
        </w:rPr>
      </w:pPr>
      <w:r w:rsidRPr="00F80082">
        <w:rPr>
          <w:sz w:val="20"/>
          <w:szCs w:val="20"/>
          <w:vertAlign w:val="superscript"/>
        </w:rPr>
        <w:footnoteRef/>
      </w:r>
      <w:r w:rsidRPr="00F80082">
        <w:rPr>
          <w:color w:val="000000"/>
          <w:sz w:val="20"/>
          <w:szCs w:val="20"/>
        </w:rPr>
        <w:t xml:space="preserve"> The indicator here is expressed in an inclusive general form, encompassing relevant alternative formulations of closely related indicators.</w:t>
      </w:r>
    </w:p>
  </w:footnote>
  <w:footnote w:id="5">
    <w:p w14:paraId="5CC57169" w14:textId="5DA15852" w:rsidR="00065870" w:rsidRPr="00114690" w:rsidRDefault="00065870" w:rsidP="00E0130F">
      <w:pPr>
        <w:pStyle w:val="FootnoteText"/>
        <w:spacing w:before="0" w:after="0"/>
        <w:rPr>
          <w:rFonts w:ascii="Times New Roman" w:hAnsi="Times New Roman" w:cs="Times New Roman"/>
        </w:rPr>
      </w:pPr>
      <w:r w:rsidRPr="00FD65B1">
        <w:rPr>
          <w:rStyle w:val="FootnoteReference"/>
        </w:rPr>
        <w:footnoteRef/>
      </w:r>
      <w:r w:rsidRPr="00114690">
        <w:rPr>
          <w:rFonts w:ascii="Times New Roman" w:hAnsi="Times New Roman" w:cs="Times New Roman"/>
        </w:rPr>
        <w:t xml:space="preserve"> </w:t>
      </w:r>
      <w:r>
        <w:rPr>
          <w:rFonts w:ascii="Times New Roman" w:hAnsi="Times New Roman" w:cs="Times New Roman"/>
        </w:rPr>
        <w:t>D</w:t>
      </w:r>
      <w:r w:rsidRPr="00114690">
        <w:rPr>
          <w:rFonts w:ascii="Times New Roman" w:hAnsi="Times New Roman" w:cs="Times New Roman"/>
        </w:rPr>
        <w:t xml:space="preserve">ata management report </w:t>
      </w:r>
      <w:r>
        <w:rPr>
          <w:rFonts w:ascii="Times New Roman" w:hAnsi="Times New Roman" w:cs="Times New Roman"/>
        </w:rPr>
        <w:t>available at:</w:t>
      </w:r>
      <w:r w:rsidRPr="00114690">
        <w:rPr>
          <w:rFonts w:ascii="Times New Roman" w:hAnsi="Times New Roman" w:cs="Times New Roman"/>
        </w:rPr>
        <w:t xml:space="preserve"> </w:t>
      </w:r>
      <w:hyperlink r:id="rId2" w:history="1">
        <w:r w:rsidR="001D3AFC" w:rsidRPr="0031202C">
          <w:rPr>
            <w:rStyle w:val="Hyperlink"/>
            <w:rFonts w:ascii="Times New Roman" w:hAnsi="Times New Roman" w:cs="Times New Roman"/>
          </w:rPr>
          <w:t>https://zenodo.org/doi/10.5281/zenodo.5762739</w:t>
        </w:r>
      </w:hyperlink>
      <w:r w:rsidR="001D3AFC">
        <w:rPr>
          <w:rFonts w:ascii="Times New Roman" w:hAnsi="Times New Roman" w:cs="Times New Roman"/>
        </w:rPr>
        <w:t xml:space="preserve"> </w:t>
      </w:r>
    </w:p>
  </w:footnote>
  <w:footnote w:id="6">
    <w:p w14:paraId="480D7193" w14:textId="11C624B3" w:rsidR="00801584" w:rsidRPr="00C27DCE" w:rsidRDefault="00801584" w:rsidP="00C73655">
      <w:pPr>
        <w:pBdr>
          <w:top w:val="nil"/>
          <w:left w:val="nil"/>
          <w:bottom w:val="nil"/>
          <w:right w:val="nil"/>
          <w:between w:val="nil"/>
        </w:pBdr>
        <w:tabs>
          <w:tab w:val="left" w:pos="8672"/>
        </w:tabs>
        <w:spacing w:before="0" w:after="0"/>
        <w:rPr>
          <w:color w:val="000000"/>
          <w:sz w:val="20"/>
          <w:szCs w:val="20"/>
        </w:rPr>
      </w:pPr>
      <w:r w:rsidRPr="00C27DCE">
        <w:rPr>
          <w:sz w:val="20"/>
          <w:szCs w:val="20"/>
          <w:vertAlign w:val="superscript"/>
        </w:rPr>
        <w:footnoteRef/>
      </w:r>
      <w:r w:rsidRPr="00C27DCE">
        <w:rPr>
          <w:color w:val="000000"/>
          <w:sz w:val="20"/>
          <w:szCs w:val="20"/>
          <w:vertAlign w:val="superscript"/>
        </w:rPr>
        <w:t xml:space="preserve"> </w:t>
      </w:r>
      <w:r w:rsidRPr="00C27DCE">
        <w:rPr>
          <w:color w:val="000000"/>
          <w:sz w:val="20"/>
          <w:szCs w:val="20"/>
        </w:rPr>
        <w:t xml:space="preserve">Data management report available at: </w:t>
      </w:r>
      <w:hyperlink r:id="rId3" w:history="1">
        <w:r w:rsidR="001D3AFC" w:rsidRPr="0031202C">
          <w:rPr>
            <w:rStyle w:val="Hyperlink"/>
            <w:sz w:val="20"/>
            <w:szCs w:val="20"/>
          </w:rPr>
          <w:t>https://zenodo.org/doi/10.5281/zenodo.5762739</w:t>
        </w:r>
      </w:hyperlink>
      <w:r w:rsidR="001D3AFC">
        <w:rPr>
          <w:color w:val="000000"/>
          <w:sz w:val="20"/>
          <w:szCs w:val="20"/>
        </w:rPr>
        <w:t xml:space="preserve"> </w:t>
      </w:r>
    </w:p>
  </w:footnote>
  <w:footnote w:id="7">
    <w:p w14:paraId="46CB02D9" w14:textId="407BBAE0" w:rsidR="00801584" w:rsidRPr="00CB2C93" w:rsidRDefault="00801584" w:rsidP="00C73655">
      <w:pPr>
        <w:pBdr>
          <w:top w:val="nil"/>
          <w:left w:val="nil"/>
          <w:bottom w:val="nil"/>
          <w:right w:val="nil"/>
          <w:between w:val="nil"/>
        </w:pBdr>
        <w:spacing w:before="0" w:after="0"/>
        <w:rPr>
          <w:sz w:val="20"/>
          <w:szCs w:val="20"/>
        </w:rPr>
      </w:pPr>
      <w:r w:rsidRPr="00CB2C93">
        <w:rPr>
          <w:sz w:val="20"/>
          <w:szCs w:val="20"/>
          <w:vertAlign w:val="superscript"/>
        </w:rPr>
        <w:footnoteRef/>
      </w:r>
      <w:r w:rsidRPr="00CB2C93">
        <w:rPr>
          <w:sz w:val="20"/>
          <w:szCs w:val="20"/>
          <w:vertAlign w:val="superscript"/>
        </w:rPr>
        <w:t xml:space="preserve"> </w:t>
      </w:r>
      <w:r w:rsidRPr="00CB2C93">
        <w:rPr>
          <w:sz w:val="20"/>
          <w:szCs w:val="20"/>
        </w:rPr>
        <w:t xml:space="preserve">Living modified organisms are any living organism that possesses a novel combination of genetic material obtained through the use of modern biotechnology as defined by the Cartagena Protocol </w:t>
      </w:r>
      <w:r w:rsidR="00065870" w:rsidRPr="00CB2C93">
        <w:rPr>
          <w:sz w:val="20"/>
          <w:szCs w:val="20"/>
        </w:rPr>
        <w:fldChar w:fldCharType="begin"/>
      </w:r>
      <w:r w:rsidR="0006613E" w:rsidRPr="00CB2C93">
        <w:rPr>
          <w:sz w:val="20"/>
          <w:szCs w:val="20"/>
        </w:rPr>
        <w:instrText xml:space="preserve"> ADDIN ZOTERO_ITEM CSL_CITATION {"citationID":"abvlu4c6v0","properties":{"formattedCitation":"(Bail et al., 2014)","plainCitation":"(Bail et al., 2014)","noteIndex":6},"citationItems":[{"id":30974,"uris":["http://zotero.org/groups/2352922/items/XCRUAITW"],"itemData":{"id":30974,"type":"article-journal","note":"ISBN: 1136534393\npublisher: Routledge","title":"The Cartagena Protocol on Biosafety: Reconciling trade in biotechnology with environment and development","author":[{"family":"Bail","given":"Christoph"},{"family":"Falkner","given":"Robert"},{"family":"Marquard","given":"Helen"}],"issued":{"date-parts":[["2014"]]}}}],"schema":"https://github.com/citation-style-language/schema/raw/master/csl-citation.json"} </w:instrText>
      </w:r>
      <w:r w:rsidR="00065870" w:rsidRPr="00CB2C93">
        <w:rPr>
          <w:sz w:val="20"/>
          <w:szCs w:val="20"/>
        </w:rPr>
        <w:fldChar w:fldCharType="separate"/>
      </w:r>
      <w:r w:rsidR="00065870" w:rsidRPr="00CB2C93">
        <w:rPr>
          <w:sz w:val="20"/>
          <w:szCs w:val="20"/>
        </w:rPr>
        <w:t>(Bail et al., 2014)</w:t>
      </w:r>
      <w:r w:rsidR="00065870" w:rsidRPr="00CB2C93">
        <w:rPr>
          <w:sz w:val="20"/>
          <w:szCs w:val="20"/>
        </w:rPr>
        <w:fldChar w:fldCharType="end"/>
      </w:r>
      <w:r w:rsidR="00065870" w:rsidRPr="00CB2C93">
        <w:rPr>
          <w:sz w:val="20"/>
          <w:szCs w:val="20"/>
        </w:rPr>
        <w:t>.</w:t>
      </w:r>
    </w:p>
  </w:footnote>
  <w:footnote w:id="8">
    <w:p w14:paraId="75390EA1" w14:textId="77777777" w:rsidR="00801584" w:rsidRPr="00C12647" w:rsidRDefault="00801584" w:rsidP="00C73655">
      <w:pPr>
        <w:pBdr>
          <w:top w:val="nil"/>
          <w:left w:val="nil"/>
          <w:bottom w:val="nil"/>
          <w:right w:val="nil"/>
          <w:between w:val="nil"/>
        </w:pBdr>
        <w:spacing w:before="0" w:after="0"/>
        <w:rPr>
          <w:rFonts w:ascii="Calibri" w:hAnsi="Calibri"/>
          <w:color w:val="000000"/>
          <w:sz w:val="20"/>
        </w:rPr>
      </w:pPr>
      <w:r w:rsidRPr="00CB2C93">
        <w:rPr>
          <w:vertAlign w:val="superscript"/>
        </w:rPr>
        <w:footnoteRef/>
      </w:r>
      <w:r w:rsidRPr="00C12647">
        <w:rPr>
          <w:color w:val="000000"/>
          <w:sz w:val="20"/>
        </w:rPr>
        <w:t xml:space="preserve"> United Nations publication, Sales No. E.19.VIII.1.</w:t>
      </w:r>
    </w:p>
  </w:footnote>
  <w:footnote w:id="9">
    <w:p w14:paraId="28F3217D" w14:textId="55579A26" w:rsidR="00801584" w:rsidRPr="00C12647" w:rsidRDefault="00801584" w:rsidP="00C73655">
      <w:pPr>
        <w:pBdr>
          <w:top w:val="nil"/>
          <w:left w:val="nil"/>
          <w:bottom w:val="nil"/>
          <w:right w:val="nil"/>
          <w:between w:val="nil"/>
        </w:pBdr>
        <w:spacing w:before="0" w:after="0"/>
        <w:rPr>
          <w:color w:val="000000"/>
          <w:sz w:val="20"/>
        </w:rPr>
      </w:pPr>
      <w:r w:rsidRPr="00CB2C93">
        <w:rPr>
          <w:vertAlign w:val="superscript"/>
        </w:rPr>
        <w:footnoteRef/>
      </w:r>
      <w:r>
        <w:rPr>
          <w:color w:val="000000"/>
          <w:sz w:val="20"/>
          <w:szCs w:val="20"/>
        </w:rPr>
        <w:t xml:space="preserve"> </w:t>
      </w:r>
      <w:hyperlink r:id="rId4">
        <w:r>
          <w:rPr>
            <w:color w:val="0563C1"/>
            <w:sz w:val="20"/>
            <w:szCs w:val="20"/>
            <w:u w:val="single"/>
          </w:rPr>
          <w:t>https://www.endwildlifetraffickingOnline.org/</w:t>
        </w:r>
      </w:hyperlink>
      <w:r>
        <w:rPr>
          <w:color w:val="000000"/>
          <w:sz w:val="20"/>
          <w:szCs w:val="20"/>
        </w:rPr>
        <w:t xml:space="preserve"> </w:t>
      </w:r>
    </w:p>
  </w:footnote>
  <w:footnote w:id="10">
    <w:p w14:paraId="4879421E" w14:textId="503AF122" w:rsidR="006260F1" w:rsidRPr="006260F1" w:rsidRDefault="006260F1">
      <w:pPr>
        <w:pStyle w:val="FootnoteText"/>
      </w:pPr>
      <w:r>
        <w:rPr>
          <w:rStyle w:val="FootnoteReference"/>
        </w:rPr>
        <w:footnoteRef/>
      </w:r>
      <w:r>
        <w:t xml:space="preserve"> </w:t>
      </w:r>
      <w:hyperlink r:id="rId5" w:history="1">
        <w:r w:rsidRPr="001523EB">
          <w:rPr>
            <w:rStyle w:val="Hyperlink"/>
            <w:rFonts w:ascii="Times New Roman" w:hAnsi="Times New Roman" w:cs="Times New Roman"/>
          </w:rPr>
          <w:t>http://campam.gcfi.org/CaribbeanMPA/mapview.php</w:t>
        </w:r>
      </w:hyperlink>
      <w:r>
        <w:t xml:space="preserve"> </w:t>
      </w:r>
    </w:p>
  </w:footnote>
  <w:footnote w:id="11">
    <w:p w14:paraId="7E59EB8E" w14:textId="7949E88E" w:rsidR="00801BB3" w:rsidRPr="00801BB3" w:rsidRDefault="00801BB3">
      <w:pPr>
        <w:pStyle w:val="FootnoteText"/>
        <w:rPr>
          <w:lang w:val="en-US"/>
        </w:rPr>
      </w:pPr>
      <w:r>
        <w:rPr>
          <w:rStyle w:val="FootnoteReference"/>
        </w:rPr>
        <w:footnoteRef/>
      </w:r>
      <w:r>
        <w:t xml:space="preserve"> </w:t>
      </w:r>
      <w:r w:rsidRPr="00801BB3">
        <w:rPr>
          <w:rFonts w:ascii="Times New Roman" w:hAnsi="Times New Roman" w:cs="Times New Roman"/>
        </w:rPr>
        <w:t>https://easin.jrc.ec.europa.eu/easin/</w:t>
      </w:r>
    </w:p>
  </w:footnote>
  <w:footnote w:id="12">
    <w:p w14:paraId="12587A93" w14:textId="2EBA2DA8" w:rsidR="00801584" w:rsidRPr="008C206F" w:rsidRDefault="00801584" w:rsidP="00C73655">
      <w:pPr>
        <w:pBdr>
          <w:top w:val="nil"/>
          <w:left w:val="nil"/>
          <w:bottom w:val="nil"/>
          <w:right w:val="nil"/>
          <w:between w:val="nil"/>
        </w:pBdr>
        <w:spacing w:before="0" w:after="0"/>
        <w:rPr>
          <w:rFonts w:ascii="Calibri" w:hAnsi="Calibri"/>
          <w:color w:val="000000"/>
          <w:sz w:val="20"/>
        </w:rPr>
      </w:pPr>
      <w:r w:rsidRPr="00CB2C93">
        <w:rPr>
          <w:sz w:val="20"/>
          <w:szCs w:val="20"/>
          <w:vertAlign w:val="superscript"/>
        </w:rPr>
        <w:footnoteRef/>
      </w:r>
      <w:r w:rsidRPr="00C12647">
        <w:rPr>
          <w:color w:val="000000"/>
          <w:sz w:val="20"/>
        </w:rPr>
        <w:t xml:space="preserve"> Data management report available at: </w:t>
      </w:r>
      <w:hyperlink r:id="rId6">
        <w:r>
          <w:rPr>
            <w:color w:val="0563C1"/>
            <w:sz w:val="20"/>
            <w:szCs w:val="20"/>
            <w:u w:val="single"/>
          </w:rPr>
          <w:t>https://doi.org/10.5281/zenodo.5760266</w:t>
        </w:r>
      </w:hyperlink>
      <w:r w:rsidRPr="008C206F">
        <w:rPr>
          <w:rFonts w:ascii="Calibri" w:hAnsi="Calibri"/>
          <w:color w:val="000000"/>
          <w:sz w:val="20"/>
        </w:rPr>
        <w:t xml:space="preserve"> </w:t>
      </w:r>
    </w:p>
  </w:footnote>
  <w:footnote w:id="13">
    <w:p w14:paraId="5CB716C6" w14:textId="6CEA94F4" w:rsidR="00801584" w:rsidRPr="0006613E" w:rsidRDefault="00801584" w:rsidP="00AD02AD">
      <w:pPr>
        <w:pBdr>
          <w:top w:val="nil"/>
          <w:left w:val="nil"/>
          <w:bottom w:val="nil"/>
          <w:right w:val="nil"/>
          <w:between w:val="nil"/>
        </w:pBdr>
        <w:spacing w:before="0" w:after="0"/>
        <w:rPr>
          <w:color w:val="000000"/>
          <w:sz w:val="20"/>
          <w:szCs w:val="20"/>
          <w:lang w:val="nl-NL"/>
        </w:rPr>
      </w:pPr>
      <w:r w:rsidRPr="00AD02AD">
        <w:rPr>
          <w:sz w:val="20"/>
          <w:szCs w:val="20"/>
          <w:vertAlign w:val="superscript"/>
        </w:rPr>
        <w:footnoteRef/>
      </w:r>
      <w:r w:rsidRPr="0006613E">
        <w:rPr>
          <w:rFonts w:eastAsia="Calibri"/>
          <w:color w:val="000000"/>
          <w:sz w:val="20"/>
          <w:szCs w:val="20"/>
          <w:lang w:val="nl-NL"/>
        </w:rPr>
        <w:t xml:space="preserve"> </w:t>
      </w:r>
      <w:hyperlink r:id="rId7">
        <w:r w:rsidRPr="0006613E">
          <w:rPr>
            <w:rFonts w:eastAsia="Calibri"/>
            <w:color w:val="0563C1"/>
            <w:sz w:val="20"/>
            <w:szCs w:val="20"/>
            <w:u w:val="single"/>
            <w:lang w:val="nl-NL"/>
          </w:rPr>
          <w:t>https://www.greatlakesphragmites.net/</w:t>
        </w:r>
      </w:hyperlink>
      <w:r w:rsidRPr="0006613E">
        <w:rPr>
          <w:rFonts w:eastAsia="Calibri"/>
          <w:color w:val="000000"/>
          <w:sz w:val="20"/>
          <w:szCs w:val="20"/>
          <w:lang w:val="nl-NL"/>
        </w:rPr>
        <w:t xml:space="preserve"> </w:t>
      </w:r>
    </w:p>
  </w:footnote>
  <w:footnote w:id="14">
    <w:p w14:paraId="76F19C58" w14:textId="797A9182" w:rsidR="00801584" w:rsidRPr="00CB2C93" w:rsidRDefault="00801584" w:rsidP="00AD02AD">
      <w:pPr>
        <w:pStyle w:val="FootnoteText"/>
        <w:spacing w:before="0" w:after="0"/>
        <w:contextualSpacing/>
        <w:rPr>
          <w:rFonts w:ascii="Times New Roman" w:hAnsi="Times New Roman" w:cs="Times New Roman"/>
        </w:rPr>
      </w:pPr>
      <w:r w:rsidRPr="00CB2C93">
        <w:rPr>
          <w:rFonts w:ascii="Times New Roman" w:hAnsi="Times New Roman" w:cs="Times New Roman"/>
          <w:vertAlign w:val="superscript"/>
        </w:rPr>
        <w:footnoteRef/>
      </w:r>
      <w:r w:rsidRPr="00CB2C93">
        <w:rPr>
          <w:rFonts w:ascii="Times New Roman" w:hAnsi="Times New Roman" w:cs="Times New Roman"/>
          <w:color w:val="000000"/>
        </w:rPr>
        <w:t xml:space="preserve"> Data management report available at: </w:t>
      </w:r>
      <w:hyperlink r:id="rId8" w:history="1">
        <w:r w:rsidR="006260F1" w:rsidRPr="0031202C">
          <w:rPr>
            <w:rStyle w:val="Hyperlink"/>
            <w:rFonts w:ascii="Times New Roman" w:hAnsi="Times New Roman" w:cs="Times New Roman"/>
          </w:rPr>
          <w:t>https://zenodo.org/doi/10.5281/zenodo.5762739</w:t>
        </w:r>
      </w:hyperlink>
      <w:r w:rsidR="006260F1">
        <w:rPr>
          <w:rFonts w:ascii="Times New Roman" w:hAnsi="Times New Roman" w:cs="Times New Roman"/>
          <w:color w:val="000000"/>
        </w:rPr>
        <w:t xml:space="preserve"> </w:t>
      </w:r>
      <w:r w:rsidR="006260F1" w:rsidRPr="006260F1">
        <w:rPr>
          <w:rFonts w:ascii="Times New Roman" w:hAnsi="Times New Roman" w:cs="Times New Roman"/>
          <w:color w:val="000000"/>
        </w:rPr>
        <w:t xml:space="preserve"> </w:t>
      </w:r>
    </w:p>
  </w:footnote>
  <w:footnote w:id="15">
    <w:p w14:paraId="2E07C3D2" w14:textId="5566766E" w:rsidR="00801584" w:rsidRPr="002E3571" w:rsidRDefault="00801584" w:rsidP="002E3571">
      <w:pPr>
        <w:pBdr>
          <w:top w:val="nil"/>
          <w:left w:val="nil"/>
          <w:bottom w:val="nil"/>
          <w:right w:val="nil"/>
          <w:between w:val="nil"/>
        </w:pBdr>
        <w:rPr>
          <w:color w:val="000000"/>
          <w:sz w:val="20"/>
          <w:szCs w:val="20"/>
        </w:rPr>
      </w:pPr>
      <w:r w:rsidRPr="002E3571">
        <w:rPr>
          <w:sz w:val="20"/>
          <w:szCs w:val="20"/>
          <w:vertAlign w:val="superscript"/>
        </w:rPr>
        <w:footnoteRef/>
      </w:r>
      <w:r w:rsidRPr="002E3571">
        <w:rPr>
          <w:color w:val="000000"/>
          <w:sz w:val="20"/>
          <w:szCs w:val="20"/>
          <w:vertAlign w:val="superscript"/>
        </w:rPr>
        <w:t xml:space="preserve"> </w:t>
      </w:r>
      <w:r w:rsidRPr="002E3571">
        <w:rPr>
          <w:rStyle w:val="FootnoteReference"/>
          <w:sz w:val="20"/>
          <w:szCs w:val="20"/>
          <w:vertAlign w:val="baseline"/>
        </w:rPr>
        <w:t xml:space="preserve">A headline indicator has been proposed for planning and tracking of progress towards target 6 of the Kunming-Montreal Global Biodiversity Framework, with opportunities to build on existing indicators for biological invasions </w:t>
      </w:r>
      <w:r w:rsidR="006260F1">
        <w:rPr>
          <w:sz w:val="20"/>
          <w:szCs w:val="20"/>
        </w:rPr>
        <w:t xml:space="preserve">(section </w:t>
      </w:r>
      <w:r w:rsidRPr="002E3571">
        <w:rPr>
          <w:rStyle w:val="FootnoteReference"/>
          <w:sz w:val="20"/>
          <w:szCs w:val="20"/>
          <w:vertAlign w:val="baseline"/>
        </w:rPr>
        <w:t>6.6.3</w:t>
      </w:r>
      <w:r w:rsidR="006260F1">
        <w:rPr>
          <w:sz w:val="20"/>
          <w:szCs w:val="20"/>
        </w:rPr>
        <w:t>}.</w:t>
      </w:r>
    </w:p>
  </w:footnote>
  <w:footnote w:id="16">
    <w:p w14:paraId="20702C20" w14:textId="77777777" w:rsidR="00065870" w:rsidRPr="00983C8A" w:rsidRDefault="00065870" w:rsidP="00983C8A">
      <w:pPr>
        <w:pStyle w:val="FootnoteText"/>
        <w:spacing w:before="0" w:after="0"/>
        <w:contextualSpacing/>
        <w:rPr>
          <w:rFonts w:ascii="Times New Roman" w:hAnsi="Times New Roman" w:cs="Times New Roman"/>
        </w:rPr>
      </w:pPr>
      <w:r w:rsidRPr="00FD65B1">
        <w:rPr>
          <w:rStyle w:val="FootnoteReference"/>
        </w:rPr>
        <w:footnoteRef/>
      </w:r>
      <w:r w:rsidRPr="00983C8A">
        <w:rPr>
          <w:rFonts w:ascii="Times New Roman" w:hAnsi="Times New Roman" w:cs="Times New Roman"/>
        </w:rPr>
        <w:t xml:space="preserve"> </w:t>
      </w:r>
      <w:r>
        <w:rPr>
          <w:rFonts w:ascii="Times New Roman" w:hAnsi="Times New Roman" w:cs="Times New Roman"/>
        </w:rPr>
        <w:t xml:space="preserve">Data management report available at: </w:t>
      </w:r>
      <w:hyperlink r:id="rId9" w:history="1">
        <w:r w:rsidRPr="00AB4EF1">
          <w:rPr>
            <w:rStyle w:val="Hyperlink"/>
            <w:rFonts w:ascii="Times New Roman" w:hAnsi="Times New Roman" w:cs="Times New Roman"/>
          </w:rPr>
          <w:t>https://doi.org/10.5281/zenodo.5760266</w:t>
        </w:r>
      </w:hyperlink>
      <w:r w:rsidRPr="00983C8A">
        <w:rPr>
          <w:rFonts w:ascii="Times New Roman" w:hAnsi="Times New Roman" w:cs="Times New Roman"/>
        </w:rPr>
        <w:t xml:space="preserve"> </w:t>
      </w:r>
    </w:p>
  </w:footnote>
  <w:footnote w:id="17">
    <w:p w14:paraId="1545EA7F" w14:textId="52E6F993" w:rsidR="00801584" w:rsidRPr="007D5DC6" w:rsidRDefault="00801584" w:rsidP="00C12647">
      <w:pPr>
        <w:pBdr>
          <w:top w:val="nil"/>
          <w:left w:val="nil"/>
          <w:bottom w:val="nil"/>
          <w:right w:val="nil"/>
          <w:between w:val="nil"/>
        </w:pBdr>
        <w:spacing w:before="0" w:after="0"/>
        <w:rPr>
          <w:lang w:val="nl-NL"/>
        </w:rPr>
      </w:pPr>
      <w:r w:rsidRPr="00CB2C93">
        <w:rPr>
          <w:rStyle w:val="FootnoteReference"/>
          <w:sz w:val="20"/>
          <w:szCs w:val="20"/>
        </w:rPr>
        <w:footnoteRef/>
      </w:r>
      <w:r w:rsidRPr="00CB2C93">
        <w:rPr>
          <w:sz w:val="20"/>
          <w:szCs w:val="20"/>
        </w:rPr>
        <w:t xml:space="preserve"> Data management report available at:</w:t>
      </w:r>
      <w:r w:rsidRPr="00CB2C93">
        <w:rPr>
          <w:sz w:val="20"/>
          <w:szCs w:val="20"/>
          <w:lang w:val="nl-NL"/>
        </w:rPr>
        <w:t xml:space="preserve"> </w:t>
      </w:r>
      <w:hyperlink r:id="rId10" w:history="1">
        <w:r w:rsidR="00065870" w:rsidRPr="00CB2C93">
          <w:rPr>
            <w:rStyle w:val="Hyperlink"/>
            <w:sz w:val="20"/>
            <w:szCs w:val="20"/>
            <w:lang w:val="nl-NL"/>
          </w:rPr>
          <w:t>https://doi.org/10.5281/zenodo.5706520</w:t>
        </w:r>
      </w:hyperlink>
      <w:r w:rsidRPr="00CB2C93">
        <w:rPr>
          <w:sz w:val="20"/>
          <w:szCs w:val="20"/>
          <w:lang w:val="nl-NL"/>
        </w:rPr>
        <w:t xml:space="preserve"> </w:t>
      </w:r>
    </w:p>
  </w:footnote>
  <w:footnote w:id="18">
    <w:p w14:paraId="1236ABAB" w14:textId="5D520450" w:rsidR="00801584" w:rsidRPr="007D5DC6" w:rsidRDefault="00801584" w:rsidP="00C12647">
      <w:pPr>
        <w:widowControl w:val="0"/>
        <w:pBdr>
          <w:top w:val="nil"/>
          <w:left w:val="nil"/>
          <w:bottom w:val="nil"/>
          <w:right w:val="nil"/>
          <w:between w:val="nil"/>
        </w:pBdr>
        <w:spacing w:before="0" w:after="0" w:line="276" w:lineRule="auto"/>
        <w:rPr>
          <w:lang w:val="nl-NL"/>
        </w:rPr>
      </w:pPr>
      <w:r w:rsidRPr="00CB2C93">
        <w:rPr>
          <w:rStyle w:val="FootnoteReference"/>
          <w:sz w:val="20"/>
          <w:szCs w:val="20"/>
        </w:rPr>
        <w:footnoteRef/>
      </w:r>
      <w:r w:rsidR="00065870" w:rsidRPr="00CB2C93">
        <w:rPr>
          <w:sz w:val="20"/>
          <w:szCs w:val="20"/>
          <w:lang w:val="nl-NL"/>
        </w:rPr>
        <w:t xml:space="preserve"> </w:t>
      </w:r>
      <w:hyperlink r:id="rId11">
        <w:r w:rsidR="00065870" w:rsidRPr="00CB2C93">
          <w:rPr>
            <w:sz w:val="20"/>
            <w:szCs w:val="20"/>
            <w:lang w:val="nl-NL"/>
          </w:rPr>
          <w:t>http://www.corpi.ku.lt/databases/index.php/aquanis</w:t>
        </w:r>
      </w:hyperlink>
    </w:p>
  </w:footnote>
  <w:footnote w:id="19">
    <w:p w14:paraId="680B780D" w14:textId="7CD4DD8D" w:rsidR="00801584" w:rsidRPr="007D5DC6" w:rsidRDefault="00801584" w:rsidP="00C12647">
      <w:pPr>
        <w:widowControl w:val="0"/>
        <w:pBdr>
          <w:top w:val="nil"/>
          <w:left w:val="nil"/>
          <w:bottom w:val="nil"/>
          <w:right w:val="nil"/>
          <w:between w:val="nil"/>
        </w:pBdr>
        <w:spacing w:before="0" w:after="0" w:line="276" w:lineRule="auto"/>
        <w:rPr>
          <w:lang w:val="nl-NL"/>
        </w:rPr>
      </w:pPr>
      <w:r w:rsidRPr="00CB2C93">
        <w:rPr>
          <w:rStyle w:val="FootnoteReference"/>
          <w:sz w:val="20"/>
          <w:szCs w:val="20"/>
        </w:rPr>
        <w:footnoteRef/>
      </w:r>
      <w:r w:rsidRPr="00CB2C93">
        <w:rPr>
          <w:sz w:val="20"/>
          <w:szCs w:val="20"/>
          <w:lang w:val="nl-NL"/>
        </w:rPr>
        <w:t xml:space="preserve"> </w:t>
      </w:r>
      <w:hyperlink r:id="rId12">
        <w:r w:rsidRPr="00CB2C93">
          <w:rPr>
            <w:rStyle w:val="Hyperlink"/>
            <w:sz w:val="20"/>
            <w:szCs w:val="20"/>
            <w:lang w:val="nl-NL"/>
          </w:rPr>
          <w:t>https://www.gida-global.org/care</w:t>
        </w:r>
      </w:hyperlink>
    </w:p>
  </w:footnote>
  <w:footnote w:id="20">
    <w:p w14:paraId="1E1DBEE4" w14:textId="77777777" w:rsidR="00881AB9" w:rsidRPr="00413339" w:rsidRDefault="00881AB9" w:rsidP="00881AB9">
      <w:pPr>
        <w:pStyle w:val="FootnoteText"/>
        <w:spacing w:before="0" w:after="0"/>
        <w:rPr>
          <w:rFonts w:ascii="Times New Roman" w:hAnsi="Times New Roman" w:cs="Times New Roman"/>
          <w:lang w:val="nl-NL"/>
        </w:rPr>
      </w:pPr>
      <w:r w:rsidRPr="00FD65B1">
        <w:rPr>
          <w:rStyle w:val="FootnoteReference"/>
        </w:rPr>
        <w:footnoteRef/>
      </w:r>
      <w:r w:rsidRPr="002C5F6E">
        <w:rPr>
          <w:rFonts w:ascii="Times New Roman" w:hAnsi="Times New Roman" w:cs="Times New Roman"/>
          <w:lang w:val="en-CA"/>
        </w:rPr>
        <w:t xml:space="preserve"> Data management report available at:</w:t>
      </w:r>
      <w:r w:rsidRPr="00413339">
        <w:rPr>
          <w:rFonts w:ascii="Times New Roman" w:hAnsi="Times New Roman" w:cs="Times New Roman"/>
          <w:lang w:val="nl-NL"/>
        </w:rPr>
        <w:t xml:space="preserve"> </w:t>
      </w:r>
      <w:hyperlink r:id="rId13" w:history="1">
        <w:r w:rsidRPr="00AB4EF1">
          <w:rPr>
            <w:rStyle w:val="Hyperlink"/>
            <w:rFonts w:ascii="Times New Roman" w:hAnsi="Times New Roman" w:cs="Times New Roman"/>
            <w:lang w:val="nl-NL"/>
          </w:rPr>
          <w:t>https://doi.org/10.5281/zenodo.5706520</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46663" w14:textId="7BFC02E9" w:rsidR="00801584" w:rsidRDefault="00801584" w:rsidP="00192C26">
    <w:pPr>
      <w:pBdr>
        <w:top w:val="nil"/>
        <w:left w:val="nil"/>
        <w:bottom w:val="nil"/>
        <w:right w:val="nil"/>
        <w:between w:val="nil"/>
      </w:pBdr>
      <w:tabs>
        <w:tab w:val="center" w:pos="4680"/>
        <w:tab w:val="right" w:pos="9360"/>
      </w:tabs>
      <w:rPr>
        <w:color w:val="FF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F6B4C7" w14:textId="7AC11C4D" w:rsidR="00801584" w:rsidRDefault="00801584" w:rsidP="00192C26">
    <w:pPr>
      <w:pBdr>
        <w:top w:val="nil"/>
        <w:left w:val="nil"/>
        <w:bottom w:val="nil"/>
        <w:right w:val="nil"/>
        <w:between w:val="nil"/>
      </w:pBdr>
      <w:jc w:val="center"/>
      <w:rPr>
        <w:color w:val="FF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45CE8C" w14:textId="04860301" w:rsidR="00801584" w:rsidRPr="00C12647" w:rsidRDefault="00801584" w:rsidP="00C12647">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CAAD5A" w14:textId="1241AB63" w:rsidR="00801584" w:rsidRDefault="00192C26" w:rsidP="00192C26">
    <w:pPr>
      <w:pBdr>
        <w:top w:val="nil"/>
        <w:left w:val="nil"/>
        <w:bottom w:val="nil"/>
        <w:right w:val="nil"/>
        <w:between w:val="nil"/>
      </w:pBdr>
      <w:jc w:val="center"/>
      <w:rPr>
        <w:color w:val="FF0000"/>
        <w:sz w:val="20"/>
        <w:szCs w:val="20"/>
      </w:rPr>
    </w:pPr>
    <w:r w:rsidRPr="00754FCA">
      <w:rPr>
        <w:noProof/>
        <w:color w:val="FF0000"/>
        <w:lang w:eastAsia="ja-JP"/>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9225A6" w14:textId="41601349" w:rsidR="006174B1" w:rsidRDefault="006174B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0BED05" w14:textId="665EF8FC" w:rsidR="00801584" w:rsidRPr="00C12647" w:rsidRDefault="00801584" w:rsidP="00C12647">
    <w:pPr>
      <w:pBdr>
        <w:top w:val="nil"/>
        <w:left w:val="nil"/>
        <w:bottom w:val="nil"/>
        <w:right w:val="nil"/>
        <w:between w:val="nil"/>
      </w:pBdr>
      <w:tabs>
        <w:tab w:val="center" w:pos="4680"/>
        <w:tab w:val="right" w:pos="9360"/>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B9528C" w14:textId="65420C1A" w:rsidR="00801584" w:rsidRPr="001C390D" w:rsidRDefault="00801584" w:rsidP="008521D1">
    <w:pPr>
      <w:pBdr>
        <w:top w:val="nil"/>
        <w:left w:val="nil"/>
        <w:bottom w:val="nil"/>
        <w:right w:val="nil"/>
        <w:between w:val="nil"/>
      </w:pBdr>
      <w:tabs>
        <w:tab w:val="center" w:pos="4680"/>
        <w:tab w:val="right" w:pos="9360"/>
      </w:tabs>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478D7A" w14:textId="7656A111" w:rsidR="00801584" w:rsidRDefault="00801584" w:rsidP="00192C26">
    <w:pPr>
      <w:pBdr>
        <w:top w:val="nil"/>
        <w:left w:val="nil"/>
        <w:bottom w:val="nil"/>
        <w:right w:val="nil"/>
        <w:between w:val="nil"/>
      </w:pBdr>
      <w:tabs>
        <w:tab w:val="center" w:pos="4680"/>
        <w:tab w:val="right" w:pos="9360"/>
      </w:tabs>
      <w:jc w:val="center"/>
      <w:rPr>
        <w:color w:val="FF0000"/>
        <w:sz w:val="20"/>
        <w:szCs w:val="2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0C779" w14:textId="7785470D" w:rsidR="00801584" w:rsidRPr="00192C26" w:rsidRDefault="00801584" w:rsidP="001C390D">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10ADD"/>
    <w:multiLevelType w:val="hybridMultilevel"/>
    <w:tmpl w:val="DD58F4D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50834FE"/>
    <w:multiLevelType w:val="hybridMultilevel"/>
    <w:tmpl w:val="71E86926"/>
    <w:lvl w:ilvl="0" w:tplc="AE0EC886">
      <w:start w:val="2"/>
      <w:numFmt w:val="bullet"/>
      <w:lvlText w:val="-"/>
      <w:lvlJc w:val="left"/>
      <w:pPr>
        <w:ind w:left="720" w:hanging="360"/>
      </w:pPr>
      <w:rPr>
        <w:rFonts w:ascii="Times New Roman" w:eastAsia="Calibri Light"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C63DBB"/>
    <w:multiLevelType w:val="multilevel"/>
    <w:tmpl w:val="D30633B6"/>
    <w:styleLink w:val="CurrentList4"/>
    <w:lvl w:ilvl="0">
      <w:start w:val="6"/>
      <w:numFmt w:val="decimal"/>
      <w:lvlText w:val="%1."/>
      <w:lvlJc w:val="left"/>
      <w:pPr>
        <w:ind w:left="0" w:firstLine="0"/>
      </w:pPr>
      <w:rPr>
        <w:rFonts w:hint="default"/>
      </w:rPr>
    </w:lvl>
    <w:lvl w:ilvl="1">
      <w:start w:val="1"/>
      <w:numFmt w:val="decimal"/>
      <w:lvlText w:val="%1.%2."/>
      <w:lvlJc w:val="left"/>
      <w:pPr>
        <w:ind w:left="720" w:hanging="720"/>
      </w:pPr>
      <w:rPr>
        <w:rFonts w:hint="default"/>
        <w:sz w:val="36"/>
        <w:szCs w:val="32"/>
        <w:specVanish w:val="0"/>
      </w:rPr>
    </w:lvl>
    <w:lvl w:ilvl="2">
      <w:start w:val="1"/>
      <w:numFmt w:val="decimal"/>
      <w:suff w:val="space"/>
      <w:lvlText w:val="%1.%2.%3."/>
      <w:lvlJc w:val="left"/>
      <w:pPr>
        <w:ind w:left="1639" w:hanging="504"/>
      </w:pPr>
      <w:rPr>
        <w:rFonts w:hint="default"/>
        <w:sz w:val="28"/>
        <w:szCs w:val="28"/>
      </w:rPr>
    </w:lvl>
    <w:lvl w:ilvl="3">
      <w:start w:val="1"/>
      <w:numFmt w:val="decimal"/>
      <w:lvlText w:val="%1.%2.%3.%4."/>
      <w:lvlJc w:val="left"/>
      <w:pPr>
        <w:ind w:left="2350" w:hanging="648"/>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622725"/>
    <w:multiLevelType w:val="multilevel"/>
    <w:tmpl w:val="71F6628A"/>
    <w:lvl w:ilvl="0">
      <w:start w:val="1"/>
      <w:numFmt w:val="decimal"/>
      <w:lvlText w:val="%1."/>
      <w:lvlJc w:val="left"/>
      <w:pPr>
        <w:ind w:left="643" w:hanging="360"/>
      </w:pPr>
    </w:lvl>
    <w:lvl w:ilvl="1">
      <w:start w:val="1"/>
      <w:numFmt w:val="decimal"/>
      <w:lvlText w:val="%1.%2."/>
      <w:lvlJc w:val="left"/>
      <w:pPr>
        <w:ind w:left="1075" w:hanging="432"/>
      </w:pPr>
    </w:lvl>
    <w:lvl w:ilvl="2">
      <w:start w:val="1"/>
      <w:numFmt w:val="decimal"/>
      <w:lvlText w:val=""/>
      <w:lvlJc w:val="left"/>
      <w:pPr>
        <w:ind w:left="2205" w:hanging="50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A7E357C"/>
    <w:multiLevelType w:val="hybridMultilevel"/>
    <w:tmpl w:val="7382BC1C"/>
    <w:lvl w:ilvl="0" w:tplc="C3C2A282">
      <w:start w:val="1"/>
      <w:numFmt w:val="decimal"/>
      <w:lvlText w:val="%1."/>
      <w:lvlJc w:val="left"/>
      <w:pPr>
        <w:ind w:left="1656" w:firstLine="0"/>
      </w:pPr>
      <w:rPr>
        <w:rFonts w:hint="default"/>
      </w:rPr>
    </w:lvl>
    <w:lvl w:ilvl="1" w:tplc="04090019">
      <w:start w:val="1"/>
      <w:numFmt w:val="lowerLetter"/>
      <w:lvlText w:val="%2."/>
      <w:lvlJc w:val="left"/>
      <w:pPr>
        <w:ind w:left="2687" w:hanging="360"/>
      </w:pPr>
    </w:lvl>
    <w:lvl w:ilvl="2" w:tplc="0409001B" w:tentative="1">
      <w:start w:val="1"/>
      <w:numFmt w:val="lowerRoman"/>
      <w:lvlText w:val="%3."/>
      <w:lvlJc w:val="right"/>
      <w:pPr>
        <w:ind w:left="3407" w:hanging="180"/>
      </w:pPr>
    </w:lvl>
    <w:lvl w:ilvl="3" w:tplc="0409000F" w:tentative="1">
      <w:start w:val="1"/>
      <w:numFmt w:val="decimal"/>
      <w:lvlText w:val="%4."/>
      <w:lvlJc w:val="left"/>
      <w:pPr>
        <w:ind w:left="4127" w:hanging="360"/>
      </w:pPr>
    </w:lvl>
    <w:lvl w:ilvl="4" w:tplc="04090019" w:tentative="1">
      <w:start w:val="1"/>
      <w:numFmt w:val="lowerLetter"/>
      <w:lvlText w:val="%5."/>
      <w:lvlJc w:val="left"/>
      <w:pPr>
        <w:ind w:left="4847" w:hanging="360"/>
      </w:pPr>
    </w:lvl>
    <w:lvl w:ilvl="5" w:tplc="0409001B" w:tentative="1">
      <w:start w:val="1"/>
      <w:numFmt w:val="lowerRoman"/>
      <w:lvlText w:val="%6."/>
      <w:lvlJc w:val="right"/>
      <w:pPr>
        <w:ind w:left="5567" w:hanging="180"/>
      </w:pPr>
    </w:lvl>
    <w:lvl w:ilvl="6" w:tplc="0409000F" w:tentative="1">
      <w:start w:val="1"/>
      <w:numFmt w:val="decimal"/>
      <w:lvlText w:val="%7."/>
      <w:lvlJc w:val="left"/>
      <w:pPr>
        <w:ind w:left="6287" w:hanging="360"/>
      </w:pPr>
    </w:lvl>
    <w:lvl w:ilvl="7" w:tplc="04090019" w:tentative="1">
      <w:start w:val="1"/>
      <w:numFmt w:val="lowerLetter"/>
      <w:lvlText w:val="%8."/>
      <w:lvlJc w:val="left"/>
      <w:pPr>
        <w:ind w:left="7007" w:hanging="360"/>
      </w:pPr>
    </w:lvl>
    <w:lvl w:ilvl="8" w:tplc="0409001B" w:tentative="1">
      <w:start w:val="1"/>
      <w:numFmt w:val="lowerRoman"/>
      <w:lvlText w:val="%9."/>
      <w:lvlJc w:val="right"/>
      <w:pPr>
        <w:ind w:left="7727" w:hanging="180"/>
      </w:pPr>
    </w:lvl>
  </w:abstractNum>
  <w:abstractNum w:abstractNumId="5" w15:restartNumberingAfterBreak="0">
    <w:nsid w:val="0AAD366B"/>
    <w:multiLevelType w:val="hybridMultilevel"/>
    <w:tmpl w:val="C3D8BB64"/>
    <w:lvl w:ilvl="0" w:tplc="76840BAE">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0D9C4F4A"/>
    <w:multiLevelType w:val="multilevel"/>
    <w:tmpl w:val="1FFA2DCC"/>
    <w:lvl w:ilvl="0">
      <w:start w:val="12"/>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EA324D6"/>
    <w:multiLevelType w:val="hybridMultilevel"/>
    <w:tmpl w:val="AEDCA4C2"/>
    <w:lvl w:ilvl="0" w:tplc="7F0C7D52">
      <w:start w:val="5"/>
      <w:numFmt w:val="decimal"/>
      <w:lvlText w:val="%1."/>
      <w:lvlJc w:val="left"/>
      <w:pPr>
        <w:ind w:left="360" w:hanging="360"/>
      </w:pPr>
      <w:rPr>
        <w:rFonts w:hint="default"/>
      </w:rPr>
    </w:lvl>
    <w:lvl w:ilvl="1" w:tplc="CC8E2038">
      <w:start w:val="1"/>
      <w:numFmt w:val="decimal"/>
      <w:lvlText w:val="%2)"/>
      <w:lvlJc w:val="left"/>
      <w:pPr>
        <w:ind w:left="1080" w:hanging="360"/>
      </w:pPr>
      <w:rPr>
        <w:rFonts w:hint="default"/>
      </w:rPr>
    </w:lvl>
    <w:lvl w:ilvl="2" w:tplc="3B92B65E">
      <w:start w:val="1"/>
      <w:numFmt w:val="decimal"/>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EB450C9"/>
    <w:multiLevelType w:val="multilevel"/>
    <w:tmpl w:val="CE4A6AB0"/>
    <w:lvl w:ilvl="0">
      <w:numFmt w:val="decimal"/>
      <w:lvlText w:val=""/>
      <w:lvlJc w:val="left"/>
    </w:lvl>
    <w:lvl w:ilvl="1">
      <w:numFmt w:val="decimal"/>
      <w:lvlText w:val=""/>
      <w:lvlJc w:val="left"/>
      <w:pPr>
        <w:ind w:left="0" w:firstLine="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F5A2390"/>
    <w:multiLevelType w:val="hybridMultilevel"/>
    <w:tmpl w:val="348643A4"/>
    <w:lvl w:ilvl="0" w:tplc="44443046">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0E41B8E"/>
    <w:multiLevelType w:val="multilevel"/>
    <w:tmpl w:val="1C4ACB5A"/>
    <w:lvl w:ilvl="0">
      <w:start w:val="6"/>
      <w:numFmt w:val="decimal"/>
      <w:lvlText w:val="%1."/>
      <w:lvlJc w:val="left"/>
      <w:pPr>
        <w:ind w:left="0" w:firstLine="0"/>
      </w:pPr>
      <w:rPr>
        <w:rFonts w:hint="default"/>
      </w:rPr>
    </w:lvl>
    <w:lvl w:ilvl="1">
      <w:start w:val="1"/>
      <w:numFmt w:val="decimal"/>
      <w:suff w:val="space"/>
      <w:lvlText w:val="%1.%2."/>
      <w:lvlJc w:val="left"/>
      <w:pPr>
        <w:ind w:left="720" w:hanging="720"/>
      </w:pPr>
      <w:rPr>
        <w:rFonts w:hint="default"/>
        <w:sz w:val="36"/>
        <w:szCs w:val="36"/>
      </w:rPr>
    </w:lvl>
    <w:lvl w:ilvl="2">
      <w:start w:val="1"/>
      <w:numFmt w:val="decimal"/>
      <w:pStyle w:val="Heading2"/>
      <w:suff w:val="space"/>
      <w:lvlText w:val="%1.%2.%3."/>
      <w:lvlJc w:val="left"/>
      <w:pPr>
        <w:ind w:left="720" w:hanging="720"/>
      </w:pPr>
    </w:lvl>
    <w:lvl w:ilvl="3">
      <w:start w:val="1"/>
      <w:numFmt w:val="decimal"/>
      <w:pStyle w:val="Heading3"/>
      <w:suff w:val="space"/>
      <w:lvlText w:val="%1.%2.%3.%4."/>
      <w:lvlJc w:val="left"/>
      <w:pPr>
        <w:ind w:left="720" w:hanging="720"/>
      </w:p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1D83915"/>
    <w:multiLevelType w:val="multilevel"/>
    <w:tmpl w:val="9AD6A374"/>
    <w:lvl w:ilvl="0">
      <w:start w:val="6"/>
      <w:numFmt w:val="decimal"/>
      <w:lvlText w:val="%1."/>
      <w:lvlJc w:val="left"/>
      <w:pPr>
        <w:ind w:left="0" w:firstLine="0"/>
      </w:pPr>
      <w:rPr>
        <w:rFonts w:hint="default"/>
      </w:rPr>
    </w:lvl>
    <w:lvl w:ilvl="1">
      <w:start w:val="1"/>
      <w:numFmt w:val="decimal"/>
      <w:lvlText w:val="%1.%2."/>
      <w:lvlJc w:val="left"/>
      <w:pPr>
        <w:ind w:left="720" w:hanging="720"/>
      </w:pPr>
      <w:rPr>
        <w:rFonts w:hint="default"/>
        <w:sz w:val="36"/>
        <w:szCs w:val="32"/>
        <w:specVanish w:val="0"/>
      </w:rPr>
    </w:lvl>
    <w:lvl w:ilvl="2">
      <w:start w:val="1"/>
      <w:numFmt w:val="decimal"/>
      <w:suff w:val="space"/>
      <w:lvlText w:val="%1.%2.%3."/>
      <w:lvlJc w:val="left"/>
      <w:pPr>
        <w:ind w:left="1639" w:hanging="504"/>
      </w:pPr>
      <w:rPr>
        <w:rFonts w:hint="default"/>
        <w:sz w:val="28"/>
        <w:szCs w:val="28"/>
      </w:rPr>
    </w:lvl>
    <w:lvl w:ilvl="3">
      <w:start w:val="1"/>
      <w:numFmt w:val="decimal"/>
      <w:suff w:val="space"/>
      <w:lvlText w:val="%1.%2.%3.%4."/>
      <w:lvlJc w:val="left"/>
      <w:pPr>
        <w:ind w:left="2350" w:hanging="648"/>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1E231C1"/>
    <w:multiLevelType w:val="hybridMultilevel"/>
    <w:tmpl w:val="F4D89382"/>
    <w:lvl w:ilvl="0" w:tplc="AE0EC886">
      <w:start w:val="2"/>
      <w:numFmt w:val="bullet"/>
      <w:lvlText w:val="-"/>
      <w:lvlJc w:val="left"/>
      <w:rPr>
        <w:rFonts w:ascii="Times New Roman" w:eastAsia="Calibri Light" w:hAnsi="Times New Roman" w:cs="Times New Roman" w:hint="default"/>
      </w:rPr>
    </w:lvl>
    <w:lvl w:ilvl="1" w:tplc="08090019">
      <w:numFmt w:val="decimal"/>
      <w:lvlText w:val=""/>
      <w:lvlJc w:val="left"/>
    </w:lvl>
    <w:lvl w:ilvl="2" w:tplc="0809001B">
      <w:numFmt w:val="decimal"/>
      <w:lvlText w:val=""/>
      <w:lvlJc w:val="left"/>
    </w:lvl>
    <w:lvl w:ilvl="3" w:tplc="0809000F">
      <w:numFmt w:val="decimal"/>
      <w:lvlText w:val=""/>
      <w:lvlJc w:val="left"/>
    </w:lvl>
    <w:lvl w:ilvl="4" w:tplc="08090019">
      <w:numFmt w:val="decimal"/>
      <w:lvlText w:val=""/>
      <w:lvlJc w:val="left"/>
    </w:lvl>
    <w:lvl w:ilvl="5" w:tplc="0809001B">
      <w:numFmt w:val="decimal"/>
      <w:lvlText w:val=""/>
      <w:lvlJc w:val="left"/>
    </w:lvl>
    <w:lvl w:ilvl="6" w:tplc="0809000F">
      <w:numFmt w:val="decimal"/>
      <w:lvlText w:val=""/>
      <w:lvlJc w:val="left"/>
    </w:lvl>
    <w:lvl w:ilvl="7" w:tplc="08090019">
      <w:numFmt w:val="decimal"/>
      <w:lvlText w:val=""/>
      <w:lvlJc w:val="left"/>
    </w:lvl>
    <w:lvl w:ilvl="8" w:tplc="0809001B">
      <w:numFmt w:val="decimal"/>
      <w:lvlText w:val=""/>
      <w:lvlJc w:val="left"/>
    </w:lvl>
  </w:abstractNum>
  <w:abstractNum w:abstractNumId="13" w15:restartNumberingAfterBreak="0">
    <w:nsid w:val="199D5689"/>
    <w:multiLevelType w:val="multilevel"/>
    <w:tmpl w:val="384E6AF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1A9E5E9C"/>
    <w:multiLevelType w:val="hybridMultilevel"/>
    <w:tmpl w:val="F8649A98"/>
    <w:lvl w:ilvl="0" w:tplc="4B460A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997A35"/>
    <w:multiLevelType w:val="hybridMultilevel"/>
    <w:tmpl w:val="BED6BE24"/>
    <w:lvl w:ilvl="0" w:tplc="0C090001">
      <w:numFmt w:val="decimal"/>
      <w:lvlText w:val=""/>
      <w:lvlJc w:val="left"/>
    </w:lvl>
    <w:lvl w:ilvl="1" w:tplc="0C090003">
      <w:numFmt w:val="decimal"/>
      <w:lvlText w:val=""/>
      <w:lvlJc w:val="left"/>
    </w:lvl>
    <w:lvl w:ilvl="2" w:tplc="0C090005">
      <w:numFmt w:val="decimal"/>
      <w:lvlText w:val=""/>
      <w:lvlJc w:val="left"/>
    </w:lvl>
    <w:lvl w:ilvl="3" w:tplc="0C090001">
      <w:numFmt w:val="decimal"/>
      <w:lvlText w:val=""/>
      <w:lvlJc w:val="left"/>
    </w:lvl>
    <w:lvl w:ilvl="4" w:tplc="0C090003">
      <w:numFmt w:val="decimal"/>
      <w:lvlText w:val=""/>
      <w:lvlJc w:val="left"/>
    </w:lvl>
    <w:lvl w:ilvl="5" w:tplc="0C090005">
      <w:numFmt w:val="decimal"/>
      <w:lvlText w:val=""/>
      <w:lvlJc w:val="left"/>
    </w:lvl>
    <w:lvl w:ilvl="6" w:tplc="0C090001">
      <w:numFmt w:val="decimal"/>
      <w:lvlText w:val=""/>
      <w:lvlJc w:val="left"/>
    </w:lvl>
    <w:lvl w:ilvl="7" w:tplc="0C090003">
      <w:numFmt w:val="decimal"/>
      <w:lvlText w:val=""/>
      <w:lvlJc w:val="left"/>
    </w:lvl>
    <w:lvl w:ilvl="8" w:tplc="0C090005">
      <w:numFmt w:val="decimal"/>
      <w:lvlText w:val=""/>
      <w:lvlJc w:val="left"/>
    </w:lvl>
  </w:abstractNum>
  <w:abstractNum w:abstractNumId="16" w15:restartNumberingAfterBreak="0">
    <w:nsid w:val="1BFE05D3"/>
    <w:multiLevelType w:val="multilevel"/>
    <w:tmpl w:val="4FFA7A0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1F036A50"/>
    <w:multiLevelType w:val="multilevel"/>
    <w:tmpl w:val="99526382"/>
    <w:lvl w:ilvl="0">
      <w:start w:val="2"/>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1FAD5BE6"/>
    <w:multiLevelType w:val="multilevel"/>
    <w:tmpl w:val="D58A9036"/>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1002EFD"/>
    <w:multiLevelType w:val="hybridMultilevel"/>
    <w:tmpl w:val="DA301BF4"/>
    <w:lvl w:ilvl="0" w:tplc="12FA5DAC">
      <w:start w:val="1"/>
      <w:numFmt w:val="decimal"/>
      <w:lvlText w:val="(%1)"/>
      <w:lvlJc w:val="left"/>
      <w:pPr>
        <w:ind w:left="0" w:firstLine="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22C2106"/>
    <w:multiLevelType w:val="hybridMultilevel"/>
    <w:tmpl w:val="31B8CA88"/>
    <w:lvl w:ilvl="0" w:tplc="04127316">
      <w:start w:val="12"/>
      <w:numFmt w:val="bullet"/>
      <w:lvlText w:val="-"/>
      <w:lvlJc w:val="left"/>
      <w:pPr>
        <w:ind w:left="36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2FA128A"/>
    <w:multiLevelType w:val="hybridMultilevel"/>
    <w:tmpl w:val="B9A0A2B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3466183"/>
    <w:multiLevelType w:val="multilevel"/>
    <w:tmpl w:val="63E8354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41A3C12"/>
    <w:multiLevelType w:val="multilevel"/>
    <w:tmpl w:val="9CE44A66"/>
    <w:lvl w:ilvl="0">
      <w:start w:val="2"/>
      <w:numFmt w:val="bullet"/>
      <w:lvlText w:val="-"/>
      <w:lvlJc w:val="left"/>
      <w:pPr>
        <w:ind w:left="360" w:hanging="360"/>
      </w:pPr>
      <w:rPr>
        <w:rFonts w:ascii="Times New Roman" w:eastAsia="Times New Roman" w:hAnsi="Times New Roman" w:cs="Times New Roma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25CA7D3D"/>
    <w:multiLevelType w:val="multilevel"/>
    <w:tmpl w:val="D64A512C"/>
    <w:lvl w:ilvl="0">
      <w:start w:val="2"/>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28E87616"/>
    <w:multiLevelType w:val="hybridMultilevel"/>
    <w:tmpl w:val="86222DA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2E801B38"/>
    <w:multiLevelType w:val="multilevel"/>
    <w:tmpl w:val="F5661182"/>
    <w:lvl w:ilvl="0">
      <w:start w:val="1"/>
      <w:numFmt w:val="decimal"/>
      <w:lvlText w:val="%1."/>
      <w:lvlJc w:val="left"/>
      <w:pPr>
        <w:ind w:left="360" w:hanging="360"/>
      </w:p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2FDD68A7"/>
    <w:multiLevelType w:val="multilevel"/>
    <w:tmpl w:val="20F267EC"/>
    <w:styleLink w:val="CurrentList9"/>
    <w:lvl w:ilvl="0">
      <w:start w:val="2"/>
      <w:numFmt w:val="bullet"/>
      <w:lvlText w:val="-"/>
      <w:lvlJc w:val="left"/>
      <w:pPr>
        <w:ind w:left="0" w:firstLine="0"/>
      </w:pPr>
      <w:rPr>
        <w:rFonts w:ascii="Times New Roman" w:eastAsia="Times New Roman" w:hAnsi="Times New Roman" w:cs="Times New Roma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8" w15:restartNumberingAfterBreak="0">
    <w:nsid w:val="2FFD2D92"/>
    <w:multiLevelType w:val="multilevel"/>
    <w:tmpl w:val="E6641128"/>
    <w:lvl w:ilvl="0">
      <w:start w:val="12"/>
      <w:numFmt w:val="bullet"/>
      <w:pStyle w:val="Title"/>
      <w:lvlText w:val="-"/>
      <w:lvlJc w:val="left"/>
      <w:pPr>
        <w:ind w:left="360" w:hanging="360"/>
      </w:pPr>
      <w:rPr>
        <w:rFonts w:ascii="Times New Roman" w:eastAsia="Times New Roman" w:hAnsi="Times New Roman" w:cs="Times New Roma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9" w15:restartNumberingAfterBreak="0">
    <w:nsid w:val="3229136A"/>
    <w:multiLevelType w:val="multilevel"/>
    <w:tmpl w:val="F5B608B6"/>
    <w:lvl w:ilvl="0">
      <w:start w:val="12"/>
      <w:numFmt w:val="bullet"/>
      <w:lvlText w:val="-"/>
      <w:lvlJc w:val="left"/>
      <w:pPr>
        <w:ind w:left="360" w:hanging="360"/>
      </w:pPr>
      <w:rPr>
        <w:rFonts w:ascii="Times New Roman" w:eastAsia="Times New Roman" w:hAnsi="Times New Roman" w:cs="Times New Roma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0" w15:restartNumberingAfterBreak="0">
    <w:nsid w:val="3348047C"/>
    <w:multiLevelType w:val="hybridMultilevel"/>
    <w:tmpl w:val="88C42B4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3F92773"/>
    <w:multiLevelType w:val="multilevel"/>
    <w:tmpl w:val="5A06083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5274FF4"/>
    <w:multiLevelType w:val="hybridMultilevel"/>
    <w:tmpl w:val="64C8B612"/>
    <w:lvl w:ilvl="0" w:tplc="E98C6208">
      <w:numFmt w:val="decimal"/>
      <w:lvlText w:val=""/>
      <w:lvlJc w:val="left"/>
    </w:lvl>
    <w:lvl w:ilvl="1" w:tplc="08090019">
      <w:numFmt w:val="decimal"/>
      <w:lvlText w:val=""/>
      <w:lvlJc w:val="left"/>
    </w:lvl>
    <w:lvl w:ilvl="2" w:tplc="0809001B">
      <w:numFmt w:val="decimal"/>
      <w:lvlText w:val=""/>
      <w:lvlJc w:val="left"/>
    </w:lvl>
    <w:lvl w:ilvl="3" w:tplc="0809000F">
      <w:numFmt w:val="decimal"/>
      <w:lvlText w:val=""/>
      <w:lvlJc w:val="left"/>
    </w:lvl>
    <w:lvl w:ilvl="4" w:tplc="08090019">
      <w:numFmt w:val="decimal"/>
      <w:lvlText w:val=""/>
      <w:lvlJc w:val="left"/>
    </w:lvl>
    <w:lvl w:ilvl="5" w:tplc="0809001B">
      <w:numFmt w:val="decimal"/>
      <w:lvlText w:val=""/>
      <w:lvlJc w:val="left"/>
    </w:lvl>
    <w:lvl w:ilvl="6" w:tplc="0809000F">
      <w:numFmt w:val="decimal"/>
      <w:lvlText w:val=""/>
      <w:lvlJc w:val="left"/>
    </w:lvl>
    <w:lvl w:ilvl="7" w:tplc="08090019">
      <w:numFmt w:val="decimal"/>
      <w:lvlText w:val=""/>
      <w:lvlJc w:val="left"/>
    </w:lvl>
    <w:lvl w:ilvl="8" w:tplc="0809001B">
      <w:numFmt w:val="decimal"/>
      <w:lvlText w:val=""/>
      <w:lvlJc w:val="left"/>
    </w:lvl>
  </w:abstractNum>
  <w:abstractNum w:abstractNumId="33" w15:restartNumberingAfterBreak="0">
    <w:nsid w:val="369410D5"/>
    <w:multiLevelType w:val="multilevel"/>
    <w:tmpl w:val="C4080940"/>
    <w:lvl w:ilvl="0">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pStyle w:val="Level3"/>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4" w15:restartNumberingAfterBreak="0">
    <w:nsid w:val="376265D0"/>
    <w:multiLevelType w:val="hybridMultilevel"/>
    <w:tmpl w:val="DB8C425A"/>
    <w:lvl w:ilvl="0" w:tplc="0409000F">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41CB5D66"/>
    <w:multiLevelType w:val="multilevel"/>
    <w:tmpl w:val="9E0C9D00"/>
    <w:lvl w:ilvl="0">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6" w15:restartNumberingAfterBreak="0">
    <w:nsid w:val="41ED5E65"/>
    <w:multiLevelType w:val="multilevel"/>
    <w:tmpl w:val="35E2B184"/>
    <w:lvl w:ilvl="0">
      <w:start w:val="2"/>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42904A32"/>
    <w:multiLevelType w:val="multilevel"/>
    <w:tmpl w:val="2856B92C"/>
    <w:styleLink w:val="CurrentList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443F7562"/>
    <w:multiLevelType w:val="multilevel"/>
    <w:tmpl w:val="E8CED6A4"/>
    <w:lvl w:ilvl="0">
      <w:start w:val="2"/>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9" w15:restartNumberingAfterBreak="0">
    <w:nsid w:val="47303018"/>
    <w:multiLevelType w:val="hybridMultilevel"/>
    <w:tmpl w:val="ADDC4968"/>
    <w:lvl w:ilvl="0" w:tplc="8C18024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7FB3ED2"/>
    <w:multiLevelType w:val="hybridMultilevel"/>
    <w:tmpl w:val="7496441A"/>
    <w:lvl w:ilvl="0" w:tplc="C138FC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9B27BCC"/>
    <w:multiLevelType w:val="multilevel"/>
    <w:tmpl w:val="01DE0784"/>
    <w:lvl w:ilvl="0">
      <w:start w:val="2"/>
      <w:numFmt w:val="bullet"/>
      <w:lvlText w:val="-"/>
      <w:lvlJc w:val="left"/>
      <w:pPr>
        <w:ind w:left="360" w:hanging="360"/>
      </w:pPr>
      <w:rPr>
        <w:rFonts w:ascii="Times New Roman" w:eastAsia="Calibri Light" w:hAnsi="Times New Roman"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AEF6980"/>
    <w:multiLevelType w:val="hybridMultilevel"/>
    <w:tmpl w:val="BD248F1A"/>
    <w:lvl w:ilvl="0" w:tplc="04127316">
      <w:start w:val="12"/>
      <w:numFmt w:val="bullet"/>
      <w:lvlText w:val="-"/>
      <w:lvlJc w:val="left"/>
      <w:pPr>
        <w:ind w:left="360" w:hanging="360"/>
      </w:pPr>
      <w:rPr>
        <w:rFonts w:ascii="Times New Roman" w:eastAsiaTheme="minorEastAsia" w:hAnsi="Times New Roman" w:cs="Times New Roman"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15:restartNumberingAfterBreak="0">
    <w:nsid w:val="4B5B13C7"/>
    <w:multiLevelType w:val="hybridMultilevel"/>
    <w:tmpl w:val="EFA4E4DA"/>
    <w:lvl w:ilvl="0" w:tplc="04090011">
      <w:start w:val="1"/>
      <w:numFmt w:val="decimal"/>
      <w:lvlText w:val="%1)"/>
      <w:lvlJc w:val="left"/>
      <w:pPr>
        <w:ind w:left="781" w:hanging="360"/>
      </w:pPr>
    </w:lvl>
    <w:lvl w:ilvl="1" w:tplc="04090019" w:tentative="1">
      <w:start w:val="1"/>
      <w:numFmt w:val="lowerLetter"/>
      <w:lvlText w:val="%2."/>
      <w:lvlJc w:val="left"/>
      <w:pPr>
        <w:ind w:left="1501" w:hanging="360"/>
      </w:pPr>
    </w:lvl>
    <w:lvl w:ilvl="2" w:tplc="0409001B" w:tentative="1">
      <w:start w:val="1"/>
      <w:numFmt w:val="lowerRoman"/>
      <w:lvlText w:val="%3."/>
      <w:lvlJc w:val="right"/>
      <w:pPr>
        <w:ind w:left="2221" w:hanging="180"/>
      </w:pPr>
    </w:lvl>
    <w:lvl w:ilvl="3" w:tplc="0409000F" w:tentative="1">
      <w:start w:val="1"/>
      <w:numFmt w:val="decimal"/>
      <w:lvlText w:val="%4."/>
      <w:lvlJc w:val="left"/>
      <w:pPr>
        <w:ind w:left="2941" w:hanging="360"/>
      </w:pPr>
    </w:lvl>
    <w:lvl w:ilvl="4" w:tplc="04090019" w:tentative="1">
      <w:start w:val="1"/>
      <w:numFmt w:val="lowerLetter"/>
      <w:lvlText w:val="%5."/>
      <w:lvlJc w:val="left"/>
      <w:pPr>
        <w:ind w:left="3661" w:hanging="360"/>
      </w:pPr>
    </w:lvl>
    <w:lvl w:ilvl="5" w:tplc="0409001B" w:tentative="1">
      <w:start w:val="1"/>
      <w:numFmt w:val="lowerRoman"/>
      <w:lvlText w:val="%6."/>
      <w:lvlJc w:val="right"/>
      <w:pPr>
        <w:ind w:left="4381" w:hanging="180"/>
      </w:pPr>
    </w:lvl>
    <w:lvl w:ilvl="6" w:tplc="0409000F" w:tentative="1">
      <w:start w:val="1"/>
      <w:numFmt w:val="decimal"/>
      <w:lvlText w:val="%7."/>
      <w:lvlJc w:val="left"/>
      <w:pPr>
        <w:ind w:left="5101" w:hanging="360"/>
      </w:pPr>
    </w:lvl>
    <w:lvl w:ilvl="7" w:tplc="04090019" w:tentative="1">
      <w:start w:val="1"/>
      <w:numFmt w:val="lowerLetter"/>
      <w:lvlText w:val="%8."/>
      <w:lvlJc w:val="left"/>
      <w:pPr>
        <w:ind w:left="5821" w:hanging="360"/>
      </w:pPr>
    </w:lvl>
    <w:lvl w:ilvl="8" w:tplc="0409001B" w:tentative="1">
      <w:start w:val="1"/>
      <w:numFmt w:val="lowerRoman"/>
      <w:lvlText w:val="%9."/>
      <w:lvlJc w:val="right"/>
      <w:pPr>
        <w:ind w:left="6541" w:hanging="180"/>
      </w:pPr>
    </w:lvl>
  </w:abstractNum>
  <w:abstractNum w:abstractNumId="44" w15:restartNumberingAfterBreak="0">
    <w:nsid w:val="4E9311F1"/>
    <w:multiLevelType w:val="hybridMultilevel"/>
    <w:tmpl w:val="1EA881FA"/>
    <w:lvl w:ilvl="0" w:tplc="AE0EC886">
      <w:start w:val="2"/>
      <w:numFmt w:val="bullet"/>
      <w:lvlText w:val="-"/>
      <w:lvlJc w:val="left"/>
      <w:pPr>
        <w:ind w:left="1080" w:hanging="360"/>
      </w:pPr>
      <w:rPr>
        <w:rFonts w:ascii="Times New Roman" w:eastAsia="Calibri Light"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52A66A9D"/>
    <w:multiLevelType w:val="multilevel"/>
    <w:tmpl w:val="1F46421A"/>
    <w:styleLink w:val="Normallist"/>
    <w:lvl w:ilvl="0">
      <w:start w:val="1"/>
      <w:numFmt w:val="decimal"/>
      <w:lvlText w:val="%1."/>
      <w:lvlJc w:val="left"/>
      <w:pPr>
        <w:tabs>
          <w:tab w:val="num" w:pos="568"/>
        </w:tabs>
        <w:ind w:left="1248" w:firstLine="0"/>
      </w:pPr>
      <w:rPr>
        <w:rFonts w:hint="default"/>
      </w:rPr>
    </w:lvl>
    <w:lvl w:ilvl="1">
      <w:start w:val="1"/>
      <w:numFmt w:val="lowerLetter"/>
      <w:lvlText w:val="(%2)"/>
      <w:lvlJc w:val="left"/>
      <w:pPr>
        <w:tabs>
          <w:tab w:val="num" w:pos="568"/>
        </w:tabs>
        <w:ind w:left="1248" w:firstLine="567"/>
      </w:pPr>
      <w:rPr>
        <w:rFonts w:hint="default"/>
      </w:rPr>
    </w:lvl>
    <w:lvl w:ilvl="2">
      <w:start w:val="1"/>
      <w:numFmt w:val="lowerRoman"/>
      <w:lvlText w:val="(%3)"/>
      <w:lvlJc w:val="left"/>
      <w:pPr>
        <w:tabs>
          <w:tab w:val="num" w:pos="568"/>
        </w:tabs>
        <w:ind w:left="2949" w:hanging="567"/>
      </w:pPr>
      <w:rPr>
        <w:rFonts w:hint="default"/>
      </w:rPr>
    </w:lvl>
    <w:lvl w:ilvl="3">
      <w:start w:val="1"/>
      <w:numFmt w:val="lowerLetter"/>
      <w:lvlText w:val="%4."/>
      <w:lvlJc w:val="left"/>
      <w:pPr>
        <w:tabs>
          <w:tab w:val="num" w:pos="568"/>
        </w:tabs>
        <w:ind w:left="3516" w:hanging="567"/>
      </w:pPr>
      <w:rPr>
        <w:rFonts w:hint="default"/>
      </w:rPr>
    </w:lvl>
    <w:lvl w:ilvl="4">
      <w:start w:val="1"/>
      <w:numFmt w:val="lowerRoman"/>
      <w:lvlText w:val="%5."/>
      <w:lvlJc w:val="left"/>
      <w:pPr>
        <w:tabs>
          <w:tab w:val="num" w:pos="568"/>
        </w:tabs>
        <w:ind w:left="4083" w:hanging="567"/>
      </w:pPr>
      <w:rPr>
        <w:rFonts w:hint="default"/>
      </w:rPr>
    </w:lvl>
    <w:lvl w:ilvl="5">
      <w:start w:val="1"/>
      <w:numFmt w:val="lowerRoman"/>
      <w:lvlText w:val="%6."/>
      <w:lvlJc w:val="right"/>
      <w:pPr>
        <w:tabs>
          <w:tab w:val="num" w:pos="7836"/>
        </w:tabs>
        <w:ind w:left="7836" w:hanging="180"/>
      </w:pPr>
      <w:rPr>
        <w:rFonts w:hint="default"/>
      </w:rPr>
    </w:lvl>
    <w:lvl w:ilvl="6">
      <w:start w:val="1"/>
      <w:numFmt w:val="decimal"/>
      <w:lvlText w:val="%7."/>
      <w:lvlJc w:val="left"/>
      <w:pPr>
        <w:tabs>
          <w:tab w:val="num" w:pos="8556"/>
        </w:tabs>
        <w:ind w:left="8556" w:hanging="360"/>
      </w:pPr>
      <w:rPr>
        <w:rFonts w:hint="default"/>
      </w:rPr>
    </w:lvl>
    <w:lvl w:ilvl="7">
      <w:start w:val="1"/>
      <w:numFmt w:val="lowerLetter"/>
      <w:lvlText w:val="%8."/>
      <w:lvlJc w:val="left"/>
      <w:pPr>
        <w:tabs>
          <w:tab w:val="num" w:pos="9276"/>
        </w:tabs>
        <w:ind w:left="9276" w:hanging="360"/>
      </w:pPr>
      <w:rPr>
        <w:rFonts w:hint="default"/>
      </w:rPr>
    </w:lvl>
    <w:lvl w:ilvl="8">
      <w:start w:val="1"/>
      <w:numFmt w:val="lowerRoman"/>
      <w:lvlText w:val="%9."/>
      <w:lvlJc w:val="right"/>
      <w:pPr>
        <w:tabs>
          <w:tab w:val="num" w:pos="9996"/>
        </w:tabs>
        <w:ind w:left="9996" w:hanging="180"/>
      </w:pPr>
      <w:rPr>
        <w:rFonts w:hint="default"/>
      </w:rPr>
    </w:lvl>
  </w:abstractNum>
  <w:abstractNum w:abstractNumId="46" w15:restartNumberingAfterBreak="0">
    <w:nsid w:val="52E26A62"/>
    <w:multiLevelType w:val="multilevel"/>
    <w:tmpl w:val="76FC12EA"/>
    <w:lvl w:ilvl="0">
      <w:start w:val="2"/>
      <w:numFmt w:val="bullet"/>
      <w:suff w:val="space"/>
      <w:lvlText w:val="-"/>
      <w:lvlJc w:val="left"/>
      <w:pPr>
        <w:ind w:left="0" w:firstLine="0"/>
      </w:pPr>
      <w:rPr>
        <w:rFonts w:ascii="Times New Roman" w:hAnsi="Times New Roman" w:cs="Times New Roman" w:hint="default"/>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47" w15:restartNumberingAfterBreak="0">
    <w:nsid w:val="54E21748"/>
    <w:multiLevelType w:val="multilevel"/>
    <w:tmpl w:val="1D42D520"/>
    <w:styleLink w:val="CurrentList1"/>
    <w:lvl w:ilvl="0">
      <w:start w:val="6"/>
      <w:numFmt w:val="decimal"/>
      <w:lvlText w:val="%1."/>
      <w:lvlJc w:val="left"/>
      <w:pPr>
        <w:ind w:left="0" w:firstLine="0"/>
      </w:pPr>
      <w:rPr>
        <w:rFonts w:hint="default"/>
      </w:rPr>
    </w:lvl>
    <w:lvl w:ilvl="1">
      <w:start w:val="1"/>
      <w:numFmt w:val="decimal"/>
      <w:lvlText w:val="%1.%2."/>
      <w:lvlJc w:val="left"/>
      <w:pPr>
        <w:ind w:left="227" w:hanging="227"/>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639" w:hanging="504"/>
      </w:pPr>
      <w:rPr>
        <w:rFonts w:hint="default"/>
        <w:sz w:val="24"/>
      </w:rPr>
    </w:lvl>
    <w:lvl w:ilvl="3">
      <w:start w:val="1"/>
      <w:numFmt w:val="decimal"/>
      <w:lvlText w:val="%1.%2.%3.%4."/>
      <w:lvlJc w:val="left"/>
      <w:pPr>
        <w:ind w:left="2350" w:hanging="64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58255CD1"/>
    <w:multiLevelType w:val="hybridMultilevel"/>
    <w:tmpl w:val="E9E81A0A"/>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94F02D1"/>
    <w:multiLevelType w:val="multilevel"/>
    <w:tmpl w:val="58C61C5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5EC0381A"/>
    <w:multiLevelType w:val="multilevel"/>
    <w:tmpl w:val="1E48F8D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15:restartNumberingAfterBreak="0">
    <w:nsid w:val="5F323FDE"/>
    <w:multiLevelType w:val="multilevel"/>
    <w:tmpl w:val="C4BA8F04"/>
    <w:lvl w:ilvl="0">
      <w:start w:val="5"/>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980" w:hanging="36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621D41FB"/>
    <w:multiLevelType w:val="multilevel"/>
    <w:tmpl w:val="F4D89382"/>
    <w:styleLink w:val="CurrentList2"/>
    <w:lvl w:ilvl="0">
      <w:start w:val="2"/>
      <w:numFmt w:val="bullet"/>
      <w:lvlText w:val="-"/>
      <w:lvlJc w:val="left"/>
      <w:rPr>
        <w:rFonts w:ascii="Times New Roman" w:eastAsia="Calibri Light" w:hAnsi="Times New Roman"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644C71A2"/>
    <w:multiLevelType w:val="hybridMultilevel"/>
    <w:tmpl w:val="C130D576"/>
    <w:lvl w:ilvl="0" w:tplc="AE0EC886">
      <w:start w:val="2"/>
      <w:numFmt w:val="bullet"/>
      <w:lvlText w:val="-"/>
      <w:lvlJc w:val="left"/>
      <w:pPr>
        <w:ind w:left="360" w:hanging="360"/>
      </w:pPr>
      <w:rPr>
        <w:rFonts w:ascii="Times New Roman" w:eastAsia="Calibri Light" w:hAnsi="Times New Roman" w:cs="Times New Roman"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4" w15:restartNumberingAfterBreak="0">
    <w:nsid w:val="663713FB"/>
    <w:multiLevelType w:val="multilevel"/>
    <w:tmpl w:val="4E6ACCA8"/>
    <w:lvl w:ilvl="0">
      <w:start w:val="12"/>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66AB09F5"/>
    <w:multiLevelType w:val="multilevel"/>
    <w:tmpl w:val="377851E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15:restartNumberingAfterBreak="0">
    <w:nsid w:val="67CD7120"/>
    <w:multiLevelType w:val="multilevel"/>
    <w:tmpl w:val="71CAB500"/>
    <w:lvl w:ilvl="0">
      <w:start w:val="1"/>
      <w:numFmt w:val="decimal"/>
      <w:pStyle w:val="Normal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68D877EB"/>
    <w:multiLevelType w:val="multilevel"/>
    <w:tmpl w:val="ABF086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ACC68D8"/>
    <w:multiLevelType w:val="hybridMultilevel"/>
    <w:tmpl w:val="F08E3DA8"/>
    <w:lvl w:ilvl="0" w:tplc="0C090001">
      <w:numFmt w:val="decimal"/>
      <w:lvlText w:val=""/>
      <w:lvlJc w:val="left"/>
    </w:lvl>
    <w:lvl w:ilvl="1" w:tplc="0C090003">
      <w:numFmt w:val="decimal"/>
      <w:lvlText w:val=""/>
      <w:lvlJc w:val="left"/>
    </w:lvl>
    <w:lvl w:ilvl="2" w:tplc="0C090005">
      <w:numFmt w:val="decimal"/>
      <w:lvlText w:val=""/>
      <w:lvlJc w:val="left"/>
    </w:lvl>
    <w:lvl w:ilvl="3" w:tplc="0C090001">
      <w:numFmt w:val="decimal"/>
      <w:lvlText w:val=""/>
      <w:lvlJc w:val="left"/>
    </w:lvl>
    <w:lvl w:ilvl="4" w:tplc="0C090003">
      <w:numFmt w:val="decimal"/>
      <w:lvlText w:val=""/>
      <w:lvlJc w:val="left"/>
    </w:lvl>
    <w:lvl w:ilvl="5" w:tplc="0C090005">
      <w:numFmt w:val="decimal"/>
      <w:lvlText w:val=""/>
      <w:lvlJc w:val="left"/>
    </w:lvl>
    <w:lvl w:ilvl="6" w:tplc="0C090001">
      <w:numFmt w:val="decimal"/>
      <w:lvlText w:val=""/>
      <w:lvlJc w:val="left"/>
    </w:lvl>
    <w:lvl w:ilvl="7" w:tplc="0C090003">
      <w:numFmt w:val="decimal"/>
      <w:lvlText w:val=""/>
      <w:lvlJc w:val="left"/>
    </w:lvl>
    <w:lvl w:ilvl="8" w:tplc="0C090005">
      <w:numFmt w:val="decimal"/>
      <w:lvlText w:val=""/>
      <w:lvlJc w:val="left"/>
    </w:lvl>
  </w:abstractNum>
  <w:abstractNum w:abstractNumId="59" w15:restartNumberingAfterBreak="0">
    <w:nsid w:val="6B4C0B4C"/>
    <w:multiLevelType w:val="multilevel"/>
    <w:tmpl w:val="65AC0838"/>
    <w:styleLink w:val="CurrentList3"/>
    <w:lvl w:ilvl="0">
      <w:start w:val="6"/>
      <w:numFmt w:val="decimal"/>
      <w:lvlText w:val="%1."/>
      <w:lvlJc w:val="left"/>
      <w:pPr>
        <w:ind w:left="0" w:firstLine="0"/>
      </w:pPr>
      <w:rPr>
        <w:rFonts w:hint="default"/>
      </w:rPr>
    </w:lvl>
    <w:lvl w:ilvl="1">
      <w:start w:val="1"/>
      <w:numFmt w:val="decimal"/>
      <w:lvlText w:val="%1.%2."/>
      <w:lvlJc w:val="left"/>
      <w:pPr>
        <w:ind w:left="720" w:hanging="720"/>
      </w:pPr>
      <w:rPr>
        <w:sz w:val="36"/>
        <w:szCs w:val="32"/>
        <w:specVanish w:val="0"/>
      </w:rPr>
    </w:lvl>
    <w:lvl w:ilvl="2">
      <w:start w:val="1"/>
      <w:numFmt w:val="decimal"/>
      <w:lvlText w:val="%1.%2.%3."/>
      <w:lvlJc w:val="left"/>
      <w:pPr>
        <w:ind w:left="1639" w:hanging="504"/>
      </w:pPr>
      <w:rPr>
        <w:rFonts w:hint="default"/>
        <w:sz w:val="28"/>
        <w:szCs w:val="28"/>
      </w:rPr>
    </w:lvl>
    <w:lvl w:ilvl="3">
      <w:start w:val="1"/>
      <w:numFmt w:val="decimal"/>
      <w:lvlText w:val="%1.%2.%3.%4."/>
      <w:lvlJc w:val="left"/>
      <w:pPr>
        <w:ind w:left="2350" w:hanging="648"/>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6DFD4C33"/>
    <w:multiLevelType w:val="hybridMultilevel"/>
    <w:tmpl w:val="EBE2D87E"/>
    <w:lvl w:ilvl="0" w:tplc="AE0EC886">
      <w:start w:val="2"/>
      <w:numFmt w:val="bullet"/>
      <w:lvlText w:val="-"/>
      <w:lvlJc w:val="left"/>
      <w:pPr>
        <w:ind w:left="360" w:hanging="360"/>
      </w:pPr>
      <w:rPr>
        <w:rFonts w:ascii="Times New Roman" w:eastAsia="Calibri Light"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6F350C83"/>
    <w:multiLevelType w:val="hybridMultilevel"/>
    <w:tmpl w:val="F2D69202"/>
    <w:lvl w:ilvl="0" w:tplc="5E22D2FE">
      <w:start w:val="1"/>
      <w:numFmt w:val="lowerRoman"/>
      <w:lvlText w:val="%1."/>
      <w:lvlJc w:val="left"/>
      <w:pPr>
        <w:ind w:left="1080" w:hanging="72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0147DF9"/>
    <w:multiLevelType w:val="hybridMultilevel"/>
    <w:tmpl w:val="8ED402C2"/>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3" w15:restartNumberingAfterBreak="0">
    <w:nsid w:val="70942BE5"/>
    <w:multiLevelType w:val="multilevel"/>
    <w:tmpl w:val="948E8EB8"/>
    <w:styleLink w:val="CurrentList10"/>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4" w15:restartNumberingAfterBreak="0">
    <w:nsid w:val="70BA70D4"/>
    <w:multiLevelType w:val="multilevel"/>
    <w:tmpl w:val="5900BD88"/>
    <w:styleLink w:val="CurrentList6"/>
    <w:lvl w:ilvl="0">
      <w:start w:val="6"/>
      <w:numFmt w:val="decimal"/>
      <w:lvlText w:val="%1."/>
      <w:lvlJc w:val="left"/>
      <w:pPr>
        <w:ind w:left="0" w:firstLine="0"/>
      </w:pPr>
      <w:rPr>
        <w:rFonts w:hint="default"/>
      </w:rPr>
    </w:lvl>
    <w:lvl w:ilvl="1">
      <w:start w:val="1"/>
      <w:numFmt w:val="decimal"/>
      <w:suff w:val="space"/>
      <w:lvlText w:val="%1.%2."/>
      <w:lvlJc w:val="left"/>
      <w:pPr>
        <w:ind w:left="720" w:hanging="720"/>
      </w:pPr>
      <w:rPr>
        <w:rFonts w:hint="default"/>
        <w:sz w:val="36"/>
        <w:szCs w:val="36"/>
      </w:rPr>
    </w:lvl>
    <w:lvl w:ilvl="2">
      <w:start w:val="1"/>
      <w:numFmt w:val="decimal"/>
      <w:lvlText w:val="%1.%2.%3."/>
      <w:lvlJc w:val="left"/>
      <w:pPr>
        <w:ind w:left="1639" w:hanging="504"/>
      </w:pPr>
      <w:rPr>
        <w:rFonts w:hint="default"/>
        <w:sz w:val="28"/>
        <w:szCs w:val="28"/>
      </w:rPr>
    </w:lvl>
    <w:lvl w:ilvl="3">
      <w:start w:val="1"/>
      <w:numFmt w:val="decimal"/>
      <w:lvlText w:val="%1.%2.%3.%4."/>
      <w:lvlJc w:val="left"/>
      <w:pPr>
        <w:ind w:left="2350" w:hanging="648"/>
      </w:pPr>
      <w:rPr>
        <w:rFonts w:hint="default"/>
        <w:b/>
        <w:i w:val="0"/>
        <w:smallCaps w:val="0"/>
        <w:strike w:val="0"/>
        <w:u w:val="none"/>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A0DD0"/>
    <w:multiLevelType w:val="hybridMultilevel"/>
    <w:tmpl w:val="A91407E4"/>
    <w:lvl w:ilvl="0" w:tplc="AE0EC886">
      <w:start w:val="2"/>
      <w:numFmt w:val="bullet"/>
      <w:lvlText w:val="-"/>
      <w:lvlJc w:val="left"/>
      <w:pPr>
        <w:ind w:left="360" w:hanging="360"/>
      </w:pPr>
      <w:rPr>
        <w:rFonts w:ascii="Times New Roman" w:eastAsia="Calibri Light"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72FB45D7"/>
    <w:multiLevelType w:val="hybridMultilevel"/>
    <w:tmpl w:val="F7BEC0B0"/>
    <w:lvl w:ilvl="0" w:tplc="04127316">
      <w:start w:val="12"/>
      <w:numFmt w:val="bullet"/>
      <w:lvlText w:val="-"/>
      <w:lvlJc w:val="left"/>
      <w:pPr>
        <w:ind w:left="36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73833C56"/>
    <w:multiLevelType w:val="multilevel"/>
    <w:tmpl w:val="C07E2618"/>
    <w:styleLink w:val="CurrentList5"/>
    <w:lvl w:ilvl="0">
      <w:start w:val="6"/>
      <w:numFmt w:val="decimal"/>
      <w:lvlText w:val="%1."/>
      <w:lvlJc w:val="left"/>
      <w:pPr>
        <w:ind w:left="0" w:firstLine="0"/>
      </w:pPr>
    </w:lvl>
    <w:lvl w:ilvl="1">
      <w:start w:val="1"/>
      <w:numFmt w:val="decimal"/>
      <w:lvlText w:val="%1.%2."/>
      <w:lvlJc w:val="left"/>
      <w:pPr>
        <w:ind w:left="720" w:hanging="720"/>
      </w:pPr>
      <w:rPr>
        <w:sz w:val="36"/>
        <w:szCs w:val="36"/>
      </w:rPr>
    </w:lvl>
    <w:lvl w:ilvl="2">
      <w:start w:val="1"/>
      <w:numFmt w:val="decimal"/>
      <w:lvlText w:val="%1.%2.%3."/>
      <w:lvlJc w:val="left"/>
      <w:pPr>
        <w:ind w:left="1639" w:hanging="504"/>
      </w:pPr>
      <w:rPr>
        <w:sz w:val="28"/>
        <w:szCs w:val="28"/>
      </w:rPr>
    </w:lvl>
    <w:lvl w:ilvl="3">
      <w:start w:val="1"/>
      <w:numFmt w:val="decimal"/>
      <w:lvlText w:val="%1.%2.%3.%4."/>
      <w:lvlJc w:val="left"/>
      <w:pPr>
        <w:ind w:left="2350" w:hanging="648"/>
      </w:pPr>
      <w:rPr>
        <w:b/>
        <w:i w:val="0"/>
        <w:smallCaps w:val="0"/>
        <w:strike w:val="0"/>
        <w:u w:val="none"/>
        <w:vertAlign w:val="baseline"/>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755C2BF6"/>
    <w:multiLevelType w:val="hybridMultilevel"/>
    <w:tmpl w:val="484C15EA"/>
    <w:lvl w:ilvl="0" w:tplc="AE0EC886">
      <w:start w:val="2"/>
      <w:numFmt w:val="bullet"/>
      <w:lvlText w:val="-"/>
      <w:lvlJc w:val="left"/>
      <w:pPr>
        <w:ind w:left="1080" w:hanging="360"/>
      </w:pPr>
      <w:rPr>
        <w:rFonts w:ascii="Times New Roman" w:eastAsia="Calibri Light"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75855145"/>
    <w:multiLevelType w:val="multilevel"/>
    <w:tmpl w:val="EC922EAE"/>
    <w:lvl w:ilvl="0">
      <w:start w:val="1"/>
      <w:numFmt w:val="decimal"/>
      <w:suff w:val="space"/>
      <w:lvlText w:val="(%1)"/>
      <w:lvlJc w:val="left"/>
      <w:pPr>
        <w:ind w:left="36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0" w15:restartNumberingAfterBreak="0">
    <w:nsid w:val="77A72001"/>
    <w:multiLevelType w:val="hybridMultilevel"/>
    <w:tmpl w:val="46C8C250"/>
    <w:lvl w:ilvl="0" w:tplc="04127316">
      <w:start w:val="12"/>
      <w:numFmt w:val="bullet"/>
      <w:lvlText w:val="-"/>
      <w:lvlJc w:val="left"/>
      <w:pPr>
        <w:ind w:left="360" w:hanging="360"/>
      </w:pPr>
      <w:rPr>
        <w:rFonts w:ascii="Times New Roman" w:eastAsiaTheme="minorEastAsia" w:hAnsi="Times New Roman" w:cs="Times New Roman"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B9B357F"/>
    <w:multiLevelType w:val="hybridMultilevel"/>
    <w:tmpl w:val="94D4F830"/>
    <w:lvl w:ilvl="0" w:tplc="04090017">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2" w15:restartNumberingAfterBreak="0">
    <w:nsid w:val="7BB640B1"/>
    <w:multiLevelType w:val="multilevel"/>
    <w:tmpl w:val="A44A4CC0"/>
    <w:styleLink w:val="CurrentList7"/>
    <w:lvl w:ilvl="0">
      <w:start w:val="6"/>
      <w:numFmt w:val="decimal"/>
      <w:lvlText w:val="%1."/>
      <w:lvlJc w:val="left"/>
      <w:pPr>
        <w:ind w:left="0" w:firstLine="0"/>
      </w:pPr>
      <w:rPr>
        <w:rFonts w:hint="default"/>
      </w:rPr>
    </w:lvl>
    <w:lvl w:ilvl="1">
      <w:start w:val="1"/>
      <w:numFmt w:val="decimal"/>
      <w:suff w:val="space"/>
      <w:lvlText w:val="%1.%2."/>
      <w:lvlJc w:val="left"/>
      <w:pPr>
        <w:ind w:left="720" w:hanging="720"/>
      </w:pPr>
      <w:rPr>
        <w:rFonts w:hint="default"/>
        <w:sz w:val="36"/>
        <w:szCs w:val="36"/>
      </w:rPr>
    </w:lvl>
    <w:lvl w:ilvl="2">
      <w:start w:val="1"/>
      <w:numFmt w:val="decimal"/>
      <w:suff w:val="space"/>
      <w:lvlText w:val="%1.%2.%3."/>
      <w:lvlJc w:val="left"/>
      <w:pPr>
        <w:ind w:left="720" w:hanging="720"/>
      </w:pPr>
      <w:rPr>
        <w:rFonts w:hint="default"/>
        <w:sz w:val="28"/>
        <w:szCs w:val="28"/>
      </w:rPr>
    </w:lvl>
    <w:lvl w:ilvl="3">
      <w:start w:val="1"/>
      <w:numFmt w:val="decimal"/>
      <w:lvlText w:val="%1.%2.%3.%4."/>
      <w:lvlJc w:val="left"/>
      <w:pPr>
        <w:ind w:left="2350" w:hanging="648"/>
      </w:pPr>
      <w:rPr>
        <w:rFonts w:hint="default"/>
        <w:b/>
        <w:i w:val="0"/>
        <w:smallCaps w:val="0"/>
        <w:strike w:val="0"/>
        <w:u w:val="none"/>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7D77232E"/>
    <w:multiLevelType w:val="multilevel"/>
    <w:tmpl w:val="71F6628A"/>
    <w:styleLink w:val="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7E321682"/>
    <w:multiLevelType w:val="hybridMultilevel"/>
    <w:tmpl w:val="C938170C"/>
    <w:lvl w:ilvl="0" w:tplc="AE0EC886">
      <w:start w:val="2"/>
      <w:numFmt w:val="bullet"/>
      <w:lvlText w:val="-"/>
      <w:lvlJc w:val="left"/>
      <w:pPr>
        <w:ind w:left="360" w:hanging="360"/>
      </w:pPr>
      <w:rPr>
        <w:rFonts w:ascii="Times New Roman" w:eastAsia="Calibri Light" w:hAnsi="Times New Roman" w:cs="Times New Roman"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75" w15:restartNumberingAfterBreak="0">
    <w:nsid w:val="7ECC3408"/>
    <w:multiLevelType w:val="multilevel"/>
    <w:tmpl w:val="98AC9064"/>
    <w:lvl w:ilvl="0">
      <w:start w:val="2"/>
      <w:numFmt w:val="bullet"/>
      <w:lvlText w:val="-"/>
      <w:lvlJc w:val="left"/>
      <w:pPr>
        <w:ind w:left="360" w:hanging="360"/>
      </w:pPr>
      <w:rPr>
        <w:rFonts w:ascii="Times New Roman" w:eastAsia="Times New Roman" w:hAnsi="Times New Roman" w:cs="Times New Roma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abstractNumId w:val="28"/>
  </w:num>
  <w:num w:numId="2">
    <w:abstractNumId w:val="57"/>
  </w:num>
  <w:num w:numId="3">
    <w:abstractNumId w:val="54"/>
  </w:num>
  <w:num w:numId="4">
    <w:abstractNumId w:val="6"/>
  </w:num>
  <w:num w:numId="5">
    <w:abstractNumId w:val="36"/>
  </w:num>
  <w:num w:numId="6">
    <w:abstractNumId w:val="33"/>
  </w:num>
  <w:num w:numId="7">
    <w:abstractNumId w:val="29"/>
  </w:num>
  <w:num w:numId="8">
    <w:abstractNumId w:val="75"/>
  </w:num>
  <w:num w:numId="9">
    <w:abstractNumId w:val="55"/>
  </w:num>
  <w:num w:numId="10">
    <w:abstractNumId w:val="10"/>
  </w:num>
  <w:num w:numId="11">
    <w:abstractNumId w:val="46"/>
  </w:num>
  <w:num w:numId="12">
    <w:abstractNumId w:val="51"/>
  </w:num>
  <w:num w:numId="13">
    <w:abstractNumId w:val="49"/>
  </w:num>
  <w:num w:numId="14">
    <w:abstractNumId w:val="26"/>
  </w:num>
  <w:num w:numId="15">
    <w:abstractNumId w:val="35"/>
  </w:num>
  <w:num w:numId="16">
    <w:abstractNumId w:val="16"/>
  </w:num>
  <w:num w:numId="17">
    <w:abstractNumId w:val="69"/>
  </w:num>
  <w:num w:numId="18">
    <w:abstractNumId w:val="23"/>
  </w:num>
  <w:num w:numId="19">
    <w:abstractNumId w:val="50"/>
  </w:num>
  <w:num w:numId="20">
    <w:abstractNumId w:val="17"/>
  </w:num>
  <w:num w:numId="21">
    <w:abstractNumId w:val="13"/>
  </w:num>
  <w:num w:numId="22">
    <w:abstractNumId w:val="38"/>
  </w:num>
  <w:num w:numId="23">
    <w:abstractNumId w:val="24"/>
  </w:num>
  <w:num w:numId="24">
    <w:abstractNumId w:val="56"/>
  </w:num>
  <w:num w:numId="2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7"/>
  </w:num>
  <w:num w:numId="29">
    <w:abstractNumId w:val="64"/>
  </w:num>
  <w:num w:numId="30">
    <w:abstractNumId w:val="72"/>
  </w:num>
  <w:num w:numId="31">
    <w:abstractNumId w:val="37"/>
  </w:num>
  <w:num w:numId="32">
    <w:abstractNumId w:val="18"/>
  </w:num>
  <w:num w:numId="33">
    <w:abstractNumId w:val="0"/>
  </w:num>
  <w:num w:numId="34">
    <w:abstractNumId w:val="8"/>
  </w:num>
  <w:num w:numId="35">
    <w:abstractNumId w:val="31"/>
  </w:num>
  <w:num w:numId="36">
    <w:abstractNumId w:val="22"/>
  </w:num>
  <w:num w:numId="37">
    <w:abstractNumId w:val="3"/>
  </w:num>
  <w:num w:numId="38">
    <w:abstractNumId w:val="73"/>
  </w:num>
  <w:num w:numId="39">
    <w:abstractNumId w:val="58"/>
  </w:num>
  <w:num w:numId="40">
    <w:abstractNumId w:val="15"/>
  </w:num>
  <w:num w:numId="41">
    <w:abstractNumId w:val="32"/>
  </w:num>
  <w:num w:numId="42">
    <w:abstractNumId w:val="1"/>
  </w:num>
  <w:num w:numId="43">
    <w:abstractNumId w:val="11"/>
  </w:num>
  <w:num w:numId="44">
    <w:abstractNumId w:val="12"/>
  </w:num>
  <w:num w:numId="45">
    <w:abstractNumId w:val="62"/>
  </w:num>
  <w:num w:numId="46">
    <w:abstractNumId w:val="34"/>
  </w:num>
  <w:num w:numId="47">
    <w:abstractNumId w:val="47"/>
  </w:num>
  <w:num w:numId="48">
    <w:abstractNumId w:val="60"/>
  </w:num>
  <w:num w:numId="49">
    <w:abstractNumId w:val="44"/>
  </w:num>
  <w:num w:numId="50">
    <w:abstractNumId w:val="68"/>
  </w:num>
  <w:num w:numId="51">
    <w:abstractNumId w:val="65"/>
  </w:num>
  <w:num w:numId="52">
    <w:abstractNumId w:val="53"/>
  </w:num>
  <w:num w:numId="53">
    <w:abstractNumId w:val="25"/>
  </w:num>
  <w:num w:numId="54">
    <w:abstractNumId w:val="71"/>
  </w:num>
  <w:num w:numId="55">
    <w:abstractNumId w:val="7"/>
  </w:num>
  <w:num w:numId="56">
    <w:abstractNumId w:val="5"/>
  </w:num>
  <w:num w:numId="57">
    <w:abstractNumId w:val="41"/>
  </w:num>
  <w:num w:numId="58">
    <w:abstractNumId w:val="9"/>
  </w:num>
  <w:num w:numId="59">
    <w:abstractNumId w:val="48"/>
  </w:num>
  <w:num w:numId="60">
    <w:abstractNumId w:val="74"/>
  </w:num>
  <w:num w:numId="61">
    <w:abstractNumId w:val="30"/>
  </w:num>
  <w:num w:numId="62">
    <w:abstractNumId w:val="40"/>
  </w:num>
  <w:num w:numId="63">
    <w:abstractNumId w:val="21"/>
  </w:num>
  <w:num w:numId="64">
    <w:abstractNumId w:val="14"/>
  </w:num>
  <w:num w:numId="65">
    <w:abstractNumId w:val="43"/>
  </w:num>
  <w:num w:numId="66">
    <w:abstractNumId w:val="39"/>
  </w:num>
  <w:num w:numId="67">
    <w:abstractNumId w:val="52"/>
  </w:num>
  <w:num w:numId="68">
    <w:abstractNumId w:val="19"/>
  </w:num>
  <w:num w:numId="69">
    <w:abstractNumId w:val="61"/>
  </w:num>
  <w:num w:numId="70">
    <w:abstractNumId w:val="59"/>
  </w:num>
  <w:num w:numId="71">
    <w:abstractNumId w:val="42"/>
  </w:num>
  <w:num w:numId="72">
    <w:abstractNumId w:val="20"/>
  </w:num>
  <w:num w:numId="73">
    <w:abstractNumId w:val="66"/>
  </w:num>
  <w:num w:numId="74">
    <w:abstractNumId w:val="70"/>
  </w:num>
  <w:num w:numId="75">
    <w:abstractNumId w:val="2"/>
  </w:num>
  <w:num w:numId="76">
    <w:abstractNumId w:val="45"/>
  </w:num>
  <w:num w:numId="77">
    <w:abstractNumId w:val="4"/>
  </w:num>
  <w:num w:numId="78">
    <w:abstractNumId w:val="27"/>
  </w:num>
  <w:num w:numId="79">
    <w:abstractNumId w:val="63"/>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720"/>
  <w:evenAndOddHeaders/>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7C04"/>
    <w:rsid w:val="0000042E"/>
    <w:rsid w:val="00001158"/>
    <w:rsid w:val="00001CC7"/>
    <w:rsid w:val="00001D94"/>
    <w:rsid w:val="0000269B"/>
    <w:rsid w:val="00002791"/>
    <w:rsid w:val="00003248"/>
    <w:rsid w:val="00003578"/>
    <w:rsid w:val="00003629"/>
    <w:rsid w:val="000037FD"/>
    <w:rsid w:val="00003BBD"/>
    <w:rsid w:val="0000400C"/>
    <w:rsid w:val="00004D7F"/>
    <w:rsid w:val="000050A1"/>
    <w:rsid w:val="00006B65"/>
    <w:rsid w:val="00006CFD"/>
    <w:rsid w:val="00006E95"/>
    <w:rsid w:val="000071D4"/>
    <w:rsid w:val="00007343"/>
    <w:rsid w:val="00007AE8"/>
    <w:rsid w:val="00007AEC"/>
    <w:rsid w:val="00010787"/>
    <w:rsid w:val="0001096F"/>
    <w:rsid w:val="00010A3E"/>
    <w:rsid w:val="00010A9C"/>
    <w:rsid w:val="00010D7F"/>
    <w:rsid w:val="000110C2"/>
    <w:rsid w:val="000112F6"/>
    <w:rsid w:val="000113A2"/>
    <w:rsid w:val="00013883"/>
    <w:rsid w:val="0001389B"/>
    <w:rsid w:val="00013B5E"/>
    <w:rsid w:val="00013CCA"/>
    <w:rsid w:val="000158AA"/>
    <w:rsid w:val="00015C9E"/>
    <w:rsid w:val="00015D0A"/>
    <w:rsid w:val="00015FE0"/>
    <w:rsid w:val="000162A1"/>
    <w:rsid w:val="000165D1"/>
    <w:rsid w:val="00016BF3"/>
    <w:rsid w:val="00016C76"/>
    <w:rsid w:val="00016D2C"/>
    <w:rsid w:val="000170F9"/>
    <w:rsid w:val="00017441"/>
    <w:rsid w:val="00017C04"/>
    <w:rsid w:val="00020128"/>
    <w:rsid w:val="00020694"/>
    <w:rsid w:val="000208A8"/>
    <w:rsid w:val="00020901"/>
    <w:rsid w:val="0002123B"/>
    <w:rsid w:val="00021310"/>
    <w:rsid w:val="000217B2"/>
    <w:rsid w:val="00021BE2"/>
    <w:rsid w:val="00021FA9"/>
    <w:rsid w:val="000222C7"/>
    <w:rsid w:val="00022579"/>
    <w:rsid w:val="00022753"/>
    <w:rsid w:val="0002295E"/>
    <w:rsid w:val="00022A61"/>
    <w:rsid w:val="00022CB9"/>
    <w:rsid w:val="00022EB9"/>
    <w:rsid w:val="0002357C"/>
    <w:rsid w:val="000235C2"/>
    <w:rsid w:val="000239D1"/>
    <w:rsid w:val="0002412C"/>
    <w:rsid w:val="000242C5"/>
    <w:rsid w:val="00024754"/>
    <w:rsid w:val="00024FD7"/>
    <w:rsid w:val="000254B8"/>
    <w:rsid w:val="00025779"/>
    <w:rsid w:val="00025E27"/>
    <w:rsid w:val="00026435"/>
    <w:rsid w:val="0002660E"/>
    <w:rsid w:val="00026860"/>
    <w:rsid w:val="00026BF9"/>
    <w:rsid w:val="000276A7"/>
    <w:rsid w:val="00030090"/>
    <w:rsid w:val="0003029B"/>
    <w:rsid w:val="00030391"/>
    <w:rsid w:val="0003062A"/>
    <w:rsid w:val="000309B9"/>
    <w:rsid w:val="00030A53"/>
    <w:rsid w:val="00030B6C"/>
    <w:rsid w:val="00030D40"/>
    <w:rsid w:val="00030F92"/>
    <w:rsid w:val="00031013"/>
    <w:rsid w:val="00031526"/>
    <w:rsid w:val="0003226E"/>
    <w:rsid w:val="00032480"/>
    <w:rsid w:val="000326D2"/>
    <w:rsid w:val="00032A48"/>
    <w:rsid w:val="00032A5E"/>
    <w:rsid w:val="00032BD8"/>
    <w:rsid w:val="000330F2"/>
    <w:rsid w:val="0003324C"/>
    <w:rsid w:val="0003338C"/>
    <w:rsid w:val="000334B6"/>
    <w:rsid w:val="0003375D"/>
    <w:rsid w:val="000339B4"/>
    <w:rsid w:val="00033D1B"/>
    <w:rsid w:val="00033DDA"/>
    <w:rsid w:val="00033FCC"/>
    <w:rsid w:val="00034040"/>
    <w:rsid w:val="00034307"/>
    <w:rsid w:val="000348C8"/>
    <w:rsid w:val="00034AF6"/>
    <w:rsid w:val="00034D20"/>
    <w:rsid w:val="00034DE0"/>
    <w:rsid w:val="00035223"/>
    <w:rsid w:val="000356C9"/>
    <w:rsid w:val="0003572E"/>
    <w:rsid w:val="00035A33"/>
    <w:rsid w:val="000361B2"/>
    <w:rsid w:val="000361FD"/>
    <w:rsid w:val="00036664"/>
    <w:rsid w:val="00036AEF"/>
    <w:rsid w:val="00036B88"/>
    <w:rsid w:val="00036D49"/>
    <w:rsid w:val="00036F2F"/>
    <w:rsid w:val="000372D8"/>
    <w:rsid w:val="00037516"/>
    <w:rsid w:val="000400A2"/>
    <w:rsid w:val="00040684"/>
    <w:rsid w:val="0004068E"/>
    <w:rsid w:val="00041082"/>
    <w:rsid w:val="000412A8"/>
    <w:rsid w:val="00041407"/>
    <w:rsid w:val="00041AD8"/>
    <w:rsid w:val="00041D22"/>
    <w:rsid w:val="00042138"/>
    <w:rsid w:val="00042566"/>
    <w:rsid w:val="000428E5"/>
    <w:rsid w:val="00043149"/>
    <w:rsid w:val="000431B0"/>
    <w:rsid w:val="000433D1"/>
    <w:rsid w:val="000434EA"/>
    <w:rsid w:val="00043646"/>
    <w:rsid w:val="00043A40"/>
    <w:rsid w:val="00044085"/>
    <w:rsid w:val="000443D2"/>
    <w:rsid w:val="000444A2"/>
    <w:rsid w:val="00044940"/>
    <w:rsid w:val="00044C4C"/>
    <w:rsid w:val="00044ED1"/>
    <w:rsid w:val="00045020"/>
    <w:rsid w:val="00045076"/>
    <w:rsid w:val="00045184"/>
    <w:rsid w:val="00045215"/>
    <w:rsid w:val="00045B14"/>
    <w:rsid w:val="00046087"/>
    <w:rsid w:val="000460C4"/>
    <w:rsid w:val="00046389"/>
    <w:rsid w:val="00046B0E"/>
    <w:rsid w:val="00046C7F"/>
    <w:rsid w:val="00046EBC"/>
    <w:rsid w:val="000476FA"/>
    <w:rsid w:val="0005009C"/>
    <w:rsid w:val="0005028C"/>
    <w:rsid w:val="00050B5E"/>
    <w:rsid w:val="0005108C"/>
    <w:rsid w:val="00051258"/>
    <w:rsid w:val="00051334"/>
    <w:rsid w:val="000517E2"/>
    <w:rsid w:val="000517F0"/>
    <w:rsid w:val="00051D5C"/>
    <w:rsid w:val="00052841"/>
    <w:rsid w:val="0005293C"/>
    <w:rsid w:val="00052CE9"/>
    <w:rsid w:val="00052E27"/>
    <w:rsid w:val="00052E50"/>
    <w:rsid w:val="00053376"/>
    <w:rsid w:val="00053C12"/>
    <w:rsid w:val="0005405C"/>
    <w:rsid w:val="000542B9"/>
    <w:rsid w:val="000543B4"/>
    <w:rsid w:val="000544F9"/>
    <w:rsid w:val="000548FF"/>
    <w:rsid w:val="00054A66"/>
    <w:rsid w:val="00054BA3"/>
    <w:rsid w:val="00054C31"/>
    <w:rsid w:val="00054C89"/>
    <w:rsid w:val="00054C98"/>
    <w:rsid w:val="00054F0D"/>
    <w:rsid w:val="00055238"/>
    <w:rsid w:val="000557DE"/>
    <w:rsid w:val="00055B0E"/>
    <w:rsid w:val="00055DE2"/>
    <w:rsid w:val="0005617F"/>
    <w:rsid w:val="000562C3"/>
    <w:rsid w:val="0005637E"/>
    <w:rsid w:val="00056DB1"/>
    <w:rsid w:val="00056E97"/>
    <w:rsid w:val="00056F05"/>
    <w:rsid w:val="000570B1"/>
    <w:rsid w:val="00057265"/>
    <w:rsid w:val="000572DB"/>
    <w:rsid w:val="00057805"/>
    <w:rsid w:val="00057919"/>
    <w:rsid w:val="00057EE6"/>
    <w:rsid w:val="00057F40"/>
    <w:rsid w:val="00060014"/>
    <w:rsid w:val="00060464"/>
    <w:rsid w:val="0006059A"/>
    <w:rsid w:val="0006099E"/>
    <w:rsid w:val="00060BE3"/>
    <w:rsid w:val="00060C58"/>
    <w:rsid w:val="00060D5A"/>
    <w:rsid w:val="000617EF"/>
    <w:rsid w:val="00062557"/>
    <w:rsid w:val="000625C0"/>
    <w:rsid w:val="00062B26"/>
    <w:rsid w:val="00063969"/>
    <w:rsid w:val="00063B43"/>
    <w:rsid w:val="00063FF5"/>
    <w:rsid w:val="00064259"/>
    <w:rsid w:val="000645A9"/>
    <w:rsid w:val="00064820"/>
    <w:rsid w:val="000648BB"/>
    <w:rsid w:val="00064A51"/>
    <w:rsid w:val="00064A84"/>
    <w:rsid w:val="000652E4"/>
    <w:rsid w:val="00065870"/>
    <w:rsid w:val="0006613E"/>
    <w:rsid w:val="0006701E"/>
    <w:rsid w:val="000673F8"/>
    <w:rsid w:val="00067D7F"/>
    <w:rsid w:val="00067DCA"/>
    <w:rsid w:val="00067EA8"/>
    <w:rsid w:val="000702AB"/>
    <w:rsid w:val="00071151"/>
    <w:rsid w:val="0007157D"/>
    <w:rsid w:val="000715FB"/>
    <w:rsid w:val="00071746"/>
    <w:rsid w:val="0007269E"/>
    <w:rsid w:val="000727DD"/>
    <w:rsid w:val="0007291D"/>
    <w:rsid w:val="00072B78"/>
    <w:rsid w:val="000730C5"/>
    <w:rsid w:val="0007332C"/>
    <w:rsid w:val="00073984"/>
    <w:rsid w:val="00073D98"/>
    <w:rsid w:val="000745B2"/>
    <w:rsid w:val="000745E5"/>
    <w:rsid w:val="000747A1"/>
    <w:rsid w:val="00074A08"/>
    <w:rsid w:val="0007537D"/>
    <w:rsid w:val="0007548A"/>
    <w:rsid w:val="00075CA5"/>
    <w:rsid w:val="00075F77"/>
    <w:rsid w:val="0007620E"/>
    <w:rsid w:val="0007698C"/>
    <w:rsid w:val="00076F53"/>
    <w:rsid w:val="00076F74"/>
    <w:rsid w:val="0007706B"/>
    <w:rsid w:val="0007709F"/>
    <w:rsid w:val="000772F9"/>
    <w:rsid w:val="00077565"/>
    <w:rsid w:val="0007A5C7"/>
    <w:rsid w:val="000800DC"/>
    <w:rsid w:val="000807BE"/>
    <w:rsid w:val="00081192"/>
    <w:rsid w:val="00081197"/>
    <w:rsid w:val="00081261"/>
    <w:rsid w:val="00081358"/>
    <w:rsid w:val="00081927"/>
    <w:rsid w:val="00082050"/>
    <w:rsid w:val="00082063"/>
    <w:rsid w:val="00082200"/>
    <w:rsid w:val="00082909"/>
    <w:rsid w:val="00082A36"/>
    <w:rsid w:val="00082A4C"/>
    <w:rsid w:val="00082D36"/>
    <w:rsid w:val="00083363"/>
    <w:rsid w:val="000837E8"/>
    <w:rsid w:val="000839D6"/>
    <w:rsid w:val="00083DDB"/>
    <w:rsid w:val="000840F9"/>
    <w:rsid w:val="000842D6"/>
    <w:rsid w:val="00084B6D"/>
    <w:rsid w:val="00084FD9"/>
    <w:rsid w:val="00085FD8"/>
    <w:rsid w:val="00086695"/>
    <w:rsid w:val="00086A34"/>
    <w:rsid w:val="00086AC3"/>
    <w:rsid w:val="00086D3C"/>
    <w:rsid w:val="00086EBE"/>
    <w:rsid w:val="00087192"/>
    <w:rsid w:val="000874BB"/>
    <w:rsid w:val="000875BA"/>
    <w:rsid w:val="000879ED"/>
    <w:rsid w:val="00087AE7"/>
    <w:rsid w:val="00087B77"/>
    <w:rsid w:val="00087BF9"/>
    <w:rsid w:val="000900E4"/>
    <w:rsid w:val="000904F8"/>
    <w:rsid w:val="00090544"/>
    <w:rsid w:val="000906FC"/>
    <w:rsid w:val="00090A27"/>
    <w:rsid w:val="00090BA4"/>
    <w:rsid w:val="00091155"/>
    <w:rsid w:val="0009142C"/>
    <w:rsid w:val="00091588"/>
    <w:rsid w:val="00091655"/>
    <w:rsid w:val="0009185B"/>
    <w:rsid w:val="000919F0"/>
    <w:rsid w:val="0009229E"/>
    <w:rsid w:val="0009267D"/>
    <w:rsid w:val="000927BF"/>
    <w:rsid w:val="000928DE"/>
    <w:rsid w:val="00093290"/>
    <w:rsid w:val="00093574"/>
    <w:rsid w:val="0009359A"/>
    <w:rsid w:val="0009360F"/>
    <w:rsid w:val="000936A5"/>
    <w:rsid w:val="00093AF0"/>
    <w:rsid w:val="00093E9E"/>
    <w:rsid w:val="00094681"/>
    <w:rsid w:val="000948D0"/>
    <w:rsid w:val="00094B92"/>
    <w:rsid w:val="00094C4D"/>
    <w:rsid w:val="00094CF4"/>
    <w:rsid w:val="00095230"/>
    <w:rsid w:val="00095467"/>
    <w:rsid w:val="00095778"/>
    <w:rsid w:val="00095DA5"/>
    <w:rsid w:val="00095F2C"/>
    <w:rsid w:val="00095F3B"/>
    <w:rsid w:val="00096026"/>
    <w:rsid w:val="00096449"/>
    <w:rsid w:val="000966E5"/>
    <w:rsid w:val="00096BEF"/>
    <w:rsid w:val="00096CFB"/>
    <w:rsid w:val="00096EAC"/>
    <w:rsid w:val="00097B87"/>
    <w:rsid w:val="00097FF1"/>
    <w:rsid w:val="000A0049"/>
    <w:rsid w:val="000A03CA"/>
    <w:rsid w:val="000A0570"/>
    <w:rsid w:val="000A09FD"/>
    <w:rsid w:val="000A0C41"/>
    <w:rsid w:val="000A0E0D"/>
    <w:rsid w:val="000A14AC"/>
    <w:rsid w:val="000A1BC8"/>
    <w:rsid w:val="000A1E49"/>
    <w:rsid w:val="000A245C"/>
    <w:rsid w:val="000A271C"/>
    <w:rsid w:val="000A3062"/>
    <w:rsid w:val="000A350C"/>
    <w:rsid w:val="000A3587"/>
    <w:rsid w:val="000A3E29"/>
    <w:rsid w:val="000A435A"/>
    <w:rsid w:val="000A436E"/>
    <w:rsid w:val="000A53FF"/>
    <w:rsid w:val="000A5634"/>
    <w:rsid w:val="000A5753"/>
    <w:rsid w:val="000A581C"/>
    <w:rsid w:val="000A583B"/>
    <w:rsid w:val="000A6192"/>
    <w:rsid w:val="000A61A1"/>
    <w:rsid w:val="000A62FF"/>
    <w:rsid w:val="000A66D8"/>
    <w:rsid w:val="000A6A96"/>
    <w:rsid w:val="000A7508"/>
    <w:rsid w:val="000A7580"/>
    <w:rsid w:val="000A7664"/>
    <w:rsid w:val="000A770F"/>
    <w:rsid w:val="000A7878"/>
    <w:rsid w:val="000A7B84"/>
    <w:rsid w:val="000A7DA4"/>
    <w:rsid w:val="000A7DC2"/>
    <w:rsid w:val="000B01DE"/>
    <w:rsid w:val="000B069C"/>
    <w:rsid w:val="000B0E1C"/>
    <w:rsid w:val="000B1180"/>
    <w:rsid w:val="000B14E6"/>
    <w:rsid w:val="000B210B"/>
    <w:rsid w:val="000B230C"/>
    <w:rsid w:val="000B282C"/>
    <w:rsid w:val="000B2981"/>
    <w:rsid w:val="000B2A63"/>
    <w:rsid w:val="000B301D"/>
    <w:rsid w:val="000B31DC"/>
    <w:rsid w:val="000B32A8"/>
    <w:rsid w:val="000B3706"/>
    <w:rsid w:val="000B4321"/>
    <w:rsid w:val="000B4353"/>
    <w:rsid w:val="000B44DE"/>
    <w:rsid w:val="000B4E82"/>
    <w:rsid w:val="000B52D9"/>
    <w:rsid w:val="000B5738"/>
    <w:rsid w:val="000B5CED"/>
    <w:rsid w:val="000B67FA"/>
    <w:rsid w:val="000B6819"/>
    <w:rsid w:val="000B6C41"/>
    <w:rsid w:val="000B6C5E"/>
    <w:rsid w:val="000B6FB8"/>
    <w:rsid w:val="000B714A"/>
    <w:rsid w:val="000B7C61"/>
    <w:rsid w:val="000C0A3E"/>
    <w:rsid w:val="000C0A99"/>
    <w:rsid w:val="000C0CEC"/>
    <w:rsid w:val="000C1FF1"/>
    <w:rsid w:val="000C230F"/>
    <w:rsid w:val="000C2540"/>
    <w:rsid w:val="000C25F5"/>
    <w:rsid w:val="000C338E"/>
    <w:rsid w:val="000C33F0"/>
    <w:rsid w:val="000C35BE"/>
    <w:rsid w:val="000C3686"/>
    <w:rsid w:val="000C3D42"/>
    <w:rsid w:val="000C3DFF"/>
    <w:rsid w:val="000C3F2F"/>
    <w:rsid w:val="000C4405"/>
    <w:rsid w:val="000C4473"/>
    <w:rsid w:val="000C45EE"/>
    <w:rsid w:val="000C4713"/>
    <w:rsid w:val="000C4744"/>
    <w:rsid w:val="000C4856"/>
    <w:rsid w:val="000C4A89"/>
    <w:rsid w:val="000C4C57"/>
    <w:rsid w:val="000C521B"/>
    <w:rsid w:val="000C5940"/>
    <w:rsid w:val="000C5A38"/>
    <w:rsid w:val="000C5BA2"/>
    <w:rsid w:val="000C6072"/>
    <w:rsid w:val="000C6C42"/>
    <w:rsid w:val="000C6C74"/>
    <w:rsid w:val="000C6E92"/>
    <w:rsid w:val="000C7788"/>
    <w:rsid w:val="000C7C07"/>
    <w:rsid w:val="000C7D45"/>
    <w:rsid w:val="000D028D"/>
    <w:rsid w:val="000D075D"/>
    <w:rsid w:val="000D08BC"/>
    <w:rsid w:val="000D093F"/>
    <w:rsid w:val="000D0E7F"/>
    <w:rsid w:val="000D125C"/>
    <w:rsid w:val="000D1348"/>
    <w:rsid w:val="000D1D33"/>
    <w:rsid w:val="000D1E37"/>
    <w:rsid w:val="000D1F3E"/>
    <w:rsid w:val="000D2585"/>
    <w:rsid w:val="000D2587"/>
    <w:rsid w:val="000D2EB7"/>
    <w:rsid w:val="000D302D"/>
    <w:rsid w:val="000D30D2"/>
    <w:rsid w:val="000D3286"/>
    <w:rsid w:val="000D36A5"/>
    <w:rsid w:val="000D37BA"/>
    <w:rsid w:val="000D3D36"/>
    <w:rsid w:val="000D3D4A"/>
    <w:rsid w:val="000D45EC"/>
    <w:rsid w:val="000D468D"/>
    <w:rsid w:val="000D4769"/>
    <w:rsid w:val="000D4D3D"/>
    <w:rsid w:val="000D4DF9"/>
    <w:rsid w:val="000D53D6"/>
    <w:rsid w:val="000D5CE6"/>
    <w:rsid w:val="000D5DA6"/>
    <w:rsid w:val="000D5F83"/>
    <w:rsid w:val="000D6054"/>
    <w:rsid w:val="000D6384"/>
    <w:rsid w:val="000D65D5"/>
    <w:rsid w:val="000D6D11"/>
    <w:rsid w:val="000D7197"/>
    <w:rsid w:val="000D7311"/>
    <w:rsid w:val="000D7C6A"/>
    <w:rsid w:val="000D7F6E"/>
    <w:rsid w:val="000E0142"/>
    <w:rsid w:val="000E0610"/>
    <w:rsid w:val="000E0945"/>
    <w:rsid w:val="000E0C89"/>
    <w:rsid w:val="000E0D60"/>
    <w:rsid w:val="000E12F0"/>
    <w:rsid w:val="000E153C"/>
    <w:rsid w:val="000E1587"/>
    <w:rsid w:val="000E18F4"/>
    <w:rsid w:val="000E1A64"/>
    <w:rsid w:val="000E1D15"/>
    <w:rsid w:val="000E1DDF"/>
    <w:rsid w:val="000E22F1"/>
    <w:rsid w:val="000E280C"/>
    <w:rsid w:val="000E28B4"/>
    <w:rsid w:val="000E2921"/>
    <w:rsid w:val="000E2B28"/>
    <w:rsid w:val="000E2DD0"/>
    <w:rsid w:val="000E2F50"/>
    <w:rsid w:val="000E300F"/>
    <w:rsid w:val="000E32E7"/>
    <w:rsid w:val="000E333B"/>
    <w:rsid w:val="000E3477"/>
    <w:rsid w:val="000E40EE"/>
    <w:rsid w:val="000E4167"/>
    <w:rsid w:val="000E4615"/>
    <w:rsid w:val="000E48A7"/>
    <w:rsid w:val="000E4BE0"/>
    <w:rsid w:val="000E51C6"/>
    <w:rsid w:val="000E5437"/>
    <w:rsid w:val="000E58FC"/>
    <w:rsid w:val="000E59CD"/>
    <w:rsid w:val="000E5DDD"/>
    <w:rsid w:val="000E6283"/>
    <w:rsid w:val="000E64E4"/>
    <w:rsid w:val="000E6AB9"/>
    <w:rsid w:val="000E70DC"/>
    <w:rsid w:val="000E77EA"/>
    <w:rsid w:val="000E78A7"/>
    <w:rsid w:val="000E7A6B"/>
    <w:rsid w:val="000E7FEA"/>
    <w:rsid w:val="000F0267"/>
    <w:rsid w:val="000F03B9"/>
    <w:rsid w:val="000F08EF"/>
    <w:rsid w:val="000F0E53"/>
    <w:rsid w:val="000F0ED5"/>
    <w:rsid w:val="000F1642"/>
    <w:rsid w:val="000F207C"/>
    <w:rsid w:val="000F2E5E"/>
    <w:rsid w:val="000F3252"/>
    <w:rsid w:val="000F33F8"/>
    <w:rsid w:val="000F4103"/>
    <w:rsid w:val="000F427B"/>
    <w:rsid w:val="000F45D0"/>
    <w:rsid w:val="000F4749"/>
    <w:rsid w:val="000F47FD"/>
    <w:rsid w:val="000F4A7F"/>
    <w:rsid w:val="000F4DEE"/>
    <w:rsid w:val="000F50EA"/>
    <w:rsid w:val="000F54C2"/>
    <w:rsid w:val="000F54F2"/>
    <w:rsid w:val="000F55F7"/>
    <w:rsid w:val="000F60F2"/>
    <w:rsid w:val="000F6117"/>
    <w:rsid w:val="000F63E8"/>
    <w:rsid w:val="000F653F"/>
    <w:rsid w:val="000F6E2F"/>
    <w:rsid w:val="000F711F"/>
    <w:rsid w:val="000F7140"/>
    <w:rsid w:val="000F773F"/>
    <w:rsid w:val="000F780D"/>
    <w:rsid w:val="000F788D"/>
    <w:rsid w:val="00101374"/>
    <w:rsid w:val="0010142F"/>
    <w:rsid w:val="0010157E"/>
    <w:rsid w:val="001016FC"/>
    <w:rsid w:val="00101A95"/>
    <w:rsid w:val="00101B21"/>
    <w:rsid w:val="00101BD8"/>
    <w:rsid w:val="00101E28"/>
    <w:rsid w:val="001020F8"/>
    <w:rsid w:val="00103097"/>
    <w:rsid w:val="00103B15"/>
    <w:rsid w:val="00103B45"/>
    <w:rsid w:val="00105057"/>
    <w:rsid w:val="001058CB"/>
    <w:rsid w:val="00105F33"/>
    <w:rsid w:val="00105FE1"/>
    <w:rsid w:val="001062BD"/>
    <w:rsid w:val="00106453"/>
    <w:rsid w:val="00106C4A"/>
    <w:rsid w:val="00106D94"/>
    <w:rsid w:val="0010738C"/>
    <w:rsid w:val="00107727"/>
    <w:rsid w:val="0011014C"/>
    <w:rsid w:val="00110443"/>
    <w:rsid w:val="00110644"/>
    <w:rsid w:val="00110961"/>
    <w:rsid w:val="00110BF7"/>
    <w:rsid w:val="00110C99"/>
    <w:rsid w:val="00110DF2"/>
    <w:rsid w:val="00110ED4"/>
    <w:rsid w:val="0011104B"/>
    <w:rsid w:val="00111154"/>
    <w:rsid w:val="00111348"/>
    <w:rsid w:val="00111730"/>
    <w:rsid w:val="001119DC"/>
    <w:rsid w:val="00111B39"/>
    <w:rsid w:val="00111BC9"/>
    <w:rsid w:val="001124BB"/>
    <w:rsid w:val="0011272C"/>
    <w:rsid w:val="001132BC"/>
    <w:rsid w:val="0011368C"/>
    <w:rsid w:val="00113999"/>
    <w:rsid w:val="00113A29"/>
    <w:rsid w:val="00113DF3"/>
    <w:rsid w:val="001141AE"/>
    <w:rsid w:val="001143F5"/>
    <w:rsid w:val="00114690"/>
    <w:rsid w:val="00114E1B"/>
    <w:rsid w:val="00115079"/>
    <w:rsid w:val="0011518B"/>
    <w:rsid w:val="001153D7"/>
    <w:rsid w:val="0011551C"/>
    <w:rsid w:val="001156AE"/>
    <w:rsid w:val="00115BBE"/>
    <w:rsid w:val="00115F9B"/>
    <w:rsid w:val="00116390"/>
    <w:rsid w:val="0011715B"/>
    <w:rsid w:val="00117EA8"/>
    <w:rsid w:val="00120157"/>
    <w:rsid w:val="001201AE"/>
    <w:rsid w:val="00120499"/>
    <w:rsid w:val="001205C4"/>
    <w:rsid w:val="00120878"/>
    <w:rsid w:val="00120E9D"/>
    <w:rsid w:val="00120ED1"/>
    <w:rsid w:val="001217A5"/>
    <w:rsid w:val="00121A89"/>
    <w:rsid w:val="0012206B"/>
    <w:rsid w:val="0012259D"/>
    <w:rsid w:val="001227B7"/>
    <w:rsid w:val="00122E20"/>
    <w:rsid w:val="001231C4"/>
    <w:rsid w:val="001233C1"/>
    <w:rsid w:val="00123584"/>
    <w:rsid w:val="00123870"/>
    <w:rsid w:val="00123BD7"/>
    <w:rsid w:val="00123C79"/>
    <w:rsid w:val="00123D0E"/>
    <w:rsid w:val="00123F75"/>
    <w:rsid w:val="001241E4"/>
    <w:rsid w:val="001248BD"/>
    <w:rsid w:val="001252AC"/>
    <w:rsid w:val="001253C5"/>
    <w:rsid w:val="001255BF"/>
    <w:rsid w:val="001258A5"/>
    <w:rsid w:val="00125B36"/>
    <w:rsid w:val="00125C03"/>
    <w:rsid w:val="00126065"/>
    <w:rsid w:val="0012640F"/>
    <w:rsid w:val="00126638"/>
    <w:rsid w:val="00127139"/>
    <w:rsid w:val="0012768F"/>
    <w:rsid w:val="00127C5A"/>
    <w:rsid w:val="001301B3"/>
    <w:rsid w:val="001301EB"/>
    <w:rsid w:val="001303E9"/>
    <w:rsid w:val="0013096A"/>
    <w:rsid w:val="00130B1F"/>
    <w:rsid w:val="00130C63"/>
    <w:rsid w:val="00130D60"/>
    <w:rsid w:val="00130E49"/>
    <w:rsid w:val="00131332"/>
    <w:rsid w:val="001314C7"/>
    <w:rsid w:val="0013173A"/>
    <w:rsid w:val="0013186C"/>
    <w:rsid w:val="00131B1B"/>
    <w:rsid w:val="00131B6D"/>
    <w:rsid w:val="00131B85"/>
    <w:rsid w:val="00131C8C"/>
    <w:rsid w:val="0013234D"/>
    <w:rsid w:val="001327D5"/>
    <w:rsid w:val="001328C7"/>
    <w:rsid w:val="00132FE5"/>
    <w:rsid w:val="00133EC2"/>
    <w:rsid w:val="00134ACA"/>
    <w:rsid w:val="00134B6C"/>
    <w:rsid w:val="0013509A"/>
    <w:rsid w:val="001350D0"/>
    <w:rsid w:val="0013588F"/>
    <w:rsid w:val="00135B6D"/>
    <w:rsid w:val="00135D3B"/>
    <w:rsid w:val="0013696A"/>
    <w:rsid w:val="00136996"/>
    <w:rsid w:val="0013752D"/>
    <w:rsid w:val="00137FE8"/>
    <w:rsid w:val="0013A3C8"/>
    <w:rsid w:val="0014002B"/>
    <w:rsid w:val="001403FB"/>
    <w:rsid w:val="00141129"/>
    <w:rsid w:val="0014131C"/>
    <w:rsid w:val="001416BD"/>
    <w:rsid w:val="00141734"/>
    <w:rsid w:val="00141CBE"/>
    <w:rsid w:val="00141D0B"/>
    <w:rsid w:val="00141DBA"/>
    <w:rsid w:val="001426E0"/>
    <w:rsid w:val="00142CB2"/>
    <w:rsid w:val="00142D0B"/>
    <w:rsid w:val="00142F29"/>
    <w:rsid w:val="00143054"/>
    <w:rsid w:val="001430DC"/>
    <w:rsid w:val="001437FD"/>
    <w:rsid w:val="00144031"/>
    <w:rsid w:val="00144494"/>
    <w:rsid w:val="00144526"/>
    <w:rsid w:val="00144950"/>
    <w:rsid w:val="00144B71"/>
    <w:rsid w:val="00144CF9"/>
    <w:rsid w:val="00144E6A"/>
    <w:rsid w:val="00144F6F"/>
    <w:rsid w:val="00145042"/>
    <w:rsid w:val="0014555C"/>
    <w:rsid w:val="00145580"/>
    <w:rsid w:val="00145E4F"/>
    <w:rsid w:val="00146481"/>
    <w:rsid w:val="00146B02"/>
    <w:rsid w:val="00146B23"/>
    <w:rsid w:val="00146F22"/>
    <w:rsid w:val="00147053"/>
    <w:rsid w:val="00147780"/>
    <w:rsid w:val="001479B8"/>
    <w:rsid w:val="001501FA"/>
    <w:rsid w:val="00150352"/>
    <w:rsid w:val="0015098F"/>
    <w:rsid w:val="00150A13"/>
    <w:rsid w:val="00150B5D"/>
    <w:rsid w:val="00150B68"/>
    <w:rsid w:val="00150D37"/>
    <w:rsid w:val="0015132B"/>
    <w:rsid w:val="001517E9"/>
    <w:rsid w:val="001518B6"/>
    <w:rsid w:val="0015198F"/>
    <w:rsid w:val="00151C51"/>
    <w:rsid w:val="0015236A"/>
    <w:rsid w:val="001523EB"/>
    <w:rsid w:val="00152428"/>
    <w:rsid w:val="00152687"/>
    <w:rsid w:val="00152825"/>
    <w:rsid w:val="001529E5"/>
    <w:rsid w:val="001529F7"/>
    <w:rsid w:val="00152B51"/>
    <w:rsid w:val="00152BD5"/>
    <w:rsid w:val="00152CB1"/>
    <w:rsid w:val="00152EB3"/>
    <w:rsid w:val="00153128"/>
    <w:rsid w:val="001533A9"/>
    <w:rsid w:val="001533B5"/>
    <w:rsid w:val="0015366D"/>
    <w:rsid w:val="00153E6C"/>
    <w:rsid w:val="00153FD0"/>
    <w:rsid w:val="001548E5"/>
    <w:rsid w:val="00154E59"/>
    <w:rsid w:val="00155189"/>
    <w:rsid w:val="00155FAB"/>
    <w:rsid w:val="00156AA5"/>
    <w:rsid w:val="00156D9F"/>
    <w:rsid w:val="00156F1A"/>
    <w:rsid w:val="00157682"/>
    <w:rsid w:val="00157B3E"/>
    <w:rsid w:val="00160826"/>
    <w:rsid w:val="00160953"/>
    <w:rsid w:val="00160B41"/>
    <w:rsid w:val="00160D4E"/>
    <w:rsid w:val="00160DDB"/>
    <w:rsid w:val="001612A7"/>
    <w:rsid w:val="00161836"/>
    <w:rsid w:val="00161B5D"/>
    <w:rsid w:val="00161D90"/>
    <w:rsid w:val="0016254C"/>
    <w:rsid w:val="00162BC2"/>
    <w:rsid w:val="00162D78"/>
    <w:rsid w:val="001631C1"/>
    <w:rsid w:val="00163ABE"/>
    <w:rsid w:val="00163C8C"/>
    <w:rsid w:val="00164426"/>
    <w:rsid w:val="00164437"/>
    <w:rsid w:val="00164517"/>
    <w:rsid w:val="00164636"/>
    <w:rsid w:val="0016524B"/>
    <w:rsid w:val="0016555A"/>
    <w:rsid w:val="00165D26"/>
    <w:rsid w:val="0016648E"/>
    <w:rsid w:val="00166889"/>
    <w:rsid w:val="00166C0F"/>
    <w:rsid w:val="00166D23"/>
    <w:rsid w:val="001671AC"/>
    <w:rsid w:val="001674C6"/>
    <w:rsid w:val="001678B0"/>
    <w:rsid w:val="0017011B"/>
    <w:rsid w:val="001703AE"/>
    <w:rsid w:val="00172F6B"/>
    <w:rsid w:val="00173699"/>
    <w:rsid w:val="0017389A"/>
    <w:rsid w:val="001738E7"/>
    <w:rsid w:val="0017391D"/>
    <w:rsid w:val="00173CAA"/>
    <w:rsid w:val="00174001"/>
    <w:rsid w:val="001740F3"/>
    <w:rsid w:val="00174134"/>
    <w:rsid w:val="00174148"/>
    <w:rsid w:val="001741A1"/>
    <w:rsid w:val="0017479D"/>
    <w:rsid w:val="0017492B"/>
    <w:rsid w:val="00174F48"/>
    <w:rsid w:val="00175144"/>
    <w:rsid w:val="00175256"/>
    <w:rsid w:val="00175295"/>
    <w:rsid w:val="001755D2"/>
    <w:rsid w:val="001758B4"/>
    <w:rsid w:val="0017599F"/>
    <w:rsid w:val="00175FFD"/>
    <w:rsid w:val="00176408"/>
    <w:rsid w:val="0017646A"/>
    <w:rsid w:val="00176CE0"/>
    <w:rsid w:val="00176E46"/>
    <w:rsid w:val="00176EBD"/>
    <w:rsid w:val="00176FD2"/>
    <w:rsid w:val="00177066"/>
    <w:rsid w:val="00177358"/>
    <w:rsid w:val="0017745B"/>
    <w:rsid w:val="00177C2D"/>
    <w:rsid w:val="001800AE"/>
    <w:rsid w:val="00180868"/>
    <w:rsid w:val="00181282"/>
    <w:rsid w:val="00181789"/>
    <w:rsid w:val="001821B5"/>
    <w:rsid w:val="00182AA0"/>
    <w:rsid w:val="00182FC8"/>
    <w:rsid w:val="00183290"/>
    <w:rsid w:val="001835AA"/>
    <w:rsid w:val="001838FA"/>
    <w:rsid w:val="0018424A"/>
    <w:rsid w:val="0018435E"/>
    <w:rsid w:val="00184670"/>
    <w:rsid w:val="00184A8D"/>
    <w:rsid w:val="00184ABC"/>
    <w:rsid w:val="00185133"/>
    <w:rsid w:val="0018534A"/>
    <w:rsid w:val="0018544D"/>
    <w:rsid w:val="00185478"/>
    <w:rsid w:val="001854F6"/>
    <w:rsid w:val="0018567A"/>
    <w:rsid w:val="001857C0"/>
    <w:rsid w:val="00185A76"/>
    <w:rsid w:val="001863ED"/>
    <w:rsid w:val="00186F21"/>
    <w:rsid w:val="00186F35"/>
    <w:rsid w:val="001901D8"/>
    <w:rsid w:val="001902F6"/>
    <w:rsid w:val="001906A6"/>
    <w:rsid w:val="00190D4A"/>
    <w:rsid w:val="00190E9B"/>
    <w:rsid w:val="001910B9"/>
    <w:rsid w:val="001917FA"/>
    <w:rsid w:val="00191A40"/>
    <w:rsid w:val="00192943"/>
    <w:rsid w:val="00192C26"/>
    <w:rsid w:val="00192F00"/>
    <w:rsid w:val="0019300F"/>
    <w:rsid w:val="001935E0"/>
    <w:rsid w:val="001939F3"/>
    <w:rsid w:val="00193C2C"/>
    <w:rsid w:val="00193C57"/>
    <w:rsid w:val="00193C6A"/>
    <w:rsid w:val="00194F53"/>
    <w:rsid w:val="0019541E"/>
    <w:rsid w:val="00195498"/>
    <w:rsid w:val="001954BA"/>
    <w:rsid w:val="00195B33"/>
    <w:rsid w:val="00195EC0"/>
    <w:rsid w:val="00196B40"/>
    <w:rsid w:val="00196DE9"/>
    <w:rsid w:val="00196F9F"/>
    <w:rsid w:val="00197469"/>
    <w:rsid w:val="00197636"/>
    <w:rsid w:val="00197C77"/>
    <w:rsid w:val="00197FC1"/>
    <w:rsid w:val="001A0503"/>
    <w:rsid w:val="001A0530"/>
    <w:rsid w:val="001A0C3C"/>
    <w:rsid w:val="001A1CDA"/>
    <w:rsid w:val="001A1D21"/>
    <w:rsid w:val="001A1E3C"/>
    <w:rsid w:val="001A28C8"/>
    <w:rsid w:val="001A2B89"/>
    <w:rsid w:val="001A2DF1"/>
    <w:rsid w:val="001A2E66"/>
    <w:rsid w:val="001A4004"/>
    <w:rsid w:val="001A4107"/>
    <w:rsid w:val="001A41E3"/>
    <w:rsid w:val="001A446D"/>
    <w:rsid w:val="001A48C6"/>
    <w:rsid w:val="001A51E8"/>
    <w:rsid w:val="001A5622"/>
    <w:rsid w:val="001A58BB"/>
    <w:rsid w:val="001A5979"/>
    <w:rsid w:val="001A5B47"/>
    <w:rsid w:val="001A5B59"/>
    <w:rsid w:val="001A5BC3"/>
    <w:rsid w:val="001A6729"/>
    <w:rsid w:val="001A6968"/>
    <w:rsid w:val="001A6E3A"/>
    <w:rsid w:val="001A741B"/>
    <w:rsid w:val="001A777B"/>
    <w:rsid w:val="001A78F8"/>
    <w:rsid w:val="001B019D"/>
    <w:rsid w:val="001B01C6"/>
    <w:rsid w:val="001B0311"/>
    <w:rsid w:val="001B0600"/>
    <w:rsid w:val="001B0A4D"/>
    <w:rsid w:val="001B0A5D"/>
    <w:rsid w:val="001B0B9D"/>
    <w:rsid w:val="001B0D37"/>
    <w:rsid w:val="001B0D5A"/>
    <w:rsid w:val="001B1448"/>
    <w:rsid w:val="001B14DB"/>
    <w:rsid w:val="001B154D"/>
    <w:rsid w:val="001B1838"/>
    <w:rsid w:val="001B1848"/>
    <w:rsid w:val="001B2148"/>
    <w:rsid w:val="001B2521"/>
    <w:rsid w:val="001B2938"/>
    <w:rsid w:val="001B2B3C"/>
    <w:rsid w:val="001B2F53"/>
    <w:rsid w:val="001B3B89"/>
    <w:rsid w:val="001B410B"/>
    <w:rsid w:val="001B421E"/>
    <w:rsid w:val="001B439C"/>
    <w:rsid w:val="001B4712"/>
    <w:rsid w:val="001B47F4"/>
    <w:rsid w:val="001B4C06"/>
    <w:rsid w:val="001B4E07"/>
    <w:rsid w:val="001B56D1"/>
    <w:rsid w:val="001B5C02"/>
    <w:rsid w:val="001B5FFF"/>
    <w:rsid w:val="001B6132"/>
    <w:rsid w:val="001B61F5"/>
    <w:rsid w:val="001B6359"/>
    <w:rsid w:val="001B649C"/>
    <w:rsid w:val="001B65A8"/>
    <w:rsid w:val="001B668F"/>
    <w:rsid w:val="001B6937"/>
    <w:rsid w:val="001B6ABE"/>
    <w:rsid w:val="001B6D94"/>
    <w:rsid w:val="001B792E"/>
    <w:rsid w:val="001B7AB0"/>
    <w:rsid w:val="001B7E96"/>
    <w:rsid w:val="001B7EAD"/>
    <w:rsid w:val="001C035C"/>
    <w:rsid w:val="001C04B2"/>
    <w:rsid w:val="001C0527"/>
    <w:rsid w:val="001C0593"/>
    <w:rsid w:val="001C06CE"/>
    <w:rsid w:val="001C0918"/>
    <w:rsid w:val="001C0C64"/>
    <w:rsid w:val="001C0F27"/>
    <w:rsid w:val="001C1194"/>
    <w:rsid w:val="001C1333"/>
    <w:rsid w:val="001C142B"/>
    <w:rsid w:val="001C1825"/>
    <w:rsid w:val="001C1880"/>
    <w:rsid w:val="001C193F"/>
    <w:rsid w:val="001C1CA0"/>
    <w:rsid w:val="001C1CC5"/>
    <w:rsid w:val="001C1D62"/>
    <w:rsid w:val="001C2381"/>
    <w:rsid w:val="001C26D2"/>
    <w:rsid w:val="001C272D"/>
    <w:rsid w:val="001C2A96"/>
    <w:rsid w:val="001C2B2C"/>
    <w:rsid w:val="001C2B78"/>
    <w:rsid w:val="001C2BB0"/>
    <w:rsid w:val="001C2BFA"/>
    <w:rsid w:val="001C2F01"/>
    <w:rsid w:val="001C362F"/>
    <w:rsid w:val="001C390D"/>
    <w:rsid w:val="001C3A8D"/>
    <w:rsid w:val="001C3C3A"/>
    <w:rsid w:val="001C418C"/>
    <w:rsid w:val="001C435B"/>
    <w:rsid w:val="001C43F4"/>
    <w:rsid w:val="001C494E"/>
    <w:rsid w:val="001C4AE9"/>
    <w:rsid w:val="001C5285"/>
    <w:rsid w:val="001C529A"/>
    <w:rsid w:val="001C5569"/>
    <w:rsid w:val="001C6631"/>
    <w:rsid w:val="001C6644"/>
    <w:rsid w:val="001C66A9"/>
    <w:rsid w:val="001C678E"/>
    <w:rsid w:val="001C69FF"/>
    <w:rsid w:val="001C6D28"/>
    <w:rsid w:val="001C7482"/>
    <w:rsid w:val="001C7A2F"/>
    <w:rsid w:val="001D0485"/>
    <w:rsid w:val="001D0548"/>
    <w:rsid w:val="001D06A2"/>
    <w:rsid w:val="001D0F0A"/>
    <w:rsid w:val="001D1435"/>
    <w:rsid w:val="001D15C9"/>
    <w:rsid w:val="001D19EF"/>
    <w:rsid w:val="001D239D"/>
    <w:rsid w:val="001D25B6"/>
    <w:rsid w:val="001D264C"/>
    <w:rsid w:val="001D278C"/>
    <w:rsid w:val="001D2CCD"/>
    <w:rsid w:val="001D2E09"/>
    <w:rsid w:val="001D305F"/>
    <w:rsid w:val="001D36AB"/>
    <w:rsid w:val="001D3876"/>
    <w:rsid w:val="001D3954"/>
    <w:rsid w:val="001D3AFC"/>
    <w:rsid w:val="001D3B36"/>
    <w:rsid w:val="001D3BB2"/>
    <w:rsid w:val="001D3BCA"/>
    <w:rsid w:val="001D3E3D"/>
    <w:rsid w:val="001D3EB0"/>
    <w:rsid w:val="001D401D"/>
    <w:rsid w:val="001D44DA"/>
    <w:rsid w:val="001D4645"/>
    <w:rsid w:val="001D48D1"/>
    <w:rsid w:val="001D4A23"/>
    <w:rsid w:val="001D4AB7"/>
    <w:rsid w:val="001D4AE2"/>
    <w:rsid w:val="001D4F20"/>
    <w:rsid w:val="001D543D"/>
    <w:rsid w:val="001D54C2"/>
    <w:rsid w:val="001D69AA"/>
    <w:rsid w:val="001D6BFA"/>
    <w:rsid w:val="001D6C69"/>
    <w:rsid w:val="001D730E"/>
    <w:rsid w:val="001D758F"/>
    <w:rsid w:val="001D7E28"/>
    <w:rsid w:val="001D7ED6"/>
    <w:rsid w:val="001E0064"/>
    <w:rsid w:val="001E0099"/>
    <w:rsid w:val="001E09F4"/>
    <w:rsid w:val="001E0AB1"/>
    <w:rsid w:val="001E0C32"/>
    <w:rsid w:val="001E0DEC"/>
    <w:rsid w:val="001E0FF4"/>
    <w:rsid w:val="001E13E0"/>
    <w:rsid w:val="001E1496"/>
    <w:rsid w:val="001E14AC"/>
    <w:rsid w:val="001E1914"/>
    <w:rsid w:val="001E1F9A"/>
    <w:rsid w:val="001E2057"/>
    <w:rsid w:val="001E24B5"/>
    <w:rsid w:val="001E2B2C"/>
    <w:rsid w:val="001E2CE3"/>
    <w:rsid w:val="001E2D7A"/>
    <w:rsid w:val="001E32D8"/>
    <w:rsid w:val="001E355A"/>
    <w:rsid w:val="001E396B"/>
    <w:rsid w:val="001E3ADB"/>
    <w:rsid w:val="001E4284"/>
    <w:rsid w:val="001E4BBE"/>
    <w:rsid w:val="001E4C4F"/>
    <w:rsid w:val="001E4CAC"/>
    <w:rsid w:val="001E4DFE"/>
    <w:rsid w:val="001E4E95"/>
    <w:rsid w:val="001E5223"/>
    <w:rsid w:val="001E53D4"/>
    <w:rsid w:val="001E57B1"/>
    <w:rsid w:val="001E61B9"/>
    <w:rsid w:val="001E6810"/>
    <w:rsid w:val="001E6832"/>
    <w:rsid w:val="001E706B"/>
    <w:rsid w:val="001E7B2B"/>
    <w:rsid w:val="001E7C9F"/>
    <w:rsid w:val="001F03E9"/>
    <w:rsid w:val="001F08E6"/>
    <w:rsid w:val="001F1091"/>
    <w:rsid w:val="001F1962"/>
    <w:rsid w:val="001F1E6A"/>
    <w:rsid w:val="001F1F9D"/>
    <w:rsid w:val="001F2027"/>
    <w:rsid w:val="001F2336"/>
    <w:rsid w:val="001F262D"/>
    <w:rsid w:val="001F26A3"/>
    <w:rsid w:val="001F277D"/>
    <w:rsid w:val="001F30C8"/>
    <w:rsid w:val="001F3588"/>
    <w:rsid w:val="001F35FC"/>
    <w:rsid w:val="001F36B4"/>
    <w:rsid w:val="001F3B8F"/>
    <w:rsid w:val="001F45F2"/>
    <w:rsid w:val="001F4776"/>
    <w:rsid w:val="001F4B62"/>
    <w:rsid w:val="001F522B"/>
    <w:rsid w:val="001F5B15"/>
    <w:rsid w:val="001F6DD8"/>
    <w:rsid w:val="001F6FDA"/>
    <w:rsid w:val="001F718E"/>
    <w:rsid w:val="001F77E6"/>
    <w:rsid w:val="001F7CC3"/>
    <w:rsid w:val="0020121B"/>
    <w:rsid w:val="002018BC"/>
    <w:rsid w:val="00201FD9"/>
    <w:rsid w:val="002020C5"/>
    <w:rsid w:val="00202536"/>
    <w:rsid w:val="0020256F"/>
    <w:rsid w:val="00202697"/>
    <w:rsid w:val="002027CF"/>
    <w:rsid w:val="00203AEB"/>
    <w:rsid w:val="00204046"/>
    <w:rsid w:val="002040E8"/>
    <w:rsid w:val="00204F89"/>
    <w:rsid w:val="00205358"/>
    <w:rsid w:val="0020535A"/>
    <w:rsid w:val="00205758"/>
    <w:rsid w:val="00205A25"/>
    <w:rsid w:val="00205ADF"/>
    <w:rsid w:val="00205B05"/>
    <w:rsid w:val="00206122"/>
    <w:rsid w:val="00206358"/>
    <w:rsid w:val="002064C1"/>
    <w:rsid w:val="00206841"/>
    <w:rsid w:val="00207253"/>
    <w:rsid w:val="00207260"/>
    <w:rsid w:val="0020748F"/>
    <w:rsid w:val="0020772F"/>
    <w:rsid w:val="00207C72"/>
    <w:rsid w:val="002103CC"/>
    <w:rsid w:val="0021051D"/>
    <w:rsid w:val="0021056E"/>
    <w:rsid w:val="002106A7"/>
    <w:rsid w:val="00210710"/>
    <w:rsid w:val="002110CE"/>
    <w:rsid w:val="0021111C"/>
    <w:rsid w:val="002112AD"/>
    <w:rsid w:val="00211CAD"/>
    <w:rsid w:val="00211CEC"/>
    <w:rsid w:val="00211D14"/>
    <w:rsid w:val="00212089"/>
    <w:rsid w:val="00212189"/>
    <w:rsid w:val="00212740"/>
    <w:rsid w:val="00212BAE"/>
    <w:rsid w:val="00212D1B"/>
    <w:rsid w:val="00212FC3"/>
    <w:rsid w:val="00213A28"/>
    <w:rsid w:val="00213BE4"/>
    <w:rsid w:val="00214038"/>
    <w:rsid w:val="00214698"/>
    <w:rsid w:val="002148BF"/>
    <w:rsid w:val="00214D4D"/>
    <w:rsid w:val="002150CD"/>
    <w:rsid w:val="00215172"/>
    <w:rsid w:val="00215842"/>
    <w:rsid w:val="00215B35"/>
    <w:rsid w:val="00216233"/>
    <w:rsid w:val="00216400"/>
    <w:rsid w:val="00216A85"/>
    <w:rsid w:val="00216B83"/>
    <w:rsid w:val="002172EE"/>
    <w:rsid w:val="00217E90"/>
    <w:rsid w:val="002205D0"/>
    <w:rsid w:val="0022096D"/>
    <w:rsid w:val="00220B80"/>
    <w:rsid w:val="00220EB8"/>
    <w:rsid w:val="0022132A"/>
    <w:rsid w:val="002216E8"/>
    <w:rsid w:val="002217B7"/>
    <w:rsid w:val="0022185D"/>
    <w:rsid w:val="0022195C"/>
    <w:rsid w:val="00221A16"/>
    <w:rsid w:val="00222079"/>
    <w:rsid w:val="002221B1"/>
    <w:rsid w:val="00222503"/>
    <w:rsid w:val="0022279E"/>
    <w:rsid w:val="00222822"/>
    <w:rsid w:val="00222BCD"/>
    <w:rsid w:val="0022308E"/>
    <w:rsid w:val="00223147"/>
    <w:rsid w:val="00223217"/>
    <w:rsid w:val="00223A9C"/>
    <w:rsid w:val="00223D4E"/>
    <w:rsid w:val="002240FB"/>
    <w:rsid w:val="002245D3"/>
    <w:rsid w:val="002249D5"/>
    <w:rsid w:val="00224D9E"/>
    <w:rsid w:val="002251A8"/>
    <w:rsid w:val="002266C5"/>
    <w:rsid w:val="002268F3"/>
    <w:rsid w:val="0022706B"/>
    <w:rsid w:val="0022718E"/>
    <w:rsid w:val="00227992"/>
    <w:rsid w:val="00227EEF"/>
    <w:rsid w:val="00230232"/>
    <w:rsid w:val="0023082D"/>
    <w:rsid w:val="00230BAC"/>
    <w:rsid w:val="00231409"/>
    <w:rsid w:val="00231860"/>
    <w:rsid w:val="00231C6F"/>
    <w:rsid w:val="00231FA4"/>
    <w:rsid w:val="00232173"/>
    <w:rsid w:val="002325F1"/>
    <w:rsid w:val="00232779"/>
    <w:rsid w:val="002327F3"/>
    <w:rsid w:val="00232B32"/>
    <w:rsid w:val="00232BD6"/>
    <w:rsid w:val="00232D15"/>
    <w:rsid w:val="00232FB9"/>
    <w:rsid w:val="00233DEF"/>
    <w:rsid w:val="002349B8"/>
    <w:rsid w:val="00234DB5"/>
    <w:rsid w:val="00235235"/>
    <w:rsid w:val="002352E5"/>
    <w:rsid w:val="00235953"/>
    <w:rsid w:val="00236245"/>
    <w:rsid w:val="0023635D"/>
    <w:rsid w:val="00236424"/>
    <w:rsid w:val="00236685"/>
    <w:rsid w:val="0023688A"/>
    <w:rsid w:val="00236EE7"/>
    <w:rsid w:val="00237B01"/>
    <w:rsid w:val="0024013C"/>
    <w:rsid w:val="00240876"/>
    <w:rsid w:val="00240CBE"/>
    <w:rsid w:val="0024113D"/>
    <w:rsid w:val="0024130E"/>
    <w:rsid w:val="00241757"/>
    <w:rsid w:val="00241DF7"/>
    <w:rsid w:val="00241E1E"/>
    <w:rsid w:val="002421EB"/>
    <w:rsid w:val="00242261"/>
    <w:rsid w:val="00242600"/>
    <w:rsid w:val="0024384B"/>
    <w:rsid w:val="00243B65"/>
    <w:rsid w:val="00243D9C"/>
    <w:rsid w:val="002444D8"/>
    <w:rsid w:val="00244670"/>
    <w:rsid w:val="002449B2"/>
    <w:rsid w:val="00244A42"/>
    <w:rsid w:val="00244D61"/>
    <w:rsid w:val="00244DEA"/>
    <w:rsid w:val="00244EA2"/>
    <w:rsid w:val="0024511D"/>
    <w:rsid w:val="0024548D"/>
    <w:rsid w:val="002455C8"/>
    <w:rsid w:val="0024575D"/>
    <w:rsid w:val="0024651E"/>
    <w:rsid w:val="002465DC"/>
    <w:rsid w:val="002467D7"/>
    <w:rsid w:val="00246A34"/>
    <w:rsid w:val="00246BD5"/>
    <w:rsid w:val="00246D4C"/>
    <w:rsid w:val="00246D88"/>
    <w:rsid w:val="00246F53"/>
    <w:rsid w:val="00247665"/>
    <w:rsid w:val="00250564"/>
    <w:rsid w:val="00250C31"/>
    <w:rsid w:val="00250DA2"/>
    <w:rsid w:val="00251139"/>
    <w:rsid w:val="0025122D"/>
    <w:rsid w:val="002513D9"/>
    <w:rsid w:val="00251401"/>
    <w:rsid w:val="00251783"/>
    <w:rsid w:val="00251AFE"/>
    <w:rsid w:val="00251EBC"/>
    <w:rsid w:val="00252399"/>
    <w:rsid w:val="002527E2"/>
    <w:rsid w:val="002529AF"/>
    <w:rsid w:val="00252B80"/>
    <w:rsid w:val="002531F4"/>
    <w:rsid w:val="0025334F"/>
    <w:rsid w:val="0025392B"/>
    <w:rsid w:val="00253C33"/>
    <w:rsid w:val="00253D01"/>
    <w:rsid w:val="00253D79"/>
    <w:rsid w:val="00253E1C"/>
    <w:rsid w:val="00253E52"/>
    <w:rsid w:val="00254047"/>
    <w:rsid w:val="002542A1"/>
    <w:rsid w:val="00254454"/>
    <w:rsid w:val="00254A10"/>
    <w:rsid w:val="00254C06"/>
    <w:rsid w:val="00254C33"/>
    <w:rsid w:val="00254FAD"/>
    <w:rsid w:val="00255A9D"/>
    <w:rsid w:val="00255BF1"/>
    <w:rsid w:val="00255DA6"/>
    <w:rsid w:val="00256053"/>
    <w:rsid w:val="00256201"/>
    <w:rsid w:val="00256458"/>
    <w:rsid w:val="00256AE4"/>
    <w:rsid w:val="00256B73"/>
    <w:rsid w:val="00256D01"/>
    <w:rsid w:val="00256EDF"/>
    <w:rsid w:val="00257468"/>
    <w:rsid w:val="002574A7"/>
    <w:rsid w:val="0025776B"/>
    <w:rsid w:val="00257BB2"/>
    <w:rsid w:val="00257CBF"/>
    <w:rsid w:val="00260E4D"/>
    <w:rsid w:val="00261103"/>
    <w:rsid w:val="0026132C"/>
    <w:rsid w:val="002614B7"/>
    <w:rsid w:val="002614FB"/>
    <w:rsid w:val="002616AB"/>
    <w:rsid w:val="002616CF"/>
    <w:rsid w:val="002619F7"/>
    <w:rsid w:val="00261C14"/>
    <w:rsid w:val="00261F31"/>
    <w:rsid w:val="00262945"/>
    <w:rsid w:val="0026331D"/>
    <w:rsid w:val="002636A4"/>
    <w:rsid w:val="00263745"/>
    <w:rsid w:val="00263A5F"/>
    <w:rsid w:val="00263D99"/>
    <w:rsid w:val="00263E5E"/>
    <w:rsid w:val="00264004"/>
    <w:rsid w:val="00264101"/>
    <w:rsid w:val="0026445B"/>
    <w:rsid w:val="00264E8E"/>
    <w:rsid w:val="00264FEF"/>
    <w:rsid w:val="002655E8"/>
    <w:rsid w:val="002656FA"/>
    <w:rsid w:val="00265C80"/>
    <w:rsid w:val="00265D16"/>
    <w:rsid w:val="00265E7E"/>
    <w:rsid w:val="002660AB"/>
    <w:rsid w:val="002661DC"/>
    <w:rsid w:val="002668E2"/>
    <w:rsid w:val="00266953"/>
    <w:rsid w:val="00266B75"/>
    <w:rsid w:val="00266BB4"/>
    <w:rsid w:val="00266E98"/>
    <w:rsid w:val="0026755F"/>
    <w:rsid w:val="00267870"/>
    <w:rsid w:val="00267A74"/>
    <w:rsid w:val="00270465"/>
    <w:rsid w:val="0027055E"/>
    <w:rsid w:val="00270676"/>
    <w:rsid w:val="00270980"/>
    <w:rsid w:val="00270CA1"/>
    <w:rsid w:val="00270E7E"/>
    <w:rsid w:val="00271148"/>
    <w:rsid w:val="002711C7"/>
    <w:rsid w:val="00271A37"/>
    <w:rsid w:val="00271E47"/>
    <w:rsid w:val="00271F8D"/>
    <w:rsid w:val="002722B8"/>
    <w:rsid w:val="0027262E"/>
    <w:rsid w:val="002727BA"/>
    <w:rsid w:val="0027285A"/>
    <w:rsid w:val="00272AD3"/>
    <w:rsid w:val="002737EF"/>
    <w:rsid w:val="00273868"/>
    <w:rsid w:val="002738EE"/>
    <w:rsid w:val="00273D8C"/>
    <w:rsid w:val="00274AD1"/>
    <w:rsid w:val="00274CD9"/>
    <w:rsid w:val="00274ED9"/>
    <w:rsid w:val="0027529C"/>
    <w:rsid w:val="00275720"/>
    <w:rsid w:val="002758B1"/>
    <w:rsid w:val="002758D3"/>
    <w:rsid w:val="00275A40"/>
    <w:rsid w:val="00275CF4"/>
    <w:rsid w:val="00275E5A"/>
    <w:rsid w:val="00275F97"/>
    <w:rsid w:val="002760BD"/>
    <w:rsid w:val="00276224"/>
    <w:rsid w:val="0027687D"/>
    <w:rsid w:val="00276E47"/>
    <w:rsid w:val="002779EA"/>
    <w:rsid w:val="00277CB2"/>
    <w:rsid w:val="00277FD0"/>
    <w:rsid w:val="0028022F"/>
    <w:rsid w:val="00280303"/>
    <w:rsid w:val="002807CA"/>
    <w:rsid w:val="00280A63"/>
    <w:rsid w:val="00280C10"/>
    <w:rsid w:val="002818A4"/>
    <w:rsid w:val="00281BCE"/>
    <w:rsid w:val="00281DAC"/>
    <w:rsid w:val="00282074"/>
    <w:rsid w:val="002821AC"/>
    <w:rsid w:val="00282253"/>
    <w:rsid w:val="0028252A"/>
    <w:rsid w:val="002830C0"/>
    <w:rsid w:val="002837AA"/>
    <w:rsid w:val="00283827"/>
    <w:rsid w:val="00283AF0"/>
    <w:rsid w:val="00283B24"/>
    <w:rsid w:val="00283CD8"/>
    <w:rsid w:val="002840AE"/>
    <w:rsid w:val="00284257"/>
    <w:rsid w:val="0028451F"/>
    <w:rsid w:val="00284AF7"/>
    <w:rsid w:val="00284BC7"/>
    <w:rsid w:val="002857EA"/>
    <w:rsid w:val="002858EB"/>
    <w:rsid w:val="00285900"/>
    <w:rsid w:val="002859A8"/>
    <w:rsid w:val="00285A47"/>
    <w:rsid w:val="00285A6C"/>
    <w:rsid w:val="00285B16"/>
    <w:rsid w:val="0028651D"/>
    <w:rsid w:val="00286684"/>
    <w:rsid w:val="00286715"/>
    <w:rsid w:val="0028684E"/>
    <w:rsid w:val="002869C6"/>
    <w:rsid w:val="00286F92"/>
    <w:rsid w:val="00287268"/>
    <w:rsid w:val="0028777D"/>
    <w:rsid w:val="0029024D"/>
    <w:rsid w:val="00290953"/>
    <w:rsid w:val="00291312"/>
    <w:rsid w:val="002914A0"/>
    <w:rsid w:val="002916DB"/>
    <w:rsid w:val="00291F4D"/>
    <w:rsid w:val="00292190"/>
    <w:rsid w:val="0029222C"/>
    <w:rsid w:val="00292FD1"/>
    <w:rsid w:val="00293021"/>
    <w:rsid w:val="0029310A"/>
    <w:rsid w:val="002934E4"/>
    <w:rsid w:val="002939F8"/>
    <w:rsid w:val="00293D83"/>
    <w:rsid w:val="002941F0"/>
    <w:rsid w:val="0029455D"/>
    <w:rsid w:val="00294914"/>
    <w:rsid w:val="00294C1D"/>
    <w:rsid w:val="00295911"/>
    <w:rsid w:val="002961C0"/>
    <w:rsid w:val="002963BF"/>
    <w:rsid w:val="00296524"/>
    <w:rsid w:val="002967D4"/>
    <w:rsid w:val="002969DC"/>
    <w:rsid w:val="00296C06"/>
    <w:rsid w:val="00296EA1"/>
    <w:rsid w:val="00297012"/>
    <w:rsid w:val="00297270"/>
    <w:rsid w:val="002972DD"/>
    <w:rsid w:val="00297902"/>
    <w:rsid w:val="00297DA4"/>
    <w:rsid w:val="00297FD9"/>
    <w:rsid w:val="002A01E3"/>
    <w:rsid w:val="002A02B1"/>
    <w:rsid w:val="002A076E"/>
    <w:rsid w:val="002A07ED"/>
    <w:rsid w:val="002A0999"/>
    <w:rsid w:val="002A09F1"/>
    <w:rsid w:val="002A0A3B"/>
    <w:rsid w:val="002A0D45"/>
    <w:rsid w:val="002A0DC7"/>
    <w:rsid w:val="002A0EA6"/>
    <w:rsid w:val="002A135D"/>
    <w:rsid w:val="002A13F8"/>
    <w:rsid w:val="002A14D9"/>
    <w:rsid w:val="002A205A"/>
    <w:rsid w:val="002A3541"/>
    <w:rsid w:val="002A40B5"/>
    <w:rsid w:val="002A471B"/>
    <w:rsid w:val="002A48C8"/>
    <w:rsid w:val="002A48CB"/>
    <w:rsid w:val="002A4C32"/>
    <w:rsid w:val="002A4F16"/>
    <w:rsid w:val="002A56E3"/>
    <w:rsid w:val="002A5BD3"/>
    <w:rsid w:val="002A5C21"/>
    <w:rsid w:val="002A5FFF"/>
    <w:rsid w:val="002A622B"/>
    <w:rsid w:val="002A67BC"/>
    <w:rsid w:val="002A7565"/>
    <w:rsid w:val="002A75C8"/>
    <w:rsid w:val="002A7B6C"/>
    <w:rsid w:val="002A7C9C"/>
    <w:rsid w:val="002B0856"/>
    <w:rsid w:val="002B08C6"/>
    <w:rsid w:val="002B0DDC"/>
    <w:rsid w:val="002B17E1"/>
    <w:rsid w:val="002B229C"/>
    <w:rsid w:val="002B2477"/>
    <w:rsid w:val="002B2761"/>
    <w:rsid w:val="002B309D"/>
    <w:rsid w:val="002B311D"/>
    <w:rsid w:val="002B31CD"/>
    <w:rsid w:val="002B3544"/>
    <w:rsid w:val="002B3611"/>
    <w:rsid w:val="002B36A6"/>
    <w:rsid w:val="002B3B0C"/>
    <w:rsid w:val="002B4021"/>
    <w:rsid w:val="002B424B"/>
    <w:rsid w:val="002B45AB"/>
    <w:rsid w:val="002B485A"/>
    <w:rsid w:val="002B4FFF"/>
    <w:rsid w:val="002B5021"/>
    <w:rsid w:val="002B599A"/>
    <w:rsid w:val="002B5D54"/>
    <w:rsid w:val="002B6034"/>
    <w:rsid w:val="002B6494"/>
    <w:rsid w:val="002B64C8"/>
    <w:rsid w:val="002B6A24"/>
    <w:rsid w:val="002B6AA7"/>
    <w:rsid w:val="002B6E6D"/>
    <w:rsid w:val="002B77E4"/>
    <w:rsid w:val="002B7833"/>
    <w:rsid w:val="002B799E"/>
    <w:rsid w:val="002B7B96"/>
    <w:rsid w:val="002B7E62"/>
    <w:rsid w:val="002C07D3"/>
    <w:rsid w:val="002C0CEE"/>
    <w:rsid w:val="002C0D5F"/>
    <w:rsid w:val="002C0FB6"/>
    <w:rsid w:val="002C11CE"/>
    <w:rsid w:val="002C1285"/>
    <w:rsid w:val="002C13CA"/>
    <w:rsid w:val="002C1577"/>
    <w:rsid w:val="002C15D2"/>
    <w:rsid w:val="002C18DC"/>
    <w:rsid w:val="002C1BE0"/>
    <w:rsid w:val="002C1DED"/>
    <w:rsid w:val="002C1FA4"/>
    <w:rsid w:val="002C20A1"/>
    <w:rsid w:val="002C2A52"/>
    <w:rsid w:val="002C323D"/>
    <w:rsid w:val="002C329A"/>
    <w:rsid w:val="002C3C2C"/>
    <w:rsid w:val="002C3D09"/>
    <w:rsid w:val="002C3D25"/>
    <w:rsid w:val="002C3E38"/>
    <w:rsid w:val="002C3F2D"/>
    <w:rsid w:val="002C4048"/>
    <w:rsid w:val="002C445B"/>
    <w:rsid w:val="002C44B8"/>
    <w:rsid w:val="002C4547"/>
    <w:rsid w:val="002C4A49"/>
    <w:rsid w:val="002C4C34"/>
    <w:rsid w:val="002C50BA"/>
    <w:rsid w:val="002C5384"/>
    <w:rsid w:val="002C5679"/>
    <w:rsid w:val="002C5EC5"/>
    <w:rsid w:val="002C5F6E"/>
    <w:rsid w:val="002C61E8"/>
    <w:rsid w:val="002C644E"/>
    <w:rsid w:val="002C679C"/>
    <w:rsid w:val="002C71FE"/>
    <w:rsid w:val="002C789A"/>
    <w:rsid w:val="002C7B35"/>
    <w:rsid w:val="002C7D5F"/>
    <w:rsid w:val="002C7DBC"/>
    <w:rsid w:val="002D00CD"/>
    <w:rsid w:val="002D07DC"/>
    <w:rsid w:val="002D0CC3"/>
    <w:rsid w:val="002D0D8B"/>
    <w:rsid w:val="002D12B7"/>
    <w:rsid w:val="002D1871"/>
    <w:rsid w:val="002D1FEB"/>
    <w:rsid w:val="002D2493"/>
    <w:rsid w:val="002D25BF"/>
    <w:rsid w:val="002D2756"/>
    <w:rsid w:val="002D2B1B"/>
    <w:rsid w:val="002D2D02"/>
    <w:rsid w:val="002D32A1"/>
    <w:rsid w:val="002D39C8"/>
    <w:rsid w:val="002D49FA"/>
    <w:rsid w:val="002D5BA0"/>
    <w:rsid w:val="002D5F92"/>
    <w:rsid w:val="002D6AF5"/>
    <w:rsid w:val="002D6E97"/>
    <w:rsid w:val="002D6F27"/>
    <w:rsid w:val="002D72DC"/>
    <w:rsid w:val="002D7797"/>
    <w:rsid w:val="002E0007"/>
    <w:rsid w:val="002E03F2"/>
    <w:rsid w:val="002E06EF"/>
    <w:rsid w:val="002E09D4"/>
    <w:rsid w:val="002E13C7"/>
    <w:rsid w:val="002E1449"/>
    <w:rsid w:val="002E1681"/>
    <w:rsid w:val="002E16F2"/>
    <w:rsid w:val="002E216B"/>
    <w:rsid w:val="002E2388"/>
    <w:rsid w:val="002E2997"/>
    <w:rsid w:val="002E2D00"/>
    <w:rsid w:val="002E2D3F"/>
    <w:rsid w:val="002E2D4A"/>
    <w:rsid w:val="002E2DBF"/>
    <w:rsid w:val="002E3571"/>
    <w:rsid w:val="002E3629"/>
    <w:rsid w:val="002E397F"/>
    <w:rsid w:val="002E3F4E"/>
    <w:rsid w:val="002E46B4"/>
    <w:rsid w:val="002E47AB"/>
    <w:rsid w:val="002E4F7B"/>
    <w:rsid w:val="002E5059"/>
    <w:rsid w:val="002E52A4"/>
    <w:rsid w:val="002E5E8A"/>
    <w:rsid w:val="002E5F56"/>
    <w:rsid w:val="002E798B"/>
    <w:rsid w:val="002E7A1A"/>
    <w:rsid w:val="002E7A39"/>
    <w:rsid w:val="002E7CAF"/>
    <w:rsid w:val="002E7CB1"/>
    <w:rsid w:val="002E7EEA"/>
    <w:rsid w:val="002F00F8"/>
    <w:rsid w:val="002F0209"/>
    <w:rsid w:val="002F0470"/>
    <w:rsid w:val="002F0720"/>
    <w:rsid w:val="002F0E5B"/>
    <w:rsid w:val="002F0EF1"/>
    <w:rsid w:val="002F10A9"/>
    <w:rsid w:val="002F169D"/>
    <w:rsid w:val="002F1F95"/>
    <w:rsid w:val="002F2482"/>
    <w:rsid w:val="002F2897"/>
    <w:rsid w:val="002F29F1"/>
    <w:rsid w:val="002F2EA8"/>
    <w:rsid w:val="002F34BD"/>
    <w:rsid w:val="002F3E83"/>
    <w:rsid w:val="002F4748"/>
    <w:rsid w:val="002F490A"/>
    <w:rsid w:val="002F4E6C"/>
    <w:rsid w:val="002F4FF5"/>
    <w:rsid w:val="002F56BA"/>
    <w:rsid w:val="002F5985"/>
    <w:rsid w:val="002F5CE4"/>
    <w:rsid w:val="002F61A7"/>
    <w:rsid w:val="002F6942"/>
    <w:rsid w:val="002F6F2C"/>
    <w:rsid w:val="002F70B3"/>
    <w:rsid w:val="002F70D8"/>
    <w:rsid w:val="002F7312"/>
    <w:rsid w:val="002F75C8"/>
    <w:rsid w:val="002F7880"/>
    <w:rsid w:val="002F78F7"/>
    <w:rsid w:val="002F7ED2"/>
    <w:rsid w:val="00300107"/>
    <w:rsid w:val="00300A2B"/>
    <w:rsid w:val="0030164E"/>
    <w:rsid w:val="00301B42"/>
    <w:rsid w:val="00301E76"/>
    <w:rsid w:val="00301ED7"/>
    <w:rsid w:val="00302877"/>
    <w:rsid w:val="0030293B"/>
    <w:rsid w:val="00302EA8"/>
    <w:rsid w:val="0030347F"/>
    <w:rsid w:val="0030369F"/>
    <w:rsid w:val="003038EF"/>
    <w:rsid w:val="00303990"/>
    <w:rsid w:val="00303F78"/>
    <w:rsid w:val="003040BA"/>
    <w:rsid w:val="00304643"/>
    <w:rsid w:val="00304CD5"/>
    <w:rsid w:val="00304D19"/>
    <w:rsid w:val="00304DB6"/>
    <w:rsid w:val="003050A3"/>
    <w:rsid w:val="003053F5"/>
    <w:rsid w:val="00305440"/>
    <w:rsid w:val="00305475"/>
    <w:rsid w:val="00305BA5"/>
    <w:rsid w:val="00305DBF"/>
    <w:rsid w:val="0030615F"/>
    <w:rsid w:val="00306322"/>
    <w:rsid w:val="003063A8"/>
    <w:rsid w:val="003069E6"/>
    <w:rsid w:val="003072F1"/>
    <w:rsid w:val="0030749B"/>
    <w:rsid w:val="0030761F"/>
    <w:rsid w:val="0030785C"/>
    <w:rsid w:val="003078A0"/>
    <w:rsid w:val="003078B3"/>
    <w:rsid w:val="0030795E"/>
    <w:rsid w:val="00307AD2"/>
    <w:rsid w:val="00307E3E"/>
    <w:rsid w:val="003100DD"/>
    <w:rsid w:val="003101C3"/>
    <w:rsid w:val="00310747"/>
    <w:rsid w:val="00310C1A"/>
    <w:rsid w:val="00310CCE"/>
    <w:rsid w:val="00310F2E"/>
    <w:rsid w:val="00310F95"/>
    <w:rsid w:val="003115AE"/>
    <w:rsid w:val="00311679"/>
    <w:rsid w:val="003118CF"/>
    <w:rsid w:val="00311AB8"/>
    <w:rsid w:val="00311C43"/>
    <w:rsid w:val="00312657"/>
    <w:rsid w:val="003127A3"/>
    <w:rsid w:val="003127F2"/>
    <w:rsid w:val="00312A50"/>
    <w:rsid w:val="00312C20"/>
    <w:rsid w:val="00312D7B"/>
    <w:rsid w:val="0031315A"/>
    <w:rsid w:val="00313298"/>
    <w:rsid w:val="00313C2A"/>
    <w:rsid w:val="00313CF2"/>
    <w:rsid w:val="00313D82"/>
    <w:rsid w:val="003157A7"/>
    <w:rsid w:val="00315850"/>
    <w:rsid w:val="00315B37"/>
    <w:rsid w:val="00315D69"/>
    <w:rsid w:val="003161E4"/>
    <w:rsid w:val="003162B9"/>
    <w:rsid w:val="003165FA"/>
    <w:rsid w:val="00316DB9"/>
    <w:rsid w:val="00316FD3"/>
    <w:rsid w:val="003175E8"/>
    <w:rsid w:val="0031762D"/>
    <w:rsid w:val="003176C0"/>
    <w:rsid w:val="003176D6"/>
    <w:rsid w:val="00317B50"/>
    <w:rsid w:val="00317BA3"/>
    <w:rsid w:val="0032017D"/>
    <w:rsid w:val="003217FE"/>
    <w:rsid w:val="00321C1C"/>
    <w:rsid w:val="003221F6"/>
    <w:rsid w:val="00322D99"/>
    <w:rsid w:val="00323F9E"/>
    <w:rsid w:val="00324247"/>
    <w:rsid w:val="00324EF3"/>
    <w:rsid w:val="00324F4D"/>
    <w:rsid w:val="00325343"/>
    <w:rsid w:val="003257B8"/>
    <w:rsid w:val="00325E04"/>
    <w:rsid w:val="00326BD8"/>
    <w:rsid w:val="0032736B"/>
    <w:rsid w:val="00327B2A"/>
    <w:rsid w:val="00327E61"/>
    <w:rsid w:val="00327F13"/>
    <w:rsid w:val="00330A7E"/>
    <w:rsid w:val="00330D6B"/>
    <w:rsid w:val="0033111C"/>
    <w:rsid w:val="00331482"/>
    <w:rsid w:val="003316E3"/>
    <w:rsid w:val="003319AD"/>
    <w:rsid w:val="00332838"/>
    <w:rsid w:val="00332934"/>
    <w:rsid w:val="003335C1"/>
    <w:rsid w:val="003336FC"/>
    <w:rsid w:val="003339F6"/>
    <w:rsid w:val="00333AB8"/>
    <w:rsid w:val="00333C1B"/>
    <w:rsid w:val="00334880"/>
    <w:rsid w:val="003348E9"/>
    <w:rsid w:val="00334999"/>
    <w:rsid w:val="00334BFB"/>
    <w:rsid w:val="00334EF2"/>
    <w:rsid w:val="00334FFE"/>
    <w:rsid w:val="0033514A"/>
    <w:rsid w:val="0033525D"/>
    <w:rsid w:val="00335628"/>
    <w:rsid w:val="00335771"/>
    <w:rsid w:val="003358B5"/>
    <w:rsid w:val="00335A1F"/>
    <w:rsid w:val="00336719"/>
    <w:rsid w:val="00336750"/>
    <w:rsid w:val="003369B1"/>
    <w:rsid w:val="0033722C"/>
    <w:rsid w:val="00337266"/>
    <w:rsid w:val="00337566"/>
    <w:rsid w:val="00337780"/>
    <w:rsid w:val="003409AD"/>
    <w:rsid w:val="00340A17"/>
    <w:rsid w:val="00340FF3"/>
    <w:rsid w:val="0034104F"/>
    <w:rsid w:val="00341207"/>
    <w:rsid w:val="003412F2"/>
    <w:rsid w:val="00342004"/>
    <w:rsid w:val="00342597"/>
    <w:rsid w:val="00342C2F"/>
    <w:rsid w:val="00342C31"/>
    <w:rsid w:val="00342EDE"/>
    <w:rsid w:val="00343228"/>
    <w:rsid w:val="0034340B"/>
    <w:rsid w:val="00343C22"/>
    <w:rsid w:val="00343CCA"/>
    <w:rsid w:val="003441BA"/>
    <w:rsid w:val="003442BC"/>
    <w:rsid w:val="003443F9"/>
    <w:rsid w:val="00344596"/>
    <w:rsid w:val="0034486D"/>
    <w:rsid w:val="00344AB9"/>
    <w:rsid w:val="00344BFC"/>
    <w:rsid w:val="00344E68"/>
    <w:rsid w:val="0034503A"/>
    <w:rsid w:val="003452A9"/>
    <w:rsid w:val="00346156"/>
    <w:rsid w:val="00346584"/>
    <w:rsid w:val="003469A7"/>
    <w:rsid w:val="00347255"/>
    <w:rsid w:val="00347DDA"/>
    <w:rsid w:val="00350162"/>
    <w:rsid w:val="0035091F"/>
    <w:rsid w:val="003515B9"/>
    <w:rsid w:val="0035162E"/>
    <w:rsid w:val="0035174F"/>
    <w:rsid w:val="00351A46"/>
    <w:rsid w:val="00352576"/>
    <w:rsid w:val="00352E36"/>
    <w:rsid w:val="00353638"/>
    <w:rsid w:val="003536DD"/>
    <w:rsid w:val="003541A6"/>
    <w:rsid w:val="00354532"/>
    <w:rsid w:val="003545BD"/>
    <w:rsid w:val="003553E1"/>
    <w:rsid w:val="003554D9"/>
    <w:rsid w:val="00355CCF"/>
    <w:rsid w:val="0035614B"/>
    <w:rsid w:val="00356190"/>
    <w:rsid w:val="003562A6"/>
    <w:rsid w:val="003563BE"/>
    <w:rsid w:val="00356476"/>
    <w:rsid w:val="00356583"/>
    <w:rsid w:val="003565D4"/>
    <w:rsid w:val="00356ADF"/>
    <w:rsid w:val="00356BB1"/>
    <w:rsid w:val="003574F0"/>
    <w:rsid w:val="00357656"/>
    <w:rsid w:val="0035771D"/>
    <w:rsid w:val="003577FB"/>
    <w:rsid w:val="00357F74"/>
    <w:rsid w:val="00357FD8"/>
    <w:rsid w:val="00360704"/>
    <w:rsid w:val="00360BD5"/>
    <w:rsid w:val="003616A4"/>
    <w:rsid w:val="003616AA"/>
    <w:rsid w:val="003620F7"/>
    <w:rsid w:val="0036251F"/>
    <w:rsid w:val="00362796"/>
    <w:rsid w:val="00362856"/>
    <w:rsid w:val="00362E3C"/>
    <w:rsid w:val="00362E5C"/>
    <w:rsid w:val="00362ECE"/>
    <w:rsid w:val="0036307D"/>
    <w:rsid w:val="003631D4"/>
    <w:rsid w:val="00363D20"/>
    <w:rsid w:val="00363F5F"/>
    <w:rsid w:val="00364160"/>
    <w:rsid w:val="003648D2"/>
    <w:rsid w:val="0036494F"/>
    <w:rsid w:val="00364B41"/>
    <w:rsid w:val="00364BA3"/>
    <w:rsid w:val="00364C55"/>
    <w:rsid w:val="003658A4"/>
    <w:rsid w:val="00365CAD"/>
    <w:rsid w:val="003661C0"/>
    <w:rsid w:val="00366A11"/>
    <w:rsid w:val="00366D0F"/>
    <w:rsid w:val="00367032"/>
    <w:rsid w:val="003678D9"/>
    <w:rsid w:val="00367A33"/>
    <w:rsid w:val="00367E2C"/>
    <w:rsid w:val="0037082F"/>
    <w:rsid w:val="0037091B"/>
    <w:rsid w:val="00370EE5"/>
    <w:rsid w:val="00370F7E"/>
    <w:rsid w:val="00371058"/>
    <w:rsid w:val="003711CE"/>
    <w:rsid w:val="00371E1A"/>
    <w:rsid w:val="00371F64"/>
    <w:rsid w:val="00372154"/>
    <w:rsid w:val="0037229C"/>
    <w:rsid w:val="0037246B"/>
    <w:rsid w:val="00372521"/>
    <w:rsid w:val="00372C3D"/>
    <w:rsid w:val="00372D58"/>
    <w:rsid w:val="0037318E"/>
    <w:rsid w:val="0037333B"/>
    <w:rsid w:val="00373484"/>
    <w:rsid w:val="00373A55"/>
    <w:rsid w:val="00373FF8"/>
    <w:rsid w:val="00374757"/>
    <w:rsid w:val="00374E68"/>
    <w:rsid w:val="00375E28"/>
    <w:rsid w:val="003760BA"/>
    <w:rsid w:val="00376470"/>
    <w:rsid w:val="003768DA"/>
    <w:rsid w:val="003769AE"/>
    <w:rsid w:val="00377444"/>
    <w:rsid w:val="0037751D"/>
    <w:rsid w:val="0037768C"/>
    <w:rsid w:val="003805CE"/>
    <w:rsid w:val="00380733"/>
    <w:rsid w:val="00380849"/>
    <w:rsid w:val="00380EF2"/>
    <w:rsid w:val="003811DE"/>
    <w:rsid w:val="003816C6"/>
    <w:rsid w:val="00381BFC"/>
    <w:rsid w:val="00382A57"/>
    <w:rsid w:val="00382A7F"/>
    <w:rsid w:val="00382AD6"/>
    <w:rsid w:val="003830EA"/>
    <w:rsid w:val="003837F9"/>
    <w:rsid w:val="00383B56"/>
    <w:rsid w:val="003850BC"/>
    <w:rsid w:val="00385160"/>
    <w:rsid w:val="003852A1"/>
    <w:rsid w:val="003853FA"/>
    <w:rsid w:val="003857E3"/>
    <w:rsid w:val="0038673A"/>
    <w:rsid w:val="00387012"/>
    <w:rsid w:val="0038766C"/>
    <w:rsid w:val="00389878"/>
    <w:rsid w:val="00390584"/>
    <w:rsid w:val="003909E6"/>
    <w:rsid w:val="00390DF8"/>
    <w:rsid w:val="0039113D"/>
    <w:rsid w:val="003914C5"/>
    <w:rsid w:val="003918CE"/>
    <w:rsid w:val="00391CA8"/>
    <w:rsid w:val="003928BA"/>
    <w:rsid w:val="00392C20"/>
    <w:rsid w:val="00392D8E"/>
    <w:rsid w:val="00393218"/>
    <w:rsid w:val="0039341B"/>
    <w:rsid w:val="00393C4C"/>
    <w:rsid w:val="0039400B"/>
    <w:rsid w:val="003941E9"/>
    <w:rsid w:val="003943F8"/>
    <w:rsid w:val="00394936"/>
    <w:rsid w:val="00394BFA"/>
    <w:rsid w:val="00394E45"/>
    <w:rsid w:val="00394E78"/>
    <w:rsid w:val="00395539"/>
    <w:rsid w:val="003959E6"/>
    <w:rsid w:val="00395A72"/>
    <w:rsid w:val="0039648C"/>
    <w:rsid w:val="00396ABC"/>
    <w:rsid w:val="00397522"/>
    <w:rsid w:val="00397935"/>
    <w:rsid w:val="00397BD2"/>
    <w:rsid w:val="00397DDC"/>
    <w:rsid w:val="003A0362"/>
    <w:rsid w:val="003A0524"/>
    <w:rsid w:val="003A0662"/>
    <w:rsid w:val="003A0971"/>
    <w:rsid w:val="003A09D0"/>
    <w:rsid w:val="003A1ACD"/>
    <w:rsid w:val="003A23A4"/>
    <w:rsid w:val="003A2409"/>
    <w:rsid w:val="003A2726"/>
    <w:rsid w:val="003A28B2"/>
    <w:rsid w:val="003A2B0F"/>
    <w:rsid w:val="003A2B20"/>
    <w:rsid w:val="003A2B71"/>
    <w:rsid w:val="003A2FF4"/>
    <w:rsid w:val="003A387E"/>
    <w:rsid w:val="003A3A2B"/>
    <w:rsid w:val="003A3FE2"/>
    <w:rsid w:val="003A4290"/>
    <w:rsid w:val="003A45E3"/>
    <w:rsid w:val="003A489F"/>
    <w:rsid w:val="003A4F1D"/>
    <w:rsid w:val="003A5013"/>
    <w:rsid w:val="003A53B0"/>
    <w:rsid w:val="003A53D6"/>
    <w:rsid w:val="003A5491"/>
    <w:rsid w:val="003A5705"/>
    <w:rsid w:val="003A592B"/>
    <w:rsid w:val="003A64DD"/>
    <w:rsid w:val="003A65AF"/>
    <w:rsid w:val="003A66F3"/>
    <w:rsid w:val="003A6953"/>
    <w:rsid w:val="003A6A07"/>
    <w:rsid w:val="003A6BCE"/>
    <w:rsid w:val="003A6E2E"/>
    <w:rsid w:val="003A6E8D"/>
    <w:rsid w:val="003A70CE"/>
    <w:rsid w:val="003A7440"/>
    <w:rsid w:val="003A7671"/>
    <w:rsid w:val="003A76FB"/>
    <w:rsid w:val="003A78CF"/>
    <w:rsid w:val="003A79B3"/>
    <w:rsid w:val="003A7C3E"/>
    <w:rsid w:val="003A7C93"/>
    <w:rsid w:val="003A7DE6"/>
    <w:rsid w:val="003A7E72"/>
    <w:rsid w:val="003AB41A"/>
    <w:rsid w:val="003B0443"/>
    <w:rsid w:val="003B05EC"/>
    <w:rsid w:val="003B0AF3"/>
    <w:rsid w:val="003B0CFB"/>
    <w:rsid w:val="003B10C5"/>
    <w:rsid w:val="003B193D"/>
    <w:rsid w:val="003B1941"/>
    <w:rsid w:val="003B2250"/>
    <w:rsid w:val="003B2796"/>
    <w:rsid w:val="003B2E05"/>
    <w:rsid w:val="003B2F62"/>
    <w:rsid w:val="003B304D"/>
    <w:rsid w:val="003B4113"/>
    <w:rsid w:val="003B4117"/>
    <w:rsid w:val="003B4125"/>
    <w:rsid w:val="003B4214"/>
    <w:rsid w:val="003B44BF"/>
    <w:rsid w:val="003B4637"/>
    <w:rsid w:val="003B4705"/>
    <w:rsid w:val="003B4E49"/>
    <w:rsid w:val="003B5836"/>
    <w:rsid w:val="003B5BB8"/>
    <w:rsid w:val="003B5BF5"/>
    <w:rsid w:val="003B5C61"/>
    <w:rsid w:val="003B5E9A"/>
    <w:rsid w:val="003B617B"/>
    <w:rsid w:val="003B6611"/>
    <w:rsid w:val="003B6D04"/>
    <w:rsid w:val="003B7280"/>
    <w:rsid w:val="003B75B4"/>
    <w:rsid w:val="003B7640"/>
    <w:rsid w:val="003B77F5"/>
    <w:rsid w:val="003B79BC"/>
    <w:rsid w:val="003B7FBA"/>
    <w:rsid w:val="003C01F9"/>
    <w:rsid w:val="003C0832"/>
    <w:rsid w:val="003C0ADD"/>
    <w:rsid w:val="003C0B7C"/>
    <w:rsid w:val="003C0C5C"/>
    <w:rsid w:val="003C0CEC"/>
    <w:rsid w:val="003C1559"/>
    <w:rsid w:val="003C19FC"/>
    <w:rsid w:val="003C1AFA"/>
    <w:rsid w:val="003C1B42"/>
    <w:rsid w:val="003C204E"/>
    <w:rsid w:val="003C25F8"/>
    <w:rsid w:val="003C2603"/>
    <w:rsid w:val="003C2A1D"/>
    <w:rsid w:val="003C2CFC"/>
    <w:rsid w:val="003C355E"/>
    <w:rsid w:val="003C37F1"/>
    <w:rsid w:val="003C3906"/>
    <w:rsid w:val="003C3F7D"/>
    <w:rsid w:val="003C4E7E"/>
    <w:rsid w:val="003C4F25"/>
    <w:rsid w:val="003C5590"/>
    <w:rsid w:val="003C55F4"/>
    <w:rsid w:val="003C5862"/>
    <w:rsid w:val="003C5888"/>
    <w:rsid w:val="003C5A9D"/>
    <w:rsid w:val="003C5B13"/>
    <w:rsid w:val="003C5B2C"/>
    <w:rsid w:val="003C5B41"/>
    <w:rsid w:val="003C5D09"/>
    <w:rsid w:val="003C5D89"/>
    <w:rsid w:val="003C5E6D"/>
    <w:rsid w:val="003C5F1E"/>
    <w:rsid w:val="003C7511"/>
    <w:rsid w:val="003C7C3F"/>
    <w:rsid w:val="003C7FCF"/>
    <w:rsid w:val="003D007E"/>
    <w:rsid w:val="003D03DE"/>
    <w:rsid w:val="003D05CD"/>
    <w:rsid w:val="003D0AAA"/>
    <w:rsid w:val="003D0DE9"/>
    <w:rsid w:val="003D0FB7"/>
    <w:rsid w:val="003D1874"/>
    <w:rsid w:val="003D1998"/>
    <w:rsid w:val="003D1C44"/>
    <w:rsid w:val="003D1DF9"/>
    <w:rsid w:val="003D2613"/>
    <w:rsid w:val="003D284B"/>
    <w:rsid w:val="003D2910"/>
    <w:rsid w:val="003D29B0"/>
    <w:rsid w:val="003D2EFC"/>
    <w:rsid w:val="003D300F"/>
    <w:rsid w:val="003D34E9"/>
    <w:rsid w:val="003D352F"/>
    <w:rsid w:val="003D3541"/>
    <w:rsid w:val="003D3E72"/>
    <w:rsid w:val="003D408C"/>
    <w:rsid w:val="003D40F2"/>
    <w:rsid w:val="003D49EE"/>
    <w:rsid w:val="003D4A5A"/>
    <w:rsid w:val="003D4A99"/>
    <w:rsid w:val="003D4BE4"/>
    <w:rsid w:val="003D4E84"/>
    <w:rsid w:val="003D552D"/>
    <w:rsid w:val="003D5588"/>
    <w:rsid w:val="003D5A65"/>
    <w:rsid w:val="003D5B62"/>
    <w:rsid w:val="003D6633"/>
    <w:rsid w:val="003D6D68"/>
    <w:rsid w:val="003D6E5C"/>
    <w:rsid w:val="003D6E74"/>
    <w:rsid w:val="003D6F2F"/>
    <w:rsid w:val="003D7437"/>
    <w:rsid w:val="003D7C25"/>
    <w:rsid w:val="003E00F9"/>
    <w:rsid w:val="003E0175"/>
    <w:rsid w:val="003E05E5"/>
    <w:rsid w:val="003E05EE"/>
    <w:rsid w:val="003E0AFD"/>
    <w:rsid w:val="003E0F0E"/>
    <w:rsid w:val="003E1C19"/>
    <w:rsid w:val="003E1D65"/>
    <w:rsid w:val="003E1F63"/>
    <w:rsid w:val="003E2371"/>
    <w:rsid w:val="003E284A"/>
    <w:rsid w:val="003E29C6"/>
    <w:rsid w:val="003E2B69"/>
    <w:rsid w:val="003E2BC3"/>
    <w:rsid w:val="003E3182"/>
    <w:rsid w:val="003E334B"/>
    <w:rsid w:val="003E348E"/>
    <w:rsid w:val="003E355A"/>
    <w:rsid w:val="003E3796"/>
    <w:rsid w:val="003E379F"/>
    <w:rsid w:val="003E3844"/>
    <w:rsid w:val="003E39E9"/>
    <w:rsid w:val="003E3DBD"/>
    <w:rsid w:val="003E3F79"/>
    <w:rsid w:val="003E42A5"/>
    <w:rsid w:val="003E4AC3"/>
    <w:rsid w:val="003E4DE8"/>
    <w:rsid w:val="003E4E51"/>
    <w:rsid w:val="003E500A"/>
    <w:rsid w:val="003E5019"/>
    <w:rsid w:val="003E50FF"/>
    <w:rsid w:val="003E54A2"/>
    <w:rsid w:val="003E5866"/>
    <w:rsid w:val="003E59E6"/>
    <w:rsid w:val="003E5A54"/>
    <w:rsid w:val="003E5DAD"/>
    <w:rsid w:val="003E64B8"/>
    <w:rsid w:val="003E6698"/>
    <w:rsid w:val="003E6F80"/>
    <w:rsid w:val="003E705E"/>
    <w:rsid w:val="003E7167"/>
    <w:rsid w:val="003E71EC"/>
    <w:rsid w:val="003E7208"/>
    <w:rsid w:val="003E76B6"/>
    <w:rsid w:val="003E7A27"/>
    <w:rsid w:val="003E7B35"/>
    <w:rsid w:val="003E7C4A"/>
    <w:rsid w:val="003F0412"/>
    <w:rsid w:val="003F0C6E"/>
    <w:rsid w:val="003F0D41"/>
    <w:rsid w:val="003F0D7E"/>
    <w:rsid w:val="003F0F83"/>
    <w:rsid w:val="003F0FE5"/>
    <w:rsid w:val="003F1495"/>
    <w:rsid w:val="003F203B"/>
    <w:rsid w:val="003F2304"/>
    <w:rsid w:val="003F243E"/>
    <w:rsid w:val="003F26C6"/>
    <w:rsid w:val="003F272F"/>
    <w:rsid w:val="003F2744"/>
    <w:rsid w:val="003F2885"/>
    <w:rsid w:val="003F3380"/>
    <w:rsid w:val="003F3632"/>
    <w:rsid w:val="003F37D3"/>
    <w:rsid w:val="003F508E"/>
    <w:rsid w:val="003F5091"/>
    <w:rsid w:val="003F515D"/>
    <w:rsid w:val="003F5406"/>
    <w:rsid w:val="003F5F41"/>
    <w:rsid w:val="003F62B9"/>
    <w:rsid w:val="003F671F"/>
    <w:rsid w:val="003F6B2A"/>
    <w:rsid w:val="003F6C0F"/>
    <w:rsid w:val="003F6CE2"/>
    <w:rsid w:val="003F7265"/>
    <w:rsid w:val="003F7504"/>
    <w:rsid w:val="003F75A3"/>
    <w:rsid w:val="003F78A7"/>
    <w:rsid w:val="003F7C2E"/>
    <w:rsid w:val="003F7CA5"/>
    <w:rsid w:val="00400332"/>
    <w:rsid w:val="0040070E"/>
    <w:rsid w:val="004008F2"/>
    <w:rsid w:val="0040262E"/>
    <w:rsid w:val="0040293E"/>
    <w:rsid w:val="0040297C"/>
    <w:rsid w:val="004029D6"/>
    <w:rsid w:val="00402E1E"/>
    <w:rsid w:val="0040436D"/>
    <w:rsid w:val="00404BBA"/>
    <w:rsid w:val="00404CAC"/>
    <w:rsid w:val="0040506A"/>
    <w:rsid w:val="00405414"/>
    <w:rsid w:val="00405CE3"/>
    <w:rsid w:val="0040623A"/>
    <w:rsid w:val="004072D3"/>
    <w:rsid w:val="004076F0"/>
    <w:rsid w:val="00407DB0"/>
    <w:rsid w:val="00410000"/>
    <w:rsid w:val="004106FE"/>
    <w:rsid w:val="004109C3"/>
    <w:rsid w:val="00410ACA"/>
    <w:rsid w:val="00410B4A"/>
    <w:rsid w:val="00410F27"/>
    <w:rsid w:val="004110F0"/>
    <w:rsid w:val="00411642"/>
    <w:rsid w:val="00411A23"/>
    <w:rsid w:val="00411D09"/>
    <w:rsid w:val="00411D2E"/>
    <w:rsid w:val="004122D9"/>
    <w:rsid w:val="004123A9"/>
    <w:rsid w:val="0041272E"/>
    <w:rsid w:val="0041274A"/>
    <w:rsid w:val="0041279A"/>
    <w:rsid w:val="00412D61"/>
    <w:rsid w:val="00412F33"/>
    <w:rsid w:val="00413240"/>
    <w:rsid w:val="00413339"/>
    <w:rsid w:val="00413422"/>
    <w:rsid w:val="00413488"/>
    <w:rsid w:val="00413844"/>
    <w:rsid w:val="00413BD3"/>
    <w:rsid w:val="00413F82"/>
    <w:rsid w:val="00414307"/>
    <w:rsid w:val="004147B8"/>
    <w:rsid w:val="0041486B"/>
    <w:rsid w:val="00414C97"/>
    <w:rsid w:val="004155A5"/>
    <w:rsid w:val="00415B93"/>
    <w:rsid w:val="00415CFB"/>
    <w:rsid w:val="00415D1A"/>
    <w:rsid w:val="00415E1B"/>
    <w:rsid w:val="004161B8"/>
    <w:rsid w:val="00416411"/>
    <w:rsid w:val="00416E48"/>
    <w:rsid w:val="0041719E"/>
    <w:rsid w:val="004178D1"/>
    <w:rsid w:val="00417A35"/>
    <w:rsid w:val="00417C5A"/>
    <w:rsid w:val="00420921"/>
    <w:rsid w:val="00420974"/>
    <w:rsid w:val="004209BF"/>
    <w:rsid w:val="00420D84"/>
    <w:rsid w:val="00421105"/>
    <w:rsid w:val="004211C4"/>
    <w:rsid w:val="00421D9E"/>
    <w:rsid w:val="00421F11"/>
    <w:rsid w:val="00421F41"/>
    <w:rsid w:val="00422051"/>
    <w:rsid w:val="00422270"/>
    <w:rsid w:val="00422524"/>
    <w:rsid w:val="004228F0"/>
    <w:rsid w:val="00422B75"/>
    <w:rsid w:val="00422F61"/>
    <w:rsid w:val="00423060"/>
    <w:rsid w:val="00423389"/>
    <w:rsid w:val="00423697"/>
    <w:rsid w:val="00423A04"/>
    <w:rsid w:val="00423D43"/>
    <w:rsid w:val="00423DEB"/>
    <w:rsid w:val="00423E84"/>
    <w:rsid w:val="004240A5"/>
    <w:rsid w:val="004241DF"/>
    <w:rsid w:val="00424414"/>
    <w:rsid w:val="00424818"/>
    <w:rsid w:val="00424BED"/>
    <w:rsid w:val="004250AE"/>
    <w:rsid w:val="0042557F"/>
    <w:rsid w:val="00425658"/>
    <w:rsid w:val="004256E5"/>
    <w:rsid w:val="0042577B"/>
    <w:rsid w:val="00425AA7"/>
    <w:rsid w:val="00425E80"/>
    <w:rsid w:val="00426019"/>
    <w:rsid w:val="00426533"/>
    <w:rsid w:val="00426839"/>
    <w:rsid w:val="00426C94"/>
    <w:rsid w:val="00426FAC"/>
    <w:rsid w:val="00427002"/>
    <w:rsid w:val="00427200"/>
    <w:rsid w:val="0042720C"/>
    <w:rsid w:val="00427240"/>
    <w:rsid w:val="0042727C"/>
    <w:rsid w:val="004273BC"/>
    <w:rsid w:val="0042747E"/>
    <w:rsid w:val="00427597"/>
    <w:rsid w:val="00427B9E"/>
    <w:rsid w:val="00427F56"/>
    <w:rsid w:val="00430292"/>
    <w:rsid w:val="00430359"/>
    <w:rsid w:val="004315A4"/>
    <w:rsid w:val="0043186B"/>
    <w:rsid w:val="00431BFC"/>
    <w:rsid w:val="00431E4A"/>
    <w:rsid w:val="004322A1"/>
    <w:rsid w:val="004325A2"/>
    <w:rsid w:val="00432A0C"/>
    <w:rsid w:val="00432A53"/>
    <w:rsid w:val="004331D3"/>
    <w:rsid w:val="00433213"/>
    <w:rsid w:val="004333F8"/>
    <w:rsid w:val="00433561"/>
    <w:rsid w:val="00433A9B"/>
    <w:rsid w:val="00433C36"/>
    <w:rsid w:val="00433C8B"/>
    <w:rsid w:val="00433CE3"/>
    <w:rsid w:val="00433DFB"/>
    <w:rsid w:val="00433EFD"/>
    <w:rsid w:val="004341FD"/>
    <w:rsid w:val="004346DE"/>
    <w:rsid w:val="00434BD7"/>
    <w:rsid w:val="00434C63"/>
    <w:rsid w:val="00434DCE"/>
    <w:rsid w:val="00434EED"/>
    <w:rsid w:val="00434FD8"/>
    <w:rsid w:val="00434FDA"/>
    <w:rsid w:val="00435167"/>
    <w:rsid w:val="004351E3"/>
    <w:rsid w:val="00435352"/>
    <w:rsid w:val="00435785"/>
    <w:rsid w:val="004358E9"/>
    <w:rsid w:val="00435D17"/>
    <w:rsid w:val="00436B36"/>
    <w:rsid w:val="00436FEA"/>
    <w:rsid w:val="0043704E"/>
    <w:rsid w:val="00437427"/>
    <w:rsid w:val="00437DBF"/>
    <w:rsid w:val="00437F1D"/>
    <w:rsid w:val="00440375"/>
    <w:rsid w:val="004404B2"/>
    <w:rsid w:val="004406BF"/>
    <w:rsid w:val="00441648"/>
    <w:rsid w:val="00441686"/>
    <w:rsid w:val="004417B9"/>
    <w:rsid w:val="00441CD1"/>
    <w:rsid w:val="00441D10"/>
    <w:rsid w:val="004421AC"/>
    <w:rsid w:val="00442656"/>
    <w:rsid w:val="0044267E"/>
    <w:rsid w:val="0044275A"/>
    <w:rsid w:val="00442A0A"/>
    <w:rsid w:val="00442D0A"/>
    <w:rsid w:val="00442D4F"/>
    <w:rsid w:val="004439B0"/>
    <w:rsid w:val="00443C43"/>
    <w:rsid w:val="004442C8"/>
    <w:rsid w:val="00444DDB"/>
    <w:rsid w:val="00445773"/>
    <w:rsid w:val="00445931"/>
    <w:rsid w:val="00445F97"/>
    <w:rsid w:val="004461C4"/>
    <w:rsid w:val="004467EB"/>
    <w:rsid w:val="004469A4"/>
    <w:rsid w:val="00446C91"/>
    <w:rsid w:val="00447A55"/>
    <w:rsid w:val="00447F67"/>
    <w:rsid w:val="004507B6"/>
    <w:rsid w:val="00450BB7"/>
    <w:rsid w:val="00450D19"/>
    <w:rsid w:val="004515D8"/>
    <w:rsid w:val="00451867"/>
    <w:rsid w:val="00452498"/>
    <w:rsid w:val="0045270D"/>
    <w:rsid w:val="00452E8E"/>
    <w:rsid w:val="00453921"/>
    <w:rsid w:val="00453B20"/>
    <w:rsid w:val="00453C18"/>
    <w:rsid w:val="00453D44"/>
    <w:rsid w:val="004546C7"/>
    <w:rsid w:val="004547EC"/>
    <w:rsid w:val="0045520B"/>
    <w:rsid w:val="00455D06"/>
    <w:rsid w:val="00455D23"/>
    <w:rsid w:val="00455D9A"/>
    <w:rsid w:val="00455FBA"/>
    <w:rsid w:val="004561B5"/>
    <w:rsid w:val="0045722A"/>
    <w:rsid w:val="004572DE"/>
    <w:rsid w:val="00457615"/>
    <w:rsid w:val="004576F7"/>
    <w:rsid w:val="00457836"/>
    <w:rsid w:val="004579B4"/>
    <w:rsid w:val="00457D9B"/>
    <w:rsid w:val="00460A69"/>
    <w:rsid w:val="00460E7D"/>
    <w:rsid w:val="004613F3"/>
    <w:rsid w:val="00461418"/>
    <w:rsid w:val="0046153B"/>
    <w:rsid w:val="00461622"/>
    <w:rsid w:val="0046185B"/>
    <w:rsid w:val="00461A64"/>
    <w:rsid w:val="00461EB9"/>
    <w:rsid w:val="0046201C"/>
    <w:rsid w:val="00462CAD"/>
    <w:rsid w:val="004630F3"/>
    <w:rsid w:val="00463313"/>
    <w:rsid w:val="00463716"/>
    <w:rsid w:val="004638BA"/>
    <w:rsid w:val="00463C6E"/>
    <w:rsid w:val="00463D38"/>
    <w:rsid w:val="00463E39"/>
    <w:rsid w:val="00463EE8"/>
    <w:rsid w:val="0046414B"/>
    <w:rsid w:val="004645C3"/>
    <w:rsid w:val="0046462B"/>
    <w:rsid w:val="00464CA1"/>
    <w:rsid w:val="00465249"/>
    <w:rsid w:val="00465432"/>
    <w:rsid w:val="004654A9"/>
    <w:rsid w:val="00465530"/>
    <w:rsid w:val="00465B15"/>
    <w:rsid w:val="00465C6E"/>
    <w:rsid w:val="00465D43"/>
    <w:rsid w:val="004667E2"/>
    <w:rsid w:val="004668F9"/>
    <w:rsid w:val="00466C93"/>
    <w:rsid w:val="00466EED"/>
    <w:rsid w:val="00467607"/>
    <w:rsid w:val="004677DE"/>
    <w:rsid w:val="00467A02"/>
    <w:rsid w:val="00467C0C"/>
    <w:rsid w:val="00467EC6"/>
    <w:rsid w:val="00467ED4"/>
    <w:rsid w:val="00470044"/>
    <w:rsid w:val="00470142"/>
    <w:rsid w:val="00470200"/>
    <w:rsid w:val="004706C0"/>
    <w:rsid w:val="004707B6"/>
    <w:rsid w:val="004707D2"/>
    <w:rsid w:val="00471306"/>
    <w:rsid w:val="00471902"/>
    <w:rsid w:val="00471A1A"/>
    <w:rsid w:val="0047202E"/>
    <w:rsid w:val="004727BA"/>
    <w:rsid w:val="00472CDB"/>
    <w:rsid w:val="00472D71"/>
    <w:rsid w:val="00472DDB"/>
    <w:rsid w:val="00473648"/>
    <w:rsid w:val="0047366F"/>
    <w:rsid w:val="00473A3F"/>
    <w:rsid w:val="00473C88"/>
    <w:rsid w:val="00473D76"/>
    <w:rsid w:val="00474091"/>
    <w:rsid w:val="00474134"/>
    <w:rsid w:val="004748F3"/>
    <w:rsid w:val="00474E33"/>
    <w:rsid w:val="0047539A"/>
    <w:rsid w:val="00475511"/>
    <w:rsid w:val="0047566E"/>
    <w:rsid w:val="00475AA3"/>
    <w:rsid w:val="00475FCF"/>
    <w:rsid w:val="00476869"/>
    <w:rsid w:val="00476AE0"/>
    <w:rsid w:val="00476F9C"/>
    <w:rsid w:val="004770D1"/>
    <w:rsid w:val="00477709"/>
    <w:rsid w:val="00477910"/>
    <w:rsid w:val="004779E7"/>
    <w:rsid w:val="0048058A"/>
    <w:rsid w:val="004805FE"/>
    <w:rsid w:val="00480A04"/>
    <w:rsid w:val="00480B3B"/>
    <w:rsid w:val="00480BD4"/>
    <w:rsid w:val="00480CBC"/>
    <w:rsid w:val="00480DFE"/>
    <w:rsid w:val="00481169"/>
    <w:rsid w:val="004819D4"/>
    <w:rsid w:val="004821A4"/>
    <w:rsid w:val="00482608"/>
    <w:rsid w:val="004827C3"/>
    <w:rsid w:val="00482974"/>
    <w:rsid w:val="00482BAC"/>
    <w:rsid w:val="00482BEC"/>
    <w:rsid w:val="00483138"/>
    <w:rsid w:val="00483581"/>
    <w:rsid w:val="00483793"/>
    <w:rsid w:val="00483B01"/>
    <w:rsid w:val="00483B3F"/>
    <w:rsid w:val="00483C59"/>
    <w:rsid w:val="00483CB6"/>
    <w:rsid w:val="004842CA"/>
    <w:rsid w:val="0048460B"/>
    <w:rsid w:val="004849D6"/>
    <w:rsid w:val="0048505A"/>
    <w:rsid w:val="0048509C"/>
    <w:rsid w:val="0048509F"/>
    <w:rsid w:val="004855E1"/>
    <w:rsid w:val="0048581A"/>
    <w:rsid w:val="004859BD"/>
    <w:rsid w:val="00485A5F"/>
    <w:rsid w:val="00487034"/>
    <w:rsid w:val="00487063"/>
    <w:rsid w:val="004870CC"/>
    <w:rsid w:val="004877BA"/>
    <w:rsid w:val="004879D9"/>
    <w:rsid w:val="00487A89"/>
    <w:rsid w:val="00487DFC"/>
    <w:rsid w:val="004900CF"/>
    <w:rsid w:val="0049058E"/>
    <w:rsid w:val="00490B05"/>
    <w:rsid w:val="00490C01"/>
    <w:rsid w:val="00490E2E"/>
    <w:rsid w:val="004911FA"/>
    <w:rsid w:val="00491315"/>
    <w:rsid w:val="004913BD"/>
    <w:rsid w:val="00491457"/>
    <w:rsid w:val="00491625"/>
    <w:rsid w:val="004916BB"/>
    <w:rsid w:val="004918C4"/>
    <w:rsid w:val="004921FE"/>
    <w:rsid w:val="00492206"/>
    <w:rsid w:val="00492647"/>
    <w:rsid w:val="00492AB4"/>
    <w:rsid w:val="00492DBC"/>
    <w:rsid w:val="004930DE"/>
    <w:rsid w:val="004935F6"/>
    <w:rsid w:val="00493C53"/>
    <w:rsid w:val="004944DE"/>
    <w:rsid w:val="0049452B"/>
    <w:rsid w:val="004946C9"/>
    <w:rsid w:val="0049470A"/>
    <w:rsid w:val="0049499C"/>
    <w:rsid w:val="00494F56"/>
    <w:rsid w:val="00495421"/>
    <w:rsid w:val="0049544A"/>
    <w:rsid w:val="00495518"/>
    <w:rsid w:val="0049571E"/>
    <w:rsid w:val="00495ADC"/>
    <w:rsid w:val="00495BEB"/>
    <w:rsid w:val="00495F1F"/>
    <w:rsid w:val="00496386"/>
    <w:rsid w:val="004966F7"/>
    <w:rsid w:val="004967CD"/>
    <w:rsid w:val="00496CAA"/>
    <w:rsid w:val="00496DAC"/>
    <w:rsid w:val="00497849"/>
    <w:rsid w:val="00497B47"/>
    <w:rsid w:val="004A01FE"/>
    <w:rsid w:val="004A025F"/>
    <w:rsid w:val="004A09D4"/>
    <w:rsid w:val="004A18D1"/>
    <w:rsid w:val="004A1F7C"/>
    <w:rsid w:val="004A21A4"/>
    <w:rsid w:val="004A21D8"/>
    <w:rsid w:val="004A2916"/>
    <w:rsid w:val="004A2986"/>
    <w:rsid w:val="004A29D3"/>
    <w:rsid w:val="004A2B5F"/>
    <w:rsid w:val="004A2E67"/>
    <w:rsid w:val="004A31DF"/>
    <w:rsid w:val="004A376F"/>
    <w:rsid w:val="004A3B38"/>
    <w:rsid w:val="004A3DCB"/>
    <w:rsid w:val="004A43E9"/>
    <w:rsid w:val="004A44EA"/>
    <w:rsid w:val="004A4542"/>
    <w:rsid w:val="004A485D"/>
    <w:rsid w:val="004A4971"/>
    <w:rsid w:val="004A4A27"/>
    <w:rsid w:val="004A4D19"/>
    <w:rsid w:val="004A51D7"/>
    <w:rsid w:val="004A5338"/>
    <w:rsid w:val="004A55A1"/>
    <w:rsid w:val="004A5691"/>
    <w:rsid w:val="004A5956"/>
    <w:rsid w:val="004A5C63"/>
    <w:rsid w:val="004A5D7A"/>
    <w:rsid w:val="004A5E58"/>
    <w:rsid w:val="004A64FE"/>
    <w:rsid w:val="004A666C"/>
    <w:rsid w:val="004A6B3B"/>
    <w:rsid w:val="004A6E03"/>
    <w:rsid w:val="004A7057"/>
    <w:rsid w:val="004A7080"/>
    <w:rsid w:val="004A73EF"/>
    <w:rsid w:val="004A7802"/>
    <w:rsid w:val="004A78F6"/>
    <w:rsid w:val="004A7B22"/>
    <w:rsid w:val="004A7B32"/>
    <w:rsid w:val="004A7C1B"/>
    <w:rsid w:val="004B06BF"/>
    <w:rsid w:val="004B081C"/>
    <w:rsid w:val="004B085E"/>
    <w:rsid w:val="004B08D4"/>
    <w:rsid w:val="004B117E"/>
    <w:rsid w:val="004B1316"/>
    <w:rsid w:val="004B1E61"/>
    <w:rsid w:val="004B253C"/>
    <w:rsid w:val="004B2675"/>
    <w:rsid w:val="004B2BA6"/>
    <w:rsid w:val="004B2CCB"/>
    <w:rsid w:val="004B2E5A"/>
    <w:rsid w:val="004B321A"/>
    <w:rsid w:val="004B349C"/>
    <w:rsid w:val="004B356B"/>
    <w:rsid w:val="004B3606"/>
    <w:rsid w:val="004B36B0"/>
    <w:rsid w:val="004B392D"/>
    <w:rsid w:val="004B3BAA"/>
    <w:rsid w:val="004B3DAA"/>
    <w:rsid w:val="004B42A3"/>
    <w:rsid w:val="004B44A4"/>
    <w:rsid w:val="004B455C"/>
    <w:rsid w:val="004B495B"/>
    <w:rsid w:val="004B4BB0"/>
    <w:rsid w:val="004B5C39"/>
    <w:rsid w:val="004B687B"/>
    <w:rsid w:val="004B6BDF"/>
    <w:rsid w:val="004B7052"/>
    <w:rsid w:val="004B7104"/>
    <w:rsid w:val="004B7579"/>
    <w:rsid w:val="004B7AD9"/>
    <w:rsid w:val="004BE7DF"/>
    <w:rsid w:val="004C08F9"/>
    <w:rsid w:val="004C0D03"/>
    <w:rsid w:val="004C0D26"/>
    <w:rsid w:val="004C0DA3"/>
    <w:rsid w:val="004C0F44"/>
    <w:rsid w:val="004C13C3"/>
    <w:rsid w:val="004C1757"/>
    <w:rsid w:val="004C17CE"/>
    <w:rsid w:val="004C192E"/>
    <w:rsid w:val="004C1AB8"/>
    <w:rsid w:val="004C1D55"/>
    <w:rsid w:val="004C1EA4"/>
    <w:rsid w:val="004C2001"/>
    <w:rsid w:val="004C210F"/>
    <w:rsid w:val="004C2A2A"/>
    <w:rsid w:val="004C3381"/>
    <w:rsid w:val="004C3B2B"/>
    <w:rsid w:val="004C3D55"/>
    <w:rsid w:val="004C40E8"/>
    <w:rsid w:val="004C4537"/>
    <w:rsid w:val="004C45CA"/>
    <w:rsid w:val="004C4B9B"/>
    <w:rsid w:val="004C4D6D"/>
    <w:rsid w:val="004C5374"/>
    <w:rsid w:val="004C59E6"/>
    <w:rsid w:val="004C6130"/>
    <w:rsid w:val="004C6B89"/>
    <w:rsid w:val="004C6F0F"/>
    <w:rsid w:val="004C753F"/>
    <w:rsid w:val="004C7806"/>
    <w:rsid w:val="004C7E3E"/>
    <w:rsid w:val="004C7EA6"/>
    <w:rsid w:val="004D01B0"/>
    <w:rsid w:val="004D03C4"/>
    <w:rsid w:val="004D05C8"/>
    <w:rsid w:val="004D15EC"/>
    <w:rsid w:val="004D1613"/>
    <w:rsid w:val="004D1A8B"/>
    <w:rsid w:val="004D1F06"/>
    <w:rsid w:val="004D27B6"/>
    <w:rsid w:val="004D2878"/>
    <w:rsid w:val="004D28EB"/>
    <w:rsid w:val="004D2CAA"/>
    <w:rsid w:val="004D2D19"/>
    <w:rsid w:val="004D365F"/>
    <w:rsid w:val="004D38D6"/>
    <w:rsid w:val="004D3EEA"/>
    <w:rsid w:val="004D3FAE"/>
    <w:rsid w:val="004D4346"/>
    <w:rsid w:val="004D5932"/>
    <w:rsid w:val="004D5EB3"/>
    <w:rsid w:val="004D671B"/>
    <w:rsid w:val="004D6731"/>
    <w:rsid w:val="004D686A"/>
    <w:rsid w:val="004D7189"/>
    <w:rsid w:val="004D7E56"/>
    <w:rsid w:val="004D7FC0"/>
    <w:rsid w:val="004E03DD"/>
    <w:rsid w:val="004E08BD"/>
    <w:rsid w:val="004E0920"/>
    <w:rsid w:val="004E0C12"/>
    <w:rsid w:val="004E135C"/>
    <w:rsid w:val="004E1385"/>
    <w:rsid w:val="004E17C1"/>
    <w:rsid w:val="004E1BFA"/>
    <w:rsid w:val="004E1DC5"/>
    <w:rsid w:val="004E1F4A"/>
    <w:rsid w:val="004E1F4B"/>
    <w:rsid w:val="004E22FC"/>
    <w:rsid w:val="004E23D8"/>
    <w:rsid w:val="004E2814"/>
    <w:rsid w:val="004E2C3B"/>
    <w:rsid w:val="004E343A"/>
    <w:rsid w:val="004E3AA0"/>
    <w:rsid w:val="004E3C60"/>
    <w:rsid w:val="004E3EF9"/>
    <w:rsid w:val="004E3F5C"/>
    <w:rsid w:val="004E47E7"/>
    <w:rsid w:val="004E4BD8"/>
    <w:rsid w:val="004E4E91"/>
    <w:rsid w:val="004E5083"/>
    <w:rsid w:val="004E5437"/>
    <w:rsid w:val="004E5AE2"/>
    <w:rsid w:val="004E6106"/>
    <w:rsid w:val="004E636F"/>
    <w:rsid w:val="004E681B"/>
    <w:rsid w:val="004E6B6A"/>
    <w:rsid w:val="004E7100"/>
    <w:rsid w:val="004E7E17"/>
    <w:rsid w:val="004E7F3A"/>
    <w:rsid w:val="004F0150"/>
    <w:rsid w:val="004F0660"/>
    <w:rsid w:val="004F06B8"/>
    <w:rsid w:val="004F0AD8"/>
    <w:rsid w:val="004F0BD9"/>
    <w:rsid w:val="004F11F1"/>
    <w:rsid w:val="004F15F4"/>
    <w:rsid w:val="004F1C8D"/>
    <w:rsid w:val="004F206F"/>
    <w:rsid w:val="004F235B"/>
    <w:rsid w:val="004F2431"/>
    <w:rsid w:val="004F25CD"/>
    <w:rsid w:val="004F2720"/>
    <w:rsid w:val="004F2871"/>
    <w:rsid w:val="004F30FD"/>
    <w:rsid w:val="004F3364"/>
    <w:rsid w:val="004F34D8"/>
    <w:rsid w:val="004F374B"/>
    <w:rsid w:val="004F3B14"/>
    <w:rsid w:val="004F415A"/>
    <w:rsid w:val="004F41CC"/>
    <w:rsid w:val="004F42B4"/>
    <w:rsid w:val="004F57AA"/>
    <w:rsid w:val="004F57AB"/>
    <w:rsid w:val="004F589B"/>
    <w:rsid w:val="004F5E61"/>
    <w:rsid w:val="004F619D"/>
    <w:rsid w:val="004F698E"/>
    <w:rsid w:val="004F6D23"/>
    <w:rsid w:val="004F7393"/>
    <w:rsid w:val="004F7784"/>
    <w:rsid w:val="004F7991"/>
    <w:rsid w:val="004F7D22"/>
    <w:rsid w:val="004FA0AD"/>
    <w:rsid w:val="00500973"/>
    <w:rsid w:val="00500A1B"/>
    <w:rsid w:val="00500A91"/>
    <w:rsid w:val="00500D86"/>
    <w:rsid w:val="0050124C"/>
    <w:rsid w:val="00501443"/>
    <w:rsid w:val="00501B2B"/>
    <w:rsid w:val="00501DA1"/>
    <w:rsid w:val="00503280"/>
    <w:rsid w:val="005032B8"/>
    <w:rsid w:val="005039AF"/>
    <w:rsid w:val="00503EE4"/>
    <w:rsid w:val="00504F36"/>
    <w:rsid w:val="00504FCD"/>
    <w:rsid w:val="0050527B"/>
    <w:rsid w:val="005055DB"/>
    <w:rsid w:val="00505CA3"/>
    <w:rsid w:val="00505CB7"/>
    <w:rsid w:val="00505E8A"/>
    <w:rsid w:val="00505F08"/>
    <w:rsid w:val="005062DB"/>
    <w:rsid w:val="0050649B"/>
    <w:rsid w:val="00506845"/>
    <w:rsid w:val="0050718C"/>
    <w:rsid w:val="0050782B"/>
    <w:rsid w:val="0050788F"/>
    <w:rsid w:val="00507AAF"/>
    <w:rsid w:val="00507BD5"/>
    <w:rsid w:val="005102DA"/>
    <w:rsid w:val="005104CB"/>
    <w:rsid w:val="00510549"/>
    <w:rsid w:val="00510755"/>
    <w:rsid w:val="00511724"/>
    <w:rsid w:val="00511B78"/>
    <w:rsid w:val="005121A5"/>
    <w:rsid w:val="005127B0"/>
    <w:rsid w:val="00512956"/>
    <w:rsid w:val="0051299B"/>
    <w:rsid w:val="00512CAA"/>
    <w:rsid w:val="00512D56"/>
    <w:rsid w:val="00512E7A"/>
    <w:rsid w:val="005131CD"/>
    <w:rsid w:val="00513266"/>
    <w:rsid w:val="00513539"/>
    <w:rsid w:val="005139A9"/>
    <w:rsid w:val="00513E1D"/>
    <w:rsid w:val="00514315"/>
    <w:rsid w:val="00514380"/>
    <w:rsid w:val="005144BF"/>
    <w:rsid w:val="005146B8"/>
    <w:rsid w:val="005149B8"/>
    <w:rsid w:val="00514C12"/>
    <w:rsid w:val="00515473"/>
    <w:rsid w:val="005154BA"/>
    <w:rsid w:val="00515AF8"/>
    <w:rsid w:val="00515BB4"/>
    <w:rsid w:val="00515F34"/>
    <w:rsid w:val="00515F4F"/>
    <w:rsid w:val="00516841"/>
    <w:rsid w:val="00516BB0"/>
    <w:rsid w:val="00516BBC"/>
    <w:rsid w:val="00516C94"/>
    <w:rsid w:val="00516F7B"/>
    <w:rsid w:val="00517997"/>
    <w:rsid w:val="00517E87"/>
    <w:rsid w:val="005201B4"/>
    <w:rsid w:val="00520942"/>
    <w:rsid w:val="00520D27"/>
    <w:rsid w:val="00520D6B"/>
    <w:rsid w:val="00520F0C"/>
    <w:rsid w:val="005211E4"/>
    <w:rsid w:val="00521A02"/>
    <w:rsid w:val="00521A48"/>
    <w:rsid w:val="00521EEA"/>
    <w:rsid w:val="005229D0"/>
    <w:rsid w:val="00522A49"/>
    <w:rsid w:val="00522B06"/>
    <w:rsid w:val="005230E4"/>
    <w:rsid w:val="005234EB"/>
    <w:rsid w:val="0052395E"/>
    <w:rsid w:val="0052397B"/>
    <w:rsid w:val="00523A0E"/>
    <w:rsid w:val="0052426C"/>
    <w:rsid w:val="005242F2"/>
    <w:rsid w:val="005243CC"/>
    <w:rsid w:val="00524D8A"/>
    <w:rsid w:val="00524DD4"/>
    <w:rsid w:val="0052526C"/>
    <w:rsid w:val="00525C3B"/>
    <w:rsid w:val="005260EA"/>
    <w:rsid w:val="005262BC"/>
    <w:rsid w:val="005264C2"/>
    <w:rsid w:val="00526D45"/>
    <w:rsid w:val="00526E90"/>
    <w:rsid w:val="00526EBB"/>
    <w:rsid w:val="00527080"/>
    <w:rsid w:val="00527462"/>
    <w:rsid w:val="00530186"/>
    <w:rsid w:val="005305FC"/>
    <w:rsid w:val="005306B5"/>
    <w:rsid w:val="0053093D"/>
    <w:rsid w:val="005309B4"/>
    <w:rsid w:val="00530D38"/>
    <w:rsid w:val="005311F9"/>
    <w:rsid w:val="005315CB"/>
    <w:rsid w:val="005318F2"/>
    <w:rsid w:val="0053244F"/>
    <w:rsid w:val="00532637"/>
    <w:rsid w:val="00532BE6"/>
    <w:rsid w:val="00532E10"/>
    <w:rsid w:val="00533051"/>
    <w:rsid w:val="00533222"/>
    <w:rsid w:val="005332D0"/>
    <w:rsid w:val="005338F2"/>
    <w:rsid w:val="00533974"/>
    <w:rsid w:val="00533D21"/>
    <w:rsid w:val="00534045"/>
    <w:rsid w:val="00534049"/>
    <w:rsid w:val="00534434"/>
    <w:rsid w:val="00534646"/>
    <w:rsid w:val="00534C58"/>
    <w:rsid w:val="00535002"/>
    <w:rsid w:val="005352C7"/>
    <w:rsid w:val="00535445"/>
    <w:rsid w:val="00535470"/>
    <w:rsid w:val="005359E5"/>
    <w:rsid w:val="00535EAA"/>
    <w:rsid w:val="00536052"/>
    <w:rsid w:val="00536117"/>
    <w:rsid w:val="00536B92"/>
    <w:rsid w:val="00536C21"/>
    <w:rsid w:val="00536FCA"/>
    <w:rsid w:val="0053767E"/>
    <w:rsid w:val="00537791"/>
    <w:rsid w:val="005377F9"/>
    <w:rsid w:val="005378CC"/>
    <w:rsid w:val="00537D8D"/>
    <w:rsid w:val="00537ECC"/>
    <w:rsid w:val="005413F0"/>
    <w:rsid w:val="0054196F"/>
    <w:rsid w:val="005419CD"/>
    <w:rsid w:val="00541C2F"/>
    <w:rsid w:val="00542099"/>
    <w:rsid w:val="00542A32"/>
    <w:rsid w:val="00543079"/>
    <w:rsid w:val="0054307D"/>
    <w:rsid w:val="00543143"/>
    <w:rsid w:val="00543AFC"/>
    <w:rsid w:val="00543B9C"/>
    <w:rsid w:val="00543E8B"/>
    <w:rsid w:val="00543EA3"/>
    <w:rsid w:val="00544030"/>
    <w:rsid w:val="005442A1"/>
    <w:rsid w:val="00544A88"/>
    <w:rsid w:val="00544AED"/>
    <w:rsid w:val="00544FD3"/>
    <w:rsid w:val="00545016"/>
    <w:rsid w:val="005450C4"/>
    <w:rsid w:val="0054524F"/>
    <w:rsid w:val="00545A63"/>
    <w:rsid w:val="005460FD"/>
    <w:rsid w:val="0054645C"/>
    <w:rsid w:val="00546472"/>
    <w:rsid w:val="005465B5"/>
    <w:rsid w:val="0054677A"/>
    <w:rsid w:val="005467EC"/>
    <w:rsid w:val="00547658"/>
    <w:rsid w:val="00547985"/>
    <w:rsid w:val="005479B9"/>
    <w:rsid w:val="00550418"/>
    <w:rsid w:val="00550A8C"/>
    <w:rsid w:val="00550AE9"/>
    <w:rsid w:val="00550EEF"/>
    <w:rsid w:val="0055117E"/>
    <w:rsid w:val="005512FA"/>
    <w:rsid w:val="005514F1"/>
    <w:rsid w:val="00551C67"/>
    <w:rsid w:val="00551F97"/>
    <w:rsid w:val="005524D2"/>
    <w:rsid w:val="005527FB"/>
    <w:rsid w:val="00552868"/>
    <w:rsid w:val="00552958"/>
    <w:rsid w:val="00552BE9"/>
    <w:rsid w:val="00552FA7"/>
    <w:rsid w:val="005531DF"/>
    <w:rsid w:val="005539BB"/>
    <w:rsid w:val="00553AF0"/>
    <w:rsid w:val="00553BE0"/>
    <w:rsid w:val="00554136"/>
    <w:rsid w:val="00554469"/>
    <w:rsid w:val="005544E6"/>
    <w:rsid w:val="0055456C"/>
    <w:rsid w:val="00554694"/>
    <w:rsid w:val="0055472C"/>
    <w:rsid w:val="00554A63"/>
    <w:rsid w:val="00555E32"/>
    <w:rsid w:val="005561FE"/>
    <w:rsid w:val="00556C60"/>
    <w:rsid w:val="0055717A"/>
    <w:rsid w:val="005576B1"/>
    <w:rsid w:val="00557BB8"/>
    <w:rsid w:val="00560343"/>
    <w:rsid w:val="005608E8"/>
    <w:rsid w:val="00560D54"/>
    <w:rsid w:val="00560EC8"/>
    <w:rsid w:val="00561758"/>
    <w:rsid w:val="00561BCA"/>
    <w:rsid w:val="00561D43"/>
    <w:rsid w:val="005620CB"/>
    <w:rsid w:val="005621FC"/>
    <w:rsid w:val="0056282F"/>
    <w:rsid w:val="00562EA4"/>
    <w:rsid w:val="0056358D"/>
    <w:rsid w:val="005635E2"/>
    <w:rsid w:val="00563619"/>
    <w:rsid w:val="005636EB"/>
    <w:rsid w:val="00563768"/>
    <w:rsid w:val="0056386F"/>
    <w:rsid w:val="005640A8"/>
    <w:rsid w:val="005647E4"/>
    <w:rsid w:val="00564FAA"/>
    <w:rsid w:val="00565194"/>
    <w:rsid w:val="005651B8"/>
    <w:rsid w:val="00565490"/>
    <w:rsid w:val="00565AFA"/>
    <w:rsid w:val="00565B82"/>
    <w:rsid w:val="00565FD0"/>
    <w:rsid w:val="0056620D"/>
    <w:rsid w:val="005666C0"/>
    <w:rsid w:val="0056680B"/>
    <w:rsid w:val="005669F9"/>
    <w:rsid w:val="00566CD3"/>
    <w:rsid w:val="00566D12"/>
    <w:rsid w:val="00566D2C"/>
    <w:rsid w:val="00566D48"/>
    <w:rsid w:val="00566DCD"/>
    <w:rsid w:val="00566ECF"/>
    <w:rsid w:val="005671F4"/>
    <w:rsid w:val="00567279"/>
    <w:rsid w:val="00567382"/>
    <w:rsid w:val="00570254"/>
    <w:rsid w:val="00570E37"/>
    <w:rsid w:val="00571087"/>
    <w:rsid w:val="005712AC"/>
    <w:rsid w:val="00571692"/>
    <w:rsid w:val="00571A0C"/>
    <w:rsid w:val="00571DBC"/>
    <w:rsid w:val="005720F7"/>
    <w:rsid w:val="00572BE4"/>
    <w:rsid w:val="00572C97"/>
    <w:rsid w:val="00572EAB"/>
    <w:rsid w:val="005739D3"/>
    <w:rsid w:val="00574033"/>
    <w:rsid w:val="005746A1"/>
    <w:rsid w:val="00574A6A"/>
    <w:rsid w:val="00574D6A"/>
    <w:rsid w:val="005752FB"/>
    <w:rsid w:val="005753D1"/>
    <w:rsid w:val="005756F2"/>
    <w:rsid w:val="00575A3A"/>
    <w:rsid w:val="00576BD9"/>
    <w:rsid w:val="005779B9"/>
    <w:rsid w:val="00577B6E"/>
    <w:rsid w:val="00577D02"/>
    <w:rsid w:val="00577F32"/>
    <w:rsid w:val="00580323"/>
    <w:rsid w:val="005806C1"/>
    <w:rsid w:val="005808CB"/>
    <w:rsid w:val="00580A36"/>
    <w:rsid w:val="00580A6D"/>
    <w:rsid w:val="0058118A"/>
    <w:rsid w:val="0058151E"/>
    <w:rsid w:val="0058160F"/>
    <w:rsid w:val="00581A92"/>
    <w:rsid w:val="00581DAF"/>
    <w:rsid w:val="00581FC4"/>
    <w:rsid w:val="005824C7"/>
    <w:rsid w:val="00582719"/>
    <w:rsid w:val="0058286A"/>
    <w:rsid w:val="00583185"/>
    <w:rsid w:val="005833DD"/>
    <w:rsid w:val="00583511"/>
    <w:rsid w:val="005835A5"/>
    <w:rsid w:val="0058382D"/>
    <w:rsid w:val="005838CC"/>
    <w:rsid w:val="00583C2F"/>
    <w:rsid w:val="00583D3C"/>
    <w:rsid w:val="00584534"/>
    <w:rsid w:val="0058463E"/>
    <w:rsid w:val="0058484F"/>
    <w:rsid w:val="00584924"/>
    <w:rsid w:val="00584A16"/>
    <w:rsid w:val="00584A45"/>
    <w:rsid w:val="0058550D"/>
    <w:rsid w:val="00585A69"/>
    <w:rsid w:val="00585B9A"/>
    <w:rsid w:val="00585C84"/>
    <w:rsid w:val="00585D0E"/>
    <w:rsid w:val="00585F86"/>
    <w:rsid w:val="005862A8"/>
    <w:rsid w:val="00587605"/>
    <w:rsid w:val="00587A0D"/>
    <w:rsid w:val="00587A2D"/>
    <w:rsid w:val="00587C99"/>
    <w:rsid w:val="00587E55"/>
    <w:rsid w:val="00587E74"/>
    <w:rsid w:val="005900D0"/>
    <w:rsid w:val="005901A6"/>
    <w:rsid w:val="005901BD"/>
    <w:rsid w:val="00590330"/>
    <w:rsid w:val="005903CD"/>
    <w:rsid w:val="005905E2"/>
    <w:rsid w:val="00590AB3"/>
    <w:rsid w:val="00590BA5"/>
    <w:rsid w:val="00590DB7"/>
    <w:rsid w:val="0059180C"/>
    <w:rsid w:val="00591A85"/>
    <w:rsid w:val="00591B03"/>
    <w:rsid w:val="00591C39"/>
    <w:rsid w:val="00591CA5"/>
    <w:rsid w:val="00591CE0"/>
    <w:rsid w:val="00591E9E"/>
    <w:rsid w:val="0059234D"/>
    <w:rsid w:val="005926F1"/>
    <w:rsid w:val="00592C47"/>
    <w:rsid w:val="005933D9"/>
    <w:rsid w:val="005934D0"/>
    <w:rsid w:val="00593A58"/>
    <w:rsid w:val="00593AAF"/>
    <w:rsid w:val="00593B44"/>
    <w:rsid w:val="00594656"/>
    <w:rsid w:val="005948F9"/>
    <w:rsid w:val="00594C4D"/>
    <w:rsid w:val="00594CAC"/>
    <w:rsid w:val="00594EA1"/>
    <w:rsid w:val="00594EB1"/>
    <w:rsid w:val="00594F54"/>
    <w:rsid w:val="00595579"/>
    <w:rsid w:val="005955CD"/>
    <w:rsid w:val="005957EA"/>
    <w:rsid w:val="00595E9B"/>
    <w:rsid w:val="005963DD"/>
    <w:rsid w:val="005966A8"/>
    <w:rsid w:val="00596E5E"/>
    <w:rsid w:val="00597426"/>
    <w:rsid w:val="005977FD"/>
    <w:rsid w:val="005978DD"/>
    <w:rsid w:val="00597B2C"/>
    <w:rsid w:val="005A075F"/>
    <w:rsid w:val="005A11F9"/>
    <w:rsid w:val="005A1202"/>
    <w:rsid w:val="005A1771"/>
    <w:rsid w:val="005A1948"/>
    <w:rsid w:val="005A1A5A"/>
    <w:rsid w:val="005A1CB8"/>
    <w:rsid w:val="005A1E65"/>
    <w:rsid w:val="005A2158"/>
    <w:rsid w:val="005A23FB"/>
    <w:rsid w:val="005A266A"/>
    <w:rsid w:val="005A2938"/>
    <w:rsid w:val="005A2E7C"/>
    <w:rsid w:val="005A36E2"/>
    <w:rsid w:val="005A4004"/>
    <w:rsid w:val="005A429F"/>
    <w:rsid w:val="005A47C2"/>
    <w:rsid w:val="005A48D1"/>
    <w:rsid w:val="005A4D03"/>
    <w:rsid w:val="005A4D1E"/>
    <w:rsid w:val="005A5103"/>
    <w:rsid w:val="005A5509"/>
    <w:rsid w:val="005A57A7"/>
    <w:rsid w:val="005A5BF0"/>
    <w:rsid w:val="005A5C2F"/>
    <w:rsid w:val="005A5D19"/>
    <w:rsid w:val="005A5D3E"/>
    <w:rsid w:val="005A660A"/>
    <w:rsid w:val="005A691A"/>
    <w:rsid w:val="005A709C"/>
    <w:rsid w:val="005A797E"/>
    <w:rsid w:val="005A7BAA"/>
    <w:rsid w:val="005A7EE6"/>
    <w:rsid w:val="005B0094"/>
    <w:rsid w:val="005B0960"/>
    <w:rsid w:val="005B0A94"/>
    <w:rsid w:val="005B10A2"/>
    <w:rsid w:val="005B139D"/>
    <w:rsid w:val="005B1455"/>
    <w:rsid w:val="005B14F3"/>
    <w:rsid w:val="005B18C8"/>
    <w:rsid w:val="005B2514"/>
    <w:rsid w:val="005B26D5"/>
    <w:rsid w:val="005B280F"/>
    <w:rsid w:val="005B2E5D"/>
    <w:rsid w:val="005B32FC"/>
    <w:rsid w:val="005B3AFE"/>
    <w:rsid w:val="005B3CB8"/>
    <w:rsid w:val="005B3E05"/>
    <w:rsid w:val="005B4066"/>
    <w:rsid w:val="005B423D"/>
    <w:rsid w:val="005B47EE"/>
    <w:rsid w:val="005B4A21"/>
    <w:rsid w:val="005B4B82"/>
    <w:rsid w:val="005B57CE"/>
    <w:rsid w:val="005B5C91"/>
    <w:rsid w:val="005B5C9E"/>
    <w:rsid w:val="005B5FFE"/>
    <w:rsid w:val="005B6449"/>
    <w:rsid w:val="005B7413"/>
    <w:rsid w:val="005B75AA"/>
    <w:rsid w:val="005B778B"/>
    <w:rsid w:val="005C00D0"/>
    <w:rsid w:val="005C0872"/>
    <w:rsid w:val="005C0BDA"/>
    <w:rsid w:val="005C1348"/>
    <w:rsid w:val="005C152D"/>
    <w:rsid w:val="005C180F"/>
    <w:rsid w:val="005C1FBC"/>
    <w:rsid w:val="005C2617"/>
    <w:rsid w:val="005C2707"/>
    <w:rsid w:val="005C27E4"/>
    <w:rsid w:val="005C2FD3"/>
    <w:rsid w:val="005C3483"/>
    <w:rsid w:val="005C3637"/>
    <w:rsid w:val="005C447E"/>
    <w:rsid w:val="005C4B24"/>
    <w:rsid w:val="005C51C9"/>
    <w:rsid w:val="005C5A01"/>
    <w:rsid w:val="005C5F1C"/>
    <w:rsid w:val="005C61FB"/>
    <w:rsid w:val="005C6592"/>
    <w:rsid w:val="005C67B0"/>
    <w:rsid w:val="005C69F1"/>
    <w:rsid w:val="005C6D81"/>
    <w:rsid w:val="005C70D6"/>
    <w:rsid w:val="005D0083"/>
    <w:rsid w:val="005D0189"/>
    <w:rsid w:val="005D0547"/>
    <w:rsid w:val="005D0680"/>
    <w:rsid w:val="005D0BCC"/>
    <w:rsid w:val="005D0BFA"/>
    <w:rsid w:val="005D2293"/>
    <w:rsid w:val="005D2906"/>
    <w:rsid w:val="005D293A"/>
    <w:rsid w:val="005D2EC6"/>
    <w:rsid w:val="005D2EFF"/>
    <w:rsid w:val="005D324B"/>
    <w:rsid w:val="005D32EC"/>
    <w:rsid w:val="005D3BFD"/>
    <w:rsid w:val="005D3E5B"/>
    <w:rsid w:val="005D44DB"/>
    <w:rsid w:val="005D45D0"/>
    <w:rsid w:val="005D4970"/>
    <w:rsid w:val="005D4977"/>
    <w:rsid w:val="005D577E"/>
    <w:rsid w:val="005D5EDC"/>
    <w:rsid w:val="005D5EF6"/>
    <w:rsid w:val="005D629F"/>
    <w:rsid w:val="005D6865"/>
    <w:rsid w:val="005D6AD5"/>
    <w:rsid w:val="005D70ED"/>
    <w:rsid w:val="005D7266"/>
    <w:rsid w:val="005D763A"/>
    <w:rsid w:val="005D7659"/>
    <w:rsid w:val="005D779A"/>
    <w:rsid w:val="005D7B5F"/>
    <w:rsid w:val="005D7BD3"/>
    <w:rsid w:val="005D7C70"/>
    <w:rsid w:val="005D7CA3"/>
    <w:rsid w:val="005D7E11"/>
    <w:rsid w:val="005E005F"/>
    <w:rsid w:val="005E01AF"/>
    <w:rsid w:val="005E0F98"/>
    <w:rsid w:val="005E10A6"/>
    <w:rsid w:val="005E127E"/>
    <w:rsid w:val="005E2391"/>
    <w:rsid w:val="005E252E"/>
    <w:rsid w:val="005E267F"/>
    <w:rsid w:val="005E297E"/>
    <w:rsid w:val="005E29FD"/>
    <w:rsid w:val="005E2A7D"/>
    <w:rsid w:val="005E2F04"/>
    <w:rsid w:val="005E3150"/>
    <w:rsid w:val="005E319A"/>
    <w:rsid w:val="005E356B"/>
    <w:rsid w:val="005E3BB0"/>
    <w:rsid w:val="005E3C57"/>
    <w:rsid w:val="005E3CA1"/>
    <w:rsid w:val="005E45C1"/>
    <w:rsid w:val="005E4891"/>
    <w:rsid w:val="005E4C62"/>
    <w:rsid w:val="005E5127"/>
    <w:rsid w:val="005E514F"/>
    <w:rsid w:val="005E5C0D"/>
    <w:rsid w:val="005E5DF2"/>
    <w:rsid w:val="005E5F61"/>
    <w:rsid w:val="005E6124"/>
    <w:rsid w:val="005E6250"/>
    <w:rsid w:val="005E694D"/>
    <w:rsid w:val="005E6A6F"/>
    <w:rsid w:val="005E6E24"/>
    <w:rsid w:val="005E6F8C"/>
    <w:rsid w:val="005E73F7"/>
    <w:rsid w:val="005E7677"/>
    <w:rsid w:val="005E77A6"/>
    <w:rsid w:val="005EFBA6"/>
    <w:rsid w:val="005F00AE"/>
    <w:rsid w:val="005F02E8"/>
    <w:rsid w:val="005F0F1D"/>
    <w:rsid w:val="005F1188"/>
    <w:rsid w:val="005F123D"/>
    <w:rsid w:val="005F2456"/>
    <w:rsid w:val="005F26D1"/>
    <w:rsid w:val="005F28C1"/>
    <w:rsid w:val="005F2A28"/>
    <w:rsid w:val="005F335E"/>
    <w:rsid w:val="005F370F"/>
    <w:rsid w:val="005F37F9"/>
    <w:rsid w:val="005F4009"/>
    <w:rsid w:val="005F4345"/>
    <w:rsid w:val="005F4599"/>
    <w:rsid w:val="005F5376"/>
    <w:rsid w:val="005F53C5"/>
    <w:rsid w:val="005F58DD"/>
    <w:rsid w:val="005F60BB"/>
    <w:rsid w:val="005F6101"/>
    <w:rsid w:val="005F648D"/>
    <w:rsid w:val="005F65E2"/>
    <w:rsid w:val="005F66E0"/>
    <w:rsid w:val="005F697E"/>
    <w:rsid w:val="005F6A9A"/>
    <w:rsid w:val="005F710D"/>
    <w:rsid w:val="005F712F"/>
    <w:rsid w:val="005F77CB"/>
    <w:rsid w:val="005F7EE5"/>
    <w:rsid w:val="005F7F66"/>
    <w:rsid w:val="005FAD3C"/>
    <w:rsid w:val="00600130"/>
    <w:rsid w:val="00600187"/>
    <w:rsid w:val="0060024E"/>
    <w:rsid w:val="0060099A"/>
    <w:rsid w:val="00600AE0"/>
    <w:rsid w:val="00600C4E"/>
    <w:rsid w:val="0060138B"/>
    <w:rsid w:val="0060139E"/>
    <w:rsid w:val="006013B7"/>
    <w:rsid w:val="00601E48"/>
    <w:rsid w:val="006021A6"/>
    <w:rsid w:val="00602E99"/>
    <w:rsid w:val="00603288"/>
    <w:rsid w:val="00603382"/>
    <w:rsid w:val="00603726"/>
    <w:rsid w:val="00604422"/>
    <w:rsid w:val="006044EA"/>
    <w:rsid w:val="00604691"/>
    <w:rsid w:val="00604F26"/>
    <w:rsid w:val="00604FC6"/>
    <w:rsid w:val="006050F8"/>
    <w:rsid w:val="00605293"/>
    <w:rsid w:val="006052D6"/>
    <w:rsid w:val="00606048"/>
    <w:rsid w:val="00606728"/>
    <w:rsid w:val="00606DC8"/>
    <w:rsid w:val="00606DEE"/>
    <w:rsid w:val="0060739E"/>
    <w:rsid w:val="00607AA0"/>
    <w:rsid w:val="00607B50"/>
    <w:rsid w:val="00610EA3"/>
    <w:rsid w:val="00610F7F"/>
    <w:rsid w:val="006110AE"/>
    <w:rsid w:val="006110CB"/>
    <w:rsid w:val="00611AC2"/>
    <w:rsid w:val="00612126"/>
    <w:rsid w:val="006122D2"/>
    <w:rsid w:val="00612353"/>
    <w:rsid w:val="0061251E"/>
    <w:rsid w:val="00612934"/>
    <w:rsid w:val="00612A49"/>
    <w:rsid w:val="00612BCF"/>
    <w:rsid w:val="00612BFE"/>
    <w:rsid w:val="0061305C"/>
    <w:rsid w:val="00613062"/>
    <w:rsid w:val="006131AB"/>
    <w:rsid w:val="006132E3"/>
    <w:rsid w:val="0061364B"/>
    <w:rsid w:val="0061383E"/>
    <w:rsid w:val="00614575"/>
    <w:rsid w:val="006146B5"/>
    <w:rsid w:val="006151A2"/>
    <w:rsid w:val="0061601E"/>
    <w:rsid w:val="00616E14"/>
    <w:rsid w:val="006174B1"/>
    <w:rsid w:val="006203EC"/>
    <w:rsid w:val="00620CF7"/>
    <w:rsid w:val="00621074"/>
    <w:rsid w:val="0062127B"/>
    <w:rsid w:val="00621440"/>
    <w:rsid w:val="00621BE5"/>
    <w:rsid w:val="00621E4C"/>
    <w:rsid w:val="006221D6"/>
    <w:rsid w:val="00622442"/>
    <w:rsid w:val="00622997"/>
    <w:rsid w:val="00622EB7"/>
    <w:rsid w:val="00623111"/>
    <w:rsid w:val="00623C4A"/>
    <w:rsid w:val="006245B7"/>
    <w:rsid w:val="00624623"/>
    <w:rsid w:val="00624786"/>
    <w:rsid w:val="00624D83"/>
    <w:rsid w:val="0062543A"/>
    <w:rsid w:val="00625F29"/>
    <w:rsid w:val="006260F1"/>
    <w:rsid w:val="006261C6"/>
    <w:rsid w:val="006263BC"/>
    <w:rsid w:val="00626839"/>
    <w:rsid w:val="00626A3B"/>
    <w:rsid w:val="00626B25"/>
    <w:rsid w:val="00626E02"/>
    <w:rsid w:val="0062707B"/>
    <w:rsid w:val="00627B28"/>
    <w:rsid w:val="00627CB7"/>
    <w:rsid w:val="00627F1A"/>
    <w:rsid w:val="00627F9F"/>
    <w:rsid w:val="00630618"/>
    <w:rsid w:val="00630715"/>
    <w:rsid w:val="0063074C"/>
    <w:rsid w:val="00631D34"/>
    <w:rsid w:val="00632751"/>
    <w:rsid w:val="00632D4E"/>
    <w:rsid w:val="0063321A"/>
    <w:rsid w:val="00633B1E"/>
    <w:rsid w:val="0063482C"/>
    <w:rsid w:val="00634DF3"/>
    <w:rsid w:val="00635025"/>
    <w:rsid w:val="006351CA"/>
    <w:rsid w:val="0063527B"/>
    <w:rsid w:val="00635302"/>
    <w:rsid w:val="00635535"/>
    <w:rsid w:val="00635A5A"/>
    <w:rsid w:val="00635CA4"/>
    <w:rsid w:val="00635D09"/>
    <w:rsid w:val="00635D23"/>
    <w:rsid w:val="00636131"/>
    <w:rsid w:val="00636860"/>
    <w:rsid w:val="006368BD"/>
    <w:rsid w:val="00636B8E"/>
    <w:rsid w:val="00636F2E"/>
    <w:rsid w:val="00636F3C"/>
    <w:rsid w:val="00637375"/>
    <w:rsid w:val="00637A4D"/>
    <w:rsid w:val="00637A91"/>
    <w:rsid w:val="00637BC6"/>
    <w:rsid w:val="00637BFA"/>
    <w:rsid w:val="006403B6"/>
    <w:rsid w:val="0064047F"/>
    <w:rsid w:val="006404A8"/>
    <w:rsid w:val="00640942"/>
    <w:rsid w:val="00641055"/>
    <w:rsid w:val="0064121E"/>
    <w:rsid w:val="006412E0"/>
    <w:rsid w:val="00641336"/>
    <w:rsid w:val="0064140C"/>
    <w:rsid w:val="00641547"/>
    <w:rsid w:val="00641ADE"/>
    <w:rsid w:val="00641CF9"/>
    <w:rsid w:val="006421E0"/>
    <w:rsid w:val="00642C32"/>
    <w:rsid w:val="00642C67"/>
    <w:rsid w:val="00643684"/>
    <w:rsid w:val="006436F6"/>
    <w:rsid w:val="006439B2"/>
    <w:rsid w:val="00643A78"/>
    <w:rsid w:val="00643BE2"/>
    <w:rsid w:val="00643F35"/>
    <w:rsid w:val="006442A7"/>
    <w:rsid w:val="00644647"/>
    <w:rsid w:val="00644CDF"/>
    <w:rsid w:val="00645DF9"/>
    <w:rsid w:val="00645F16"/>
    <w:rsid w:val="006462E5"/>
    <w:rsid w:val="00646338"/>
    <w:rsid w:val="0064638A"/>
    <w:rsid w:val="00646424"/>
    <w:rsid w:val="00646442"/>
    <w:rsid w:val="00646514"/>
    <w:rsid w:val="006465DD"/>
    <w:rsid w:val="00646691"/>
    <w:rsid w:val="006466D1"/>
    <w:rsid w:val="006469F6"/>
    <w:rsid w:val="00646E2B"/>
    <w:rsid w:val="00646F56"/>
    <w:rsid w:val="006470A7"/>
    <w:rsid w:val="00647443"/>
    <w:rsid w:val="00647659"/>
    <w:rsid w:val="006508B8"/>
    <w:rsid w:val="00650ECA"/>
    <w:rsid w:val="00651660"/>
    <w:rsid w:val="006518FB"/>
    <w:rsid w:val="00651ADB"/>
    <w:rsid w:val="00651B3C"/>
    <w:rsid w:val="00651BA9"/>
    <w:rsid w:val="00651F4A"/>
    <w:rsid w:val="006520A4"/>
    <w:rsid w:val="006520F8"/>
    <w:rsid w:val="006521C8"/>
    <w:rsid w:val="006521D8"/>
    <w:rsid w:val="006527BE"/>
    <w:rsid w:val="00652B74"/>
    <w:rsid w:val="00652BB6"/>
    <w:rsid w:val="00652F32"/>
    <w:rsid w:val="00653717"/>
    <w:rsid w:val="00653DB0"/>
    <w:rsid w:val="00653EA4"/>
    <w:rsid w:val="00653F1B"/>
    <w:rsid w:val="006541C0"/>
    <w:rsid w:val="00654452"/>
    <w:rsid w:val="00654511"/>
    <w:rsid w:val="00654726"/>
    <w:rsid w:val="00654E14"/>
    <w:rsid w:val="00654E7A"/>
    <w:rsid w:val="00655BAE"/>
    <w:rsid w:val="00656880"/>
    <w:rsid w:val="00657422"/>
    <w:rsid w:val="00657548"/>
    <w:rsid w:val="00657571"/>
    <w:rsid w:val="00657BE3"/>
    <w:rsid w:val="006600D2"/>
    <w:rsid w:val="0066042F"/>
    <w:rsid w:val="006605A8"/>
    <w:rsid w:val="00660785"/>
    <w:rsid w:val="006615C1"/>
    <w:rsid w:val="00661C54"/>
    <w:rsid w:val="00662306"/>
    <w:rsid w:val="0066238D"/>
    <w:rsid w:val="00662955"/>
    <w:rsid w:val="006629EB"/>
    <w:rsid w:val="00663068"/>
    <w:rsid w:val="006631E6"/>
    <w:rsid w:val="00663302"/>
    <w:rsid w:val="006634A5"/>
    <w:rsid w:val="006635C3"/>
    <w:rsid w:val="00663682"/>
    <w:rsid w:val="0066368A"/>
    <w:rsid w:val="006637B0"/>
    <w:rsid w:val="0066401B"/>
    <w:rsid w:val="0066407C"/>
    <w:rsid w:val="00664433"/>
    <w:rsid w:val="00664CCD"/>
    <w:rsid w:val="00664F12"/>
    <w:rsid w:val="0066508D"/>
    <w:rsid w:val="00665242"/>
    <w:rsid w:val="006659FB"/>
    <w:rsid w:val="006669D6"/>
    <w:rsid w:val="006670F5"/>
    <w:rsid w:val="00667200"/>
    <w:rsid w:val="00670589"/>
    <w:rsid w:val="00670ED5"/>
    <w:rsid w:val="006710B2"/>
    <w:rsid w:val="006713A7"/>
    <w:rsid w:val="00671595"/>
    <w:rsid w:val="00671AC3"/>
    <w:rsid w:val="00671B03"/>
    <w:rsid w:val="00671C26"/>
    <w:rsid w:val="00671F51"/>
    <w:rsid w:val="00672427"/>
    <w:rsid w:val="00672785"/>
    <w:rsid w:val="00672813"/>
    <w:rsid w:val="00673554"/>
    <w:rsid w:val="00673C97"/>
    <w:rsid w:val="00673C98"/>
    <w:rsid w:val="00673D94"/>
    <w:rsid w:val="00673DA5"/>
    <w:rsid w:val="00673DB5"/>
    <w:rsid w:val="00673EDE"/>
    <w:rsid w:val="0067411E"/>
    <w:rsid w:val="00674454"/>
    <w:rsid w:val="006748DB"/>
    <w:rsid w:val="0067565D"/>
    <w:rsid w:val="006756BD"/>
    <w:rsid w:val="00675BCB"/>
    <w:rsid w:val="006761A7"/>
    <w:rsid w:val="006765B0"/>
    <w:rsid w:val="006772F6"/>
    <w:rsid w:val="0067753F"/>
    <w:rsid w:val="00677C7D"/>
    <w:rsid w:val="00680558"/>
    <w:rsid w:val="00680A78"/>
    <w:rsid w:val="00681295"/>
    <w:rsid w:val="006813C2"/>
    <w:rsid w:val="0068141B"/>
    <w:rsid w:val="0068147D"/>
    <w:rsid w:val="0068167E"/>
    <w:rsid w:val="006817B0"/>
    <w:rsid w:val="00681B0A"/>
    <w:rsid w:val="00682C3E"/>
    <w:rsid w:val="00682C7F"/>
    <w:rsid w:val="00682DE6"/>
    <w:rsid w:val="00683235"/>
    <w:rsid w:val="006833E2"/>
    <w:rsid w:val="00683912"/>
    <w:rsid w:val="00683A26"/>
    <w:rsid w:val="00683C4A"/>
    <w:rsid w:val="00683D87"/>
    <w:rsid w:val="0068407B"/>
    <w:rsid w:val="006842AA"/>
    <w:rsid w:val="006847E4"/>
    <w:rsid w:val="00684BF8"/>
    <w:rsid w:val="00684E9D"/>
    <w:rsid w:val="00684EB5"/>
    <w:rsid w:val="0068501E"/>
    <w:rsid w:val="006850B7"/>
    <w:rsid w:val="00685591"/>
    <w:rsid w:val="006855AF"/>
    <w:rsid w:val="00685CD4"/>
    <w:rsid w:val="00686A4C"/>
    <w:rsid w:val="00686D07"/>
    <w:rsid w:val="006872B5"/>
    <w:rsid w:val="00687C7F"/>
    <w:rsid w:val="00687CC7"/>
    <w:rsid w:val="006901CA"/>
    <w:rsid w:val="006906BB"/>
    <w:rsid w:val="00690EEC"/>
    <w:rsid w:val="00691629"/>
    <w:rsid w:val="00691657"/>
    <w:rsid w:val="006918E8"/>
    <w:rsid w:val="00691AEA"/>
    <w:rsid w:val="00691D4B"/>
    <w:rsid w:val="00691DB5"/>
    <w:rsid w:val="00691EB6"/>
    <w:rsid w:val="00691F94"/>
    <w:rsid w:val="00692349"/>
    <w:rsid w:val="0069253C"/>
    <w:rsid w:val="00692A0A"/>
    <w:rsid w:val="00692B4A"/>
    <w:rsid w:val="0069364F"/>
    <w:rsid w:val="006938C4"/>
    <w:rsid w:val="00693C4D"/>
    <w:rsid w:val="006940CC"/>
    <w:rsid w:val="0069431A"/>
    <w:rsid w:val="0069444F"/>
    <w:rsid w:val="0069488E"/>
    <w:rsid w:val="0069494B"/>
    <w:rsid w:val="006950A9"/>
    <w:rsid w:val="0069512B"/>
    <w:rsid w:val="006955F1"/>
    <w:rsid w:val="00695AD3"/>
    <w:rsid w:val="00695D54"/>
    <w:rsid w:val="00696075"/>
    <w:rsid w:val="006960E7"/>
    <w:rsid w:val="0069723B"/>
    <w:rsid w:val="0069770A"/>
    <w:rsid w:val="006979D4"/>
    <w:rsid w:val="00697B79"/>
    <w:rsid w:val="00697C71"/>
    <w:rsid w:val="00697D54"/>
    <w:rsid w:val="00697FF5"/>
    <w:rsid w:val="006A05FE"/>
    <w:rsid w:val="006A093D"/>
    <w:rsid w:val="006A0B1C"/>
    <w:rsid w:val="006A0FAA"/>
    <w:rsid w:val="006A1274"/>
    <w:rsid w:val="006A1CF3"/>
    <w:rsid w:val="006A1FAB"/>
    <w:rsid w:val="006A1FE0"/>
    <w:rsid w:val="006A2C58"/>
    <w:rsid w:val="006A2C74"/>
    <w:rsid w:val="006A328A"/>
    <w:rsid w:val="006A33F1"/>
    <w:rsid w:val="006A3E20"/>
    <w:rsid w:val="006A4449"/>
    <w:rsid w:val="006A5D0A"/>
    <w:rsid w:val="006A5E60"/>
    <w:rsid w:val="006A63CF"/>
    <w:rsid w:val="006A648A"/>
    <w:rsid w:val="006A67FB"/>
    <w:rsid w:val="006A6C84"/>
    <w:rsid w:val="006A6EF3"/>
    <w:rsid w:val="006A74F6"/>
    <w:rsid w:val="006A7E4C"/>
    <w:rsid w:val="006A7F67"/>
    <w:rsid w:val="006B004D"/>
    <w:rsid w:val="006B0208"/>
    <w:rsid w:val="006B02D3"/>
    <w:rsid w:val="006B069D"/>
    <w:rsid w:val="006B0AD7"/>
    <w:rsid w:val="006B0BE4"/>
    <w:rsid w:val="006B0E00"/>
    <w:rsid w:val="006B126B"/>
    <w:rsid w:val="006B1C0D"/>
    <w:rsid w:val="006B1C7C"/>
    <w:rsid w:val="006B22D9"/>
    <w:rsid w:val="006B2B4A"/>
    <w:rsid w:val="006B2E48"/>
    <w:rsid w:val="006B3143"/>
    <w:rsid w:val="006B37CE"/>
    <w:rsid w:val="006B3984"/>
    <w:rsid w:val="006B4085"/>
    <w:rsid w:val="006B40A5"/>
    <w:rsid w:val="006B4291"/>
    <w:rsid w:val="006B43FA"/>
    <w:rsid w:val="006B44CD"/>
    <w:rsid w:val="006B44D2"/>
    <w:rsid w:val="006B4580"/>
    <w:rsid w:val="006B46E8"/>
    <w:rsid w:val="006B4705"/>
    <w:rsid w:val="006B4D1D"/>
    <w:rsid w:val="006B4DF9"/>
    <w:rsid w:val="006B4E0E"/>
    <w:rsid w:val="006B5214"/>
    <w:rsid w:val="006B53F4"/>
    <w:rsid w:val="006B5947"/>
    <w:rsid w:val="006B59AA"/>
    <w:rsid w:val="006B5BD7"/>
    <w:rsid w:val="006B5C3B"/>
    <w:rsid w:val="006B607A"/>
    <w:rsid w:val="006B683C"/>
    <w:rsid w:val="006B6ABE"/>
    <w:rsid w:val="006B7375"/>
    <w:rsid w:val="006B7F37"/>
    <w:rsid w:val="006B7F47"/>
    <w:rsid w:val="006C00E2"/>
    <w:rsid w:val="006C04D1"/>
    <w:rsid w:val="006C0598"/>
    <w:rsid w:val="006C0770"/>
    <w:rsid w:val="006C0924"/>
    <w:rsid w:val="006C0BEA"/>
    <w:rsid w:val="006C14BB"/>
    <w:rsid w:val="006C1C28"/>
    <w:rsid w:val="006C1D10"/>
    <w:rsid w:val="006C1F91"/>
    <w:rsid w:val="006C28BD"/>
    <w:rsid w:val="006C2A39"/>
    <w:rsid w:val="006C328A"/>
    <w:rsid w:val="006C338C"/>
    <w:rsid w:val="006C37B3"/>
    <w:rsid w:val="006C3847"/>
    <w:rsid w:val="006C3A39"/>
    <w:rsid w:val="006C437D"/>
    <w:rsid w:val="006C472A"/>
    <w:rsid w:val="006C4C1F"/>
    <w:rsid w:val="006C5005"/>
    <w:rsid w:val="006C5516"/>
    <w:rsid w:val="006C5535"/>
    <w:rsid w:val="006C5C06"/>
    <w:rsid w:val="006C5D75"/>
    <w:rsid w:val="006C5D96"/>
    <w:rsid w:val="006C6138"/>
    <w:rsid w:val="006C664A"/>
    <w:rsid w:val="006C6A96"/>
    <w:rsid w:val="006C6B72"/>
    <w:rsid w:val="006C72CA"/>
    <w:rsid w:val="006C7953"/>
    <w:rsid w:val="006CD432"/>
    <w:rsid w:val="006D001F"/>
    <w:rsid w:val="006D0093"/>
    <w:rsid w:val="006D0127"/>
    <w:rsid w:val="006D0184"/>
    <w:rsid w:val="006D02D0"/>
    <w:rsid w:val="006D0EC5"/>
    <w:rsid w:val="006D1093"/>
    <w:rsid w:val="006D1FB9"/>
    <w:rsid w:val="006D2036"/>
    <w:rsid w:val="006D2580"/>
    <w:rsid w:val="006D2D2D"/>
    <w:rsid w:val="006D2D6F"/>
    <w:rsid w:val="006D2E23"/>
    <w:rsid w:val="006D2F7C"/>
    <w:rsid w:val="006D2FBB"/>
    <w:rsid w:val="006D3043"/>
    <w:rsid w:val="006D37FF"/>
    <w:rsid w:val="006D3BD8"/>
    <w:rsid w:val="006D3F96"/>
    <w:rsid w:val="006D48B4"/>
    <w:rsid w:val="006D4FB8"/>
    <w:rsid w:val="006D517E"/>
    <w:rsid w:val="006D5696"/>
    <w:rsid w:val="006D5934"/>
    <w:rsid w:val="006D5FAE"/>
    <w:rsid w:val="006D628C"/>
    <w:rsid w:val="006D6488"/>
    <w:rsid w:val="006D64C0"/>
    <w:rsid w:val="006D651C"/>
    <w:rsid w:val="006D6520"/>
    <w:rsid w:val="006D6771"/>
    <w:rsid w:val="006D695D"/>
    <w:rsid w:val="006D6D9F"/>
    <w:rsid w:val="006E020E"/>
    <w:rsid w:val="006E0262"/>
    <w:rsid w:val="006E0767"/>
    <w:rsid w:val="006E07B8"/>
    <w:rsid w:val="006E0B59"/>
    <w:rsid w:val="006E0BEB"/>
    <w:rsid w:val="006E0DEA"/>
    <w:rsid w:val="006E13B2"/>
    <w:rsid w:val="006E1828"/>
    <w:rsid w:val="006E19B8"/>
    <w:rsid w:val="006E1EF1"/>
    <w:rsid w:val="006E21D8"/>
    <w:rsid w:val="006E2412"/>
    <w:rsid w:val="006E2FE0"/>
    <w:rsid w:val="006E3094"/>
    <w:rsid w:val="006E30D6"/>
    <w:rsid w:val="006E327C"/>
    <w:rsid w:val="006E332C"/>
    <w:rsid w:val="006E38B9"/>
    <w:rsid w:val="006E3A7D"/>
    <w:rsid w:val="006E3BEC"/>
    <w:rsid w:val="006E47D7"/>
    <w:rsid w:val="006E4B06"/>
    <w:rsid w:val="006E5634"/>
    <w:rsid w:val="006E5673"/>
    <w:rsid w:val="006E5D20"/>
    <w:rsid w:val="006E6078"/>
    <w:rsid w:val="006E656B"/>
    <w:rsid w:val="006E65A7"/>
    <w:rsid w:val="006E65C8"/>
    <w:rsid w:val="006E7084"/>
    <w:rsid w:val="006E7237"/>
    <w:rsid w:val="006E7498"/>
    <w:rsid w:val="006E74C3"/>
    <w:rsid w:val="006E7EC6"/>
    <w:rsid w:val="006F00D9"/>
    <w:rsid w:val="006F02DD"/>
    <w:rsid w:val="006F039D"/>
    <w:rsid w:val="006F0840"/>
    <w:rsid w:val="006F16A3"/>
    <w:rsid w:val="006F16A4"/>
    <w:rsid w:val="006F1CE5"/>
    <w:rsid w:val="006F2218"/>
    <w:rsid w:val="006F23A6"/>
    <w:rsid w:val="006F24DD"/>
    <w:rsid w:val="006F2599"/>
    <w:rsid w:val="006F2720"/>
    <w:rsid w:val="006F2BE1"/>
    <w:rsid w:val="006F33C3"/>
    <w:rsid w:val="006F3486"/>
    <w:rsid w:val="006F3D08"/>
    <w:rsid w:val="006F3D9D"/>
    <w:rsid w:val="006F3F39"/>
    <w:rsid w:val="006F405C"/>
    <w:rsid w:val="006F49D6"/>
    <w:rsid w:val="006F50A4"/>
    <w:rsid w:val="006F5A3D"/>
    <w:rsid w:val="006F5B04"/>
    <w:rsid w:val="006F5DAD"/>
    <w:rsid w:val="006F658C"/>
    <w:rsid w:val="006F6A62"/>
    <w:rsid w:val="006F6E1F"/>
    <w:rsid w:val="006F7A34"/>
    <w:rsid w:val="006F7B20"/>
    <w:rsid w:val="007001A0"/>
    <w:rsid w:val="00700622"/>
    <w:rsid w:val="00700AA4"/>
    <w:rsid w:val="00700BDE"/>
    <w:rsid w:val="00700C75"/>
    <w:rsid w:val="00700DF3"/>
    <w:rsid w:val="00700F09"/>
    <w:rsid w:val="007015A0"/>
    <w:rsid w:val="007022FF"/>
    <w:rsid w:val="0070232D"/>
    <w:rsid w:val="00702BD0"/>
    <w:rsid w:val="00702D55"/>
    <w:rsid w:val="00702F7D"/>
    <w:rsid w:val="007033BA"/>
    <w:rsid w:val="007039E2"/>
    <w:rsid w:val="00703BF7"/>
    <w:rsid w:val="00703D5D"/>
    <w:rsid w:val="007042D0"/>
    <w:rsid w:val="007045FA"/>
    <w:rsid w:val="00704F68"/>
    <w:rsid w:val="0070536D"/>
    <w:rsid w:val="007058DD"/>
    <w:rsid w:val="00705915"/>
    <w:rsid w:val="00705A2C"/>
    <w:rsid w:val="00705F92"/>
    <w:rsid w:val="00706299"/>
    <w:rsid w:val="007063FD"/>
    <w:rsid w:val="007065AE"/>
    <w:rsid w:val="007067E2"/>
    <w:rsid w:val="00706A39"/>
    <w:rsid w:val="00706A5E"/>
    <w:rsid w:val="00706BC4"/>
    <w:rsid w:val="00706EA5"/>
    <w:rsid w:val="00706F5A"/>
    <w:rsid w:val="00707436"/>
    <w:rsid w:val="007077E1"/>
    <w:rsid w:val="00710290"/>
    <w:rsid w:val="007104B4"/>
    <w:rsid w:val="007106A4"/>
    <w:rsid w:val="007108C6"/>
    <w:rsid w:val="00710A99"/>
    <w:rsid w:val="0071111A"/>
    <w:rsid w:val="00711BEB"/>
    <w:rsid w:val="00711F0E"/>
    <w:rsid w:val="00711FC1"/>
    <w:rsid w:val="00712340"/>
    <w:rsid w:val="00712383"/>
    <w:rsid w:val="00712E85"/>
    <w:rsid w:val="0071307B"/>
    <w:rsid w:val="007130EA"/>
    <w:rsid w:val="007137B8"/>
    <w:rsid w:val="00713891"/>
    <w:rsid w:val="00713CE0"/>
    <w:rsid w:val="0071456B"/>
    <w:rsid w:val="0071472E"/>
    <w:rsid w:val="00714CA3"/>
    <w:rsid w:val="00714D49"/>
    <w:rsid w:val="00715079"/>
    <w:rsid w:val="007151D3"/>
    <w:rsid w:val="00715737"/>
    <w:rsid w:val="00715981"/>
    <w:rsid w:val="00715D1B"/>
    <w:rsid w:val="00715F36"/>
    <w:rsid w:val="00716DCA"/>
    <w:rsid w:val="00716E2C"/>
    <w:rsid w:val="00716F4C"/>
    <w:rsid w:val="00717486"/>
    <w:rsid w:val="00717939"/>
    <w:rsid w:val="00717BEA"/>
    <w:rsid w:val="00717D36"/>
    <w:rsid w:val="0072042E"/>
    <w:rsid w:val="00720935"/>
    <w:rsid w:val="00720B14"/>
    <w:rsid w:val="00720BA9"/>
    <w:rsid w:val="00720E78"/>
    <w:rsid w:val="0072113E"/>
    <w:rsid w:val="00721383"/>
    <w:rsid w:val="0072141D"/>
    <w:rsid w:val="00721533"/>
    <w:rsid w:val="007216E1"/>
    <w:rsid w:val="00721755"/>
    <w:rsid w:val="00721A65"/>
    <w:rsid w:val="00721DCD"/>
    <w:rsid w:val="00722058"/>
    <w:rsid w:val="00722262"/>
    <w:rsid w:val="0072229D"/>
    <w:rsid w:val="00722BA0"/>
    <w:rsid w:val="00722C58"/>
    <w:rsid w:val="00722F4B"/>
    <w:rsid w:val="007233A1"/>
    <w:rsid w:val="00723404"/>
    <w:rsid w:val="007236CF"/>
    <w:rsid w:val="00723E36"/>
    <w:rsid w:val="00723F23"/>
    <w:rsid w:val="00723F36"/>
    <w:rsid w:val="00724017"/>
    <w:rsid w:val="00724089"/>
    <w:rsid w:val="007247FD"/>
    <w:rsid w:val="00724A0E"/>
    <w:rsid w:val="00724D80"/>
    <w:rsid w:val="00724E74"/>
    <w:rsid w:val="00724ED5"/>
    <w:rsid w:val="00724FCF"/>
    <w:rsid w:val="0072529B"/>
    <w:rsid w:val="007253CA"/>
    <w:rsid w:val="0072599C"/>
    <w:rsid w:val="00725DD2"/>
    <w:rsid w:val="00725EEE"/>
    <w:rsid w:val="00726417"/>
    <w:rsid w:val="007268FA"/>
    <w:rsid w:val="00726A5E"/>
    <w:rsid w:val="00726B29"/>
    <w:rsid w:val="00726CA9"/>
    <w:rsid w:val="00726E5D"/>
    <w:rsid w:val="0072712C"/>
    <w:rsid w:val="007278B7"/>
    <w:rsid w:val="0072794E"/>
    <w:rsid w:val="00727B30"/>
    <w:rsid w:val="00727CF6"/>
    <w:rsid w:val="00727D32"/>
    <w:rsid w:val="0073042B"/>
    <w:rsid w:val="00730520"/>
    <w:rsid w:val="007319F3"/>
    <w:rsid w:val="007324E5"/>
    <w:rsid w:val="00733065"/>
    <w:rsid w:val="00733100"/>
    <w:rsid w:val="007332DA"/>
    <w:rsid w:val="00733C67"/>
    <w:rsid w:val="007340AB"/>
    <w:rsid w:val="007345CC"/>
    <w:rsid w:val="007347E6"/>
    <w:rsid w:val="007347ED"/>
    <w:rsid w:val="007348B1"/>
    <w:rsid w:val="00734C1B"/>
    <w:rsid w:val="00735025"/>
    <w:rsid w:val="00735BAF"/>
    <w:rsid w:val="00735DB8"/>
    <w:rsid w:val="00736148"/>
    <w:rsid w:val="00736176"/>
    <w:rsid w:val="007361E1"/>
    <w:rsid w:val="00736380"/>
    <w:rsid w:val="00736A12"/>
    <w:rsid w:val="00736B8A"/>
    <w:rsid w:val="00736DE0"/>
    <w:rsid w:val="00736E54"/>
    <w:rsid w:val="00736F13"/>
    <w:rsid w:val="00736F6E"/>
    <w:rsid w:val="007372DB"/>
    <w:rsid w:val="00737440"/>
    <w:rsid w:val="007378AB"/>
    <w:rsid w:val="007379CF"/>
    <w:rsid w:val="00737BC5"/>
    <w:rsid w:val="00737D2B"/>
    <w:rsid w:val="00737E09"/>
    <w:rsid w:val="00737EF9"/>
    <w:rsid w:val="007405B3"/>
    <w:rsid w:val="00740957"/>
    <w:rsid w:val="00740FF0"/>
    <w:rsid w:val="007419F9"/>
    <w:rsid w:val="00741DFE"/>
    <w:rsid w:val="0074200F"/>
    <w:rsid w:val="0074210C"/>
    <w:rsid w:val="0074247F"/>
    <w:rsid w:val="00742D91"/>
    <w:rsid w:val="00743454"/>
    <w:rsid w:val="0074381D"/>
    <w:rsid w:val="00743900"/>
    <w:rsid w:val="00743A67"/>
    <w:rsid w:val="00743C41"/>
    <w:rsid w:val="00743FC8"/>
    <w:rsid w:val="007447B9"/>
    <w:rsid w:val="00744AB0"/>
    <w:rsid w:val="00744D6E"/>
    <w:rsid w:val="007457BF"/>
    <w:rsid w:val="007458C9"/>
    <w:rsid w:val="00745CB5"/>
    <w:rsid w:val="00746616"/>
    <w:rsid w:val="0074679C"/>
    <w:rsid w:val="007467C1"/>
    <w:rsid w:val="00746A05"/>
    <w:rsid w:val="00746C40"/>
    <w:rsid w:val="00746D51"/>
    <w:rsid w:val="00746D7E"/>
    <w:rsid w:val="00746E9D"/>
    <w:rsid w:val="00747009"/>
    <w:rsid w:val="00747084"/>
    <w:rsid w:val="00747482"/>
    <w:rsid w:val="00747A95"/>
    <w:rsid w:val="00747AA4"/>
    <w:rsid w:val="00750104"/>
    <w:rsid w:val="007501FA"/>
    <w:rsid w:val="0075060B"/>
    <w:rsid w:val="0075069E"/>
    <w:rsid w:val="007508DD"/>
    <w:rsid w:val="00750AC0"/>
    <w:rsid w:val="007514E8"/>
    <w:rsid w:val="0075157E"/>
    <w:rsid w:val="00751618"/>
    <w:rsid w:val="0075162F"/>
    <w:rsid w:val="007526B4"/>
    <w:rsid w:val="007526D0"/>
    <w:rsid w:val="0075289D"/>
    <w:rsid w:val="00752EAE"/>
    <w:rsid w:val="00753449"/>
    <w:rsid w:val="007535D4"/>
    <w:rsid w:val="00753805"/>
    <w:rsid w:val="00753BB9"/>
    <w:rsid w:val="00753F00"/>
    <w:rsid w:val="007541E4"/>
    <w:rsid w:val="00754E85"/>
    <w:rsid w:val="00754FCA"/>
    <w:rsid w:val="00755225"/>
    <w:rsid w:val="0075527D"/>
    <w:rsid w:val="007552D4"/>
    <w:rsid w:val="007553F8"/>
    <w:rsid w:val="007554B7"/>
    <w:rsid w:val="00755860"/>
    <w:rsid w:val="00755B71"/>
    <w:rsid w:val="00755D02"/>
    <w:rsid w:val="00755D09"/>
    <w:rsid w:val="00755DB8"/>
    <w:rsid w:val="007564E4"/>
    <w:rsid w:val="00757156"/>
    <w:rsid w:val="0075740B"/>
    <w:rsid w:val="00757888"/>
    <w:rsid w:val="00760049"/>
    <w:rsid w:val="007600D4"/>
    <w:rsid w:val="00760999"/>
    <w:rsid w:val="00760B75"/>
    <w:rsid w:val="007612FA"/>
    <w:rsid w:val="00761411"/>
    <w:rsid w:val="007616F9"/>
    <w:rsid w:val="00761930"/>
    <w:rsid w:val="00761984"/>
    <w:rsid w:val="00761B77"/>
    <w:rsid w:val="00761C73"/>
    <w:rsid w:val="00761D78"/>
    <w:rsid w:val="0076283B"/>
    <w:rsid w:val="00762893"/>
    <w:rsid w:val="007628DA"/>
    <w:rsid w:val="00762ADF"/>
    <w:rsid w:val="00762B37"/>
    <w:rsid w:val="00762D46"/>
    <w:rsid w:val="00762E7C"/>
    <w:rsid w:val="0076342E"/>
    <w:rsid w:val="00763BA8"/>
    <w:rsid w:val="0076414B"/>
    <w:rsid w:val="00764A1F"/>
    <w:rsid w:val="00764BA1"/>
    <w:rsid w:val="00764F95"/>
    <w:rsid w:val="00765099"/>
    <w:rsid w:val="00765136"/>
    <w:rsid w:val="00765143"/>
    <w:rsid w:val="0076537F"/>
    <w:rsid w:val="0076556F"/>
    <w:rsid w:val="007657BF"/>
    <w:rsid w:val="0076596C"/>
    <w:rsid w:val="00765AD9"/>
    <w:rsid w:val="00765B95"/>
    <w:rsid w:val="00766150"/>
    <w:rsid w:val="0076675A"/>
    <w:rsid w:val="007668BB"/>
    <w:rsid w:val="007669C7"/>
    <w:rsid w:val="00766CDF"/>
    <w:rsid w:val="00766D55"/>
    <w:rsid w:val="007674AB"/>
    <w:rsid w:val="007675EF"/>
    <w:rsid w:val="0076775A"/>
    <w:rsid w:val="00767938"/>
    <w:rsid w:val="007679F1"/>
    <w:rsid w:val="00767E09"/>
    <w:rsid w:val="0077038D"/>
    <w:rsid w:val="0077082A"/>
    <w:rsid w:val="007710FC"/>
    <w:rsid w:val="007713B3"/>
    <w:rsid w:val="007713EA"/>
    <w:rsid w:val="007716F6"/>
    <w:rsid w:val="00771713"/>
    <w:rsid w:val="00771925"/>
    <w:rsid w:val="00771A84"/>
    <w:rsid w:val="00771AF5"/>
    <w:rsid w:val="00771B6A"/>
    <w:rsid w:val="00771CB8"/>
    <w:rsid w:val="0077202C"/>
    <w:rsid w:val="00772122"/>
    <w:rsid w:val="007721C0"/>
    <w:rsid w:val="0077291F"/>
    <w:rsid w:val="00772E4B"/>
    <w:rsid w:val="00772E4D"/>
    <w:rsid w:val="00773047"/>
    <w:rsid w:val="007731AF"/>
    <w:rsid w:val="00773282"/>
    <w:rsid w:val="0077372B"/>
    <w:rsid w:val="00773911"/>
    <w:rsid w:val="007739F2"/>
    <w:rsid w:val="00773A3A"/>
    <w:rsid w:val="00773CB9"/>
    <w:rsid w:val="00773DCA"/>
    <w:rsid w:val="00773ED9"/>
    <w:rsid w:val="00773FFF"/>
    <w:rsid w:val="007742BC"/>
    <w:rsid w:val="007745B0"/>
    <w:rsid w:val="007746AF"/>
    <w:rsid w:val="0077488A"/>
    <w:rsid w:val="0077504F"/>
    <w:rsid w:val="007750B5"/>
    <w:rsid w:val="0077521D"/>
    <w:rsid w:val="007755F2"/>
    <w:rsid w:val="00775BDD"/>
    <w:rsid w:val="0077656C"/>
    <w:rsid w:val="00776995"/>
    <w:rsid w:val="00776999"/>
    <w:rsid w:val="007771CA"/>
    <w:rsid w:val="007772DA"/>
    <w:rsid w:val="0077738B"/>
    <w:rsid w:val="0077751A"/>
    <w:rsid w:val="00777A57"/>
    <w:rsid w:val="00777A9E"/>
    <w:rsid w:val="00777FC3"/>
    <w:rsid w:val="007802FD"/>
    <w:rsid w:val="0078041F"/>
    <w:rsid w:val="007804B8"/>
    <w:rsid w:val="007806F7"/>
    <w:rsid w:val="00780A5E"/>
    <w:rsid w:val="00780BFF"/>
    <w:rsid w:val="00780EC2"/>
    <w:rsid w:val="00780F55"/>
    <w:rsid w:val="00781AF9"/>
    <w:rsid w:val="00781EDC"/>
    <w:rsid w:val="00781F3B"/>
    <w:rsid w:val="00781F77"/>
    <w:rsid w:val="007820EF"/>
    <w:rsid w:val="00782668"/>
    <w:rsid w:val="007831FC"/>
    <w:rsid w:val="0078355E"/>
    <w:rsid w:val="0078356F"/>
    <w:rsid w:val="007836D9"/>
    <w:rsid w:val="00783ECD"/>
    <w:rsid w:val="00784065"/>
    <w:rsid w:val="007840EA"/>
    <w:rsid w:val="00784584"/>
    <w:rsid w:val="00784BA8"/>
    <w:rsid w:val="007857B2"/>
    <w:rsid w:val="00785DDF"/>
    <w:rsid w:val="00785E16"/>
    <w:rsid w:val="00786228"/>
    <w:rsid w:val="00786622"/>
    <w:rsid w:val="00786705"/>
    <w:rsid w:val="007868C7"/>
    <w:rsid w:val="00786935"/>
    <w:rsid w:val="00786C66"/>
    <w:rsid w:val="00787438"/>
    <w:rsid w:val="00787700"/>
    <w:rsid w:val="00787947"/>
    <w:rsid w:val="0079037C"/>
    <w:rsid w:val="0079144C"/>
    <w:rsid w:val="0079159A"/>
    <w:rsid w:val="00791A48"/>
    <w:rsid w:val="00791AA1"/>
    <w:rsid w:val="007928FB"/>
    <w:rsid w:val="00792A4D"/>
    <w:rsid w:val="00793799"/>
    <w:rsid w:val="00793BF4"/>
    <w:rsid w:val="00793DDF"/>
    <w:rsid w:val="007940E9"/>
    <w:rsid w:val="0079534B"/>
    <w:rsid w:val="007957A2"/>
    <w:rsid w:val="00795A57"/>
    <w:rsid w:val="00795DE5"/>
    <w:rsid w:val="0079673B"/>
    <w:rsid w:val="007967D2"/>
    <w:rsid w:val="007967FA"/>
    <w:rsid w:val="00796B52"/>
    <w:rsid w:val="00796C2B"/>
    <w:rsid w:val="00796E75"/>
    <w:rsid w:val="00797037"/>
    <w:rsid w:val="007970BB"/>
    <w:rsid w:val="00797390"/>
    <w:rsid w:val="007973CD"/>
    <w:rsid w:val="0079744B"/>
    <w:rsid w:val="00797932"/>
    <w:rsid w:val="00797C7D"/>
    <w:rsid w:val="00797F3A"/>
    <w:rsid w:val="00799576"/>
    <w:rsid w:val="007A01BE"/>
    <w:rsid w:val="007A09E3"/>
    <w:rsid w:val="007A0AC4"/>
    <w:rsid w:val="007A0B90"/>
    <w:rsid w:val="007A0DBF"/>
    <w:rsid w:val="007A1042"/>
    <w:rsid w:val="007A1320"/>
    <w:rsid w:val="007A20D4"/>
    <w:rsid w:val="007A2188"/>
    <w:rsid w:val="007A276C"/>
    <w:rsid w:val="007A2814"/>
    <w:rsid w:val="007A3225"/>
    <w:rsid w:val="007A3CBC"/>
    <w:rsid w:val="007A3CD7"/>
    <w:rsid w:val="007A425C"/>
    <w:rsid w:val="007A44B3"/>
    <w:rsid w:val="007A44C8"/>
    <w:rsid w:val="007A478C"/>
    <w:rsid w:val="007A4B6C"/>
    <w:rsid w:val="007A4F48"/>
    <w:rsid w:val="007A525B"/>
    <w:rsid w:val="007A537A"/>
    <w:rsid w:val="007A541E"/>
    <w:rsid w:val="007A59B4"/>
    <w:rsid w:val="007A5A9C"/>
    <w:rsid w:val="007A5BE3"/>
    <w:rsid w:val="007A6999"/>
    <w:rsid w:val="007A69C7"/>
    <w:rsid w:val="007A7648"/>
    <w:rsid w:val="007A7768"/>
    <w:rsid w:val="007A7F09"/>
    <w:rsid w:val="007B01A7"/>
    <w:rsid w:val="007B0571"/>
    <w:rsid w:val="007B0860"/>
    <w:rsid w:val="007B0A1F"/>
    <w:rsid w:val="007B0C6D"/>
    <w:rsid w:val="007B0D62"/>
    <w:rsid w:val="007B0FA6"/>
    <w:rsid w:val="007B1A6E"/>
    <w:rsid w:val="007B21F5"/>
    <w:rsid w:val="007B2511"/>
    <w:rsid w:val="007B26D6"/>
    <w:rsid w:val="007B2819"/>
    <w:rsid w:val="007B2A82"/>
    <w:rsid w:val="007B2D08"/>
    <w:rsid w:val="007B2F83"/>
    <w:rsid w:val="007B362B"/>
    <w:rsid w:val="007B388A"/>
    <w:rsid w:val="007B3B1C"/>
    <w:rsid w:val="007B42FF"/>
    <w:rsid w:val="007B4C60"/>
    <w:rsid w:val="007B4CAA"/>
    <w:rsid w:val="007B4EBE"/>
    <w:rsid w:val="007B5713"/>
    <w:rsid w:val="007B5816"/>
    <w:rsid w:val="007B5A56"/>
    <w:rsid w:val="007B5D89"/>
    <w:rsid w:val="007B5DBB"/>
    <w:rsid w:val="007B5F8D"/>
    <w:rsid w:val="007B60D8"/>
    <w:rsid w:val="007B60F8"/>
    <w:rsid w:val="007B6385"/>
    <w:rsid w:val="007B64F3"/>
    <w:rsid w:val="007B67B6"/>
    <w:rsid w:val="007B6805"/>
    <w:rsid w:val="007B682C"/>
    <w:rsid w:val="007B6AC0"/>
    <w:rsid w:val="007B7413"/>
    <w:rsid w:val="007B755A"/>
    <w:rsid w:val="007B781F"/>
    <w:rsid w:val="007B78AD"/>
    <w:rsid w:val="007B7A59"/>
    <w:rsid w:val="007C08DE"/>
    <w:rsid w:val="007C0B9C"/>
    <w:rsid w:val="007C1883"/>
    <w:rsid w:val="007C19E0"/>
    <w:rsid w:val="007C1A2F"/>
    <w:rsid w:val="007C1C9B"/>
    <w:rsid w:val="007C1F6E"/>
    <w:rsid w:val="007C20AE"/>
    <w:rsid w:val="007C24A0"/>
    <w:rsid w:val="007C2634"/>
    <w:rsid w:val="007C2A0E"/>
    <w:rsid w:val="007C2B5B"/>
    <w:rsid w:val="007C2BF9"/>
    <w:rsid w:val="007C2DC4"/>
    <w:rsid w:val="007C3132"/>
    <w:rsid w:val="007C3D0D"/>
    <w:rsid w:val="007C4075"/>
    <w:rsid w:val="007C4088"/>
    <w:rsid w:val="007C45B5"/>
    <w:rsid w:val="007C5250"/>
    <w:rsid w:val="007C57E0"/>
    <w:rsid w:val="007C58CB"/>
    <w:rsid w:val="007C5E2A"/>
    <w:rsid w:val="007C6043"/>
    <w:rsid w:val="007C6375"/>
    <w:rsid w:val="007C6B15"/>
    <w:rsid w:val="007C6D6F"/>
    <w:rsid w:val="007C6EAF"/>
    <w:rsid w:val="007C6FBD"/>
    <w:rsid w:val="007C77BC"/>
    <w:rsid w:val="007C7809"/>
    <w:rsid w:val="007C7A8A"/>
    <w:rsid w:val="007C7AC3"/>
    <w:rsid w:val="007C7EA0"/>
    <w:rsid w:val="007D0327"/>
    <w:rsid w:val="007D059F"/>
    <w:rsid w:val="007D0635"/>
    <w:rsid w:val="007D16EE"/>
    <w:rsid w:val="007D185C"/>
    <w:rsid w:val="007D1959"/>
    <w:rsid w:val="007D195A"/>
    <w:rsid w:val="007D2168"/>
    <w:rsid w:val="007D2197"/>
    <w:rsid w:val="007D222F"/>
    <w:rsid w:val="007D2824"/>
    <w:rsid w:val="007D28AA"/>
    <w:rsid w:val="007D33C0"/>
    <w:rsid w:val="007D342B"/>
    <w:rsid w:val="007D38E2"/>
    <w:rsid w:val="007D3C1A"/>
    <w:rsid w:val="007D432A"/>
    <w:rsid w:val="007D46C3"/>
    <w:rsid w:val="007D4841"/>
    <w:rsid w:val="007D5DC6"/>
    <w:rsid w:val="007D5DD0"/>
    <w:rsid w:val="007D5DD4"/>
    <w:rsid w:val="007D6145"/>
    <w:rsid w:val="007D7004"/>
    <w:rsid w:val="007D7372"/>
    <w:rsid w:val="007D7B62"/>
    <w:rsid w:val="007D7F00"/>
    <w:rsid w:val="007E06FC"/>
    <w:rsid w:val="007E0B77"/>
    <w:rsid w:val="007E0F5D"/>
    <w:rsid w:val="007E131D"/>
    <w:rsid w:val="007E147E"/>
    <w:rsid w:val="007E18CE"/>
    <w:rsid w:val="007E1ACC"/>
    <w:rsid w:val="007E20B6"/>
    <w:rsid w:val="007E2482"/>
    <w:rsid w:val="007E2528"/>
    <w:rsid w:val="007E2F0C"/>
    <w:rsid w:val="007E3439"/>
    <w:rsid w:val="007E3597"/>
    <w:rsid w:val="007E3664"/>
    <w:rsid w:val="007E3856"/>
    <w:rsid w:val="007E40C6"/>
    <w:rsid w:val="007E4455"/>
    <w:rsid w:val="007E452D"/>
    <w:rsid w:val="007E462E"/>
    <w:rsid w:val="007E4737"/>
    <w:rsid w:val="007E4815"/>
    <w:rsid w:val="007E57EB"/>
    <w:rsid w:val="007E5948"/>
    <w:rsid w:val="007E5CE4"/>
    <w:rsid w:val="007E5D3D"/>
    <w:rsid w:val="007E71BB"/>
    <w:rsid w:val="007E7305"/>
    <w:rsid w:val="007E751A"/>
    <w:rsid w:val="007ED680"/>
    <w:rsid w:val="007F05DC"/>
    <w:rsid w:val="007F073D"/>
    <w:rsid w:val="007F0748"/>
    <w:rsid w:val="007F07AC"/>
    <w:rsid w:val="007F1070"/>
    <w:rsid w:val="007F108F"/>
    <w:rsid w:val="007F1558"/>
    <w:rsid w:val="007F1FC6"/>
    <w:rsid w:val="007F22EF"/>
    <w:rsid w:val="007F24D6"/>
    <w:rsid w:val="007F2684"/>
    <w:rsid w:val="007F26F7"/>
    <w:rsid w:val="007F2F60"/>
    <w:rsid w:val="007F31B0"/>
    <w:rsid w:val="007F3622"/>
    <w:rsid w:val="007F3EC2"/>
    <w:rsid w:val="007F3EFA"/>
    <w:rsid w:val="007F464B"/>
    <w:rsid w:val="007F54A0"/>
    <w:rsid w:val="007F5CC0"/>
    <w:rsid w:val="007F5E8A"/>
    <w:rsid w:val="007F626D"/>
    <w:rsid w:val="007F62AD"/>
    <w:rsid w:val="007F6821"/>
    <w:rsid w:val="007F6BB2"/>
    <w:rsid w:val="007F6C0A"/>
    <w:rsid w:val="007F6C8F"/>
    <w:rsid w:val="007F78C7"/>
    <w:rsid w:val="00800923"/>
    <w:rsid w:val="00800C48"/>
    <w:rsid w:val="00801312"/>
    <w:rsid w:val="00801458"/>
    <w:rsid w:val="00801584"/>
    <w:rsid w:val="008016B7"/>
    <w:rsid w:val="00801794"/>
    <w:rsid w:val="008018DA"/>
    <w:rsid w:val="00801AEB"/>
    <w:rsid w:val="00801BB3"/>
    <w:rsid w:val="00802060"/>
    <w:rsid w:val="008025C2"/>
    <w:rsid w:val="00802637"/>
    <w:rsid w:val="0080284D"/>
    <w:rsid w:val="00802FD0"/>
    <w:rsid w:val="008034B4"/>
    <w:rsid w:val="00803546"/>
    <w:rsid w:val="008038FF"/>
    <w:rsid w:val="0080396E"/>
    <w:rsid w:val="00804431"/>
    <w:rsid w:val="00804432"/>
    <w:rsid w:val="00804459"/>
    <w:rsid w:val="00804960"/>
    <w:rsid w:val="00804C24"/>
    <w:rsid w:val="00804F4D"/>
    <w:rsid w:val="00805A74"/>
    <w:rsid w:val="00805B8B"/>
    <w:rsid w:val="00805DB8"/>
    <w:rsid w:val="00806143"/>
    <w:rsid w:val="0080693C"/>
    <w:rsid w:val="008070EC"/>
    <w:rsid w:val="008071D7"/>
    <w:rsid w:val="0080776D"/>
    <w:rsid w:val="00807A40"/>
    <w:rsid w:val="00807D7C"/>
    <w:rsid w:val="00810131"/>
    <w:rsid w:val="00810A9C"/>
    <w:rsid w:val="00810AD8"/>
    <w:rsid w:val="00810B7A"/>
    <w:rsid w:val="0081152A"/>
    <w:rsid w:val="0081159A"/>
    <w:rsid w:val="008116AE"/>
    <w:rsid w:val="00811787"/>
    <w:rsid w:val="0081189F"/>
    <w:rsid w:val="008118F6"/>
    <w:rsid w:val="0081209C"/>
    <w:rsid w:val="008120BE"/>
    <w:rsid w:val="008123DF"/>
    <w:rsid w:val="00812600"/>
    <w:rsid w:val="00812B7A"/>
    <w:rsid w:val="008134D4"/>
    <w:rsid w:val="00813957"/>
    <w:rsid w:val="00813B92"/>
    <w:rsid w:val="00814054"/>
    <w:rsid w:val="00814846"/>
    <w:rsid w:val="00815304"/>
    <w:rsid w:val="00815508"/>
    <w:rsid w:val="008155DB"/>
    <w:rsid w:val="0081561C"/>
    <w:rsid w:val="008158C5"/>
    <w:rsid w:val="00815E0B"/>
    <w:rsid w:val="00815F52"/>
    <w:rsid w:val="0081602C"/>
    <w:rsid w:val="008161C1"/>
    <w:rsid w:val="00816F83"/>
    <w:rsid w:val="00817021"/>
    <w:rsid w:val="00817892"/>
    <w:rsid w:val="00817918"/>
    <w:rsid w:val="00820301"/>
    <w:rsid w:val="0082054D"/>
    <w:rsid w:val="0082078F"/>
    <w:rsid w:val="00820C46"/>
    <w:rsid w:val="00821268"/>
    <w:rsid w:val="008218A6"/>
    <w:rsid w:val="008218EC"/>
    <w:rsid w:val="008218F6"/>
    <w:rsid w:val="00821995"/>
    <w:rsid w:val="00821E97"/>
    <w:rsid w:val="0082245A"/>
    <w:rsid w:val="00822664"/>
    <w:rsid w:val="0082284B"/>
    <w:rsid w:val="00822C1D"/>
    <w:rsid w:val="00822D47"/>
    <w:rsid w:val="00823093"/>
    <w:rsid w:val="00823099"/>
    <w:rsid w:val="008234F6"/>
    <w:rsid w:val="00823E19"/>
    <w:rsid w:val="0082413B"/>
    <w:rsid w:val="00824A6A"/>
    <w:rsid w:val="0082511D"/>
    <w:rsid w:val="00825669"/>
    <w:rsid w:val="0082567C"/>
    <w:rsid w:val="008256BB"/>
    <w:rsid w:val="00825AFF"/>
    <w:rsid w:val="00825FDF"/>
    <w:rsid w:val="008262DD"/>
    <w:rsid w:val="00826EF2"/>
    <w:rsid w:val="008278BA"/>
    <w:rsid w:val="00827997"/>
    <w:rsid w:val="008279E3"/>
    <w:rsid w:val="00827A5C"/>
    <w:rsid w:val="00827B7A"/>
    <w:rsid w:val="00827BC6"/>
    <w:rsid w:val="00827E61"/>
    <w:rsid w:val="00827EF2"/>
    <w:rsid w:val="008302EB"/>
    <w:rsid w:val="0083036C"/>
    <w:rsid w:val="008304DA"/>
    <w:rsid w:val="00830606"/>
    <w:rsid w:val="0083177A"/>
    <w:rsid w:val="00831957"/>
    <w:rsid w:val="00831A47"/>
    <w:rsid w:val="00831AEF"/>
    <w:rsid w:val="00831B74"/>
    <w:rsid w:val="00831C0A"/>
    <w:rsid w:val="00831C27"/>
    <w:rsid w:val="00831E59"/>
    <w:rsid w:val="008322B6"/>
    <w:rsid w:val="0083289F"/>
    <w:rsid w:val="00832F53"/>
    <w:rsid w:val="00833236"/>
    <w:rsid w:val="00833957"/>
    <w:rsid w:val="00833FE6"/>
    <w:rsid w:val="00834295"/>
    <w:rsid w:val="008343BE"/>
    <w:rsid w:val="008348D5"/>
    <w:rsid w:val="00834F86"/>
    <w:rsid w:val="008353AC"/>
    <w:rsid w:val="008355E9"/>
    <w:rsid w:val="008357F6"/>
    <w:rsid w:val="008359D8"/>
    <w:rsid w:val="008359F6"/>
    <w:rsid w:val="00835B34"/>
    <w:rsid w:val="00836608"/>
    <w:rsid w:val="00836935"/>
    <w:rsid w:val="00836A7E"/>
    <w:rsid w:val="00837025"/>
    <w:rsid w:val="00837303"/>
    <w:rsid w:val="008377A7"/>
    <w:rsid w:val="00837A5A"/>
    <w:rsid w:val="00837DD0"/>
    <w:rsid w:val="00840AA7"/>
    <w:rsid w:val="00840C4C"/>
    <w:rsid w:val="00841289"/>
    <w:rsid w:val="00841485"/>
    <w:rsid w:val="008415C8"/>
    <w:rsid w:val="00841D75"/>
    <w:rsid w:val="00841FC9"/>
    <w:rsid w:val="008428FF"/>
    <w:rsid w:val="008429B3"/>
    <w:rsid w:val="00843059"/>
    <w:rsid w:val="0084318A"/>
    <w:rsid w:val="00843889"/>
    <w:rsid w:val="00843CCD"/>
    <w:rsid w:val="00843E3D"/>
    <w:rsid w:val="008446CB"/>
    <w:rsid w:val="008446D7"/>
    <w:rsid w:val="00844934"/>
    <w:rsid w:val="00844A82"/>
    <w:rsid w:val="00844C43"/>
    <w:rsid w:val="00844DDD"/>
    <w:rsid w:val="00844FEA"/>
    <w:rsid w:val="00845241"/>
    <w:rsid w:val="0084539E"/>
    <w:rsid w:val="008454C5"/>
    <w:rsid w:val="0084584A"/>
    <w:rsid w:val="008462A0"/>
    <w:rsid w:val="0084676F"/>
    <w:rsid w:val="00846C44"/>
    <w:rsid w:val="00846F5C"/>
    <w:rsid w:val="00847168"/>
    <w:rsid w:val="008475D1"/>
    <w:rsid w:val="0084766D"/>
    <w:rsid w:val="00847A1F"/>
    <w:rsid w:val="00847F78"/>
    <w:rsid w:val="00847FBD"/>
    <w:rsid w:val="0084F76D"/>
    <w:rsid w:val="0085013F"/>
    <w:rsid w:val="008501DD"/>
    <w:rsid w:val="008502FE"/>
    <w:rsid w:val="0085087A"/>
    <w:rsid w:val="00850D60"/>
    <w:rsid w:val="00850D8E"/>
    <w:rsid w:val="00851847"/>
    <w:rsid w:val="008518FC"/>
    <w:rsid w:val="00851E56"/>
    <w:rsid w:val="008521D1"/>
    <w:rsid w:val="0085279E"/>
    <w:rsid w:val="008538D6"/>
    <w:rsid w:val="00853B4D"/>
    <w:rsid w:val="00853FE2"/>
    <w:rsid w:val="00854810"/>
    <w:rsid w:val="00854A7A"/>
    <w:rsid w:val="00854CB0"/>
    <w:rsid w:val="008556F1"/>
    <w:rsid w:val="0085599D"/>
    <w:rsid w:val="00855BD7"/>
    <w:rsid w:val="0085609A"/>
    <w:rsid w:val="008562D9"/>
    <w:rsid w:val="00856A0F"/>
    <w:rsid w:val="00856AA8"/>
    <w:rsid w:val="00856EE9"/>
    <w:rsid w:val="00857D3A"/>
    <w:rsid w:val="0086025C"/>
    <w:rsid w:val="0086040C"/>
    <w:rsid w:val="00860B6E"/>
    <w:rsid w:val="00860BAA"/>
    <w:rsid w:val="00860DEA"/>
    <w:rsid w:val="00860DFC"/>
    <w:rsid w:val="00861535"/>
    <w:rsid w:val="00861539"/>
    <w:rsid w:val="008615FF"/>
    <w:rsid w:val="00861C7F"/>
    <w:rsid w:val="00861FC3"/>
    <w:rsid w:val="008627C5"/>
    <w:rsid w:val="00863538"/>
    <w:rsid w:val="00863889"/>
    <w:rsid w:val="0086395F"/>
    <w:rsid w:val="00863CBC"/>
    <w:rsid w:val="00863EC0"/>
    <w:rsid w:val="00864330"/>
    <w:rsid w:val="00864485"/>
    <w:rsid w:val="00864AC8"/>
    <w:rsid w:val="00865061"/>
    <w:rsid w:val="008652CB"/>
    <w:rsid w:val="008653CF"/>
    <w:rsid w:val="0086621A"/>
    <w:rsid w:val="00866309"/>
    <w:rsid w:val="008664BA"/>
    <w:rsid w:val="0086657C"/>
    <w:rsid w:val="0086672F"/>
    <w:rsid w:val="008667BC"/>
    <w:rsid w:val="008668BD"/>
    <w:rsid w:val="0086698D"/>
    <w:rsid w:val="008669BB"/>
    <w:rsid w:val="008676EC"/>
    <w:rsid w:val="00867962"/>
    <w:rsid w:val="0086796E"/>
    <w:rsid w:val="00867D3C"/>
    <w:rsid w:val="00867DB0"/>
    <w:rsid w:val="00867E77"/>
    <w:rsid w:val="00867F08"/>
    <w:rsid w:val="00870098"/>
    <w:rsid w:val="00870139"/>
    <w:rsid w:val="008703C3"/>
    <w:rsid w:val="00871947"/>
    <w:rsid w:val="00871BBD"/>
    <w:rsid w:val="0087315D"/>
    <w:rsid w:val="00873289"/>
    <w:rsid w:val="008735C8"/>
    <w:rsid w:val="00873C1A"/>
    <w:rsid w:val="00874096"/>
    <w:rsid w:val="0087414F"/>
    <w:rsid w:val="0087461E"/>
    <w:rsid w:val="008748EC"/>
    <w:rsid w:val="00874C06"/>
    <w:rsid w:val="00874C89"/>
    <w:rsid w:val="00874EC9"/>
    <w:rsid w:val="00875131"/>
    <w:rsid w:val="0087554B"/>
    <w:rsid w:val="008757AD"/>
    <w:rsid w:val="00875C26"/>
    <w:rsid w:val="00875ED4"/>
    <w:rsid w:val="00876141"/>
    <w:rsid w:val="00876995"/>
    <w:rsid w:val="00876A2B"/>
    <w:rsid w:val="00877823"/>
    <w:rsid w:val="00877CA9"/>
    <w:rsid w:val="008806DB"/>
    <w:rsid w:val="00880F57"/>
    <w:rsid w:val="008810C1"/>
    <w:rsid w:val="0088146A"/>
    <w:rsid w:val="008815C8"/>
    <w:rsid w:val="00881AB9"/>
    <w:rsid w:val="00881DC1"/>
    <w:rsid w:val="008824DA"/>
    <w:rsid w:val="00882A55"/>
    <w:rsid w:val="00882C51"/>
    <w:rsid w:val="0088321C"/>
    <w:rsid w:val="00883225"/>
    <w:rsid w:val="00883654"/>
    <w:rsid w:val="0088372C"/>
    <w:rsid w:val="00883906"/>
    <w:rsid w:val="0088395F"/>
    <w:rsid w:val="00883DBD"/>
    <w:rsid w:val="0088409D"/>
    <w:rsid w:val="00884517"/>
    <w:rsid w:val="00884749"/>
    <w:rsid w:val="00884CF1"/>
    <w:rsid w:val="008855F3"/>
    <w:rsid w:val="00885607"/>
    <w:rsid w:val="00885A50"/>
    <w:rsid w:val="0088618D"/>
    <w:rsid w:val="008863F9"/>
    <w:rsid w:val="008867D3"/>
    <w:rsid w:val="00886C90"/>
    <w:rsid w:val="008872FF"/>
    <w:rsid w:val="0088746A"/>
    <w:rsid w:val="00887C8A"/>
    <w:rsid w:val="0089005F"/>
    <w:rsid w:val="0089021F"/>
    <w:rsid w:val="008907FC"/>
    <w:rsid w:val="00890900"/>
    <w:rsid w:val="00890A8F"/>
    <w:rsid w:val="00890CF9"/>
    <w:rsid w:val="00890D86"/>
    <w:rsid w:val="00891A3B"/>
    <w:rsid w:val="00892284"/>
    <w:rsid w:val="0089231D"/>
    <w:rsid w:val="00893149"/>
    <w:rsid w:val="00893388"/>
    <w:rsid w:val="00893457"/>
    <w:rsid w:val="008936F7"/>
    <w:rsid w:val="00893980"/>
    <w:rsid w:val="00894215"/>
    <w:rsid w:val="008948A6"/>
    <w:rsid w:val="008949A3"/>
    <w:rsid w:val="00895440"/>
    <w:rsid w:val="00895482"/>
    <w:rsid w:val="00895A9D"/>
    <w:rsid w:val="00895DE6"/>
    <w:rsid w:val="0089604C"/>
    <w:rsid w:val="0089614D"/>
    <w:rsid w:val="00896CEC"/>
    <w:rsid w:val="00896DE6"/>
    <w:rsid w:val="00896E02"/>
    <w:rsid w:val="008970BC"/>
    <w:rsid w:val="008970FF"/>
    <w:rsid w:val="008973EA"/>
    <w:rsid w:val="0089769F"/>
    <w:rsid w:val="00897964"/>
    <w:rsid w:val="00897E4D"/>
    <w:rsid w:val="00897EBE"/>
    <w:rsid w:val="008A0003"/>
    <w:rsid w:val="008A0478"/>
    <w:rsid w:val="008A09E7"/>
    <w:rsid w:val="008A0EC3"/>
    <w:rsid w:val="008A121F"/>
    <w:rsid w:val="008A12AF"/>
    <w:rsid w:val="008A1AC2"/>
    <w:rsid w:val="008A1ADB"/>
    <w:rsid w:val="008A1D53"/>
    <w:rsid w:val="008A1DA5"/>
    <w:rsid w:val="008A1EE8"/>
    <w:rsid w:val="008A1F02"/>
    <w:rsid w:val="008A2287"/>
    <w:rsid w:val="008A239C"/>
    <w:rsid w:val="008A2629"/>
    <w:rsid w:val="008A2992"/>
    <w:rsid w:val="008A3896"/>
    <w:rsid w:val="008A3985"/>
    <w:rsid w:val="008A3CDE"/>
    <w:rsid w:val="008A3FBF"/>
    <w:rsid w:val="008A4260"/>
    <w:rsid w:val="008A4448"/>
    <w:rsid w:val="008A46D5"/>
    <w:rsid w:val="008A49A5"/>
    <w:rsid w:val="008A5308"/>
    <w:rsid w:val="008A6132"/>
    <w:rsid w:val="008A68B3"/>
    <w:rsid w:val="008A6ABD"/>
    <w:rsid w:val="008A6C66"/>
    <w:rsid w:val="008A7667"/>
    <w:rsid w:val="008A7AA9"/>
    <w:rsid w:val="008A7CDA"/>
    <w:rsid w:val="008B0504"/>
    <w:rsid w:val="008B0A18"/>
    <w:rsid w:val="008B0B68"/>
    <w:rsid w:val="008B0F42"/>
    <w:rsid w:val="008B1512"/>
    <w:rsid w:val="008B1517"/>
    <w:rsid w:val="008B1BDB"/>
    <w:rsid w:val="008B1EB0"/>
    <w:rsid w:val="008B3218"/>
    <w:rsid w:val="008B3500"/>
    <w:rsid w:val="008B434F"/>
    <w:rsid w:val="008B44D1"/>
    <w:rsid w:val="008B4B11"/>
    <w:rsid w:val="008B557B"/>
    <w:rsid w:val="008B5A64"/>
    <w:rsid w:val="008B6171"/>
    <w:rsid w:val="008B6577"/>
    <w:rsid w:val="008B662C"/>
    <w:rsid w:val="008B6BD4"/>
    <w:rsid w:val="008B6C69"/>
    <w:rsid w:val="008B6CE1"/>
    <w:rsid w:val="008B6D93"/>
    <w:rsid w:val="008B748E"/>
    <w:rsid w:val="008B7C56"/>
    <w:rsid w:val="008B7EC3"/>
    <w:rsid w:val="008B7F79"/>
    <w:rsid w:val="008C0481"/>
    <w:rsid w:val="008C0CC7"/>
    <w:rsid w:val="008C1175"/>
    <w:rsid w:val="008C12F5"/>
    <w:rsid w:val="008C151B"/>
    <w:rsid w:val="008C1B22"/>
    <w:rsid w:val="008C1DE1"/>
    <w:rsid w:val="008C206F"/>
    <w:rsid w:val="008C21BE"/>
    <w:rsid w:val="008C21CA"/>
    <w:rsid w:val="008C2C36"/>
    <w:rsid w:val="008C2CCD"/>
    <w:rsid w:val="008C2F64"/>
    <w:rsid w:val="008C323E"/>
    <w:rsid w:val="008C3C25"/>
    <w:rsid w:val="008C3E81"/>
    <w:rsid w:val="008C4602"/>
    <w:rsid w:val="008C5219"/>
    <w:rsid w:val="008C5305"/>
    <w:rsid w:val="008C531C"/>
    <w:rsid w:val="008C5341"/>
    <w:rsid w:val="008C6305"/>
    <w:rsid w:val="008C65DF"/>
    <w:rsid w:val="008C6671"/>
    <w:rsid w:val="008C66E3"/>
    <w:rsid w:val="008C6929"/>
    <w:rsid w:val="008C71A0"/>
    <w:rsid w:val="008C7433"/>
    <w:rsid w:val="008C77F1"/>
    <w:rsid w:val="008C78F3"/>
    <w:rsid w:val="008C7B88"/>
    <w:rsid w:val="008C7EE2"/>
    <w:rsid w:val="008C7F0B"/>
    <w:rsid w:val="008C7F1E"/>
    <w:rsid w:val="008D0BBD"/>
    <w:rsid w:val="008D0C68"/>
    <w:rsid w:val="008D0C98"/>
    <w:rsid w:val="008D11AA"/>
    <w:rsid w:val="008D12D7"/>
    <w:rsid w:val="008D13BD"/>
    <w:rsid w:val="008D1475"/>
    <w:rsid w:val="008D153A"/>
    <w:rsid w:val="008D1607"/>
    <w:rsid w:val="008D1684"/>
    <w:rsid w:val="008D1880"/>
    <w:rsid w:val="008D2321"/>
    <w:rsid w:val="008D245D"/>
    <w:rsid w:val="008D2B79"/>
    <w:rsid w:val="008D2D39"/>
    <w:rsid w:val="008D2D95"/>
    <w:rsid w:val="008D2DC7"/>
    <w:rsid w:val="008D2DD2"/>
    <w:rsid w:val="008D2DE0"/>
    <w:rsid w:val="008D38F5"/>
    <w:rsid w:val="008D39DC"/>
    <w:rsid w:val="008D3D48"/>
    <w:rsid w:val="008D4216"/>
    <w:rsid w:val="008D4773"/>
    <w:rsid w:val="008D477F"/>
    <w:rsid w:val="008D568B"/>
    <w:rsid w:val="008D5E63"/>
    <w:rsid w:val="008D6650"/>
    <w:rsid w:val="008D6759"/>
    <w:rsid w:val="008D6878"/>
    <w:rsid w:val="008D6A3D"/>
    <w:rsid w:val="008D6C18"/>
    <w:rsid w:val="008D6C1E"/>
    <w:rsid w:val="008D73C5"/>
    <w:rsid w:val="008D781F"/>
    <w:rsid w:val="008D7DD2"/>
    <w:rsid w:val="008D7FF7"/>
    <w:rsid w:val="008E0028"/>
    <w:rsid w:val="008E005E"/>
    <w:rsid w:val="008E026E"/>
    <w:rsid w:val="008E05A2"/>
    <w:rsid w:val="008E0603"/>
    <w:rsid w:val="008E06D8"/>
    <w:rsid w:val="008E0AA1"/>
    <w:rsid w:val="008E0C7E"/>
    <w:rsid w:val="008E0C8F"/>
    <w:rsid w:val="008E0CB0"/>
    <w:rsid w:val="008E102A"/>
    <w:rsid w:val="008E109A"/>
    <w:rsid w:val="008E1100"/>
    <w:rsid w:val="008E1612"/>
    <w:rsid w:val="008E178A"/>
    <w:rsid w:val="008E17DB"/>
    <w:rsid w:val="008E188F"/>
    <w:rsid w:val="008E1945"/>
    <w:rsid w:val="008E1A96"/>
    <w:rsid w:val="008E2387"/>
    <w:rsid w:val="008E2777"/>
    <w:rsid w:val="008E28A2"/>
    <w:rsid w:val="008E3596"/>
    <w:rsid w:val="008E36E2"/>
    <w:rsid w:val="008E3CC3"/>
    <w:rsid w:val="008E3D17"/>
    <w:rsid w:val="008E4726"/>
    <w:rsid w:val="008E485D"/>
    <w:rsid w:val="008E535D"/>
    <w:rsid w:val="008E552B"/>
    <w:rsid w:val="008E577F"/>
    <w:rsid w:val="008E5BBD"/>
    <w:rsid w:val="008E5CEC"/>
    <w:rsid w:val="008E5DC3"/>
    <w:rsid w:val="008E6726"/>
    <w:rsid w:val="008E686D"/>
    <w:rsid w:val="008E7227"/>
    <w:rsid w:val="008E7984"/>
    <w:rsid w:val="008F00F2"/>
    <w:rsid w:val="008F038D"/>
    <w:rsid w:val="008F0698"/>
    <w:rsid w:val="008F0A04"/>
    <w:rsid w:val="008F0E71"/>
    <w:rsid w:val="008F10AB"/>
    <w:rsid w:val="008F1365"/>
    <w:rsid w:val="008F2077"/>
    <w:rsid w:val="008F21D9"/>
    <w:rsid w:val="008F26EC"/>
    <w:rsid w:val="008F2840"/>
    <w:rsid w:val="008F29D9"/>
    <w:rsid w:val="008F2B23"/>
    <w:rsid w:val="008F3168"/>
    <w:rsid w:val="008F37C2"/>
    <w:rsid w:val="008F3D86"/>
    <w:rsid w:val="008F3E12"/>
    <w:rsid w:val="008F44A6"/>
    <w:rsid w:val="008F4A67"/>
    <w:rsid w:val="008F4D2A"/>
    <w:rsid w:val="008F4DAC"/>
    <w:rsid w:val="008F5033"/>
    <w:rsid w:val="008F5369"/>
    <w:rsid w:val="008F596E"/>
    <w:rsid w:val="008F5CB4"/>
    <w:rsid w:val="008F5D29"/>
    <w:rsid w:val="008F6759"/>
    <w:rsid w:val="008F67D3"/>
    <w:rsid w:val="008F6CA4"/>
    <w:rsid w:val="008F6F40"/>
    <w:rsid w:val="008F7100"/>
    <w:rsid w:val="008F716A"/>
    <w:rsid w:val="008F7729"/>
    <w:rsid w:val="008F78B3"/>
    <w:rsid w:val="008F79AE"/>
    <w:rsid w:val="00900179"/>
    <w:rsid w:val="0090029A"/>
    <w:rsid w:val="0090060A"/>
    <w:rsid w:val="00900680"/>
    <w:rsid w:val="00900EA5"/>
    <w:rsid w:val="009011F3"/>
    <w:rsid w:val="00901791"/>
    <w:rsid w:val="009019D9"/>
    <w:rsid w:val="00901AE1"/>
    <w:rsid w:val="00901D13"/>
    <w:rsid w:val="009020A3"/>
    <w:rsid w:val="009029C8"/>
    <w:rsid w:val="009030E5"/>
    <w:rsid w:val="00903234"/>
    <w:rsid w:val="009038E7"/>
    <w:rsid w:val="00903A6A"/>
    <w:rsid w:val="00904714"/>
    <w:rsid w:val="00904BB1"/>
    <w:rsid w:val="00905D13"/>
    <w:rsid w:val="0090603D"/>
    <w:rsid w:val="0090614F"/>
    <w:rsid w:val="00906DF3"/>
    <w:rsid w:val="00906FAD"/>
    <w:rsid w:val="009070D1"/>
    <w:rsid w:val="00907BBF"/>
    <w:rsid w:val="00910301"/>
    <w:rsid w:val="009108BF"/>
    <w:rsid w:val="00910BDA"/>
    <w:rsid w:val="00911057"/>
    <w:rsid w:val="009114D9"/>
    <w:rsid w:val="00911647"/>
    <w:rsid w:val="009116B3"/>
    <w:rsid w:val="00912276"/>
    <w:rsid w:val="00912303"/>
    <w:rsid w:val="0091232A"/>
    <w:rsid w:val="00912600"/>
    <w:rsid w:val="00912B2E"/>
    <w:rsid w:val="009133D8"/>
    <w:rsid w:val="009135F3"/>
    <w:rsid w:val="00913A65"/>
    <w:rsid w:val="00913DDA"/>
    <w:rsid w:val="009142D8"/>
    <w:rsid w:val="009145F9"/>
    <w:rsid w:val="00914BBA"/>
    <w:rsid w:val="00914D2D"/>
    <w:rsid w:val="0091569A"/>
    <w:rsid w:val="00915CAB"/>
    <w:rsid w:val="00915E80"/>
    <w:rsid w:val="00915ED9"/>
    <w:rsid w:val="00915FC4"/>
    <w:rsid w:val="009162F1"/>
    <w:rsid w:val="00916857"/>
    <w:rsid w:val="00916997"/>
    <w:rsid w:val="0091798C"/>
    <w:rsid w:val="00917F31"/>
    <w:rsid w:val="009200EC"/>
    <w:rsid w:val="00920311"/>
    <w:rsid w:val="00920970"/>
    <w:rsid w:val="009209CF"/>
    <w:rsid w:val="00920A0C"/>
    <w:rsid w:val="00920DC5"/>
    <w:rsid w:val="00921095"/>
    <w:rsid w:val="009211FA"/>
    <w:rsid w:val="0092134E"/>
    <w:rsid w:val="00921506"/>
    <w:rsid w:val="00921BE6"/>
    <w:rsid w:val="009223DC"/>
    <w:rsid w:val="009226D3"/>
    <w:rsid w:val="009229B5"/>
    <w:rsid w:val="00922CCE"/>
    <w:rsid w:val="00922FBA"/>
    <w:rsid w:val="00923116"/>
    <w:rsid w:val="009233FB"/>
    <w:rsid w:val="009236EA"/>
    <w:rsid w:val="009238C0"/>
    <w:rsid w:val="0092398D"/>
    <w:rsid w:val="00924011"/>
    <w:rsid w:val="009248BD"/>
    <w:rsid w:val="009250E4"/>
    <w:rsid w:val="009251CD"/>
    <w:rsid w:val="00925DE0"/>
    <w:rsid w:val="0092617C"/>
    <w:rsid w:val="0092632A"/>
    <w:rsid w:val="00926856"/>
    <w:rsid w:val="00926DF1"/>
    <w:rsid w:val="00926F9D"/>
    <w:rsid w:val="00927555"/>
    <w:rsid w:val="009277E9"/>
    <w:rsid w:val="00927B92"/>
    <w:rsid w:val="00927DCA"/>
    <w:rsid w:val="00927F01"/>
    <w:rsid w:val="00927FE5"/>
    <w:rsid w:val="009304BF"/>
    <w:rsid w:val="0093067D"/>
    <w:rsid w:val="00930C35"/>
    <w:rsid w:val="0093136C"/>
    <w:rsid w:val="009315E4"/>
    <w:rsid w:val="00931974"/>
    <w:rsid w:val="00931BA2"/>
    <w:rsid w:val="00931BAD"/>
    <w:rsid w:val="00931E26"/>
    <w:rsid w:val="0093200D"/>
    <w:rsid w:val="0093221C"/>
    <w:rsid w:val="00932AC2"/>
    <w:rsid w:val="00932D06"/>
    <w:rsid w:val="00932D68"/>
    <w:rsid w:val="009332A5"/>
    <w:rsid w:val="00933666"/>
    <w:rsid w:val="00933838"/>
    <w:rsid w:val="0093397E"/>
    <w:rsid w:val="009339B5"/>
    <w:rsid w:val="00933A1A"/>
    <w:rsid w:val="00933A53"/>
    <w:rsid w:val="00933C62"/>
    <w:rsid w:val="00933CC6"/>
    <w:rsid w:val="00933D97"/>
    <w:rsid w:val="00934039"/>
    <w:rsid w:val="00934067"/>
    <w:rsid w:val="0093415D"/>
    <w:rsid w:val="009347B6"/>
    <w:rsid w:val="00934985"/>
    <w:rsid w:val="00934D94"/>
    <w:rsid w:val="00935C0C"/>
    <w:rsid w:val="00935F00"/>
    <w:rsid w:val="0093622C"/>
    <w:rsid w:val="009367DD"/>
    <w:rsid w:val="00936891"/>
    <w:rsid w:val="00936986"/>
    <w:rsid w:val="00936A00"/>
    <w:rsid w:val="00936CA6"/>
    <w:rsid w:val="00937453"/>
    <w:rsid w:val="00937941"/>
    <w:rsid w:val="00940032"/>
    <w:rsid w:val="00940622"/>
    <w:rsid w:val="0094098B"/>
    <w:rsid w:val="00940E81"/>
    <w:rsid w:val="00940EDE"/>
    <w:rsid w:val="00940F24"/>
    <w:rsid w:val="00941446"/>
    <w:rsid w:val="00941802"/>
    <w:rsid w:val="00941AD8"/>
    <w:rsid w:val="00941B41"/>
    <w:rsid w:val="00941BF8"/>
    <w:rsid w:val="00941C2E"/>
    <w:rsid w:val="00941D55"/>
    <w:rsid w:val="00941F52"/>
    <w:rsid w:val="00942506"/>
    <w:rsid w:val="00942549"/>
    <w:rsid w:val="00942756"/>
    <w:rsid w:val="009436C1"/>
    <w:rsid w:val="0094383E"/>
    <w:rsid w:val="00943891"/>
    <w:rsid w:val="009438D2"/>
    <w:rsid w:val="00943D3C"/>
    <w:rsid w:val="00944AEA"/>
    <w:rsid w:val="00944F53"/>
    <w:rsid w:val="0094590D"/>
    <w:rsid w:val="00945B87"/>
    <w:rsid w:val="00946998"/>
    <w:rsid w:val="00946E9C"/>
    <w:rsid w:val="00947090"/>
    <w:rsid w:val="009472AF"/>
    <w:rsid w:val="0094734C"/>
    <w:rsid w:val="009473B3"/>
    <w:rsid w:val="00947CE1"/>
    <w:rsid w:val="00947FDE"/>
    <w:rsid w:val="00950428"/>
    <w:rsid w:val="009504DF"/>
    <w:rsid w:val="0095095C"/>
    <w:rsid w:val="009509C3"/>
    <w:rsid w:val="00950AEB"/>
    <w:rsid w:val="00950E5A"/>
    <w:rsid w:val="00950EE8"/>
    <w:rsid w:val="00950F7F"/>
    <w:rsid w:val="009515E8"/>
    <w:rsid w:val="0095178D"/>
    <w:rsid w:val="00951E4F"/>
    <w:rsid w:val="00951FC4"/>
    <w:rsid w:val="00952A2C"/>
    <w:rsid w:val="00952D38"/>
    <w:rsid w:val="009530BD"/>
    <w:rsid w:val="009531DE"/>
    <w:rsid w:val="0095321B"/>
    <w:rsid w:val="00953858"/>
    <w:rsid w:val="00953B43"/>
    <w:rsid w:val="00954444"/>
    <w:rsid w:val="009544FB"/>
    <w:rsid w:val="00954809"/>
    <w:rsid w:val="00954AB8"/>
    <w:rsid w:val="00954BB7"/>
    <w:rsid w:val="00954BCD"/>
    <w:rsid w:val="00954D49"/>
    <w:rsid w:val="00954FE2"/>
    <w:rsid w:val="0095512E"/>
    <w:rsid w:val="00955CB0"/>
    <w:rsid w:val="00955CC4"/>
    <w:rsid w:val="00956048"/>
    <w:rsid w:val="009560B8"/>
    <w:rsid w:val="009569F0"/>
    <w:rsid w:val="00956E34"/>
    <w:rsid w:val="00956F1C"/>
    <w:rsid w:val="0095736D"/>
    <w:rsid w:val="009601D7"/>
    <w:rsid w:val="0096033F"/>
    <w:rsid w:val="009604B3"/>
    <w:rsid w:val="0096050B"/>
    <w:rsid w:val="009605A0"/>
    <w:rsid w:val="009606E5"/>
    <w:rsid w:val="00960ACF"/>
    <w:rsid w:val="00960D72"/>
    <w:rsid w:val="00960E95"/>
    <w:rsid w:val="00960ECC"/>
    <w:rsid w:val="00961223"/>
    <w:rsid w:val="009620B7"/>
    <w:rsid w:val="009626D9"/>
    <w:rsid w:val="00962974"/>
    <w:rsid w:val="009629AA"/>
    <w:rsid w:val="00962A19"/>
    <w:rsid w:val="00962B3A"/>
    <w:rsid w:val="00962D0B"/>
    <w:rsid w:val="00962FB1"/>
    <w:rsid w:val="0096326E"/>
    <w:rsid w:val="00964AE7"/>
    <w:rsid w:val="00964B52"/>
    <w:rsid w:val="00964C85"/>
    <w:rsid w:val="00964E93"/>
    <w:rsid w:val="00964FE6"/>
    <w:rsid w:val="0096595E"/>
    <w:rsid w:val="00966410"/>
    <w:rsid w:val="0096651D"/>
    <w:rsid w:val="00966D3F"/>
    <w:rsid w:val="00966FED"/>
    <w:rsid w:val="0096713C"/>
    <w:rsid w:val="00967748"/>
    <w:rsid w:val="00967D3F"/>
    <w:rsid w:val="009701C5"/>
    <w:rsid w:val="0097030F"/>
    <w:rsid w:val="009707EB"/>
    <w:rsid w:val="00970A23"/>
    <w:rsid w:val="00970BE3"/>
    <w:rsid w:val="00970F68"/>
    <w:rsid w:val="0097125D"/>
    <w:rsid w:val="009714EC"/>
    <w:rsid w:val="009717AD"/>
    <w:rsid w:val="009717B7"/>
    <w:rsid w:val="009718E8"/>
    <w:rsid w:val="0097196C"/>
    <w:rsid w:val="0097196E"/>
    <w:rsid w:val="00971B21"/>
    <w:rsid w:val="00971B8B"/>
    <w:rsid w:val="00971F89"/>
    <w:rsid w:val="00972190"/>
    <w:rsid w:val="009721A0"/>
    <w:rsid w:val="00972623"/>
    <w:rsid w:val="009730B2"/>
    <w:rsid w:val="00973325"/>
    <w:rsid w:val="009738C5"/>
    <w:rsid w:val="0097394E"/>
    <w:rsid w:val="00973A4E"/>
    <w:rsid w:val="00973DD7"/>
    <w:rsid w:val="00974627"/>
    <w:rsid w:val="00974863"/>
    <w:rsid w:val="00974CB2"/>
    <w:rsid w:val="0097568F"/>
    <w:rsid w:val="009758BC"/>
    <w:rsid w:val="009758D5"/>
    <w:rsid w:val="00976545"/>
    <w:rsid w:val="00976678"/>
    <w:rsid w:val="00976B90"/>
    <w:rsid w:val="00976C36"/>
    <w:rsid w:val="00976C7D"/>
    <w:rsid w:val="00976EC6"/>
    <w:rsid w:val="009771DD"/>
    <w:rsid w:val="00977335"/>
    <w:rsid w:val="009775B4"/>
    <w:rsid w:val="00977724"/>
    <w:rsid w:val="00977850"/>
    <w:rsid w:val="009801EC"/>
    <w:rsid w:val="00980350"/>
    <w:rsid w:val="009804B2"/>
    <w:rsid w:val="009805CD"/>
    <w:rsid w:val="009806CC"/>
    <w:rsid w:val="009810A8"/>
    <w:rsid w:val="0098111C"/>
    <w:rsid w:val="00981A0D"/>
    <w:rsid w:val="00981E60"/>
    <w:rsid w:val="00981EA8"/>
    <w:rsid w:val="0098255B"/>
    <w:rsid w:val="00982710"/>
    <w:rsid w:val="00982722"/>
    <w:rsid w:val="009827CF"/>
    <w:rsid w:val="00982C0B"/>
    <w:rsid w:val="00982C0D"/>
    <w:rsid w:val="00982C86"/>
    <w:rsid w:val="00982EB4"/>
    <w:rsid w:val="009832AF"/>
    <w:rsid w:val="0098337E"/>
    <w:rsid w:val="00983C8A"/>
    <w:rsid w:val="009840AC"/>
    <w:rsid w:val="00984254"/>
    <w:rsid w:val="009849F4"/>
    <w:rsid w:val="0098559D"/>
    <w:rsid w:val="00985E0A"/>
    <w:rsid w:val="0098641E"/>
    <w:rsid w:val="00986596"/>
    <w:rsid w:val="00986885"/>
    <w:rsid w:val="00987251"/>
    <w:rsid w:val="00987589"/>
    <w:rsid w:val="00987647"/>
    <w:rsid w:val="0098765D"/>
    <w:rsid w:val="0098785D"/>
    <w:rsid w:val="00987C91"/>
    <w:rsid w:val="00987E15"/>
    <w:rsid w:val="009903DB"/>
    <w:rsid w:val="009904C8"/>
    <w:rsid w:val="0099056F"/>
    <w:rsid w:val="00990B51"/>
    <w:rsid w:val="00990EBE"/>
    <w:rsid w:val="009914BB"/>
    <w:rsid w:val="00991E03"/>
    <w:rsid w:val="00991FC5"/>
    <w:rsid w:val="00992239"/>
    <w:rsid w:val="009922AC"/>
    <w:rsid w:val="00992490"/>
    <w:rsid w:val="00992810"/>
    <w:rsid w:val="00993318"/>
    <w:rsid w:val="0099343D"/>
    <w:rsid w:val="009935DB"/>
    <w:rsid w:val="00993DBE"/>
    <w:rsid w:val="009942C2"/>
    <w:rsid w:val="00994448"/>
    <w:rsid w:val="00994457"/>
    <w:rsid w:val="0099462B"/>
    <w:rsid w:val="009946A8"/>
    <w:rsid w:val="009946AE"/>
    <w:rsid w:val="009946C9"/>
    <w:rsid w:val="00994AD4"/>
    <w:rsid w:val="00994F1E"/>
    <w:rsid w:val="00994F38"/>
    <w:rsid w:val="00995366"/>
    <w:rsid w:val="0099591B"/>
    <w:rsid w:val="00995DE9"/>
    <w:rsid w:val="009966F4"/>
    <w:rsid w:val="00996855"/>
    <w:rsid w:val="00996A83"/>
    <w:rsid w:val="00996E23"/>
    <w:rsid w:val="009970EC"/>
    <w:rsid w:val="009971A3"/>
    <w:rsid w:val="00997850"/>
    <w:rsid w:val="0099C034"/>
    <w:rsid w:val="009A118D"/>
    <w:rsid w:val="009A186D"/>
    <w:rsid w:val="009A1958"/>
    <w:rsid w:val="009A2100"/>
    <w:rsid w:val="009A22C4"/>
    <w:rsid w:val="009A2B21"/>
    <w:rsid w:val="009A32BF"/>
    <w:rsid w:val="009A39CE"/>
    <w:rsid w:val="009A3ED8"/>
    <w:rsid w:val="009A3F97"/>
    <w:rsid w:val="009A4AC3"/>
    <w:rsid w:val="009A4B6D"/>
    <w:rsid w:val="009A4B8E"/>
    <w:rsid w:val="009A4D53"/>
    <w:rsid w:val="009A4D66"/>
    <w:rsid w:val="009A4F4D"/>
    <w:rsid w:val="009A5012"/>
    <w:rsid w:val="009A5527"/>
    <w:rsid w:val="009A578D"/>
    <w:rsid w:val="009A5883"/>
    <w:rsid w:val="009A5E0E"/>
    <w:rsid w:val="009A5F19"/>
    <w:rsid w:val="009A611F"/>
    <w:rsid w:val="009A6378"/>
    <w:rsid w:val="009A63D6"/>
    <w:rsid w:val="009A689E"/>
    <w:rsid w:val="009A716E"/>
    <w:rsid w:val="009A765A"/>
    <w:rsid w:val="009A7F3E"/>
    <w:rsid w:val="009B066D"/>
    <w:rsid w:val="009B0CCE"/>
    <w:rsid w:val="009B1789"/>
    <w:rsid w:val="009B1CE1"/>
    <w:rsid w:val="009B1E4C"/>
    <w:rsid w:val="009B207F"/>
    <w:rsid w:val="009B2619"/>
    <w:rsid w:val="009B2637"/>
    <w:rsid w:val="009B2EEA"/>
    <w:rsid w:val="009B35FB"/>
    <w:rsid w:val="009B3B78"/>
    <w:rsid w:val="009B426B"/>
    <w:rsid w:val="009B44E1"/>
    <w:rsid w:val="009B4A88"/>
    <w:rsid w:val="009B4C91"/>
    <w:rsid w:val="009B5074"/>
    <w:rsid w:val="009B508C"/>
    <w:rsid w:val="009B52A9"/>
    <w:rsid w:val="009B52D7"/>
    <w:rsid w:val="009B5AB5"/>
    <w:rsid w:val="009B5AF8"/>
    <w:rsid w:val="009B6B9A"/>
    <w:rsid w:val="009B6FD2"/>
    <w:rsid w:val="009B71BE"/>
    <w:rsid w:val="009B749E"/>
    <w:rsid w:val="009B7964"/>
    <w:rsid w:val="009C007F"/>
    <w:rsid w:val="009C01AC"/>
    <w:rsid w:val="009C01DA"/>
    <w:rsid w:val="009C0332"/>
    <w:rsid w:val="009C05A0"/>
    <w:rsid w:val="009C12A8"/>
    <w:rsid w:val="009C16AF"/>
    <w:rsid w:val="009C1F4E"/>
    <w:rsid w:val="009C2009"/>
    <w:rsid w:val="009C2123"/>
    <w:rsid w:val="009C2503"/>
    <w:rsid w:val="009C2CF6"/>
    <w:rsid w:val="009C2DB7"/>
    <w:rsid w:val="009C2ED5"/>
    <w:rsid w:val="009C2F7F"/>
    <w:rsid w:val="009C30C2"/>
    <w:rsid w:val="009C3392"/>
    <w:rsid w:val="009C3589"/>
    <w:rsid w:val="009C3691"/>
    <w:rsid w:val="009C3752"/>
    <w:rsid w:val="009C3B25"/>
    <w:rsid w:val="009C3EB6"/>
    <w:rsid w:val="009C4C24"/>
    <w:rsid w:val="009C4C2F"/>
    <w:rsid w:val="009C5214"/>
    <w:rsid w:val="009C537A"/>
    <w:rsid w:val="009C5ACA"/>
    <w:rsid w:val="009C62BB"/>
    <w:rsid w:val="009C6357"/>
    <w:rsid w:val="009C698A"/>
    <w:rsid w:val="009C69CB"/>
    <w:rsid w:val="009C6A28"/>
    <w:rsid w:val="009C6EEB"/>
    <w:rsid w:val="009C7174"/>
    <w:rsid w:val="009C71E7"/>
    <w:rsid w:val="009C75C5"/>
    <w:rsid w:val="009C7E7B"/>
    <w:rsid w:val="009D0026"/>
    <w:rsid w:val="009D01E0"/>
    <w:rsid w:val="009D0A75"/>
    <w:rsid w:val="009D0AD3"/>
    <w:rsid w:val="009D0D94"/>
    <w:rsid w:val="009D0E86"/>
    <w:rsid w:val="009D112E"/>
    <w:rsid w:val="009D1579"/>
    <w:rsid w:val="009D1589"/>
    <w:rsid w:val="009D1943"/>
    <w:rsid w:val="009D1B8A"/>
    <w:rsid w:val="009D1C64"/>
    <w:rsid w:val="009D1F47"/>
    <w:rsid w:val="009D216F"/>
    <w:rsid w:val="009D2322"/>
    <w:rsid w:val="009D2909"/>
    <w:rsid w:val="009D2FA3"/>
    <w:rsid w:val="009D3533"/>
    <w:rsid w:val="009D3707"/>
    <w:rsid w:val="009D3AD2"/>
    <w:rsid w:val="009D3D8D"/>
    <w:rsid w:val="009D3E65"/>
    <w:rsid w:val="009D4056"/>
    <w:rsid w:val="009D410F"/>
    <w:rsid w:val="009D434B"/>
    <w:rsid w:val="009D4727"/>
    <w:rsid w:val="009D4D12"/>
    <w:rsid w:val="009D516E"/>
    <w:rsid w:val="009D538E"/>
    <w:rsid w:val="009D5B8F"/>
    <w:rsid w:val="009D6251"/>
    <w:rsid w:val="009D62A9"/>
    <w:rsid w:val="009D6427"/>
    <w:rsid w:val="009D6572"/>
    <w:rsid w:val="009D65A7"/>
    <w:rsid w:val="009D6E6F"/>
    <w:rsid w:val="009D75CE"/>
    <w:rsid w:val="009D770D"/>
    <w:rsid w:val="009E0068"/>
    <w:rsid w:val="009E086C"/>
    <w:rsid w:val="009E093B"/>
    <w:rsid w:val="009E0A8F"/>
    <w:rsid w:val="009E0C28"/>
    <w:rsid w:val="009E0CA0"/>
    <w:rsid w:val="009E0D75"/>
    <w:rsid w:val="009E1394"/>
    <w:rsid w:val="009E13BD"/>
    <w:rsid w:val="009E1480"/>
    <w:rsid w:val="009E163B"/>
    <w:rsid w:val="009E1C65"/>
    <w:rsid w:val="009E1CCB"/>
    <w:rsid w:val="009E2058"/>
    <w:rsid w:val="009E2F4C"/>
    <w:rsid w:val="009E44CB"/>
    <w:rsid w:val="009E456A"/>
    <w:rsid w:val="009E45E8"/>
    <w:rsid w:val="009E4724"/>
    <w:rsid w:val="009E48C2"/>
    <w:rsid w:val="009E4B30"/>
    <w:rsid w:val="009E54BA"/>
    <w:rsid w:val="009E5CC5"/>
    <w:rsid w:val="009E5DDC"/>
    <w:rsid w:val="009E5E7B"/>
    <w:rsid w:val="009E60F2"/>
    <w:rsid w:val="009E61FC"/>
    <w:rsid w:val="009E652E"/>
    <w:rsid w:val="009E67A8"/>
    <w:rsid w:val="009E69F8"/>
    <w:rsid w:val="009E709B"/>
    <w:rsid w:val="009E7753"/>
    <w:rsid w:val="009E7E34"/>
    <w:rsid w:val="009F031A"/>
    <w:rsid w:val="009F0652"/>
    <w:rsid w:val="009F07B9"/>
    <w:rsid w:val="009F0B15"/>
    <w:rsid w:val="009F0EDD"/>
    <w:rsid w:val="009F0F93"/>
    <w:rsid w:val="009F1119"/>
    <w:rsid w:val="009F13CC"/>
    <w:rsid w:val="009F14F7"/>
    <w:rsid w:val="009F1618"/>
    <w:rsid w:val="009F20EF"/>
    <w:rsid w:val="009F2490"/>
    <w:rsid w:val="009F31CA"/>
    <w:rsid w:val="009F341B"/>
    <w:rsid w:val="009F36A2"/>
    <w:rsid w:val="009F3972"/>
    <w:rsid w:val="009F3A99"/>
    <w:rsid w:val="009F3F55"/>
    <w:rsid w:val="009F41D8"/>
    <w:rsid w:val="009F42C2"/>
    <w:rsid w:val="009F4552"/>
    <w:rsid w:val="009F4D27"/>
    <w:rsid w:val="009F53A0"/>
    <w:rsid w:val="009F6099"/>
    <w:rsid w:val="009F6385"/>
    <w:rsid w:val="009F6679"/>
    <w:rsid w:val="009F6721"/>
    <w:rsid w:val="009F67DC"/>
    <w:rsid w:val="009F6CFD"/>
    <w:rsid w:val="009F72C2"/>
    <w:rsid w:val="009F742E"/>
    <w:rsid w:val="009F7606"/>
    <w:rsid w:val="009F76DF"/>
    <w:rsid w:val="009F7C5F"/>
    <w:rsid w:val="009F7E21"/>
    <w:rsid w:val="009F7F4B"/>
    <w:rsid w:val="00A00498"/>
    <w:rsid w:val="00A00777"/>
    <w:rsid w:val="00A009E1"/>
    <w:rsid w:val="00A00B65"/>
    <w:rsid w:val="00A014AA"/>
    <w:rsid w:val="00A0190D"/>
    <w:rsid w:val="00A01DD9"/>
    <w:rsid w:val="00A02041"/>
    <w:rsid w:val="00A028C4"/>
    <w:rsid w:val="00A02AC9"/>
    <w:rsid w:val="00A03B3F"/>
    <w:rsid w:val="00A03ED9"/>
    <w:rsid w:val="00A04917"/>
    <w:rsid w:val="00A05336"/>
    <w:rsid w:val="00A055FC"/>
    <w:rsid w:val="00A05BA2"/>
    <w:rsid w:val="00A05C48"/>
    <w:rsid w:val="00A05D5F"/>
    <w:rsid w:val="00A06119"/>
    <w:rsid w:val="00A06D5E"/>
    <w:rsid w:val="00A06F67"/>
    <w:rsid w:val="00A0703C"/>
    <w:rsid w:val="00A07049"/>
    <w:rsid w:val="00A0748D"/>
    <w:rsid w:val="00A07834"/>
    <w:rsid w:val="00A07C3A"/>
    <w:rsid w:val="00A1036C"/>
    <w:rsid w:val="00A1092C"/>
    <w:rsid w:val="00A10932"/>
    <w:rsid w:val="00A10BDA"/>
    <w:rsid w:val="00A11682"/>
    <w:rsid w:val="00A11749"/>
    <w:rsid w:val="00A119C0"/>
    <w:rsid w:val="00A11A37"/>
    <w:rsid w:val="00A11B29"/>
    <w:rsid w:val="00A11FE9"/>
    <w:rsid w:val="00A1237E"/>
    <w:rsid w:val="00A12418"/>
    <w:rsid w:val="00A12D92"/>
    <w:rsid w:val="00A12F99"/>
    <w:rsid w:val="00A1393F"/>
    <w:rsid w:val="00A13AD1"/>
    <w:rsid w:val="00A13B9F"/>
    <w:rsid w:val="00A13D1D"/>
    <w:rsid w:val="00A13F2D"/>
    <w:rsid w:val="00A14190"/>
    <w:rsid w:val="00A146CC"/>
    <w:rsid w:val="00A148F8"/>
    <w:rsid w:val="00A14975"/>
    <w:rsid w:val="00A14C5C"/>
    <w:rsid w:val="00A15279"/>
    <w:rsid w:val="00A15453"/>
    <w:rsid w:val="00A15D88"/>
    <w:rsid w:val="00A15DB9"/>
    <w:rsid w:val="00A15EC6"/>
    <w:rsid w:val="00A1615E"/>
    <w:rsid w:val="00A16F7D"/>
    <w:rsid w:val="00A16F89"/>
    <w:rsid w:val="00A17123"/>
    <w:rsid w:val="00A17507"/>
    <w:rsid w:val="00A17A48"/>
    <w:rsid w:val="00A17B81"/>
    <w:rsid w:val="00A2008A"/>
    <w:rsid w:val="00A20CF2"/>
    <w:rsid w:val="00A20FA8"/>
    <w:rsid w:val="00A21713"/>
    <w:rsid w:val="00A21810"/>
    <w:rsid w:val="00A21A61"/>
    <w:rsid w:val="00A21EAB"/>
    <w:rsid w:val="00A22004"/>
    <w:rsid w:val="00A224DB"/>
    <w:rsid w:val="00A2251E"/>
    <w:rsid w:val="00A22667"/>
    <w:rsid w:val="00A22AE3"/>
    <w:rsid w:val="00A22C47"/>
    <w:rsid w:val="00A23289"/>
    <w:rsid w:val="00A23FBF"/>
    <w:rsid w:val="00A241CE"/>
    <w:rsid w:val="00A243BD"/>
    <w:rsid w:val="00A2464A"/>
    <w:rsid w:val="00A2506D"/>
    <w:rsid w:val="00A253AF"/>
    <w:rsid w:val="00A2541C"/>
    <w:rsid w:val="00A255DD"/>
    <w:rsid w:val="00A2571D"/>
    <w:rsid w:val="00A25A3D"/>
    <w:rsid w:val="00A25A98"/>
    <w:rsid w:val="00A25DCC"/>
    <w:rsid w:val="00A25E68"/>
    <w:rsid w:val="00A26092"/>
    <w:rsid w:val="00A260BF"/>
    <w:rsid w:val="00A26194"/>
    <w:rsid w:val="00A2650D"/>
    <w:rsid w:val="00A2652C"/>
    <w:rsid w:val="00A26660"/>
    <w:rsid w:val="00A26671"/>
    <w:rsid w:val="00A27294"/>
    <w:rsid w:val="00A279CA"/>
    <w:rsid w:val="00A27A74"/>
    <w:rsid w:val="00A27B6A"/>
    <w:rsid w:val="00A301CE"/>
    <w:rsid w:val="00A30654"/>
    <w:rsid w:val="00A30BA0"/>
    <w:rsid w:val="00A31272"/>
    <w:rsid w:val="00A31515"/>
    <w:rsid w:val="00A31680"/>
    <w:rsid w:val="00A31840"/>
    <w:rsid w:val="00A31B09"/>
    <w:rsid w:val="00A31BEB"/>
    <w:rsid w:val="00A31DF5"/>
    <w:rsid w:val="00A321CA"/>
    <w:rsid w:val="00A3223A"/>
    <w:rsid w:val="00A32253"/>
    <w:rsid w:val="00A3249F"/>
    <w:rsid w:val="00A32934"/>
    <w:rsid w:val="00A32C0F"/>
    <w:rsid w:val="00A32F18"/>
    <w:rsid w:val="00A334EA"/>
    <w:rsid w:val="00A336BF"/>
    <w:rsid w:val="00A33DE0"/>
    <w:rsid w:val="00A3442A"/>
    <w:rsid w:val="00A356A6"/>
    <w:rsid w:val="00A357F2"/>
    <w:rsid w:val="00A35A21"/>
    <w:rsid w:val="00A360B1"/>
    <w:rsid w:val="00A3611E"/>
    <w:rsid w:val="00A36558"/>
    <w:rsid w:val="00A36789"/>
    <w:rsid w:val="00A37356"/>
    <w:rsid w:val="00A373C9"/>
    <w:rsid w:val="00A3765A"/>
    <w:rsid w:val="00A37761"/>
    <w:rsid w:val="00A37C96"/>
    <w:rsid w:val="00A37D59"/>
    <w:rsid w:val="00A37DFA"/>
    <w:rsid w:val="00A4049F"/>
    <w:rsid w:val="00A405F4"/>
    <w:rsid w:val="00A40A9F"/>
    <w:rsid w:val="00A40D2B"/>
    <w:rsid w:val="00A40D74"/>
    <w:rsid w:val="00A40E76"/>
    <w:rsid w:val="00A40F99"/>
    <w:rsid w:val="00A411B7"/>
    <w:rsid w:val="00A41AC4"/>
    <w:rsid w:val="00A41C96"/>
    <w:rsid w:val="00A41F2F"/>
    <w:rsid w:val="00A42300"/>
    <w:rsid w:val="00A423B8"/>
    <w:rsid w:val="00A4285B"/>
    <w:rsid w:val="00A42B50"/>
    <w:rsid w:val="00A42BC5"/>
    <w:rsid w:val="00A42C1B"/>
    <w:rsid w:val="00A43A6F"/>
    <w:rsid w:val="00A43ADB"/>
    <w:rsid w:val="00A43DE3"/>
    <w:rsid w:val="00A44D7A"/>
    <w:rsid w:val="00A45084"/>
    <w:rsid w:val="00A459B9"/>
    <w:rsid w:val="00A46646"/>
    <w:rsid w:val="00A467F1"/>
    <w:rsid w:val="00A46F1C"/>
    <w:rsid w:val="00A4763E"/>
    <w:rsid w:val="00A47D3E"/>
    <w:rsid w:val="00A47F94"/>
    <w:rsid w:val="00A50655"/>
    <w:rsid w:val="00A506B6"/>
    <w:rsid w:val="00A509D0"/>
    <w:rsid w:val="00A509D7"/>
    <w:rsid w:val="00A50DC1"/>
    <w:rsid w:val="00A511FE"/>
    <w:rsid w:val="00A51CFB"/>
    <w:rsid w:val="00A51FCC"/>
    <w:rsid w:val="00A5206C"/>
    <w:rsid w:val="00A520F3"/>
    <w:rsid w:val="00A527DA"/>
    <w:rsid w:val="00A52A9D"/>
    <w:rsid w:val="00A52C42"/>
    <w:rsid w:val="00A52D5B"/>
    <w:rsid w:val="00A53750"/>
    <w:rsid w:val="00A537AC"/>
    <w:rsid w:val="00A538C0"/>
    <w:rsid w:val="00A539C5"/>
    <w:rsid w:val="00A53A4B"/>
    <w:rsid w:val="00A53AB1"/>
    <w:rsid w:val="00A5431D"/>
    <w:rsid w:val="00A54751"/>
    <w:rsid w:val="00A54D71"/>
    <w:rsid w:val="00A5502D"/>
    <w:rsid w:val="00A553F6"/>
    <w:rsid w:val="00A55441"/>
    <w:rsid w:val="00A55697"/>
    <w:rsid w:val="00A55720"/>
    <w:rsid w:val="00A55846"/>
    <w:rsid w:val="00A562AF"/>
    <w:rsid w:val="00A56BAD"/>
    <w:rsid w:val="00A56C84"/>
    <w:rsid w:val="00A56E8A"/>
    <w:rsid w:val="00A5705D"/>
    <w:rsid w:val="00A57711"/>
    <w:rsid w:val="00A57A49"/>
    <w:rsid w:val="00A57D3E"/>
    <w:rsid w:val="00A57DF8"/>
    <w:rsid w:val="00A605E4"/>
    <w:rsid w:val="00A608B2"/>
    <w:rsid w:val="00A60999"/>
    <w:rsid w:val="00A609B8"/>
    <w:rsid w:val="00A60E5C"/>
    <w:rsid w:val="00A613C1"/>
    <w:rsid w:val="00A615B0"/>
    <w:rsid w:val="00A61716"/>
    <w:rsid w:val="00A61AB0"/>
    <w:rsid w:val="00A61EAD"/>
    <w:rsid w:val="00A6240A"/>
    <w:rsid w:val="00A627D7"/>
    <w:rsid w:val="00A62A48"/>
    <w:rsid w:val="00A62CDE"/>
    <w:rsid w:val="00A63108"/>
    <w:rsid w:val="00A63543"/>
    <w:rsid w:val="00A63688"/>
    <w:rsid w:val="00A637ED"/>
    <w:rsid w:val="00A63978"/>
    <w:rsid w:val="00A639B2"/>
    <w:rsid w:val="00A64D47"/>
    <w:rsid w:val="00A64E57"/>
    <w:rsid w:val="00A65386"/>
    <w:rsid w:val="00A65580"/>
    <w:rsid w:val="00A65AC0"/>
    <w:rsid w:val="00A65E53"/>
    <w:rsid w:val="00A6612C"/>
    <w:rsid w:val="00A66328"/>
    <w:rsid w:val="00A664B3"/>
    <w:rsid w:val="00A664CA"/>
    <w:rsid w:val="00A66716"/>
    <w:rsid w:val="00A66D1C"/>
    <w:rsid w:val="00A66D6F"/>
    <w:rsid w:val="00A66F29"/>
    <w:rsid w:val="00A66FC6"/>
    <w:rsid w:val="00A670D7"/>
    <w:rsid w:val="00A6710A"/>
    <w:rsid w:val="00A67310"/>
    <w:rsid w:val="00A675F7"/>
    <w:rsid w:val="00A67F98"/>
    <w:rsid w:val="00A7049F"/>
    <w:rsid w:val="00A7053B"/>
    <w:rsid w:val="00A70868"/>
    <w:rsid w:val="00A70C2A"/>
    <w:rsid w:val="00A70CF9"/>
    <w:rsid w:val="00A7140E"/>
    <w:rsid w:val="00A71768"/>
    <w:rsid w:val="00A718C5"/>
    <w:rsid w:val="00A71C02"/>
    <w:rsid w:val="00A71CD7"/>
    <w:rsid w:val="00A7208D"/>
    <w:rsid w:val="00A72136"/>
    <w:rsid w:val="00A7276C"/>
    <w:rsid w:val="00A7292A"/>
    <w:rsid w:val="00A732FE"/>
    <w:rsid w:val="00A73992"/>
    <w:rsid w:val="00A73A17"/>
    <w:rsid w:val="00A7428A"/>
    <w:rsid w:val="00A74AC4"/>
    <w:rsid w:val="00A74CB8"/>
    <w:rsid w:val="00A75B16"/>
    <w:rsid w:val="00A761DA"/>
    <w:rsid w:val="00A7637D"/>
    <w:rsid w:val="00A763D2"/>
    <w:rsid w:val="00A76719"/>
    <w:rsid w:val="00A76B11"/>
    <w:rsid w:val="00A77009"/>
    <w:rsid w:val="00A777DB"/>
    <w:rsid w:val="00A77C8D"/>
    <w:rsid w:val="00A77E30"/>
    <w:rsid w:val="00A80781"/>
    <w:rsid w:val="00A80C4A"/>
    <w:rsid w:val="00A812AA"/>
    <w:rsid w:val="00A8198D"/>
    <w:rsid w:val="00A81A12"/>
    <w:rsid w:val="00A81F18"/>
    <w:rsid w:val="00A826F4"/>
    <w:rsid w:val="00A82815"/>
    <w:rsid w:val="00A8290E"/>
    <w:rsid w:val="00A82C91"/>
    <w:rsid w:val="00A83482"/>
    <w:rsid w:val="00A8357B"/>
    <w:rsid w:val="00A83709"/>
    <w:rsid w:val="00A83B2E"/>
    <w:rsid w:val="00A83D41"/>
    <w:rsid w:val="00A83E5D"/>
    <w:rsid w:val="00A844C4"/>
    <w:rsid w:val="00A846F6"/>
    <w:rsid w:val="00A84A07"/>
    <w:rsid w:val="00A85ADA"/>
    <w:rsid w:val="00A85C67"/>
    <w:rsid w:val="00A86232"/>
    <w:rsid w:val="00A8625D"/>
    <w:rsid w:val="00A862C2"/>
    <w:rsid w:val="00A86801"/>
    <w:rsid w:val="00A86933"/>
    <w:rsid w:val="00A873DC"/>
    <w:rsid w:val="00A8770F"/>
    <w:rsid w:val="00A87994"/>
    <w:rsid w:val="00A87B69"/>
    <w:rsid w:val="00A87DCF"/>
    <w:rsid w:val="00A9027B"/>
    <w:rsid w:val="00A907CC"/>
    <w:rsid w:val="00A90C00"/>
    <w:rsid w:val="00A91326"/>
    <w:rsid w:val="00A914DF"/>
    <w:rsid w:val="00A919EE"/>
    <w:rsid w:val="00A92887"/>
    <w:rsid w:val="00A92931"/>
    <w:rsid w:val="00A93979"/>
    <w:rsid w:val="00A93C87"/>
    <w:rsid w:val="00A93E17"/>
    <w:rsid w:val="00A9434B"/>
    <w:rsid w:val="00A94C26"/>
    <w:rsid w:val="00A94CE3"/>
    <w:rsid w:val="00A94F3B"/>
    <w:rsid w:val="00A959E0"/>
    <w:rsid w:val="00A95C1E"/>
    <w:rsid w:val="00A95E45"/>
    <w:rsid w:val="00A962CE"/>
    <w:rsid w:val="00A96A50"/>
    <w:rsid w:val="00A96B6B"/>
    <w:rsid w:val="00A97009"/>
    <w:rsid w:val="00A972A1"/>
    <w:rsid w:val="00A97AA0"/>
    <w:rsid w:val="00AA00E5"/>
    <w:rsid w:val="00AA0D93"/>
    <w:rsid w:val="00AA183F"/>
    <w:rsid w:val="00AA1AC8"/>
    <w:rsid w:val="00AA1E64"/>
    <w:rsid w:val="00AA1FA6"/>
    <w:rsid w:val="00AA2419"/>
    <w:rsid w:val="00AA2ACC"/>
    <w:rsid w:val="00AA2E5D"/>
    <w:rsid w:val="00AA37F8"/>
    <w:rsid w:val="00AA382C"/>
    <w:rsid w:val="00AA393F"/>
    <w:rsid w:val="00AA3CE2"/>
    <w:rsid w:val="00AA43E3"/>
    <w:rsid w:val="00AA45C2"/>
    <w:rsid w:val="00AA47BB"/>
    <w:rsid w:val="00AA4A22"/>
    <w:rsid w:val="00AA4AD0"/>
    <w:rsid w:val="00AA4F53"/>
    <w:rsid w:val="00AA52C8"/>
    <w:rsid w:val="00AA5380"/>
    <w:rsid w:val="00AA5CD6"/>
    <w:rsid w:val="00AA5D3D"/>
    <w:rsid w:val="00AA60F5"/>
    <w:rsid w:val="00AA639F"/>
    <w:rsid w:val="00AA63CC"/>
    <w:rsid w:val="00AA66C4"/>
    <w:rsid w:val="00AA6819"/>
    <w:rsid w:val="00AB001A"/>
    <w:rsid w:val="00AB0343"/>
    <w:rsid w:val="00AB0467"/>
    <w:rsid w:val="00AB0B5A"/>
    <w:rsid w:val="00AB0C60"/>
    <w:rsid w:val="00AB0D9D"/>
    <w:rsid w:val="00AB1003"/>
    <w:rsid w:val="00AB10EB"/>
    <w:rsid w:val="00AB1295"/>
    <w:rsid w:val="00AB153D"/>
    <w:rsid w:val="00AB1628"/>
    <w:rsid w:val="00AB1F13"/>
    <w:rsid w:val="00AB2071"/>
    <w:rsid w:val="00AB21E5"/>
    <w:rsid w:val="00AB223C"/>
    <w:rsid w:val="00AB2876"/>
    <w:rsid w:val="00AB2DD4"/>
    <w:rsid w:val="00AB2FC7"/>
    <w:rsid w:val="00AB3499"/>
    <w:rsid w:val="00AB3B2A"/>
    <w:rsid w:val="00AB434A"/>
    <w:rsid w:val="00AB4B43"/>
    <w:rsid w:val="00AB4EF1"/>
    <w:rsid w:val="00AB58F1"/>
    <w:rsid w:val="00AB592E"/>
    <w:rsid w:val="00AB6184"/>
    <w:rsid w:val="00AB6F15"/>
    <w:rsid w:val="00AB707E"/>
    <w:rsid w:val="00AB72AB"/>
    <w:rsid w:val="00AB75C1"/>
    <w:rsid w:val="00AB7A35"/>
    <w:rsid w:val="00AC070C"/>
    <w:rsid w:val="00AC09D0"/>
    <w:rsid w:val="00AC0FBA"/>
    <w:rsid w:val="00AC1378"/>
    <w:rsid w:val="00AC1808"/>
    <w:rsid w:val="00AC190F"/>
    <w:rsid w:val="00AC1941"/>
    <w:rsid w:val="00AC1BB3"/>
    <w:rsid w:val="00AC1E3E"/>
    <w:rsid w:val="00AC2082"/>
    <w:rsid w:val="00AC2216"/>
    <w:rsid w:val="00AC28EC"/>
    <w:rsid w:val="00AC2976"/>
    <w:rsid w:val="00AC2AD9"/>
    <w:rsid w:val="00AC2AFC"/>
    <w:rsid w:val="00AC2C02"/>
    <w:rsid w:val="00AC3211"/>
    <w:rsid w:val="00AC406F"/>
    <w:rsid w:val="00AC426B"/>
    <w:rsid w:val="00AC4270"/>
    <w:rsid w:val="00AC46CC"/>
    <w:rsid w:val="00AC4B92"/>
    <w:rsid w:val="00AC4CC1"/>
    <w:rsid w:val="00AC4DF0"/>
    <w:rsid w:val="00AC65B3"/>
    <w:rsid w:val="00AC6709"/>
    <w:rsid w:val="00AC6764"/>
    <w:rsid w:val="00AC6B49"/>
    <w:rsid w:val="00AC6D52"/>
    <w:rsid w:val="00AC6E28"/>
    <w:rsid w:val="00AC7A8D"/>
    <w:rsid w:val="00AC8F77"/>
    <w:rsid w:val="00AD02AD"/>
    <w:rsid w:val="00AD0335"/>
    <w:rsid w:val="00AD04BB"/>
    <w:rsid w:val="00AD0DEC"/>
    <w:rsid w:val="00AD0E1B"/>
    <w:rsid w:val="00AD16CA"/>
    <w:rsid w:val="00AD1A31"/>
    <w:rsid w:val="00AD1D7E"/>
    <w:rsid w:val="00AD22A3"/>
    <w:rsid w:val="00AD25CE"/>
    <w:rsid w:val="00AD2896"/>
    <w:rsid w:val="00AD2A44"/>
    <w:rsid w:val="00AD35CC"/>
    <w:rsid w:val="00AD39AB"/>
    <w:rsid w:val="00AD3D22"/>
    <w:rsid w:val="00AD3D83"/>
    <w:rsid w:val="00AD426B"/>
    <w:rsid w:val="00AD4CC2"/>
    <w:rsid w:val="00AD51E8"/>
    <w:rsid w:val="00AD52EE"/>
    <w:rsid w:val="00AD5A44"/>
    <w:rsid w:val="00AD5B5E"/>
    <w:rsid w:val="00AD5B78"/>
    <w:rsid w:val="00AD5DB1"/>
    <w:rsid w:val="00AD609E"/>
    <w:rsid w:val="00AD617F"/>
    <w:rsid w:val="00AD66B6"/>
    <w:rsid w:val="00AD6751"/>
    <w:rsid w:val="00AD68B7"/>
    <w:rsid w:val="00AD6B26"/>
    <w:rsid w:val="00AD6E24"/>
    <w:rsid w:val="00AD6FA1"/>
    <w:rsid w:val="00AD706B"/>
    <w:rsid w:val="00AD7AB6"/>
    <w:rsid w:val="00AD7C11"/>
    <w:rsid w:val="00AD7D2B"/>
    <w:rsid w:val="00AD7D93"/>
    <w:rsid w:val="00AD7EE7"/>
    <w:rsid w:val="00AE018E"/>
    <w:rsid w:val="00AE025D"/>
    <w:rsid w:val="00AE0542"/>
    <w:rsid w:val="00AE05B9"/>
    <w:rsid w:val="00AE0884"/>
    <w:rsid w:val="00AE0984"/>
    <w:rsid w:val="00AE0AD3"/>
    <w:rsid w:val="00AE0C88"/>
    <w:rsid w:val="00AE0F8C"/>
    <w:rsid w:val="00AE0FDE"/>
    <w:rsid w:val="00AE15C1"/>
    <w:rsid w:val="00AE1CAA"/>
    <w:rsid w:val="00AE2170"/>
    <w:rsid w:val="00AE24D1"/>
    <w:rsid w:val="00AE34F1"/>
    <w:rsid w:val="00AE3BE3"/>
    <w:rsid w:val="00AE4062"/>
    <w:rsid w:val="00AE433B"/>
    <w:rsid w:val="00AE46C5"/>
    <w:rsid w:val="00AE4958"/>
    <w:rsid w:val="00AE4A58"/>
    <w:rsid w:val="00AE4AE0"/>
    <w:rsid w:val="00AE4DF8"/>
    <w:rsid w:val="00AE507D"/>
    <w:rsid w:val="00AE5298"/>
    <w:rsid w:val="00AE52F9"/>
    <w:rsid w:val="00AE5C64"/>
    <w:rsid w:val="00AE5F74"/>
    <w:rsid w:val="00AE6296"/>
    <w:rsid w:val="00AE639B"/>
    <w:rsid w:val="00AE6683"/>
    <w:rsid w:val="00AE6A93"/>
    <w:rsid w:val="00AE6F0D"/>
    <w:rsid w:val="00AE7716"/>
    <w:rsid w:val="00AE7820"/>
    <w:rsid w:val="00AE7ABF"/>
    <w:rsid w:val="00AE7CFA"/>
    <w:rsid w:val="00AF00AF"/>
    <w:rsid w:val="00AF03AE"/>
    <w:rsid w:val="00AF06BF"/>
    <w:rsid w:val="00AF08CA"/>
    <w:rsid w:val="00AF0EA5"/>
    <w:rsid w:val="00AF1077"/>
    <w:rsid w:val="00AF1598"/>
    <w:rsid w:val="00AF1935"/>
    <w:rsid w:val="00AF1B97"/>
    <w:rsid w:val="00AF1D6D"/>
    <w:rsid w:val="00AF20AF"/>
    <w:rsid w:val="00AF2152"/>
    <w:rsid w:val="00AF234D"/>
    <w:rsid w:val="00AF279F"/>
    <w:rsid w:val="00AF27BB"/>
    <w:rsid w:val="00AF2AD1"/>
    <w:rsid w:val="00AF2C5A"/>
    <w:rsid w:val="00AF32D5"/>
    <w:rsid w:val="00AF3347"/>
    <w:rsid w:val="00AF364A"/>
    <w:rsid w:val="00AF3811"/>
    <w:rsid w:val="00AF3836"/>
    <w:rsid w:val="00AF3FDB"/>
    <w:rsid w:val="00AF408F"/>
    <w:rsid w:val="00AF42B2"/>
    <w:rsid w:val="00AF4317"/>
    <w:rsid w:val="00AF441C"/>
    <w:rsid w:val="00AF4556"/>
    <w:rsid w:val="00AF4CB3"/>
    <w:rsid w:val="00AF4F5E"/>
    <w:rsid w:val="00AF5323"/>
    <w:rsid w:val="00AF533F"/>
    <w:rsid w:val="00AF54A4"/>
    <w:rsid w:val="00AF556E"/>
    <w:rsid w:val="00AF5620"/>
    <w:rsid w:val="00AF5DDC"/>
    <w:rsid w:val="00AF5EFB"/>
    <w:rsid w:val="00AF61B5"/>
    <w:rsid w:val="00AF644A"/>
    <w:rsid w:val="00AF6633"/>
    <w:rsid w:val="00AF6905"/>
    <w:rsid w:val="00AF690B"/>
    <w:rsid w:val="00AF6DF3"/>
    <w:rsid w:val="00AF6EED"/>
    <w:rsid w:val="00AF755D"/>
    <w:rsid w:val="00AF7735"/>
    <w:rsid w:val="00AF78F5"/>
    <w:rsid w:val="00AF796F"/>
    <w:rsid w:val="00B004BF"/>
    <w:rsid w:val="00B004CD"/>
    <w:rsid w:val="00B009EF"/>
    <w:rsid w:val="00B00E83"/>
    <w:rsid w:val="00B01084"/>
    <w:rsid w:val="00B012EB"/>
    <w:rsid w:val="00B01584"/>
    <w:rsid w:val="00B0187A"/>
    <w:rsid w:val="00B01AB2"/>
    <w:rsid w:val="00B01CCF"/>
    <w:rsid w:val="00B02093"/>
    <w:rsid w:val="00B02207"/>
    <w:rsid w:val="00B02237"/>
    <w:rsid w:val="00B023A3"/>
    <w:rsid w:val="00B029E8"/>
    <w:rsid w:val="00B030DA"/>
    <w:rsid w:val="00B03992"/>
    <w:rsid w:val="00B039F1"/>
    <w:rsid w:val="00B03EE7"/>
    <w:rsid w:val="00B04261"/>
    <w:rsid w:val="00B04617"/>
    <w:rsid w:val="00B04EC0"/>
    <w:rsid w:val="00B053EF"/>
    <w:rsid w:val="00B0557E"/>
    <w:rsid w:val="00B05703"/>
    <w:rsid w:val="00B07025"/>
    <w:rsid w:val="00B0712F"/>
    <w:rsid w:val="00B0744C"/>
    <w:rsid w:val="00B07792"/>
    <w:rsid w:val="00B07DE7"/>
    <w:rsid w:val="00B07E9E"/>
    <w:rsid w:val="00B07FE3"/>
    <w:rsid w:val="00B100BF"/>
    <w:rsid w:val="00B10267"/>
    <w:rsid w:val="00B10289"/>
    <w:rsid w:val="00B10516"/>
    <w:rsid w:val="00B107F5"/>
    <w:rsid w:val="00B108C7"/>
    <w:rsid w:val="00B10BFA"/>
    <w:rsid w:val="00B111D7"/>
    <w:rsid w:val="00B11BDA"/>
    <w:rsid w:val="00B1204A"/>
    <w:rsid w:val="00B120C3"/>
    <w:rsid w:val="00B12185"/>
    <w:rsid w:val="00B12357"/>
    <w:rsid w:val="00B127D9"/>
    <w:rsid w:val="00B1295F"/>
    <w:rsid w:val="00B12BC7"/>
    <w:rsid w:val="00B12D59"/>
    <w:rsid w:val="00B1335D"/>
    <w:rsid w:val="00B13742"/>
    <w:rsid w:val="00B13F76"/>
    <w:rsid w:val="00B14867"/>
    <w:rsid w:val="00B14AC0"/>
    <w:rsid w:val="00B14CAC"/>
    <w:rsid w:val="00B150CF"/>
    <w:rsid w:val="00B1580A"/>
    <w:rsid w:val="00B15B8A"/>
    <w:rsid w:val="00B161FA"/>
    <w:rsid w:val="00B1679C"/>
    <w:rsid w:val="00B16DEE"/>
    <w:rsid w:val="00B172D3"/>
    <w:rsid w:val="00B173B1"/>
    <w:rsid w:val="00B175FD"/>
    <w:rsid w:val="00B1789B"/>
    <w:rsid w:val="00B17EA9"/>
    <w:rsid w:val="00B17F98"/>
    <w:rsid w:val="00B204E1"/>
    <w:rsid w:val="00B213DD"/>
    <w:rsid w:val="00B215EA"/>
    <w:rsid w:val="00B21672"/>
    <w:rsid w:val="00B218E9"/>
    <w:rsid w:val="00B21A65"/>
    <w:rsid w:val="00B21A8D"/>
    <w:rsid w:val="00B21DE4"/>
    <w:rsid w:val="00B21F0B"/>
    <w:rsid w:val="00B2234B"/>
    <w:rsid w:val="00B23196"/>
    <w:rsid w:val="00B2331F"/>
    <w:rsid w:val="00B233F7"/>
    <w:rsid w:val="00B23C87"/>
    <w:rsid w:val="00B24488"/>
    <w:rsid w:val="00B25123"/>
    <w:rsid w:val="00B251A3"/>
    <w:rsid w:val="00B26317"/>
    <w:rsid w:val="00B2631B"/>
    <w:rsid w:val="00B26EF1"/>
    <w:rsid w:val="00B27798"/>
    <w:rsid w:val="00B27B18"/>
    <w:rsid w:val="00B27D8C"/>
    <w:rsid w:val="00B30011"/>
    <w:rsid w:val="00B301D7"/>
    <w:rsid w:val="00B30434"/>
    <w:rsid w:val="00B3047A"/>
    <w:rsid w:val="00B3094A"/>
    <w:rsid w:val="00B30DC8"/>
    <w:rsid w:val="00B312B6"/>
    <w:rsid w:val="00B31322"/>
    <w:rsid w:val="00B3175D"/>
    <w:rsid w:val="00B317D8"/>
    <w:rsid w:val="00B31868"/>
    <w:rsid w:val="00B32923"/>
    <w:rsid w:val="00B32972"/>
    <w:rsid w:val="00B32E80"/>
    <w:rsid w:val="00B33069"/>
    <w:rsid w:val="00B332A9"/>
    <w:rsid w:val="00B337B8"/>
    <w:rsid w:val="00B33808"/>
    <w:rsid w:val="00B33D5A"/>
    <w:rsid w:val="00B34187"/>
    <w:rsid w:val="00B344F2"/>
    <w:rsid w:val="00B3470F"/>
    <w:rsid w:val="00B34CBD"/>
    <w:rsid w:val="00B35476"/>
    <w:rsid w:val="00B35872"/>
    <w:rsid w:val="00B35933"/>
    <w:rsid w:val="00B35965"/>
    <w:rsid w:val="00B36AE1"/>
    <w:rsid w:val="00B36BFB"/>
    <w:rsid w:val="00B36F3D"/>
    <w:rsid w:val="00B37635"/>
    <w:rsid w:val="00B37D3F"/>
    <w:rsid w:val="00B4010A"/>
    <w:rsid w:val="00B40A67"/>
    <w:rsid w:val="00B41F67"/>
    <w:rsid w:val="00B41FD0"/>
    <w:rsid w:val="00B421B5"/>
    <w:rsid w:val="00B423DD"/>
    <w:rsid w:val="00B4269B"/>
    <w:rsid w:val="00B42A06"/>
    <w:rsid w:val="00B42A28"/>
    <w:rsid w:val="00B42AEB"/>
    <w:rsid w:val="00B42F76"/>
    <w:rsid w:val="00B430DE"/>
    <w:rsid w:val="00B430F5"/>
    <w:rsid w:val="00B434C6"/>
    <w:rsid w:val="00B435D2"/>
    <w:rsid w:val="00B43664"/>
    <w:rsid w:val="00B43705"/>
    <w:rsid w:val="00B437B8"/>
    <w:rsid w:val="00B43F16"/>
    <w:rsid w:val="00B4465B"/>
    <w:rsid w:val="00B44C33"/>
    <w:rsid w:val="00B44CC6"/>
    <w:rsid w:val="00B44D2F"/>
    <w:rsid w:val="00B450EF"/>
    <w:rsid w:val="00B45368"/>
    <w:rsid w:val="00B45A10"/>
    <w:rsid w:val="00B45EAB"/>
    <w:rsid w:val="00B46383"/>
    <w:rsid w:val="00B46444"/>
    <w:rsid w:val="00B46622"/>
    <w:rsid w:val="00B475CC"/>
    <w:rsid w:val="00B47827"/>
    <w:rsid w:val="00B5138C"/>
    <w:rsid w:val="00B51531"/>
    <w:rsid w:val="00B51660"/>
    <w:rsid w:val="00B518C5"/>
    <w:rsid w:val="00B51D6F"/>
    <w:rsid w:val="00B51E44"/>
    <w:rsid w:val="00B52246"/>
    <w:rsid w:val="00B52391"/>
    <w:rsid w:val="00B52878"/>
    <w:rsid w:val="00B5292B"/>
    <w:rsid w:val="00B53260"/>
    <w:rsid w:val="00B53894"/>
    <w:rsid w:val="00B53AEF"/>
    <w:rsid w:val="00B54925"/>
    <w:rsid w:val="00B54A96"/>
    <w:rsid w:val="00B55081"/>
    <w:rsid w:val="00B550C5"/>
    <w:rsid w:val="00B55564"/>
    <w:rsid w:val="00B55EB2"/>
    <w:rsid w:val="00B56299"/>
    <w:rsid w:val="00B5632B"/>
    <w:rsid w:val="00B56C53"/>
    <w:rsid w:val="00B57D0B"/>
    <w:rsid w:val="00B60770"/>
    <w:rsid w:val="00B608F1"/>
    <w:rsid w:val="00B60FFB"/>
    <w:rsid w:val="00B61318"/>
    <w:rsid w:val="00B6138A"/>
    <w:rsid w:val="00B616CD"/>
    <w:rsid w:val="00B61CDB"/>
    <w:rsid w:val="00B62157"/>
    <w:rsid w:val="00B622E3"/>
    <w:rsid w:val="00B627A2"/>
    <w:rsid w:val="00B62938"/>
    <w:rsid w:val="00B62BE9"/>
    <w:rsid w:val="00B6369B"/>
    <w:rsid w:val="00B63B3E"/>
    <w:rsid w:val="00B63CAF"/>
    <w:rsid w:val="00B63ED8"/>
    <w:rsid w:val="00B64296"/>
    <w:rsid w:val="00B64307"/>
    <w:rsid w:val="00B643C9"/>
    <w:rsid w:val="00B64428"/>
    <w:rsid w:val="00B64476"/>
    <w:rsid w:val="00B646F6"/>
    <w:rsid w:val="00B64B67"/>
    <w:rsid w:val="00B64E04"/>
    <w:rsid w:val="00B652CC"/>
    <w:rsid w:val="00B65970"/>
    <w:rsid w:val="00B66048"/>
    <w:rsid w:val="00B663D3"/>
    <w:rsid w:val="00B66541"/>
    <w:rsid w:val="00B66707"/>
    <w:rsid w:val="00B6689D"/>
    <w:rsid w:val="00B66958"/>
    <w:rsid w:val="00B66AED"/>
    <w:rsid w:val="00B670D2"/>
    <w:rsid w:val="00B675A1"/>
    <w:rsid w:val="00B6772B"/>
    <w:rsid w:val="00B67F02"/>
    <w:rsid w:val="00B70783"/>
    <w:rsid w:val="00B708C8"/>
    <w:rsid w:val="00B70FCF"/>
    <w:rsid w:val="00B71B5E"/>
    <w:rsid w:val="00B7200D"/>
    <w:rsid w:val="00B7256E"/>
    <w:rsid w:val="00B725C6"/>
    <w:rsid w:val="00B726F2"/>
    <w:rsid w:val="00B72D44"/>
    <w:rsid w:val="00B72F94"/>
    <w:rsid w:val="00B730CA"/>
    <w:rsid w:val="00B7356C"/>
    <w:rsid w:val="00B7364A"/>
    <w:rsid w:val="00B73844"/>
    <w:rsid w:val="00B7428D"/>
    <w:rsid w:val="00B74706"/>
    <w:rsid w:val="00B74719"/>
    <w:rsid w:val="00B74EA2"/>
    <w:rsid w:val="00B7527C"/>
    <w:rsid w:val="00B75388"/>
    <w:rsid w:val="00B75807"/>
    <w:rsid w:val="00B75936"/>
    <w:rsid w:val="00B75A75"/>
    <w:rsid w:val="00B75B73"/>
    <w:rsid w:val="00B75BD1"/>
    <w:rsid w:val="00B75BD7"/>
    <w:rsid w:val="00B75F10"/>
    <w:rsid w:val="00B76563"/>
    <w:rsid w:val="00B765CA"/>
    <w:rsid w:val="00B76A5E"/>
    <w:rsid w:val="00B76BCE"/>
    <w:rsid w:val="00B76D02"/>
    <w:rsid w:val="00B76DFA"/>
    <w:rsid w:val="00B77037"/>
    <w:rsid w:val="00B7757A"/>
    <w:rsid w:val="00B776F0"/>
    <w:rsid w:val="00B77753"/>
    <w:rsid w:val="00B77915"/>
    <w:rsid w:val="00B77996"/>
    <w:rsid w:val="00B77FC4"/>
    <w:rsid w:val="00B77FE9"/>
    <w:rsid w:val="00B8012D"/>
    <w:rsid w:val="00B80DF8"/>
    <w:rsid w:val="00B81852"/>
    <w:rsid w:val="00B818EA"/>
    <w:rsid w:val="00B81F02"/>
    <w:rsid w:val="00B82095"/>
    <w:rsid w:val="00B8294F"/>
    <w:rsid w:val="00B82D27"/>
    <w:rsid w:val="00B832E6"/>
    <w:rsid w:val="00B836FB"/>
    <w:rsid w:val="00B83CB0"/>
    <w:rsid w:val="00B84047"/>
    <w:rsid w:val="00B84077"/>
    <w:rsid w:val="00B8431F"/>
    <w:rsid w:val="00B84A61"/>
    <w:rsid w:val="00B84CCC"/>
    <w:rsid w:val="00B85128"/>
    <w:rsid w:val="00B85176"/>
    <w:rsid w:val="00B856E0"/>
    <w:rsid w:val="00B85B0E"/>
    <w:rsid w:val="00B85B79"/>
    <w:rsid w:val="00B85C93"/>
    <w:rsid w:val="00B86069"/>
    <w:rsid w:val="00B861F5"/>
    <w:rsid w:val="00B8621D"/>
    <w:rsid w:val="00B864C1"/>
    <w:rsid w:val="00B8653B"/>
    <w:rsid w:val="00B86627"/>
    <w:rsid w:val="00B86675"/>
    <w:rsid w:val="00B86D39"/>
    <w:rsid w:val="00B86D54"/>
    <w:rsid w:val="00B871A3"/>
    <w:rsid w:val="00B8720A"/>
    <w:rsid w:val="00B8743F"/>
    <w:rsid w:val="00B877FF"/>
    <w:rsid w:val="00B87C80"/>
    <w:rsid w:val="00B87CCA"/>
    <w:rsid w:val="00B87D2E"/>
    <w:rsid w:val="00B900D9"/>
    <w:rsid w:val="00B902C4"/>
    <w:rsid w:val="00B907F8"/>
    <w:rsid w:val="00B90C18"/>
    <w:rsid w:val="00B9117C"/>
    <w:rsid w:val="00B912D3"/>
    <w:rsid w:val="00B91487"/>
    <w:rsid w:val="00B91717"/>
    <w:rsid w:val="00B928E4"/>
    <w:rsid w:val="00B92C4A"/>
    <w:rsid w:val="00B93A7E"/>
    <w:rsid w:val="00B9400A"/>
    <w:rsid w:val="00B94131"/>
    <w:rsid w:val="00B94993"/>
    <w:rsid w:val="00B950BF"/>
    <w:rsid w:val="00B95398"/>
    <w:rsid w:val="00B953A3"/>
    <w:rsid w:val="00B953E8"/>
    <w:rsid w:val="00B9562C"/>
    <w:rsid w:val="00B957A1"/>
    <w:rsid w:val="00B95A85"/>
    <w:rsid w:val="00B9635C"/>
    <w:rsid w:val="00B96F50"/>
    <w:rsid w:val="00B97218"/>
    <w:rsid w:val="00B973BB"/>
    <w:rsid w:val="00B97803"/>
    <w:rsid w:val="00B97B8E"/>
    <w:rsid w:val="00B97F45"/>
    <w:rsid w:val="00BA0072"/>
    <w:rsid w:val="00BA00AD"/>
    <w:rsid w:val="00BA0556"/>
    <w:rsid w:val="00BA067C"/>
    <w:rsid w:val="00BA0A05"/>
    <w:rsid w:val="00BA0EA9"/>
    <w:rsid w:val="00BA11B0"/>
    <w:rsid w:val="00BA1246"/>
    <w:rsid w:val="00BA12E4"/>
    <w:rsid w:val="00BA1689"/>
    <w:rsid w:val="00BA1BDA"/>
    <w:rsid w:val="00BA209A"/>
    <w:rsid w:val="00BA2405"/>
    <w:rsid w:val="00BA2B68"/>
    <w:rsid w:val="00BA3612"/>
    <w:rsid w:val="00BA3850"/>
    <w:rsid w:val="00BA4132"/>
    <w:rsid w:val="00BA4165"/>
    <w:rsid w:val="00BA418E"/>
    <w:rsid w:val="00BA4435"/>
    <w:rsid w:val="00BA44D8"/>
    <w:rsid w:val="00BA4F91"/>
    <w:rsid w:val="00BA501F"/>
    <w:rsid w:val="00BA5312"/>
    <w:rsid w:val="00BA533E"/>
    <w:rsid w:val="00BA53AD"/>
    <w:rsid w:val="00BA54DC"/>
    <w:rsid w:val="00BA56BB"/>
    <w:rsid w:val="00BA5B09"/>
    <w:rsid w:val="00BA5B5D"/>
    <w:rsid w:val="00BA5D09"/>
    <w:rsid w:val="00BA5D66"/>
    <w:rsid w:val="00BA6579"/>
    <w:rsid w:val="00BA6BA2"/>
    <w:rsid w:val="00BA6BC0"/>
    <w:rsid w:val="00BA7215"/>
    <w:rsid w:val="00BA7565"/>
    <w:rsid w:val="00BA75BA"/>
    <w:rsid w:val="00BA7BC8"/>
    <w:rsid w:val="00BA7C67"/>
    <w:rsid w:val="00BB071F"/>
    <w:rsid w:val="00BB0D3A"/>
    <w:rsid w:val="00BB0DFC"/>
    <w:rsid w:val="00BB12B0"/>
    <w:rsid w:val="00BB147F"/>
    <w:rsid w:val="00BB17A7"/>
    <w:rsid w:val="00BB17C6"/>
    <w:rsid w:val="00BB184B"/>
    <w:rsid w:val="00BB1926"/>
    <w:rsid w:val="00BB1C83"/>
    <w:rsid w:val="00BB1E43"/>
    <w:rsid w:val="00BB1E5A"/>
    <w:rsid w:val="00BB1EE2"/>
    <w:rsid w:val="00BB2267"/>
    <w:rsid w:val="00BB2736"/>
    <w:rsid w:val="00BB278E"/>
    <w:rsid w:val="00BB2F32"/>
    <w:rsid w:val="00BB3731"/>
    <w:rsid w:val="00BB3D1B"/>
    <w:rsid w:val="00BB40E2"/>
    <w:rsid w:val="00BB4194"/>
    <w:rsid w:val="00BB45E9"/>
    <w:rsid w:val="00BB4DE5"/>
    <w:rsid w:val="00BB5181"/>
    <w:rsid w:val="00BB521D"/>
    <w:rsid w:val="00BB551A"/>
    <w:rsid w:val="00BB5583"/>
    <w:rsid w:val="00BB5D23"/>
    <w:rsid w:val="00BB5D90"/>
    <w:rsid w:val="00BB62C9"/>
    <w:rsid w:val="00BB647D"/>
    <w:rsid w:val="00BB67E8"/>
    <w:rsid w:val="00BB6960"/>
    <w:rsid w:val="00BB6B99"/>
    <w:rsid w:val="00BB6E20"/>
    <w:rsid w:val="00BB7367"/>
    <w:rsid w:val="00BB783B"/>
    <w:rsid w:val="00BB7DD5"/>
    <w:rsid w:val="00BC0679"/>
    <w:rsid w:val="00BC08D4"/>
    <w:rsid w:val="00BC1AA1"/>
    <w:rsid w:val="00BC1E78"/>
    <w:rsid w:val="00BC1E82"/>
    <w:rsid w:val="00BC2247"/>
    <w:rsid w:val="00BC2911"/>
    <w:rsid w:val="00BC2E9C"/>
    <w:rsid w:val="00BC352E"/>
    <w:rsid w:val="00BC3795"/>
    <w:rsid w:val="00BC37E6"/>
    <w:rsid w:val="00BC38E0"/>
    <w:rsid w:val="00BC3F7A"/>
    <w:rsid w:val="00BC4019"/>
    <w:rsid w:val="00BC453D"/>
    <w:rsid w:val="00BC4D46"/>
    <w:rsid w:val="00BC52D7"/>
    <w:rsid w:val="00BC54CD"/>
    <w:rsid w:val="00BC5647"/>
    <w:rsid w:val="00BC5657"/>
    <w:rsid w:val="00BC5972"/>
    <w:rsid w:val="00BC5BAC"/>
    <w:rsid w:val="00BC607C"/>
    <w:rsid w:val="00BC6650"/>
    <w:rsid w:val="00BC6772"/>
    <w:rsid w:val="00BC6D12"/>
    <w:rsid w:val="00BC6E2C"/>
    <w:rsid w:val="00BC7018"/>
    <w:rsid w:val="00BC71A3"/>
    <w:rsid w:val="00BC7355"/>
    <w:rsid w:val="00BC7EF4"/>
    <w:rsid w:val="00BD0081"/>
    <w:rsid w:val="00BD0638"/>
    <w:rsid w:val="00BD0E86"/>
    <w:rsid w:val="00BD22F5"/>
    <w:rsid w:val="00BD2663"/>
    <w:rsid w:val="00BD27FB"/>
    <w:rsid w:val="00BD321E"/>
    <w:rsid w:val="00BD378A"/>
    <w:rsid w:val="00BD3915"/>
    <w:rsid w:val="00BD3F14"/>
    <w:rsid w:val="00BD4019"/>
    <w:rsid w:val="00BD4067"/>
    <w:rsid w:val="00BD4E35"/>
    <w:rsid w:val="00BD5266"/>
    <w:rsid w:val="00BD5485"/>
    <w:rsid w:val="00BD598E"/>
    <w:rsid w:val="00BD59B5"/>
    <w:rsid w:val="00BD59FF"/>
    <w:rsid w:val="00BD5DFC"/>
    <w:rsid w:val="00BD5E70"/>
    <w:rsid w:val="00BD62DC"/>
    <w:rsid w:val="00BD64AE"/>
    <w:rsid w:val="00BD66D5"/>
    <w:rsid w:val="00BD6B46"/>
    <w:rsid w:val="00BD722A"/>
    <w:rsid w:val="00BD73AA"/>
    <w:rsid w:val="00BD75D5"/>
    <w:rsid w:val="00BD76CC"/>
    <w:rsid w:val="00BD7AA6"/>
    <w:rsid w:val="00BD7AB8"/>
    <w:rsid w:val="00BD7F34"/>
    <w:rsid w:val="00BE0073"/>
    <w:rsid w:val="00BE0086"/>
    <w:rsid w:val="00BE030C"/>
    <w:rsid w:val="00BE033A"/>
    <w:rsid w:val="00BE0782"/>
    <w:rsid w:val="00BE0A92"/>
    <w:rsid w:val="00BE1369"/>
    <w:rsid w:val="00BE147A"/>
    <w:rsid w:val="00BE177D"/>
    <w:rsid w:val="00BE1A77"/>
    <w:rsid w:val="00BE1BCD"/>
    <w:rsid w:val="00BE1F0B"/>
    <w:rsid w:val="00BE21BA"/>
    <w:rsid w:val="00BE27E4"/>
    <w:rsid w:val="00BE2A81"/>
    <w:rsid w:val="00BE2B3C"/>
    <w:rsid w:val="00BE2E53"/>
    <w:rsid w:val="00BE2F75"/>
    <w:rsid w:val="00BE340B"/>
    <w:rsid w:val="00BE3886"/>
    <w:rsid w:val="00BE38AC"/>
    <w:rsid w:val="00BE3D99"/>
    <w:rsid w:val="00BE4442"/>
    <w:rsid w:val="00BE4A71"/>
    <w:rsid w:val="00BE4BCA"/>
    <w:rsid w:val="00BE4CB7"/>
    <w:rsid w:val="00BE4CD9"/>
    <w:rsid w:val="00BE509B"/>
    <w:rsid w:val="00BE5107"/>
    <w:rsid w:val="00BE54AC"/>
    <w:rsid w:val="00BE5580"/>
    <w:rsid w:val="00BE5889"/>
    <w:rsid w:val="00BE5C44"/>
    <w:rsid w:val="00BE5F9D"/>
    <w:rsid w:val="00BE60DE"/>
    <w:rsid w:val="00BE6463"/>
    <w:rsid w:val="00BE668D"/>
    <w:rsid w:val="00BE676E"/>
    <w:rsid w:val="00BE6932"/>
    <w:rsid w:val="00BE6F98"/>
    <w:rsid w:val="00BE7483"/>
    <w:rsid w:val="00BE75FA"/>
    <w:rsid w:val="00BE7EC7"/>
    <w:rsid w:val="00BF0107"/>
    <w:rsid w:val="00BF0446"/>
    <w:rsid w:val="00BF044B"/>
    <w:rsid w:val="00BF04E8"/>
    <w:rsid w:val="00BF0814"/>
    <w:rsid w:val="00BF0F6C"/>
    <w:rsid w:val="00BF117C"/>
    <w:rsid w:val="00BF142F"/>
    <w:rsid w:val="00BF177F"/>
    <w:rsid w:val="00BF1AD8"/>
    <w:rsid w:val="00BF1E0D"/>
    <w:rsid w:val="00BF1FD7"/>
    <w:rsid w:val="00BF2590"/>
    <w:rsid w:val="00BF25F1"/>
    <w:rsid w:val="00BF29F4"/>
    <w:rsid w:val="00BF305C"/>
    <w:rsid w:val="00BF3A5D"/>
    <w:rsid w:val="00BF3AEC"/>
    <w:rsid w:val="00BF3E5E"/>
    <w:rsid w:val="00BF462B"/>
    <w:rsid w:val="00BF4782"/>
    <w:rsid w:val="00BF493E"/>
    <w:rsid w:val="00BF5C7F"/>
    <w:rsid w:val="00BF5D97"/>
    <w:rsid w:val="00BF60DF"/>
    <w:rsid w:val="00BF6241"/>
    <w:rsid w:val="00BF64E7"/>
    <w:rsid w:val="00BF6602"/>
    <w:rsid w:val="00BF6860"/>
    <w:rsid w:val="00BF7D8E"/>
    <w:rsid w:val="00C000D2"/>
    <w:rsid w:val="00C00383"/>
    <w:rsid w:val="00C006BB"/>
    <w:rsid w:val="00C00809"/>
    <w:rsid w:val="00C0086C"/>
    <w:rsid w:val="00C0095B"/>
    <w:rsid w:val="00C00DB6"/>
    <w:rsid w:val="00C0156A"/>
    <w:rsid w:val="00C017FC"/>
    <w:rsid w:val="00C01CCF"/>
    <w:rsid w:val="00C0217E"/>
    <w:rsid w:val="00C022B9"/>
    <w:rsid w:val="00C022FC"/>
    <w:rsid w:val="00C02655"/>
    <w:rsid w:val="00C0268E"/>
    <w:rsid w:val="00C0274F"/>
    <w:rsid w:val="00C02C03"/>
    <w:rsid w:val="00C03642"/>
    <w:rsid w:val="00C036D2"/>
    <w:rsid w:val="00C03779"/>
    <w:rsid w:val="00C039F5"/>
    <w:rsid w:val="00C03A52"/>
    <w:rsid w:val="00C03AF8"/>
    <w:rsid w:val="00C0406E"/>
    <w:rsid w:val="00C040FC"/>
    <w:rsid w:val="00C0444D"/>
    <w:rsid w:val="00C0455E"/>
    <w:rsid w:val="00C04729"/>
    <w:rsid w:val="00C04A69"/>
    <w:rsid w:val="00C04CC6"/>
    <w:rsid w:val="00C0592C"/>
    <w:rsid w:val="00C05A30"/>
    <w:rsid w:val="00C05ACA"/>
    <w:rsid w:val="00C06036"/>
    <w:rsid w:val="00C060C3"/>
    <w:rsid w:val="00C06186"/>
    <w:rsid w:val="00C06E8E"/>
    <w:rsid w:val="00C0739A"/>
    <w:rsid w:val="00C075FF"/>
    <w:rsid w:val="00C07D79"/>
    <w:rsid w:val="00C07E33"/>
    <w:rsid w:val="00C10749"/>
    <w:rsid w:val="00C10BCD"/>
    <w:rsid w:val="00C10DCB"/>
    <w:rsid w:val="00C1192B"/>
    <w:rsid w:val="00C11939"/>
    <w:rsid w:val="00C11A03"/>
    <w:rsid w:val="00C11BF2"/>
    <w:rsid w:val="00C12647"/>
    <w:rsid w:val="00C128D1"/>
    <w:rsid w:val="00C12916"/>
    <w:rsid w:val="00C1294E"/>
    <w:rsid w:val="00C1386E"/>
    <w:rsid w:val="00C13986"/>
    <w:rsid w:val="00C13F61"/>
    <w:rsid w:val="00C13FAA"/>
    <w:rsid w:val="00C1417E"/>
    <w:rsid w:val="00C14291"/>
    <w:rsid w:val="00C14422"/>
    <w:rsid w:val="00C144D3"/>
    <w:rsid w:val="00C14644"/>
    <w:rsid w:val="00C14761"/>
    <w:rsid w:val="00C14813"/>
    <w:rsid w:val="00C14E81"/>
    <w:rsid w:val="00C15074"/>
    <w:rsid w:val="00C152BC"/>
    <w:rsid w:val="00C1530C"/>
    <w:rsid w:val="00C15512"/>
    <w:rsid w:val="00C1581A"/>
    <w:rsid w:val="00C15BE7"/>
    <w:rsid w:val="00C15CC2"/>
    <w:rsid w:val="00C164DC"/>
    <w:rsid w:val="00C164E5"/>
    <w:rsid w:val="00C165D2"/>
    <w:rsid w:val="00C16CD3"/>
    <w:rsid w:val="00C16E65"/>
    <w:rsid w:val="00C16F3F"/>
    <w:rsid w:val="00C16F72"/>
    <w:rsid w:val="00C1766C"/>
    <w:rsid w:val="00C177A7"/>
    <w:rsid w:val="00C1780B"/>
    <w:rsid w:val="00C17B3E"/>
    <w:rsid w:val="00C17FB5"/>
    <w:rsid w:val="00C20165"/>
    <w:rsid w:val="00C201E4"/>
    <w:rsid w:val="00C2058F"/>
    <w:rsid w:val="00C2085F"/>
    <w:rsid w:val="00C20F21"/>
    <w:rsid w:val="00C21231"/>
    <w:rsid w:val="00C212F1"/>
    <w:rsid w:val="00C217C7"/>
    <w:rsid w:val="00C219D6"/>
    <w:rsid w:val="00C21CAC"/>
    <w:rsid w:val="00C221F5"/>
    <w:rsid w:val="00C2227B"/>
    <w:rsid w:val="00C225BF"/>
    <w:rsid w:val="00C2314F"/>
    <w:rsid w:val="00C233CC"/>
    <w:rsid w:val="00C237E3"/>
    <w:rsid w:val="00C23B21"/>
    <w:rsid w:val="00C24351"/>
    <w:rsid w:val="00C2464F"/>
    <w:rsid w:val="00C24675"/>
    <w:rsid w:val="00C24AFB"/>
    <w:rsid w:val="00C24B80"/>
    <w:rsid w:val="00C24E49"/>
    <w:rsid w:val="00C25126"/>
    <w:rsid w:val="00C254F4"/>
    <w:rsid w:val="00C25724"/>
    <w:rsid w:val="00C25B36"/>
    <w:rsid w:val="00C25E77"/>
    <w:rsid w:val="00C25FEE"/>
    <w:rsid w:val="00C26A32"/>
    <w:rsid w:val="00C26A73"/>
    <w:rsid w:val="00C26D07"/>
    <w:rsid w:val="00C2773A"/>
    <w:rsid w:val="00C27DCE"/>
    <w:rsid w:val="00C30F89"/>
    <w:rsid w:val="00C314D8"/>
    <w:rsid w:val="00C31576"/>
    <w:rsid w:val="00C31587"/>
    <w:rsid w:val="00C31E56"/>
    <w:rsid w:val="00C3227B"/>
    <w:rsid w:val="00C32606"/>
    <w:rsid w:val="00C329D7"/>
    <w:rsid w:val="00C32AE1"/>
    <w:rsid w:val="00C32EBF"/>
    <w:rsid w:val="00C33085"/>
    <w:rsid w:val="00C338FF"/>
    <w:rsid w:val="00C33ED1"/>
    <w:rsid w:val="00C34526"/>
    <w:rsid w:val="00C345D9"/>
    <w:rsid w:val="00C34AA2"/>
    <w:rsid w:val="00C34E42"/>
    <w:rsid w:val="00C34F52"/>
    <w:rsid w:val="00C35239"/>
    <w:rsid w:val="00C35883"/>
    <w:rsid w:val="00C35BCF"/>
    <w:rsid w:val="00C35C3E"/>
    <w:rsid w:val="00C36703"/>
    <w:rsid w:val="00C3691C"/>
    <w:rsid w:val="00C36EA7"/>
    <w:rsid w:val="00C37BBD"/>
    <w:rsid w:val="00C41006"/>
    <w:rsid w:val="00C411DB"/>
    <w:rsid w:val="00C414AD"/>
    <w:rsid w:val="00C4199E"/>
    <w:rsid w:val="00C41DF5"/>
    <w:rsid w:val="00C42182"/>
    <w:rsid w:val="00C4259B"/>
    <w:rsid w:val="00C42F34"/>
    <w:rsid w:val="00C432FF"/>
    <w:rsid w:val="00C43372"/>
    <w:rsid w:val="00C436F4"/>
    <w:rsid w:val="00C43887"/>
    <w:rsid w:val="00C43AB6"/>
    <w:rsid w:val="00C43B08"/>
    <w:rsid w:val="00C43CD2"/>
    <w:rsid w:val="00C43D17"/>
    <w:rsid w:val="00C44146"/>
    <w:rsid w:val="00C442E7"/>
    <w:rsid w:val="00C44482"/>
    <w:rsid w:val="00C44AB9"/>
    <w:rsid w:val="00C44ACE"/>
    <w:rsid w:val="00C44F58"/>
    <w:rsid w:val="00C44F72"/>
    <w:rsid w:val="00C45652"/>
    <w:rsid w:val="00C456F5"/>
    <w:rsid w:val="00C45A59"/>
    <w:rsid w:val="00C45EB5"/>
    <w:rsid w:val="00C45F82"/>
    <w:rsid w:val="00C462F7"/>
    <w:rsid w:val="00C46680"/>
    <w:rsid w:val="00C46964"/>
    <w:rsid w:val="00C46D5B"/>
    <w:rsid w:val="00C4707C"/>
    <w:rsid w:val="00C4716A"/>
    <w:rsid w:val="00C4722E"/>
    <w:rsid w:val="00C47406"/>
    <w:rsid w:val="00C47575"/>
    <w:rsid w:val="00C47ABF"/>
    <w:rsid w:val="00C47BBB"/>
    <w:rsid w:val="00C47E61"/>
    <w:rsid w:val="00C5013E"/>
    <w:rsid w:val="00C50186"/>
    <w:rsid w:val="00C50D62"/>
    <w:rsid w:val="00C51078"/>
    <w:rsid w:val="00C512E3"/>
    <w:rsid w:val="00C5160C"/>
    <w:rsid w:val="00C51659"/>
    <w:rsid w:val="00C51692"/>
    <w:rsid w:val="00C51C65"/>
    <w:rsid w:val="00C525C0"/>
    <w:rsid w:val="00C526D0"/>
    <w:rsid w:val="00C528D0"/>
    <w:rsid w:val="00C52A88"/>
    <w:rsid w:val="00C52FD7"/>
    <w:rsid w:val="00C533DF"/>
    <w:rsid w:val="00C53727"/>
    <w:rsid w:val="00C5381E"/>
    <w:rsid w:val="00C53EDD"/>
    <w:rsid w:val="00C53EF8"/>
    <w:rsid w:val="00C54733"/>
    <w:rsid w:val="00C54E09"/>
    <w:rsid w:val="00C550DB"/>
    <w:rsid w:val="00C55114"/>
    <w:rsid w:val="00C55438"/>
    <w:rsid w:val="00C5559B"/>
    <w:rsid w:val="00C555B3"/>
    <w:rsid w:val="00C555C7"/>
    <w:rsid w:val="00C557B7"/>
    <w:rsid w:val="00C56088"/>
    <w:rsid w:val="00C565A2"/>
    <w:rsid w:val="00C56CDE"/>
    <w:rsid w:val="00C57275"/>
    <w:rsid w:val="00C57FBA"/>
    <w:rsid w:val="00C60089"/>
    <w:rsid w:val="00C6124B"/>
    <w:rsid w:val="00C612B4"/>
    <w:rsid w:val="00C61325"/>
    <w:rsid w:val="00C61449"/>
    <w:rsid w:val="00C619BE"/>
    <w:rsid w:val="00C61B13"/>
    <w:rsid w:val="00C6205F"/>
    <w:rsid w:val="00C627D7"/>
    <w:rsid w:val="00C629C8"/>
    <w:rsid w:val="00C62A84"/>
    <w:rsid w:val="00C62D19"/>
    <w:rsid w:val="00C63106"/>
    <w:rsid w:val="00C638FD"/>
    <w:rsid w:val="00C63A1D"/>
    <w:rsid w:val="00C640B5"/>
    <w:rsid w:val="00C6411C"/>
    <w:rsid w:val="00C6480F"/>
    <w:rsid w:val="00C64ADD"/>
    <w:rsid w:val="00C64B8B"/>
    <w:rsid w:val="00C64F12"/>
    <w:rsid w:val="00C65130"/>
    <w:rsid w:val="00C65365"/>
    <w:rsid w:val="00C65594"/>
    <w:rsid w:val="00C65760"/>
    <w:rsid w:val="00C6589B"/>
    <w:rsid w:val="00C65BDE"/>
    <w:rsid w:val="00C65D3E"/>
    <w:rsid w:val="00C667D8"/>
    <w:rsid w:val="00C66975"/>
    <w:rsid w:val="00C66B98"/>
    <w:rsid w:val="00C66C39"/>
    <w:rsid w:val="00C66C3F"/>
    <w:rsid w:val="00C66F0B"/>
    <w:rsid w:val="00C67103"/>
    <w:rsid w:val="00C67140"/>
    <w:rsid w:val="00C67333"/>
    <w:rsid w:val="00C67913"/>
    <w:rsid w:val="00C679D7"/>
    <w:rsid w:val="00C708D6"/>
    <w:rsid w:val="00C70A94"/>
    <w:rsid w:val="00C71E80"/>
    <w:rsid w:val="00C71EBC"/>
    <w:rsid w:val="00C72460"/>
    <w:rsid w:val="00C726A2"/>
    <w:rsid w:val="00C7278A"/>
    <w:rsid w:val="00C7287F"/>
    <w:rsid w:val="00C728FB"/>
    <w:rsid w:val="00C72AF4"/>
    <w:rsid w:val="00C72DA2"/>
    <w:rsid w:val="00C72DF4"/>
    <w:rsid w:val="00C72E19"/>
    <w:rsid w:val="00C7316C"/>
    <w:rsid w:val="00C73308"/>
    <w:rsid w:val="00C7342A"/>
    <w:rsid w:val="00C73655"/>
    <w:rsid w:val="00C7383F"/>
    <w:rsid w:val="00C7389D"/>
    <w:rsid w:val="00C74022"/>
    <w:rsid w:val="00C7407E"/>
    <w:rsid w:val="00C74103"/>
    <w:rsid w:val="00C7413D"/>
    <w:rsid w:val="00C7427E"/>
    <w:rsid w:val="00C74B1A"/>
    <w:rsid w:val="00C74DF8"/>
    <w:rsid w:val="00C7626F"/>
    <w:rsid w:val="00C7649C"/>
    <w:rsid w:val="00C7694C"/>
    <w:rsid w:val="00C769EE"/>
    <w:rsid w:val="00C76D5F"/>
    <w:rsid w:val="00C77068"/>
    <w:rsid w:val="00C7736A"/>
    <w:rsid w:val="00C7744F"/>
    <w:rsid w:val="00C774AA"/>
    <w:rsid w:val="00C7757B"/>
    <w:rsid w:val="00C77863"/>
    <w:rsid w:val="00C77B4A"/>
    <w:rsid w:val="00C77E16"/>
    <w:rsid w:val="00C77F5C"/>
    <w:rsid w:val="00C80073"/>
    <w:rsid w:val="00C802A0"/>
    <w:rsid w:val="00C80508"/>
    <w:rsid w:val="00C80826"/>
    <w:rsid w:val="00C80957"/>
    <w:rsid w:val="00C809B1"/>
    <w:rsid w:val="00C80EF9"/>
    <w:rsid w:val="00C81161"/>
    <w:rsid w:val="00C813A4"/>
    <w:rsid w:val="00C8141E"/>
    <w:rsid w:val="00C81D5E"/>
    <w:rsid w:val="00C8219E"/>
    <w:rsid w:val="00C821CF"/>
    <w:rsid w:val="00C824A4"/>
    <w:rsid w:val="00C82D5A"/>
    <w:rsid w:val="00C82E2C"/>
    <w:rsid w:val="00C82FF1"/>
    <w:rsid w:val="00C834FD"/>
    <w:rsid w:val="00C835A1"/>
    <w:rsid w:val="00C83DB6"/>
    <w:rsid w:val="00C83F2A"/>
    <w:rsid w:val="00C83F7F"/>
    <w:rsid w:val="00C84298"/>
    <w:rsid w:val="00C847E4"/>
    <w:rsid w:val="00C84861"/>
    <w:rsid w:val="00C84E82"/>
    <w:rsid w:val="00C858A6"/>
    <w:rsid w:val="00C85B1C"/>
    <w:rsid w:val="00C85B2D"/>
    <w:rsid w:val="00C85B65"/>
    <w:rsid w:val="00C85B67"/>
    <w:rsid w:val="00C85C70"/>
    <w:rsid w:val="00C86044"/>
    <w:rsid w:val="00C86E5A"/>
    <w:rsid w:val="00C874EF"/>
    <w:rsid w:val="00C875B9"/>
    <w:rsid w:val="00C87E8D"/>
    <w:rsid w:val="00C87F04"/>
    <w:rsid w:val="00C903DC"/>
    <w:rsid w:val="00C905E6"/>
    <w:rsid w:val="00C907B7"/>
    <w:rsid w:val="00C908DA"/>
    <w:rsid w:val="00C90B5D"/>
    <w:rsid w:val="00C90C12"/>
    <w:rsid w:val="00C91606"/>
    <w:rsid w:val="00C91E9F"/>
    <w:rsid w:val="00C921C2"/>
    <w:rsid w:val="00C92626"/>
    <w:rsid w:val="00C92B09"/>
    <w:rsid w:val="00C92BBE"/>
    <w:rsid w:val="00C92BFD"/>
    <w:rsid w:val="00C92CA3"/>
    <w:rsid w:val="00C9308C"/>
    <w:rsid w:val="00C93956"/>
    <w:rsid w:val="00C93A52"/>
    <w:rsid w:val="00C93BD7"/>
    <w:rsid w:val="00C946D8"/>
    <w:rsid w:val="00C9476D"/>
    <w:rsid w:val="00C951C3"/>
    <w:rsid w:val="00C95264"/>
    <w:rsid w:val="00C95546"/>
    <w:rsid w:val="00C95742"/>
    <w:rsid w:val="00C957A7"/>
    <w:rsid w:val="00C95840"/>
    <w:rsid w:val="00C95B68"/>
    <w:rsid w:val="00C95BEA"/>
    <w:rsid w:val="00C96209"/>
    <w:rsid w:val="00C96BE7"/>
    <w:rsid w:val="00C96D65"/>
    <w:rsid w:val="00C96DEA"/>
    <w:rsid w:val="00C976D4"/>
    <w:rsid w:val="00C97977"/>
    <w:rsid w:val="00C97ADF"/>
    <w:rsid w:val="00C97CC9"/>
    <w:rsid w:val="00C97EF2"/>
    <w:rsid w:val="00CA02CB"/>
    <w:rsid w:val="00CA049E"/>
    <w:rsid w:val="00CA0603"/>
    <w:rsid w:val="00CA061A"/>
    <w:rsid w:val="00CA0B60"/>
    <w:rsid w:val="00CA0CE4"/>
    <w:rsid w:val="00CA11D5"/>
    <w:rsid w:val="00CA1294"/>
    <w:rsid w:val="00CA14F9"/>
    <w:rsid w:val="00CA15ED"/>
    <w:rsid w:val="00CA169F"/>
    <w:rsid w:val="00CA1703"/>
    <w:rsid w:val="00CA18C3"/>
    <w:rsid w:val="00CA1B04"/>
    <w:rsid w:val="00CA1EAF"/>
    <w:rsid w:val="00CA20B5"/>
    <w:rsid w:val="00CA2512"/>
    <w:rsid w:val="00CA2837"/>
    <w:rsid w:val="00CA3187"/>
    <w:rsid w:val="00CA34B3"/>
    <w:rsid w:val="00CA34BE"/>
    <w:rsid w:val="00CA36B8"/>
    <w:rsid w:val="00CA3B35"/>
    <w:rsid w:val="00CA4086"/>
    <w:rsid w:val="00CA52F0"/>
    <w:rsid w:val="00CA5AC6"/>
    <w:rsid w:val="00CA5CDD"/>
    <w:rsid w:val="00CA6302"/>
    <w:rsid w:val="00CA64D3"/>
    <w:rsid w:val="00CA68A7"/>
    <w:rsid w:val="00CA69AD"/>
    <w:rsid w:val="00CA6B5D"/>
    <w:rsid w:val="00CA6FC4"/>
    <w:rsid w:val="00CA726E"/>
    <w:rsid w:val="00CA76AE"/>
    <w:rsid w:val="00CA798F"/>
    <w:rsid w:val="00CA7AD8"/>
    <w:rsid w:val="00CA7CCA"/>
    <w:rsid w:val="00CA7CF9"/>
    <w:rsid w:val="00CB0307"/>
    <w:rsid w:val="00CB045C"/>
    <w:rsid w:val="00CB08B6"/>
    <w:rsid w:val="00CB0AC8"/>
    <w:rsid w:val="00CB10DE"/>
    <w:rsid w:val="00CB11A7"/>
    <w:rsid w:val="00CB1344"/>
    <w:rsid w:val="00CB159B"/>
    <w:rsid w:val="00CB1610"/>
    <w:rsid w:val="00CB1E51"/>
    <w:rsid w:val="00CB1EBA"/>
    <w:rsid w:val="00CB1F2B"/>
    <w:rsid w:val="00CB2292"/>
    <w:rsid w:val="00CB230D"/>
    <w:rsid w:val="00CB2957"/>
    <w:rsid w:val="00CB2963"/>
    <w:rsid w:val="00CB29DF"/>
    <w:rsid w:val="00CB2C93"/>
    <w:rsid w:val="00CB2CF5"/>
    <w:rsid w:val="00CB2F80"/>
    <w:rsid w:val="00CB4283"/>
    <w:rsid w:val="00CB459D"/>
    <w:rsid w:val="00CB4A22"/>
    <w:rsid w:val="00CB5899"/>
    <w:rsid w:val="00CB58F4"/>
    <w:rsid w:val="00CB59B5"/>
    <w:rsid w:val="00CB6A8D"/>
    <w:rsid w:val="00CB6C5A"/>
    <w:rsid w:val="00CB7377"/>
    <w:rsid w:val="00CB7DE7"/>
    <w:rsid w:val="00CB8FCB"/>
    <w:rsid w:val="00CB962D"/>
    <w:rsid w:val="00CC01F1"/>
    <w:rsid w:val="00CC0332"/>
    <w:rsid w:val="00CC035F"/>
    <w:rsid w:val="00CC0C31"/>
    <w:rsid w:val="00CC15AA"/>
    <w:rsid w:val="00CC18A8"/>
    <w:rsid w:val="00CC27BF"/>
    <w:rsid w:val="00CC28BC"/>
    <w:rsid w:val="00CC293C"/>
    <w:rsid w:val="00CC2962"/>
    <w:rsid w:val="00CC2C85"/>
    <w:rsid w:val="00CC2F0C"/>
    <w:rsid w:val="00CC3233"/>
    <w:rsid w:val="00CC3362"/>
    <w:rsid w:val="00CC348C"/>
    <w:rsid w:val="00CC41A6"/>
    <w:rsid w:val="00CC4284"/>
    <w:rsid w:val="00CC43F7"/>
    <w:rsid w:val="00CC4515"/>
    <w:rsid w:val="00CC4545"/>
    <w:rsid w:val="00CC4659"/>
    <w:rsid w:val="00CC5135"/>
    <w:rsid w:val="00CC5150"/>
    <w:rsid w:val="00CC523A"/>
    <w:rsid w:val="00CC53DB"/>
    <w:rsid w:val="00CC5795"/>
    <w:rsid w:val="00CC57C4"/>
    <w:rsid w:val="00CC5FCA"/>
    <w:rsid w:val="00CC67E0"/>
    <w:rsid w:val="00CC6EB7"/>
    <w:rsid w:val="00CC6EC9"/>
    <w:rsid w:val="00CC71B1"/>
    <w:rsid w:val="00CC73B1"/>
    <w:rsid w:val="00CC7EBA"/>
    <w:rsid w:val="00CD03B3"/>
    <w:rsid w:val="00CD06C2"/>
    <w:rsid w:val="00CD096E"/>
    <w:rsid w:val="00CD0F23"/>
    <w:rsid w:val="00CD1C90"/>
    <w:rsid w:val="00CD2252"/>
    <w:rsid w:val="00CD2329"/>
    <w:rsid w:val="00CD26A1"/>
    <w:rsid w:val="00CD2DAF"/>
    <w:rsid w:val="00CD2EA1"/>
    <w:rsid w:val="00CD2F2D"/>
    <w:rsid w:val="00CD328D"/>
    <w:rsid w:val="00CD3DA8"/>
    <w:rsid w:val="00CD40A9"/>
    <w:rsid w:val="00CD40BE"/>
    <w:rsid w:val="00CD4854"/>
    <w:rsid w:val="00CD4A18"/>
    <w:rsid w:val="00CD547E"/>
    <w:rsid w:val="00CD55B0"/>
    <w:rsid w:val="00CD5A0E"/>
    <w:rsid w:val="00CD5E56"/>
    <w:rsid w:val="00CD63D5"/>
    <w:rsid w:val="00CD63FE"/>
    <w:rsid w:val="00CD6C0A"/>
    <w:rsid w:val="00CD6F41"/>
    <w:rsid w:val="00CD706D"/>
    <w:rsid w:val="00CD71D6"/>
    <w:rsid w:val="00CD735A"/>
    <w:rsid w:val="00CD7879"/>
    <w:rsid w:val="00CD7F3A"/>
    <w:rsid w:val="00CD7FEA"/>
    <w:rsid w:val="00CE083B"/>
    <w:rsid w:val="00CE0A7E"/>
    <w:rsid w:val="00CE1765"/>
    <w:rsid w:val="00CE1C22"/>
    <w:rsid w:val="00CE2A64"/>
    <w:rsid w:val="00CE2BA0"/>
    <w:rsid w:val="00CE392B"/>
    <w:rsid w:val="00CE3BC2"/>
    <w:rsid w:val="00CE41DD"/>
    <w:rsid w:val="00CE424C"/>
    <w:rsid w:val="00CE488C"/>
    <w:rsid w:val="00CE4B66"/>
    <w:rsid w:val="00CE520F"/>
    <w:rsid w:val="00CE5536"/>
    <w:rsid w:val="00CE55F4"/>
    <w:rsid w:val="00CE58EA"/>
    <w:rsid w:val="00CE6458"/>
    <w:rsid w:val="00CE6836"/>
    <w:rsid w:val="00CE72D2"/>
    <w:rsid w:val="00CE746D"/>
    <w:rsid w:val="00CE7BEA"/>
    <w:rsid w:val="00CE7F44"/>
    <w:rsid w:val="00CF04DD"/>
    <w:rsid w:val="00CF089F"/>
    <w:rsid w:val="00CF0C1F"/>
    <w:rsid w:val="00CF1027"/>
    <w:rsid w:val="00CF16F8"/>
    <w:rsid w:val="00CF187E"/>
    <w:rsid w:val="00CF1F49"/>
    <w:rsid w:val="00CF243B"/>
    <w:rsid w:val="00CF26C7"/>
    <w:rsid w:val="00CF2C3D"/>
    <w:rsid w:val="00CF2DFC"/>
    <w:rsid w:val="00CF3034"/>
    <w:rsid w:val="00CF31CB"/>
    <w:rsid w:val="00CF3BAE"/>
    <w:rsid w:val="00CF3CE1"/>
    <w:rsid w:val="00CF42E7"/>
    <w:rsid w:val="00CF4CCC"/>
    <w:rsid w:val="00CF4E33"/>
    <w:rsid w:val="00CF4F7B"/>
    <w:rsid w:val="00CF4FF6"/>
    <w:rsid w:val="00CF508A"/>
    <w:rsid w:val="00CF50AE"/>
    <w:rsid w:val="00CF5328"/>
    <w:rsid w:val="00CF55BD"/>
    <w:rsid w:val="00CF5BAC"/>
    <w:rsid w:val="00CF5ECA"/>
    <w:rsid w:val="00CF64A7"/>
    <w:rsid w:val="00CF6A02"/>
    <w:rsid w:val="00CF6B3E"/>
    <w:rsid w:val="00CF6C66"/>
    <w:rsid w:val="00CF6CB8"/>
    <w:rsid w:val="00CF6DBB"/>
    <w:rsid w:val="00CF72C2"/>
    <w:rsid w:val="00CF7921"/>
    <w:rsid w:val="00CF7C80"/>
    <w:rsid w:val="00D002DF"/>
    <w:rsid w:val="00D0068F"/>
    <w:rsid w:val="00D00CF1"/>
    <w:rsid w:val="00D00D0E"/>
    <w:rsid w:val="00D011B4"/>
    <w:rsid w:val="00D01831"/>
    <w:rsid w:val="00D01AEE"/>
    <w:rsid w:val="00D01F23"/>
    <w:rsid w:val="00D024ED"/>
    <w:rsid w:val="00D027E2"/>
    <w:rsid w:val="00D02E00"/>
    <w:rsid w:val="00D032F5"/>
    <w:rsid w:val="00D0361C"/>
    <w:rsid w:val="00D04303"/>
    <w:rsid w:val="00D05216"/>
    <w:rsid w:val="00D058FE"/>
    <w:rsid w:val="00D05A64"/>
    <w:rsid w:val="00D061DF"/>
    <w:rsid w:val="00D06250"/>
    <w:rsid w:val="00D06359"/>
    <w:rsid w:val="00D06B15"/>
    <w:rsid w:val="00D06D94"/>
    <w:rsid w:val="00D072C1"/>
    <w:rsid w:val="00D0755F"/>
    <w:rsid w:val="00D07A3E"/>
    <w:rsid w:val="00D07BC6"/>
    <w:rsid w:val="00D103DA"/>
    <w:rsid w:val="00D10922"/>
    <w:rsid w:val="00D10CFD"/>
    <w:rsid w:val="00D10D84"/>
    <w:rsid w:val="00D10E00"/>
    <w:rsid w:val="00D113A8"/>
    <w:rsid w:val="00D11874"/>
    <w:rsid w:val="00D11CE0"/>
    <w:rsid w:val="00D11E5F"/>
    <w:rsid w:val="00D1269C"/>
    <w:rsid w:val="00D12DBF"/>
    <w:rsid w:val="00D12F73"/>
    <w:rsid w:val="00D1307C"/>
    <w:rsid w:val="00D130CF"/>
    <w:rsid w:val="00D13248"/>
    <w:rsid w:val="00D135B2"/>
    <w:rsid w:val="00D13761"/>
    <w:rsid w:val="00D13769"/>
    <w:rsid w:val="00D138D8"/>
    <w:rsid w:val="00D13BEE"/>
    <w:rsid w:val="00D1453F"/>
    <w:rsid w:val="00D15787"/>
    <w:rsid w:val="00D1578A"/>
    <w:rsid w:val="00D159A8"/>
    <w:rsid w:val="00D15BB8"/>
    <w:rsid w:val="00D15DB6"/>
    <w:rsid w:val="00D15EE5"/>
    <w:rsid w:val="00D1626D"/>
    <w:rsid w:val="00D166FA"/>
    <w:rsid w:val="00D1680B"/>
    <w:rsid w:val="00D16BBD"/>
    <w:rsid w:val="00D16DA6"/>
    <w:rsid w:val="00D16EF8"/>
    <w:rsid w:val="00D17077"/>
    <w:rsid w:val="00D1713D"/>
    <w:rsid w:val="00D171AD"/>
    <w:rsid w:val="00D174AC"/>
    <w:rsid w:val="00D17580"/>
    <w:rsid w:val="00D17863"/>
    <w:rsid w:val="00D179F1"/>
    <w:rsid w:val="00D17A61"/>
    <w:rsid w:val="00D17F9A"/>
    <w:rsid w:val="00D20743"/>
    <w:rsid w:val="00D20A27"/>
    <w:rsid w:val="00D20B70"/>
    <w:rsid w:val="00D21236"/>
    <w:rsid w:val="00D21341"/>
    <w:rsid w:val="00D21668"/>
    <w:rsid w:val="00D21908"/>
    <w:rsid w:val="00D21B6F"/>
    <w:rsid w:val="00D21C8F"/>
    <w:rsid w:val="00D2212E"/>
    <w:rsid w:val="00D2220C"/>
    <w:rsid w:val="00D22298"/>
    <w:rsid w:val="00D22855"/>
    <w:rsid w:val="00D228B1"/>
    <w:rsid w:val="00D22C5A"/>
    <w:rsid w:val="00D2377C"/>
    <w:rsid w:val="00D23F1C"/>
    <w:rsid w:val="00D2486F"/>
    <w:rsid w:val="00D24D5F"/>
    <w:rsid w:val="00D24E73"/>
    <w:rsid w:val="00D269D3"/>
    <w:rsid w:val="00D27259"/>
    <w:rsid w:val="00D272D5"/>
    <w:rsid w:val="00D2745B"/>
    <w:rsid w:val="00D2754C"/>
    <w:rsid w:val="00D2D86C"/>
    <w:rsid w:val="00D307FA"/>
    <w:rsid w:val="00D30DCA"/>
    <w:rsid w:val="00D30DDF"/>
    <w:rsid w:val="00D31682"/>
    <w:rsid w:val="00D31A4B"/>
    <w:rsid w:val="00D31ECC"/>
    <w:rsid w:val="00D324EF"/>
    <w:rsid w:val="00D327B3"/>
    <w:rsid w:val="00D32F9A"/>
    <w:rsid w:val="00D33D63"/>
    <w:rsid w:val="00D3410B"/>
    <w:rsid w:val="00D34121"/>
    <w:rsid w:val="00D347F7"/>
    <w:rsid w:val="00D34841"/>
    <w:rsid w:val="00D34AFC"/>
    <w:rsid w:val="00D35264"/>
    <w:rsid w:val="00D352C0"/>
    <w:rsid w:val="00D3575F"/>
    <w:rsid w:val="00D35986"/>
    <w:rsid w:val="00D359B8"/>
    <w:rsid w:val="00D36385"/>
    <w:rsid w:val="00D36464"/>
    <w:rsid w:val="00D36794"/>
    <w:rsid w:val="00D36835"/>
    <w:rsid w:val="00D36DE9"/>
    <w:rsid w:val="00D3754D"/>
    <w:rsid w:val="00D37745"/>
    <w:rsid w:val="00D37936"/>
    <w:rsid w:val="00D37A9E"/>
    <w:rsid w:val="00D4035F"/>
    <w:rsid w:val="00D405BE"/>
    <w:rsid w:val="00D40A2F"/>
    <w:rsid w:val="00D40E72"/>
    <w:rsid w:val="00D40F5F"/>
    <w:rsid w:val="00D4107B"/>
    <w:rsid w:val="00D417DD"/>
    <w:rsid w:val="00D41ABE"/>
    <w:rsid w:val="00D41B7C"/>
    <w:rsid w:val="00D41F66"/>
    <w:rsid w:val="00D41F9A"/>
    <w:rsid w:val="00D4254E"/>
    <w:rsid w:val="00D42661"/>
    <w:rsid w:val="00D4267F"/>
    <w:rsid w:val="00D429A7"/>
    <w:rsid w:val="00D42A0A"/>
    <w:rsid w:val="00D42AF3"/>
    <w:rsid w:val="00D43256"/>
    <w:rsid w:val="00D43A2B"/>
    <w:rsid w:val="00D43A7B"/>
    <w:rsid w:val="00D43EEF"/>
    <w:rsid w:val="00D443A5"/>
    <w:rsid w:val="00D44B80"/>
    <w:rsid w:val="00D44DB2"/>
    <w:rsid w:val="00D44FAB"/>
    <w:rsid w:val="00D4567A"/>
    <w:rsid w:val="00D46224"/>
    <w:rsid w:val="00D465A0"/>
    <w:rsid w:val="00D46CA5"/>
    <w:rsid w:val="00D4706E"/>
    <w:rsid w:val="00D4737B"/>
    <w:rsid w:val="00D501C7"/>
    <w:rsid w:val="00D502BC"/>
    <w:rsid w:val="00D508E1"/>
    <w:rsid w:val="00D50E97"/>
    <w:rsid w:val="00D51F9F"/>
    <w:rsid w:val="00D51FD3"/>
    <w:rsid w:val="00D523AC"/>
    <w:rsid w:val="00D52606"/>
    <w:rsid w:val="00D528CA"/>
    <w:rsid w:val="00D52A02"/>
    <w:rsid w:val="00D53060"/>
    <w:rsid w:val="00D530F9"/>
    <w:rsid w:val="00D5388D"/>
    <w:rsid w:val="00D539A4"/>
    <w:rsid w:val="00D53DF6"/>
    <w:rsid w:val="00D54265"/>
    <w:rsid w:val="00D54304"/>
    <w:rsid w:val="00D54382"/>
    <w:rsid w:val="00D546B2"/>
    <w:rsid w:val="00D547F5"/>
    <w:rsid w:val="00D54A75"/>
    <w:rsid w:val="00D54AC3"/>
    <w:rsid w:val="00D54DFB"/>
    <w:rsid w:val="00D55030"/>
    <w:rsid w:val="00D5517F"/>
    <w:rsid w:val="00D553D8"/>
    <w:rsid w:val="00D557D8"/>
    <w:rsid w:val="00D5585E"/>
    <w:rsid w:val="00D55DA5"/>
    <w:rsid w:val="00D56210"/>
    <w:rsid w:val="00D562FD"/>
    <w:rsid w:val="00D564EB"/>
    <w:rsid w:val="00D56961"/>
    <w:rsid w:val="00D57A99"/>
    <w:rsid w:val="00D57B39"/>
    <w:rsid w:val="00D57C70"/>
    <w:rsid w:val="00D60537"/>
    <w:rsid w:val="00D60828"/>
    <w:rsid w:val="00D61044"/>
    <w:rsid w:val="00D6152D"/>
    <w:rsid w:val="00D61747"/>
    <w:rsid w:val="00D62198"/>
    <w:rsid w:val="00D62396"/>
    <w:rsid w:val="00D6245C"/>
    <w:rsid w:val="00D6259A"/>
    <w:rsid w:val="00D62A10"/>
    <w:rsid w:val="00D630E6"/>
    <w:rsid w:val="00D63BA0"/>
    <w:rsid w:val="00D63F01"/>
    <w:rsid w:val="00D64581"/>
    <w:rsid w:val="00D64601"/>
    <w:rsid w:val="00D64D3A"/>
    <w:rsid w:val="00D64E56"/>
    <w:rsid w:val="00D6534D"/>
    <w:rsid w:val="00D653E0"/>
    <w:rsid w:val="00D653F7"/>
    <w:rsid w:val="00D65A1B"/>
    <w:rsid w:val="00D65DB2"/>
    <w:rsid w:val="00D66202"/>
    <w:rsid w:val="00D6626D"/>
    <w:rsid w:val="00D662EE"/>
    <w:rsid w:val="00D6644A"/>
    <w:rsid w:val="00D6699F"/>
    <w:rsid w:val="00D66F7C"/>
    <w:rsid w:val="00D6722A"/>
    <w:rsid w:val="00D6782D"/>
    <w:rsid w:val="00D67980"/>
    <w:rsid w:val="00D67B09"/>
    <w:rsid w:val="00D67E0A"/>
    <w:rsid w:val="00D7086F"/>
    <w:rsid w:val="00D70914"/>
    <w:rsid w:val="00D70B1F"/>
    <w:rsid w:val="00D70FBB"/>
    <w:rsid w:val="00D7117F"/>
    <w:rsid w:val="00D712D2"/>
    <w:rsid w:val="00D7159C"/>
    <w:rsid w:val="00D716A6"/>
    <w:rsid w:val="00D72100"/>
    <w:rsid w:val="00D723E8"/>
    <w:rsid w:val="00D727AB"/>
    <w:rsid w:val="00D72D23"/>
    <w:rsid w:val="00D72F75"/>
    <w:rsid w:val="00D736C2"/>
    <w:rsid w:val="00D7378A"/>
    <w:rsid w:val="00D737D5"/>
    <w:rsid w:val="00D73CF7"/>
    <w:rsid w:val="00D744CF"/>
    <w:rsid w:val="00D746CD"/>
    <w:rsid w:val="00D74CB5"/>
    <w:rsid w:val="00D7544D"/>
    <w:rsid w:val="00D759CF"/>
    <w:rsid w:val="00D75E4B"/>
    <w:rsid w:val="00D75E74"/>
    <w:rsid w:val="00D76660"/>
    <w:rsid w:val="00D76B78"/>
    <w:rsid w:val="00D76D3F"/>
    <w:rsid w:val="00D76D7D"/>
    <w:rsid w:val="00D77054"/>
    <w:rsid w:val="00D773D8"/>
    <w:rsid w:val="00D777D8"/>
    <w:rsid w:val="00D8040B"/>
    <w:rsid w:val="00D80BBE"/>
    <w:rsid w:val="00D80E64"/>
    <w:rsid w:val="00D810EF"/>
    <w:rsid w:val="00D81475"/>
    <w:rsid w:val="00D81B5D"/>
    <w:rsid w:val="00D820B0"/>
    <w:rsid w:val="00D82361"/>
    <w:rsid w:val="00D824BC"/>
    <w:rsid w:val="00D8257E"/>
    <w:rsid w:val="00D8294B"/>
    <w:rsid w:val="00D82BB1"/>
    <w:rsid w:val="00D82CF7"/>
    <w:rsid w:val="00D82E20"/>
    <w:rsid w:val="00D83084"/>
    <w:rsid w:val="00D83401"/>
    <w:rsid w:val="00D83BD9"/>
    <w:rsid w:val="00D84416"/>
    <w:rsid w:val="00D845E3"/>
    <w:rsid w:val="00D84B4E"/>
    <w:rsid w:val="00D8528F"/>
    <w:rsid w:val="00D85EA1"/>
    <w:rsid w:val="00D85FB4"/>
    <w:rsid w:val="00D8602D"/>
    <w:rsid w:val="00D86049"/>
    <w:rsid w:val="00D86112"/>
    <w:rsid w:val="00D86480"/>
    <w:rsid w:val="00D86791"/>
    <w:rsid w:val="00D86A20"/>
    <w:rsid w:val="00D87F9B"/>
    <w:rsid w:val="00D900A6"/>
    <w:rsid w:val="00D90159"/>
    <w:rsid w:val="00D90362"/>
    <w:rsid w:val="00D90458"/>
    <w:rsid w:val="00D90970"/>
    <w:rsid w:val="00D90B7A"/>
    <w:rsid w:val="00D9180C"/>
    <w:rsid w:val="00D91967"/>
    <w:rsid w:val="00D919D4"/>
    <w:rsid w:val="00D91EBA"/>
    <w:rsid w:val="00D9207A"/>
    <w:rsid w:val="00D921E1"/>
    <w:rsid w:val="00D9257C"/>
    <w:rsid w:val="00D92EDF"/>
    <w:rsid w:val="00D93AF8"/>
    <w:rsid w:val="00D93CE0"/>
    <w:rsid w:val="00D93D6D"/>
    <w:rsid w:val="00D93F1D"/>
    <w:rsid w:val="00D943B7"/>
    <w:rsid w:val="00D94517"/>
    <w:rsid w:val="00D94649"/>
    <w:rsid w:val="00D94793"/>
    <w:rsid w:val="00D94ACB"/>
    <w:rsid w:val="00D94BD8"/>
    <w:rsid w:val="00D94E41"/>
    <w:rsid w:val="00D952BC"/>
    <w:rsid w:val="00D95CBD"/>
    <w:rsid w:val="00D95D60"/>
    <w:rsid w:val="00D95F92"/>
    <w:rsid w:val="00D964EE"/>
    <w:rsid w:val="00D96576"/>
    <w:rsid w:val="00D969CD"/>
    <w:rsid w:val="00D96A60"/>
    <w:rsid w:val="00D96FEA"/>
    <w:rsid w:val="00D970D2"/>
    <w:rsid w:val="00D97522"/>
    <w:rsid w:val="00D97559"/>
    <w:rsid w:val="00DA02C9"/>
    <w:rsid w:val="00DA06AD"/>
    <w:rsid w:val="00DA0740"/>
    <w:rsid w:val="00DA0BAC"/>
    <w:rsid w:val="00DA0D8F"/>
    <w:rsid w:val="00DA1611"/>
    <w:rsid w:val="00DA1B5B"/>
    <w:rsid w:val="00DA1B79"/>
    <w:rsid w:val="00DA1C36"/>
    <w:rsid w:val="00DA1F0E"/>
    <w:rsid w:val="00DA2071"/>
    <w:rsid w:val="00DA2081"/>
    <w:rsid w:val="00DA2667"/>
    <w:rsid w:val="00DA2C0B"/>
    <w:rsid w:val="00DA2F06"/>
    <w:rsid w:val="00DA32DD"/>
    <w:rsid w:val="00DA3438"/>
    <w:rsid w:val="00DA34DD"/>
    <w:rsid w:val="00DA3F9A"/>
    <w:rsid w:val="00DA3FE6"/>
    <w:rsid w:val="00DA4232"/>
    <w:rsid w:val="00DA4BD7"/>
    <w:rsid w:val="00DA4E8C"/>
    <w:rsid w:val="00DA5645"/>
    <w:rsid w:val="00DA64A3"/>
    <w:rsid w:val="00DA6841"/>
    <w:rsid w:val="00DA6D67"/>
    <w:rsid w:val="00DA7054"/>
    <w:rsid w:val="00DA710E"/>
    <w:rsid w:val="00DA7316"/>
    <w:rsid w:val="00DA7485"/>
    <w:rsid w:val="00DA7711"/>
    <w:rsid w:val="00DA7B3D"/>
    <w:rsid w:val="00DA7F1D"/>
    <w:rsid w:val="00DA7FA4"/>
    <w:rsid w:val="00DB05BE"/>
    <w:rsid w:val="00DB0646"/>
    <w:rsid w:val="00DB1F63"/>
    <w:rsid w:val="00DB2048"/>
    <w:rsid w:val="00DB28A9"/>
    <w:rsid w:val="00DB299B"/>
    <w:rsid w:val="00DB2C7C"/>
    <w:rsid w:val="00DB2CD1"/>
    <w:rsid w:val="00DB3109"/>
    <w:rsid w:val="00DB393F"/>
    <w:rsid w:val="00DB3A09"/>
    <w:rsid w:val="00DB3E81"/>
    <w:rsid w:val="00DB3F50"/>
    <w:rsid w:val="00DB4722"/>
    <w:rsid w:val="00DB4949"/>
    <w:rsid w:val="00DB49BA"/>
    <w:rsid w:val="00DB4BA1"/>
    <w:rsid w:val="00DB4D9C"/>
    <w:rsid w:val="00DB4E01"/>
    <w:rsid w:val="00DB50A2"/>
    <w:rsid w:val="00DB5204"/>
    <w:rsid w:val="00DB5C7A"/>
    <w:rsid w:val="00DB6454"/>
    <w:rsid w:val="00DB6ACF"/>
    <w:rsid w:val="00DB6B50"/>
    <w:rsid w:val="00DB6F9F"/>
    <w:rsid w:val="00DB7249"/>
    <w:rsid w:val="00DC0761"/>
    <w:rsid w:val="00DC0B18"/>
    <w:rsid w:val="00DC168E"/>
    <w:rsid w:val="00DC1900"/>
    <w:rsid w:val="00DC1A07"/>
    <w:rsid w:val="00DC1AE2"/>
    <w:rsid w:val="00DC2000"/>
    <w:rsid w:val="00DC21B9"/>
    <w:rsid w:val="00DC224B"/>
    <w:rsid w:val="00DC246B"/>
    <w:rsid w:val="00DC289B"/>
    <w:rsid w:val="00DC28EC"/>
    <w:rsid w:val="00DC2962"/>
    <w:rsid w:val="00DC2F6F"/>
    <w:rsid w:val="00DC3112"/>
    <w:rsid w:val="00DC3ABF"/>
    <w:rsid w:val="00DC40BD"/>
    <w:rsid w:val="00DC42B5"/>
    <w:rsid w:val="00DC4781"/>
    <w:rsid w:val="00DC4C3E"/>
    <w:rsid w:val="00DC4D9A"/>
    <w:rsid w:val="00DC5B1B"/>
    <w:rsid w:val="00DC611D"/>
    <w:rsid w:val="00DC65F9"/>
    <w:rsid w:val="00DC675F"/>
    <w:rsid w:val="00DC69E3"/>
    <w:rsid w:val="00DC6ABB"/>
    <w:rsid w:val="00DC6ACD"/>
    <w:rsid w:val="00DC6E63"/>
    <w:rsid w:val="00DC6EE3"/>
    <w:rsid w:val="00DC72E6"/>
    <w:rsid w:val="00DC73A8"/>
    <w:rsid w:val="00DC7729"/>
    <w:rsid w:val="00DD05DA"/>
    <w:rsid w:val="00DD0844"/>
    <w:rsid w:val="00DD1143"/>
    <w:rsid w:val="00DD11E8"/>
    <w:rsid w:val="00DD1421"/>
    <w:rsid w:val="00DD14C7"/>
    <w:rsid w:val="00DD1776"/>
    <w:rsid w:val="00DD1FAC"/>
    <w:rsid w:val="00DD29A8"/>
    <w:rsid w:val="00DD2F04"/>
    <w:rsid w:val="00DD31FC"/>
    <w:rsid w:val="00DD3A69"/>
    <w:rsid w:val="00DD3A83"/>
    <w:rsid w:val="00DD4137"/>
    <w:rsid w:val="00DD4407"/>
    <w:rsid w:val="00DD468E"/>
    <w:rsid w:val="00DD46CA"/>
    <w:rsid w:val="00DD4762"/>
    <w:rsid w:val="00DD483B"/>
    <w:rsid w:val="00DD50C5"/>
    <w:rsid w:val="00DD5445"/>
    <w:rsid w:val="00DD551C"/>
    <w:rsid w:val="00DD5A10"/>
    <w:rsid w:val="00DD614D"/>
    <w:rsid w:val="00DD6260"/>
    <w:rsid w:val="00DD640B"/>
    <w:rsid w:val="00DD6448"/>
    <w:rsid w:val="00DD68A0"/>
    <w:rsid w:val="00DD6E7A"/>
    <w:rsid w:val="00DD7728"/>
    <w:rsid w:val="00DD7B96"/>
    <w:rsid w:val="00DE060A"/>
    <w:rsid w:val="00DE07A5"/>
    <w:rsid w:val="00DE0E9F"/>
    <w:rsid w:val="00DE14FD"/>
    <w:rsid w:val="00DE17EF"/>
    <w:rsid w:val="00DE1AFE"/>
    <w:rsid w:val="00DE1B8E"/>
    <w:rsid w:val="00DE1BCB"/>
    <w:rsid w:val="00DE1D07"/>
    <w:rsid w:val="00DE1DB6"/>
    <w:rsid w:val="00DE24ED"/>
    <w:rsid w:val="00DE27A0"/>
    <w:rsid w:val="00DE2909"/>
    <w:rsid w:val="00DE2DBC"/>
    <w:rsid w:val="00DE2F22"/>
    <w:rsid w:val="00DE30C3"/>
    <w:rsid w:val="00DE31D9"/>
    <w:rsid w:val="00DE3833"/>
    <w:rsid w:val="00DE3A1E"/>
    <w:rsid w:val="00DE3D2E"/>
    <w:rsid w:val="00DE3D40"/>
    <w:rsid w:val="00DE414C"/>
    <w:rsid w:val="00DE43D9"/>
    <w:rsid w:val="00DE4879"/>
    <w:rsid w:val="00DE4EED"/>
    <w:rsid w:val="00DE5102"/>
    <w:rsid w:val="00DE51C6"/>
    <w:rsid w:val="00DE57A2"/>
    <w:rsid w:val="00DE5825"/>
    <w:rsid w:val="00DE597A"/>
    <w:rsid w:val="00DE5A58"/>
    <w:rsid w:val="00DE5A64"/>
    <w:rsid w:val="00DE5BA9"/>
    <w:rsid w:val="00DE5C5F"/>
    <w:rsid w:val="00DE5EC0"/>
    <w:rsid w:val="00DE702B"/>
    <w:rsid w:val="00DE736D"/>
    <w:rsid w:val="00DE774B"/>
    <w:rsid w:val="00DE7C94"/>
    <w:rsid w:val="00DF0B56"/>
    <w:rsid w:val="00DF0FFE"/>
    <w:rsid w:val="00DF1119"/>
    <w:rsid w:val="00DF120A"/>
    <w:rsid w:val="00DF14BB"/>
    <w:rsid w:val="00DF19F1"/>
    <w:rsid w:val="00DF1AF7"/>
    <w:rsid w:val="00DF1CA2"/>
    <w:rsid w:val="00DF1FDB"/>
    <w:rsid w:val="00DF2318"/>
    <w:rsid w:val="00DF24F9"/>
    <w:rsid w:val="00DF2648"/>
    <w:rsid w:val="00DF2A44"/>
    <w:rsid w:val="00DF2EC0"/>
    <w:rsid w:val="00DF35DE"/>
    <w:rsid w:val="00DF3643"/>
    <w:rsid w:val="00DF36F0"/>
    <w:rsid w:val="00DF3B45"/>
    <w:rsid w:val="00DF3C51"/>
    <w:rsid w:val="00DF415E"/>
    <w:rsid w:val="00DF42CD"/>
    <w:rsid w:val="00DF43AC"/>
    <w:rsid w:val="00DF4A02"/>
    <w:rsid w:val="00DF4C86"/>
    <w:rsid w:val="00DF4E95"/>
    <w:rsid w:val="00DF507E"/>
    <w:rsid w:val="00DF5331"/>
    <w:rsid w:val="00DF568D"/>
    <w:rsid w:val="00DF59A2"/>
    <w:rsid w:val="00DF5B99"/>
    <w:rsid w:val="00DF5C2C"/>
    <w:rsid w:val="00DF5CC1"/>
    <w:rsid w:val="00DF6072"/>
    <w:rsid w:val="00DF6137"/>
    <w:rsid w:val="00DF663F"/>
    <w:rsid w:val="00DF6702"/>
    <w:rsid w:val="00DF6B44"/>
    <w:rsid w:val="00DF6EFC"/>
    <w:rsid w:val="00DF77CB"/>
    <w:rsid w:val="00DF784D"/>
    <w:rsid w:val="00DF7AEF"/>
    <w:rsid w:val="00DF7AF2"/>
    <w:rsid w:val="00E005DE"/>
    <w:rsid w:val="00E007BD"/>
    <w:rsid w:val="00E00D20"/>
    <w:rsid w:val="00E0130F"/>
    <w:rsid w:val="00E017E1"/>
    <w:rsid w:val="00E01BD6"/>
    <w:rsid w:val="00E026B7"/>
    <w:rsid w:val="00E02BAB"/>
    <w:rsid w:val="00E02C8C"/>
    <w:rsid w:val="00E03B6E"/>
    <w:rsid w:val="00E03C8B"/>
    <w:rsid w:val="00E04143"/>
    <w:rsid w:val="00E042EA"/>
    <w:rsid w:val="00E0462B"/>
    <w:rsid w:val="00E04ACE"/>
    <w:rsid w:val="00E04F4F"/>
    <w:rsid w:val="00E050D9"/>
    <w:rsid w:val="00E053FB"/>
    <w:rsid w:val="00E05673"/>
    <w:rsid w:val="00E05B53"/>
    <w:rsid w:val="00E060BC"/>
    <w:rsid w:val="00E06312"/>
    <w:rsid w:val="00E063F8"/>
    <w:rsid w:val="00E0648E"/>
    <w:rsid w:val="00E065CE"/>
    <w:rsid w:val="00E072A8"/>
    <w:rsid w:val="00E0776B"/>
    <w:rsid w:val="00E0788B"/>
    <w:rsid w:val="00E079AE"/>
    <w:rsid w:val="00E07F1D"/>
    <w:rsid w:val="00E0A20C"/>
    <w:rsid w:val="00E101F6"/>
    <w:rsid w:val="00E108BA"/>
    <w:rsid w:val="00E10FFC"/>
    <w:rsid w:val="00E11706"/>
    <w:rsid w:val="00E1178E"/>
    <w:rsid w:val="00E11BB8"/>
    <w:rsid w:val="00E11C27"/>
    <w:rsid w:val="00E11D1A"/>
    <w:rsid w:val="00E11DB5"/>
    <w:rsid w:val="00E1230A"/>
    <w:rsid w:val="00E1255A"/>
    <w:rsid w:val="00E12AE6"/>
    <w:rsid w:val="00E12D49"/>
    <w:rsid w:val="00E12F88"/>
    <w:rsid w:val="00E12FD4"/>
    <w:rsid w:val="00E12FEB"/>
    <w:rsid w:val="00E13891"/>
    <w:rsid w:val="00E1420F"/>
    <w:rsid w:val="00E144DD"/>
    <w:rsid w:val="00E14D2F"/>
    <w:rsid w:val="00E14DD0"/>
    <w:rsid w:val="00E14DEA"/>
    <w:rsid w:val="00E152F5"/>
    <w:rsid w:val="00E16805"/>
    <w:rsid w:val="00E16A62"/>
    <w:rsid w:val="00E16BFE"/>
    <w:rsid w:val="00E174A9"/>
    <w:rsid w:val="00E17749"/>
    <w:rsid w:val="00E17B93"/>
    <w:rsid w:val="00E17ECB"/>
    <w:rsid w:val="00E20157"/>
    <w:rsid w:val="00E203C3"/>
    <w:rsid w:val="00E20CC7"/>
    <w:rsid w:val="00E20E39"/>
    <w:rsid w:val="00E21228"/>
    <w:rsid w:val="00E21ADF"/>
    <w:rsid w:val="00E21E22"/>
    <w:rsid w:val="00E221F6"/>
    <w:rsid w:val="00E22226"/>
    <w:rsid w:val="00E22C5F"/>
    <w:rsid w:val="00E22F95"/>
    <w:rsid w:val="00E23D9D"/>
    <w:rsid w:val="00E24760"/>
    <w:rsid w:val="00E24881"/>
    <w:rsid w:val="00E24A88"/>
    <w:rsid w:val="00E25290"/>
    <w:rsid w:val="00E25698"/>
    <w:rsid w:val="00E25B2F"/>
    <w:rsid w:val="00E25ED8"/>
    <w:rsid w:val="00E25EDF"/>
    <w:rsid w:val="00E26233"/>
    <w:rsid w:val="00E263A1"/>
    <w:rsid w:val="00E263BD"/>
    <w:rsid w:val="00E2675E"/>
    <w:rsid w:val="00E269BA"/>
    <w:rsid w:val="00E2723A"/>
    <w:rsid w:val="00E27366"/>
    <w:rsid w:val="00E2759B"/>
    <w:rsid w:val="00E27713"/>
    <w:rsid w:val="00E279A7"/>
    <w:rsid w:val="00E27BDD"/>
    <w:rsid w:val="00E27DA0"/>
    <w:rsid w:val="00E3042A"/>
    <w:rsid w:val="00E304AD"/>
    <w:rsid w:val="00E30EE0"/>
    <w:rsid w:val="00E30F90"/>
    <w:rsid w:val="00E30F95"/>
    <w:rsid w:val="00E315E7"/>
    <w:rsid w:val="00E31DF3"/>
    <w:rsid w:val="00E3254C"/>
    <w:rsid w:val="00E3268E"/>
    <w:rsid w:val="00E32BD0"/>
    <w:rsid w:val="00E331E9"/>
    <w:rsid w:val="00E3368F"/>
    <w:rsid w:val="00E3369D"/>
    <w:rsid w:val="00E33758"/>
    <w:rsid w:val="00E337DD"/>
    <w:rsid w:val="00E33A72"/>
    <w:rsid w:val="00E33CCA"/>
    <w:rsid w:val="00E33F67"/>
    <w:rsid w:val="00E34200"/>
    <w:rsid w:val="00E343A4"/>
    <w:rsid w:val="00E34468"/>
    <w:rsid w:val="00E345BF"/>
    <w:rsid w:val="00E34C45"/>
    <w:rsid w:val="00E3533D"/>
    <w:rsid w:val="00E356F7"/>
    <w:rsid w:val="00E35CB6"/>
    <w:rsid w:val="00E361B4"/>
    <w:rsid w:val="00E36B06"/>
    <w:rsid w:val="00E36BDC"/>
    <w:rsid w:val="00E370EB"/>
    <w:rsid w:val="00E379FE"/>
    <w:rsid w:val="00E40549"/>
    <w:rsid w:val="00E409BF"/>
    <w:rsid w:val="00E40CA6"/>
    <w:rsid w:val="00E40D91"/>
    <w:rsid w:val="00E41151"/>
    <w:rsid w:val="00E41B71"/>
    <w:rsid w:val="00E41FA1"/>
    <w:rsid w:val="00E423E1"/>
    <w:rsid w:val="00E42D7F"/>
    <w:rsid w:val="00E433D3"/>
    <w:rsid w:val="00E4392D"/>
    <w:rsid w:val="00E43EA3"/>
    <w:rsid w:val="00E43EC5"/>
    <w:rsid w:val="00E43F74"/>
    <w:rsid w:val="00E43F7C"/>
    <w:rsid w:val="00E43FE2"/>
    <w:rsid w:val="00E4433F"/>
    <w:rsid w:val="00E445EC"/>
    <w:rsid w:val="00E44C4B"/>
    <w:rsid w:val="00E44F21"/>
    <w:rsid w:val="00E452E2"/>
    <w:rsid w:val="00E456A6"/>
    <w:rsid w:val="00E45A21"/>
    <w:rsid w:val="00E45C42"/>
    <w:rsid w:val="00E45D84"/>
    <w:rsid w:val="00E460AB"/>
    <w:rsid w:val="00E461D5"/>
    <w:rsid w:val="00E46695"/>
    <w:rsid w:val="00E46B9D"/>
    <w:rsid w:val="00E46CD3"/>
    <w:rsid w:val="00E46DB5"/>
    <w:rsid w:val="00E4725B"/>
    <w:rsid w:val="00E47294"/>
    <w:rsid w:val="00E4761D"/>
    <w:rsid w:val="00E47762"/>
    <w:rsid w:val="00E47A92"/>
    <w:rsid w:val="00E50D37"/>
    <w:rsid w:val="00E5114E"/>
    <w:rsid w:val="00E51997"/>
    <w:rsid w:val="00E51F2D"/>
    <w:rsid w:val="00E52036"/>
    <w:rsid w:val="00E52A87"/>
    <w:rsid w:val="00E52E61"/>
    <w:rsid w:val="00E52EEE"/>
    <w:rsid w:val="00E54A35"/>
    <w:rsid w:val="00E54B24"/>
    <w:rsid w:val="00E54D59"/>
    <w:rsid w:val="00E55229"/>
    <w:rsid w:val="00E553A3"/>
    <w:rsid w:val="00E55893"/>
    <w:rsid w:val="00E55B85"/>
    <w:rsid w:val="00E560BA"/>
    <w:rsid w:val="00E56DFC"/>
    <w:rsid w:val="00E576E6"/>
    <w:rsid w:val="00E57759"/>
    <w:rsid w:val="00E57D2F"/>
    <w:rsid w:val="00E57F28"/>
    <w:rsid w:val="00E57F77"/>
    <w:rsid w:val="00E601E3"/>
    <w:rsid w:val="00E60336"/>
    <w:rsid w:val="00E60EBB"/>
    <w:rsid w:val="00E60FCC"/>
    <w:rsid w:val="00E610B0"/>
    <w:rsid w:val="00E61454"/>
    <w:rsid w:val="00E614FF"/>
    <w:rsid w:val="00E617D8"/>
    <w:rsid w:val="00E6241D"/>
    <w:rsid w:val="00E62504"/>
    <w:rsid w:val="00E62D84"/>
    <w:rsid w:val="00E63187"/>
    <w:rsid w:val="00E6339A"/>
    <w:rsid w:val="00E63EE0"/>
    <w:rsid w:val="00E64168"/>
    <w:rsid w:val="00E64A78"/>
    <w:rsid w:val="00E658A1"/>
    <w:rsid w:val="00E65A11"/>
    <w:rsid w:val="00E65A7C"/>
    <w:rsid w:val="00E65AC3"/>
    <w:rsid w:val="00E65C23"/>
    <w:rsid w:val="00E65DA3"/>
    <w:rsid w:val="00E65DE1"/>
    <w:rsid w:val="00E65EB8"/>
    <w:rsid w:val="00E665CC"/>
    <w:rsid w:val="00E67230"/>
    <w:rsid w:val="00E67307"/>
    <w:rsid w:val="00E6777C"/>
    <w:rsid w:val="00E678BB"/>
    <w:rsid w:val="00E67A2C"/>
    <w:rsid w:val="00E70A09"/>
    <w:rsid w:val="00E71085"/>
    <w:rsid w:val="00E711BE"/>
    <w:rsid w:val="00E71BB3"/>
    <w:rsid w:val="00E71CAD"/>
    <w:rsid w:val="00E71DE7"/>
    <w:rsid w:val="00E72465"/>
    <w:rsid w:val="00E72697"/>
    <w:rsid w:val="00E726CE"/>
    <w:rsid w:val="00E7289E"/>
    <w:rsid w:val="00E72E21"/>
    <w:rsid w:val="00E7356B"/>
    <w:rsid w:val="00E73EC8"/>
    <w:rsid w:val="00E742C0"/>
    <w:rsid w:val="00E74362"/>
    <w:rsid w:val="00E749F8"/>
    <w:rsid w:val="00E74B1B"/>
    <w:rsid w:val="00E74C22"/>
    <w:rsid w:val="00E74C7B"/>
    <w:rsid w:val="00E74F9A"/>
    <w:rsid w:val="00E75961"/>
    <w:rsid w:val="00E759CC"/>
    <w:rsid w:val="00E75A80"/>
    <w:rsid w:val="00E760D8"/>
    <w:rsid w:val="00E7649B"/>
    <w:rsid w:val="00E764FB"/>
    <w:rsid w:val="00E76683"/>
    <w:rsid w:val="00E76967"/>
    <w:rsid w:val="00E76B75"/>
    <w:rsid w:val="00E76E54"/>
    <w:rsid w:val="00E76FE8"/>
    <w:rsid w:val="00E7709A"/>
    <w:rsid w:val="00E77CF8"/>
    <w:rsid w:val="00E8028F"/>
    <w:rsid w:val="00E8044B"/>
    <w:rsid w:val="00E80BA5"/>
    <w:rsid w:val="00E80C54"/>
    <w:rsid w:val="00E80ED1"/>
    <w:rsid w:val="00E8116E"/>
    <w:rsid w:val="00E81582"/>
    <w:rsid w:val="00E81C15"/>
    <w:rsid w:val="00E81D73"/>
    <w:rsid w:val="00E81E18"/>
    <w:rsid w:val="00E81E42"/>
    <w:rsid w:val="00E82033"/>
    <w:rsid w:val="00E82316"/>
    <w:rsid w:val="00E8284C"/>
    <w:rsid w:val="00E82999"/>
    <w:rsid w:val="00E82A29"/>
    <w:rsid w:val="00E831E6"/>
    <w:rsid w:val="00E833AD"/>
    <w:rsid w:val="00E83C73"/>
    <w:rsid w:val="00E840D1"/>
    <w:rsid w:val="00E843E9"/>
    <w:rsid w:val="00E84489"/>
    <w:rsid w:val="00E844C0"/>
    <w:rsid w:val="00E8468D"/>
    <w:rsid w:val="00E8525B"/>
    <w:rsid w:val="00E85283"/>
    <w:rsid w:val="00E853C2"/>
    <w:rsid w:val="00E853D2"/>
    <w:rsid w:val="00E859E6"/>
    <w:rsid w:val="00E85C95"/>
    <w:rsid w:val="00E8633C"/>
    <w:rsid w:val="00E863FA"/>
    <w:rsid w:val="00E86404"/>
    <w:rsid w:val="00E869A9"/>
    <w:rsid w:val="00E87193"/>
    <w:rsid w:val="00E87438"/>
    <w:rsid w:val="00E874E3"/>
    <w:rsid w:val="00E87A2F"/>
    <w:rsid w:val="00E87DE1"/>
    <w:rsid w:val="00E900FF"/>
    <w:rsid w:val="00E90241"/>
    <w:rsid w:val="00E9024A"/>
    <w:rsid w:val="00E90BD2"/>
    <w:rsid w:val="00E90E4C"/>
    <w:rsid w:val="00E91889"/>
    <w:rsid w:val="00E91D43"/>
    <w:rsid w:val="00E920F5"/>
    <w:rsid w:val="00E92B76"/>
    <w:rsid w:val="00E92E29"/>
    <w:rsid w:val="00E92EEC"/>
    <w:rsid w:val="00E94159"/>
    <w:rsid w:val="00E94BA6"/>
    <w:rsid w:val="00E94EF3"/>
    <w:rsid w:val="00E952B7"/>
    <w:rsid w:val="00E95356"/>
    <w:rsid w:val="00E95377"/>
    <w:rsid w:val="00E955DA"/>
    <w:rsid w:val="00E955FC"/>
    <w:rsid w:val="00E957DF"/>
    <w:rsid w:val="00E959AD"/>
    <w:rsid w:val="00E95B0A"/>
    <w:rsid w:val="00E95CF8"/>
    <w:rsid w:val="00E963E0"/>
    <w:rsid w:val="00E964E1"/>
    <w:rsid w:val="00E96BD6"/>
    <w:rsid w:val="00E96FAE"/>
    <w:rsid w:val="00EA0068"/>
    <w:rsid w:val="00EA1962"/>
    <w:rsid w:val="00EA1CE6"/>
    <w:rsid w:val="00EA1E5E"/>
    <w:rsid w:val="00EA1EB0"/>
    <w:rsid w:val="00EA29AE"/>
    <w:rsid w:val="00EA2CED"/>
    <w:rsid w:val="00EA2FCC"/>
    <w:rsid w:val="00EA39A6"/>
    <w:rsid w:val="00EA3A80"/>
    <w:rsid w:val="00EA3BD3"/>
    <w:rsid w:val="00EA4111"/>
    <w:rsid w:val="00EA435B"/>
    <w:rsid w:val="00EA48C6"/>
    <w:rsid w:val="00EA4FD0"/>
    <w:rsid w:val="00EA551F"/>
    <w:rsid w:val="00EA5F9D"/>
    <w:rsid w:val="00EA6038"/>
    <w:rsid w:val="00EA6490"/>
    <w:rsid w:val="00EA65FD"/>
    <w:rsid w:val="00EA6695"/>
    <w:rsid w:val="00EA675E"/>
    <w:rsid w:val="00EA69B5"/>
    <w:rsid w:val="00EA6CB8"/>
    <w:rsid w:val="00EA73FC"/>
    <w:rsid w:val="00EA76A4"/>
    <w:rsid w:val="00EB002A"/>
    <w:rsid w:val="00EB0543"/>
    <w:rsid w:val="00EB097D"/>
    <w:rsid w:val="00EB0A54"/>
    <w:rsid w:val="00EB1248"/>
    <w:rsid w:val="00EB1739"/>
    <w:rsid w:val="00EB1965"/>
    <w:rsid w:val="00EB1AEE"/>
    <w:rsid w:val="00EB1B76"/>
    <w:rsid w:val="00EB1C9E"/>
    <w:rsid w:val="00EB1D37"/>
    <w:rsid w:val="00EB205E"/>
    <w:rsid w:val="00EB22AA"/>
    <w:rsid w:val="00EB25F0"/>
    <w:rsid w:val="00EB26D2"/>
    <w:rsid w:val="00EB2895"/>
    <w:rsid w:val="00EB2D34"/>
    <w:rsid w:val="00EB300A"/>
    <w:rsid w:val="00EB3283"/>
    <w:rsid w:val="00EB3F77"/>
    <w:rsid w:val="00EB401D"/>
    <w:rsid w:val="00EB415D"/>
    <w:rsid w:val="00EB4175"/>
    <w:rsid w:val="00EB47B0"/>
    <w:rsid w:val="00EB5419"/>
    <w:rsid w:val="00EB5479"/>
    <w:rsid w:val="00EB5A56"/>
    <w:rsid w:val="00EB5CDB"/>
    <w:rsid w:val="00EB5D43"/>
    <w:rsid w:val="00EB5F6B"/>
    <w:rsid w:val="00EB5FDA"/>
    <w:rsid w:val="00EB670D"/>
    <w:rsid w:val="00EB67B3"/>
    <w:rsid w:val="00EB70A7"/>
    <w:rsid w:val="00EB712B"/>
    <w:rsid w:val="00EB76A2"/>
    <w:rsid w:val="00EB7FA0"/>
    <w:rsid w:val="00EC0107"/>
    <w:rsid w:val="00EC034A"/>
    <w:rsid w:val="00EC08C2"/>
    <w:rsid w:val="00EC0F22"/>
    <w:rsid w:val="00EC1705"/>
    <w:rsid w:val="00EC1753"/>
    <w:rsid w:val="00EC17C2"/>
    <w:rsid w:val="00EC1C12"/>
    <w:rsid w:val="00EC1D1E"/>
    <w:rsid w:val="00EC226C"/>
    <w:rsid w:val="00EC2B16"/>
    <w:rsid w:val="00EC2C19"/>
    <w:rsid w:val="00EC2D0C"/>
    <w:rsid w:val="00EC34B0"/>
    <w:rsid w:val="00EC4693"/>
    <w:rsid w:val="00EC4831"/>
    <w:rsid w:val="00EC4B2C"/>
    <w:rsid w:val="00EC5094"/>
    <w:rsid w:val="00EC515B"/>
    <w:rsid w:val="00EC5181"/>
    <w:rsid w:val="00EC5325"/>
    <w:rsid w:val="00EC56CE"/>
    <w:rsid w:val="00EC6375"/>
    <w:rsid w:val="00EC67F7"/>
    <w:rsid w:val="00EC6924"/>
    <w:rsid w:val="00EC6AD6"/>
    <w:rsid w:val="00EC6DEB"/>
    <w:rsid w:val="00EC6F2E"/>
    <w:rsid w:val="00EC7433"/>
    <w:rsid w:val="00EC7486"/>
    <w:rsid w:val="00EC75C3"/>
    <w:rsid w:val="00EC7C2D"/>
    <w:rsid w:val="00EC7FD5"/>
    <w:rsid w:val="00ED0045"/>
    <w:rsid w:val="00ED06D2"/>
    <w:rsid w:val="00ED0C2A"/>
    <w:rsid w:val="00ED0DA0"/>
    <w:rsid w:val="00ED1279"/>
    <w:rsid w:val="00ED1488"/>
    <w:rsid w:val="00ED1704"/>
    <w:rsid w:val="00ED19AE"/>
    <w:rsid w:val="00ED19E4"/>
    <w:rsid w:val="00ED1B59"/>
    <w:rsid w:val="00ED22D1"/>
    <w:rsid w:val="00ED2661"/>
    <w:rsid w:val="00ED268E"/>
    <w:rsid w:val="00ED2968"/>
    <w:rsid w:val="00ED2B55"/>
    <w:rsid w:val="00ED4374"/>
    <w:rsid w:val="00ED4639"/>
    <w:rsid w:val="00ED4F67"/>
    <w:rsid w:val="00ED51F5"/>
    <w:rsid w:val="00ED53B6"/>
    <w:rsid w:val="00ED541E"/>
    <w:rsid w:val="00ED56CA"/>
    <w:rsid w:val="00ED56FD"/>
    <w:rsid w:val="00ED5789"/>
    <w:rsid w:val="00ED5C47"/>
    <w:rsid w:val="00ED61C3"/>
    <w:rsid w:val="00ED6673"/>
    <w:rsid w:val="00ED6B17"/>
    <w:rsid w:val="00ED7076"/>
    <w:rsid w:val="00ED710C"/>
    <w:rsid w:val="00ED73E7"/>
    <w:rsid w:val="00ED75E9"/>
    <w:rsid w:val="00ED798D"/>
    <w:rsid w:val="00ED79DA"/>
    <w:rsid w:val="00ED7F05"/>
    <w:rsid w:val="00EE0015"/>
    <w:rsid w:val="00EE04EB"/>
    <w:rsid w:val="00EE07B5"/>
    <w:rsid w:val="00EE0A5F"/>
    <w:rsid w:val="00EE0CAB"/>
    <w:rsid w:val="00EE1592"/>
    <w:rsid w:val="00EE21E6"/>
    <w:rsid w:val="00EE2538"/>
    <w:rsid w:val="00EE268C"/>
    <w:rsid w:val="00EE2D57"/>
    <w:rsid w:val="00EE2FFB"/>
    <w:rsid w:val="00EE3397"/>
    <w:rsid w:val="00EE339A"/>
    <w:rsid w:val="00EE3DCE"/>
    <w:rsid w:val="00EE4155"/>
    <w:rsid w:val="00EE4602"/>
    <w:rsid w:val="00EE4622"/>
    <w:rsid w:val="00EE4976"/>
    <w:rsid w:val="00EE4B85"/>
    <w:rsid w:val="00EE4E54"/>
    <w:rsid w:val="00EE543C"/>
    <w:rsid w:val="00EE56C5"/>
    <w:rsid w:val="00EE56ED"/>
    <w:rsid w:val="00EE5758"/>
    <w:rsid w:val="00EE5E90"/>
    <w:rsid w:val="00EE6385"/>
    <w:rsid w:val="00EE662A"/>
    <w:rsid w:val="00EE712F"/>
    <w:rsid w:val="00EE7246"/>
    <w:rsid w:val="00EE7339"/>
    <w:rsid w:val="00EE771F"/>
    <w:rsid w:val="00EE79F5"/>
    <w:rsid w:val="00EF004D"/>
    <w:rsid w:val="00EF0C41"/>
    <w:rsid w:val="00EF0F21"/>
    <w:rsid w:val="00EF1B51"/>
    <w:rsid w:val="00EF230F"/>
    <w:rsid w:val="00EF249D"/>
    <w:rsid w:val="00EF24DF"/>
    <w:rsid w:val="00EF276B"/>
    <w:rsid w:val="00EF29F4"/>
    <w:rsid w:val="00EF2F9D"/>
    <w:rsid w:val="00EF3F58"/>
    <w:rsid w:val="00EF434D"/>
    <w:rsid w:val="00EF453E"/>
    <w:rsid w:val="00EF457F"/>
    <w:rsid w:val="00EF46BA"/>
    <w:rsid w:val="00EF4D4A"/>
    <w:rsid w:val="00EF5188"/>
    <w:rsid w:val="00EF5413"/>
    <w:rsid w:val="00EF59BE"/>
    <w:rsid w:val="00EF5C0E"/>
    <w:rsid w:val="00EF5E72"/>
    <w:rsid w:val="00EF67BE"/>
    <w:rsid w:val="00EF6BCD"/>
    <w:rsid w:val="00EF7005"/>
    <w:rsid w:val="00EF7873"/>
    <w:rsid w:val="00EF78C9"/>
    <w:rsid w:val="00EF7A40"/>
    <w:rsid w:val="00EF7C47"/>
    <w:rsid w:val="00EF7EE8"/>
    <w:rsid w:val="00F00017"/>
    <w:rsid w:val="00F000A7"/>
    <w:rsid w:val="00F000BD"/>
    <w:rsid w:val="00F0011F"/>
    <w:rsid w:val="00F004D9"/>
    <w:rsid w:val="00F00735"/>
    <w:rsid w:val="00F00BB3"/>
    <w:rsid w:val="00F00C4D"/>
    <w:rsid w:val="00F00E11"/>
    <w:rsid w:val="00F01054"/>
    <w:rsid w:val="00F010AC"/>
    <w:rsid w:val="00F01236"/>
    <w:rsid w:val="00F0184C"/>
    <w:rsid w:val="00F01D6C"/>
    <w:rsid w:val="00F02134"/>
    <w:rsid w:val="00F0299F"/>
    <w:rsid w:val="00F02F1A"/>
    <w:rsid w:val="00F0346E"/>
    <w:rsid w:val="00F0347E"/>
    <w:rsid w:val="00F03E8C"/>
    <w:rsid w:val="00F03F48"/>
    <w:rsid w:val="00F0431E"/>
    <w:rsid w:val="00F04490"/>
    <w:rsid w:val="00F04574"/>
    <w:rsid w:val="00F04594"/>
    <w:rsid w:val="00F04BAD"/>
    <w:rsid w:val="00F04E5D"/>
    <w:rsid w:val="00F05044"/>
    <w:rsid w:val="00F057A6"/>
    <w:rsid w:val="00F05DF6"/>
    <w:rsid w:val="00F061F8"/>
    <w:rsid w:val="00F063D9"/>
    <w:rsid w:val="00F06BF7"/>
    <w:rsid w:val="00F06EF2"/>
    <w:rsid w:val="00F07CCB"/>
    <w:rsid w:val="00F07DBE"/>
    <w:rsid w:val="00F1035E"/>
    <w:rsid w:val="00F1090B"/>
    <w:rsid w:val="00F10C6A"/>
    <w:rsid w:val="00F10CD8"/>
    <w:rsid w:val="00F11394"/>
    <w:rsid w:val="00F113A1"/>
    <w:rsid w:val="00F11778"/>
    <w:rsid w:val="00F12640"/>
    <w:rsid w:val="00F1283E"/>
    <w:rsid w:val="00F1293B"/>
    <w:rsid w:val="00F12A5E"/>
    <w:rsid w:val="00F12CC3"/>
    <w:rsid w:val="00F13480"/>
    <w:rsid w:val="00F14382"/>
    <w:rsid w:val="00F14525"/>
    <w:rsid w:val="00F1460E"/>
    <w:rsid w:val="00F14649"/>
    <w:rsid w:val="00F147CF"/>
    <w:rsid w:val="00F14893"/>
    <w:rsid w:val="00F14955"/>
    <w:rsid w:val="00F14B69"/>
    <w:rsid w:val="00F14D00"/>
    <w:rsid w:val="00F14D3A"/>
    <w:rsid w:val="00F14EE0"/>
    <w:rsid w:val="00F15115"/>
    <w:rsid w:val="00F151C6"/>
    <w:rsid w:val="00F15F0A"/>
    <w:rsid w:val="00F16098"/>
    <w:rsid w:val="00F16184"/>
    <w:rsid w:val="00F164A4"/>
    <w:rsid w:val="00F169BB"/>
    <w:rsid w:val="00F16D88"/>
    <w:rsid w:val="00F2002E"/>
    <w:rsid w:val="00F206FC"/>
    <w:rsid w:val="00F20756"/>
    <w:rsid w:val="00F20A2A"/>
    <w:rsid w:val="00F20CB7"/>
    <w:rsid w:val="00F20CFD"/>
    <w:rsid w:val="00F20F6F"/>
    <w:rsid w:val="00F20FC1"/>
    <w:rsid w:val="00F210F2"/>
    <w:rsid w:val="00F21319"/>
    <w:rsid w:val="00F218A4"/>
    <w:rsid w:val="00F219DB"/>
    <w:rsid w:val="00F21AFE"/>
    <w:rsid w:val="00F21E12"/>
    <w:rsid w:val="00F2208A"/>
    <w:rsid w:val="00F22516"/>
    <w:rsid w:val="00F228FE"/>
    <w:rsid w:val="00F22AF1"/>
    <w:rsid w:val="00F232F8"/>
    <w:rsid w:val="00F23C7D"/>
    <w:rsid w:val="00F24272"/>
    <w:rsid w:val="00F255CE"/>
    <w:rsid w:val="00F260C1"/>
    <w:rsid w:val="00F262BD"/>
    <w:rsid w:val="00F269A1"/>
    <w:rsid w:val="00F26C46"/>
    <w:rsid w:val="00F26DEE"/>
    <w:rsid w:val="00F26FEB"/>
    <w:rsid w:val="00F270FB"/>
    <w:rsid w:val="00F27292"/>
    <w:rsid w:val="00F27F4C"/>
    <w:rsid w:val="00F27F4D"/>
    <w:rsid w:val="00F27FC5"/>
    <w:rsid w:val="00F30777"/>
    <w:rsid w:val="00F30864"/>
    <w:rsid w:val="00F30A12"/>
    <w:rsid w:val="00F312B2"/>
    <w:rsid w:val="00F3164D"/>
    <w:rsid w:val="00F319C3"/>
    <w:rsid w:val="00F320CE"/>
    <w:rsid w:val="00F32369"/>
    <w:rsid w:val="00F323D6"/>
    <w:rsid w:val="00F32456"/>
    <w:rsid w:val="00F327AF"/>
    <w:rsid w:val="00F332BD"/>
    <w:rsid w:val="00F3348A"/>
    <w:rsid w:val="00F33C63"/>
    <w:rsid w:val="00F34466"/>
    <w:rsid w:val="00F34621"/>
    <w:rsid w:val="00F34A9B"/>
    <w:rsid w:val="00F34DC0"/>
    <w:rsid w:val="00F34EAF"/>
    <w:rsid w:val="00F35092"/>
    <w:rsid w:val="00F35384"/>
    <w:rsid w:val="00F35576"/>
    <w:rsid w:val="00F35832"/>
    <w:rsid w:val="00F358A8"/>
    <w:rsid w:val="00F35A33"/>
    <w:rsid w:val="00F35B98"/>
    <w:rsid w:val="00F35F57"/>
    <w:rsid w:val="00F36113"/>
    <w:rsid w:val="00F36293"/>
    <w:rsid w:val="00F36420"/>
    <w:rsid w:val="00F36578"/>
    <w:rsid w:val="00F36793"/>
    <w:rsid w:val="00F37104"/>
    <w:rsid w:val="00F372B4"/>
    <w:rsid w:val="00F4043E"/>
    <w:rsid w:val="00F40D1A"/>
    <w:rsid w:val="00F41357"/>
    <w:rsid w:val="00F41538"/>
    <w:rsid w:val="00F415E6"/>
    <w:rsid w:val="00F41851"/>
    <w:rsid w:val="00F41C05"/>
    <w:rsid w:val="00F42260"/>
    <w:rsid w:val="00F425C9"/>
    <w:rsid w:val="00F42714"/>
    <w:rsid w:val="00F4275F"/>
    <w:rsid w:val="00F42864"/>
    <w:rsid w:val="00F42F9F"/>
    <w:rsid w:val="00F43415"/>
    <w:rsid w:val="00F43969"/>
    <w:rsid w:val="00F439DB"/>
    <w:rsid w:val="00F43B36"/>
    <w:rsid w:val="00F43FF4"/>
    <w:rsid w:val="00F44049"/>
    <w:rsid w:val="00F44107"/>
    <w:rsid w:val="00F445DE"/>
    <w:rsid w:val="00F44C18"/>
    <w:rsid w:val="00F44CF9"/>
    <w:rsid w:val="00F4504F"/>
    <w:rsid w:val="00F45259"/>
    <w:rsid w:val="00F454AD"/>
    <w:rsid w:val="00F454C6"/>
    <w:rsid w:val="00F4577D"/>
    <w:rsid w:val="00F457D2"/>
    <w:rsid w:val="00F458D0"/>
    <w:rsid w:val="00F459BD"/>
    <w:rsid w:val="00F45D81"/>
    <w:rsid w:val="00F46462"/>
    <w:rsid w:val="00F46839"/>
    <w:rsid w:val="00F468FD"/>
    <w:rsid w:val="00F46AAF"/>
    <w:rsid w:val="00F46E09"/>
    <w:rsid w:val="00F47010"/>
    <w:rsid w:val="00F507CC"/>
    <w:rsid w:val="00F50A4D"/>
    <w:rsid w:val="00F50AF9"/>
    <w:rsid w:val="00F50B7B"/>
    <w:rsid w:val="00F50C57"/>
    <w:rsid w:val="00F50F9E"/>
    <w:rsid w:val="00F51039"/>
    <w:rsid w:val="00F5134C"/>
    <w:rsid w:val="00F51798"/>
    <w:rsid w:val="00F51B03"/>
    <w:rsid w:val="00F51E96"/>
    <w:rsid w:val="00F52490"/>
    <w:rsid w:val="00F52BCB"/>
    <w:rsid w:val="00F52D13"/>
    <w:rsid w:val="00F53120"/>
    <w:rsid w:val="00F5326B"/>
    <w:rsid w:val="00F53353"/>
    <w:rsid w:val="00F54088"/>
    <w:rsid w:val="00F54506"/>
    <w:rsid w:val="00F549D3"/>
    <w:rsid w:val="00F54B7D"/>
    <w:rsid w:val="00F54F51"/>
    <w:rsid w:val="00F54FA0"/>
    <w:rsid w:val="00F55081"/>
    <w:rsid w:val="00F554F3"/>
    <w:rsid w:val="00F55917"/>
    <w:rsid w:val="00F55BC6"/>
    <w:rsid w:val="00F56191"/>
    <w:rsid w:val="00F56318"/>
    <w:rsid w:val="00F5640E"/>
    <w:rsid w:val="00F5641A"/>
    <w:rsid w:val="00F56465"/>
    <w:rsid w:val="00F56F2C"/>
    <w:rsid w:val="00F5730B"/>
    <w:rsid w:val="00F57553"/>
    <w:rsid w:val="00F5B429"/>
    <w:rsid w:val="00F6009E"/>
    <w:rsid w:val="00F60338"/>
    <w:rsid w:val="00F6064E"/>
    <w:rsid w:val="00F60F9E"/>
    <w:rsid w:val="00F6122F"/>
    <w:rsid w:val="00F61EB7"/>
    <w:rsid w:val="00F61F68"/>
    <w:rsid w:val="00F62546"/>
    <w:rsid w:val="00F62609"/>
    <w:rsid w:val="00F62625"/>
    <w:rsid w:val="00F6293E"/>
    <w:rsid w:val="00F62B20"/>
    <w:rsid w:val="00F62CAB"/>
    <w:rsid w:val="00F6331E"/>
    <w:rsid w:val="00F636A9"/>
    <w:rsid w:val="00F64074"/>
    <w:rsid w:val="00F6424A"/>
    <w:rsid w:val="00F64AA5"/>
    <w:rsid w:val="00F64B8A"/>
    <w:rsid w:val="00F64E6E"/>
    <w:rsid w:val="00F6500D"/>
    <w:rsid w:val="00F6523A"/>
    <w:rsid w:val="00F653C9"/>
    <w:rsid w:val="00F655B9"/>
    <w:rsid w:val="00F658B9"/>
    <w:rsid w:val="00F65A62"/>
    <w:rsid w:val="00F65DA8"/>
    <w:rsid w:val="00F65E1B"/>
    <w:rsid w:val="00F65E3F"/>
    <w:rsid w:val="00F65F9D"/>
    <w:rsid w:val="00F660A8"/>
    <w:rsid w:val="00F66CE9"/>
    <w:rsid w:val="00F66F3D"/>
    <w:rsid w:val="00F66FEE"/>
    <w:rsid w:val="00F670DD"/>
    <w:rsid w:val="00F6740D"/>
    <w:rsid w:val="00F676E7"/>
    <w:rsid w:val="00F677C6"/>
    <w:rsid w:val="00F67B24"/>
    <w:rsid w:val="00F67BCD"/>
    <w:rsid w:val="00F704AE"/>
    <w:rsid w:val="00F707AA"/>
    <w:rsid w:val="00F70A96"/>
    <w:rsid w:val="00F70BCB"/>
    <w:rsid w:val="00F70D52"/>
    <w:rsid w:val="00F70DE1"/>
    <w:rsid w:val="00F70F8F"/>
    <w:rsid w:val="00F7106B"/>
    <w:rsid w:val="00F712FD"/>
    <w:rsid w:val="00F7154E"/>
    <w:rsid w:val="00F71C45"/>
    <w:rsid w:val="00F71CC6"/>
    <w:rsid w:val="00F72531"/>
    <w:rsid w:val="00F72BFF"/>
    <w:rsid w:val="00F72E46"/>
    <w:rsid w:val="00F730FA"/>
    <w:rsid w:val="00F73328"/>
    <w:rsid w:val="00F73584"/>
    <w:rsid w:val="00F73700"/>
    <w:rsid w:val="00F73C3C"/>
    <w:rsid w:val="00F73D34"/>
    <w:rsid w:val="00F73F11"/>
    <w:rsid w:val="00F74CF5"/>
    <w:rsid w:val="00F74D02"/>
    <w:rsid w:val="00F74F1F"/>
    <w:rsid w:val="00F75180"/>
    <w:rsid w:val="00F757A2"/>
    <w:rsid w:val="00F75928"/>
    <w:rsid w:val="00F7597F"/>
    <w:rsid w:val="00F75A6B"/>
    <w:rsid w:val="00F75D81"/>
    <w:rsid w:val="00F75DE2"/>
    <w:rsid w:val="00F76316"/>
    <w:rsid w:val="00F76345"/>
    <w:rsid w:val="00F763DB"/>
    <w:rsid w:val="00F76422"/>
    <w:rsid w:val="00F76EA6"/>
    <w:rsid w:val="00F774A8"/>
    <w:rsid w:val="00F774AF"/>
    <w:rsid w:val="00F776CE"/>
    <w:rsid w:val="00F77855"/>
    <w:rsid w:val="00F77EC7"/>
    <w:rsid w:val="00F80082"/>
    <w:rsid w:val="00F806B6"/>
    <w:rsid w:val="00F8084D"/>
    <w:rsid w:val="00F80E84"/>
    <w:rsid w:val="00F80E99"/>
    <w:rsid w:val="00F8129A"/>
    <w:rsid w:val="00F818B6"/>
    <w:rsid w:val="00F818D6"/>
    <w:rsid w:val="00F819A6"/>
    <w:rsid w:val="00F81B46"/>
    <w:rsid w:val="00F81DF3"/>
    <w:rsid w:val="00F824F1"/>
    <w:rsid w:val="00F82520"/>
    <w:rsid w:val="00F826B5"/>
    <w:rsid w:val="00F827E8"/>
    <w:rsid w:val="00F82AC4"/>
    <w:rsid w:val="00F82AEE"/>
    <w:rsid w:val="00F82B92"/>
    <w:rsid w:val="00F835D5"/>
    <w:rsid w:val="00F836D9"/>
    <w:rsid w:val="00F8434E"/>
    <w:rsid w:val="00F84697"/>
    <w:rsid w:val="00F8471B"/>
    <w:rsid w:val="00F848AF"/>
    <w:rsid w:val="00F84940"/>
    <w:rsid w:val="00F84D03"/>
    <w:rsid w:val="00F84E21"/>
    <w:rsid w:val="00F8521D"/>
    <w:rsid w:val="00F8534C"/>
    <w:rsid w:val="00F85990"/>
    <w:rsid w:val="00F85BEE"/>
    <w:rsid w:val="00F85C7E"/>
    <w:rsid w:val="00F85CD9"/>
    <w:rsid w:val="00F86EB7"/>
    <w:rsid w:val="00F870D8"/>
    <w:rsid w:val="00F8760C"/>
    <w:rsid w:val="00F87A78"/>
    <w:rsid w:val="00F87AFD"/>
    <w:rsid w:val="00F87B4D"/>
    <w:rsid w:val="00F87E7A"/>
    <w:rsid w:val="00F90D11"/>
    <w:rsid w:val="00F91096"/>
    <w:rsid w:val="00F91780"/>
    <w:rsid w:val="00F9197C"/>
    <w:rsid w:val="00F9209A"/>
    <w:rsid w:val="00F921D2"/>
    <w:rsid w:val="00F921DB"/>
    <w:rsid w:val="00F92415"/>
    <w:rsid w:val="00F92539"/>
    <w:rsid w:val="00F92D4F"/>
    <w:rsid w:val="00F92D8A"/>
    <w:rsid w:val="00F92FC9"/>
    <w:rsid w:val="00F933CA"/>
    <w:rsid w:val="00F93F6D"/>
    <w:rsid w:val="00F93F73"/>
    <w:rsid w:val="00F94B14"/>
    <w:rsid w:val="00F94CCA"/>
    <w:rsid w:val="00F952F5"/>
    <w:rsid w:val="00F958D9"/>
    <w:rsid w:val="00F95966"/>
    <w:rsid w:val="00F95A1F"/>
    <w:rsid w:val="00F95A39"/>
    <w:rsid w:val="00F96046"/>
    <w:rsid w:val="00F9675D"/>
    <w:rsid w:val="00F971CC"/>
    <w:rsid w:val="00F9758C"/>
    <w:rsid w:val="00F97CD8"/>
    <w:rsid w:val="00F97DCA"/>
    <w:rsid w:val="00F97EEF"/>
    <w:rsid w:val="00FA0622"/>
    <w:rsid w:val="00FA0B98"/>
    <w:rsid w:val="00FA0F7E"/>
    <w:rsid w:val="00FA164C"/>
    <w:rsid w:val="00FA1747"/>
    <w:rsid w:val="00FA1C8A"/>
    <w:rsid w:val="00FA1DEE"/>
    <w:rsid w:val="00FA2075"/>
    <w:rsid w:val="00FA2120"/>
    <w:rsid w:val="00FA235F"/>
    <w:rsid w:val="00FA28D7"/>
    <w:rsid w:val="00FA2977"/>
    <w:rsid w:val="00FA2AF8"/>
    <w:rsid w:val="00FA2CC4"/>
    <w:rsid w:val="00FA2EA2"/>
    <w:rsid w:val="00FA332B"/>
    <w:rsid w:val="00FA3E0C"/>
    <w:rsid w:val="00FA4114"/>
    <w:rsid w:val="00FA41E4"/>
    <w:rsid w:val="00FA4231"/>
    <w:rsid w:val="00FA48CE"/>
    <w:rsid w:val="00FA4CD2"/>
    <w:rsid w:val="00FA4EA0"/>
    <w:rsid w:val="00FA4EE5"/>
    <w:rsid w:val="00FA554C"/>
    <w:rsid w:val="00FA69A0"/>
    <w:rsid w:val="00FA7030"/>
    <w:rsid w:val="00FA71C2"/>
    <w:rsid w:val="00FA7BBC"/>
    <w:rsid w:val="00FA7C74"/>
    <w:rsid w:val="00FA7E6F"/>
    <w:rsid w:val="00FA7F4C"/>
    <w:rsid w:val="00FB0074"/>
    <w:rsid w:val="00FB0322"/>
    <w:rsid w:val="00FB03A4"/>
    <w:rsid w:val="00FB0551"/>
    <w:rsid w:val="00FB0698"/>
    <w:rsid w:val="00FB07B6"/>
    <w:rsid w:val="00FB0AD5"/>
    <w:rsid w:val="00FB0D3F"/>
    <w:rsid w:val="00FB0E50"/>
    <w:rsid w:val="00FB164F"/>
    <w:rsid w:val="00FB1BDD"/>
    <w:rsid w:val="00FB2AD6"/>
    <w:rsid w:val="00FB2BC4"/>
    <w:rsid w:val="00FB2DB2"/>
    <w:rsid w:val="00FB2E2E"/>
    <w:rsid w:val="00FB30B1"/>
    <w:rsid w:val="00FB331D"/>
    <w:rsid w:val="00FB3418"/>
    <w:rsid w:val="00FB3508"/>
    <w:rsid w:val="00FB3647"/>
    <w:rsid w:val="00FB37C6"/>
    <w:rsid w:val="00FB3D67"/>
    <w:rsid w:val="00FB3D6A"/>
    <w:rsid w:val="00FB3F59"/>
    <w:rsid w:val="00FB43FC"/>
    <w:rsid w:val="00FB470D"/>
    <w:rsid w:val="00FB51B7"/>
    <w:rsid w:val="00FB542E"/>
    <w:rsid w:val="00FB5479"/>
    <w:rsid w:val="00FB554A"/>
    <w:rsid w:val="00FB5A10"/>
    <w:rsid w:val="00FB5C2E"/>
    <w:rsid w:val="00FB5CAD"/>
    <w:rsid w:val="00FB5CE0"/>
    <w:rsid w:val="00FB5FDA"/>
    <w:rsid w:val="00FB675D"/>
    <w:rsid w:val="00FB6B7C"/>
    <w:rsid w:val="00FB6DAA"/>
    <w:rsid w:val="00FB6FB4"/>
    <w:rsid w:val="00FB71CF"/>
    <w:rsid w:val="00FB783E"/>
    <w:rsid w:val="00FB790F"/>
    <w:rsid w:val="00FB7D4C"/>
    <w:rsid w:val="00FB7E62"/>
    <w:rsid w:val="00FC00BD"/>
    <w:rsid w:val="00FC03C3"/>
    <w:rsid w:val="00FC05FE"/>
    <w:rsid w:val="00FC080A"/>
    <w:rsid w:val="00FC0DCE"/>
    <w:rsid w:val="00FC0EBB"/>
    <w:rsid w:val="00FC0F8B"/>
    <w:rsid w:val="00FC147C"/>
    <w:rsid w:val="00FC1574"/>
    <w:rsid w:val="00FC1B86"/>
    <w:rsid w:val="00FC1D4A"/>
    <w:rsid w:val="00FC21F7"/>
    <w:rsid w:val="00FC23E0"/>
    <w:rsid w:val="00FC25B1"/>
    <w:rsid w:val="00FC261A"/>
    <w:rsid w:val="00FC2AC2"/>
    <w:rsid w:val="00FC2FF3"/>
    <w:rsid w:val="00FC33CE"/>
    <w:rsid w:val="00FC3563"/>
    <w:rsid w:val="00FC369B"/>
    <w:rsid w:val="00FC3B10"/>
    <w:rsid w:val="00FC3DF0"/>
    <w:rsid w:val="00FC40FB"/>
    <w:rsid w:val="00FC4911"/>
    <w:rsid w:val="00FC4F4F"/>
    <w:rsid w:val="00FC4F53"/>
    <w:rsid w:val="00FC4F68"/>
    <w:rsid w:val="00FC504C"/>
    <w:rsid w:val="00FC51CD"/>
    <w:rsid w:val="00FC6082"/>
    <w:rsid w:val="00FC65AA"/>
    <w:rsid w:val="00FC67CB"/>
    <w:rsid w:val="00FC6A40"/>
    <w:rsid w:val="00FC6CD0"/>
    <w:rsid w:val="00FC6CD1"/>
    <w:rsid w:val="00FC6D48"/>
    <w:rsid w:val="00FC6D9D"/>
    <w:rsid w:val="00FC7696"/>
    <w:rsid w:val="00FC770F"/>
    <w:rsid w:val="00FD0D4F"/>
    <w:rsid w:val="00FD1094"/>
    <w:rsid w:val="00FD14A7"/>
    <w:rsid w:val="00FD1593"/>
    <w:rsid w:val="00FD1A89"/>
    <w:rsid w:val="00FD1ADB"/>
    <w:rsid w:val="00FD1F48"/>
    <w:rsid w:val="00FD2149"/>
    <w:rsid w:val="00FD219C"/>
    <w:rsid w:val="00FD24C4"/>
    <w:rsid w:val="00FD24CE"/>
    <w:rsid w:val="00FD2A85"/>
    <w:rsid w:val="00FD32C3"/>
    <w:rsid w:val="00FD33D9"/>
    <w:rsid w:val="00FD379F"/>
    <w:rsid w:val="00FD381C"/>
    <w:rsid w:val="00FD3DB1"/>
    <w:rsid w:val="00FD4129"/>
    <w:rsid w:val="00FD4349"/>
    <w:rsid w:val="00FD43D2"/>
    <w:rsid w:val="00FD43F6"/>
    <w:rsid w:val="00FD49EF"/>
    <w:rsid w:val="00FD4BD6"/>
    <w:rsid w:val="00FD4D5C"/>
    <w:rsid w:val="00FD5020"/>
    <w:rsid w:val="00FD55AA"/>
    <w:rsid w:val="00FD5B46"/>
    <w:rsid w:val="00FD5C47"/>
    <w:rsid w:val="00FD62B7"/>
    <w:rsid w:val="00FD65B1"/>
    <w:rsid w:val="00FD6617"/>
    <w:rsid w:val="00FD6ABA"/>
    <w:rsid w:val="00FD6BB5"/>
    <w:rsid w:val="00FD6BD8"/>
    <w:rsid w:val="00FD6CE8"/>
    <w:rsid w:val="00FD721B"/>
    <w:rsid w:val="00FD77D9"/>
    <w:rsid w:val="00FD7A91"/>
    <w:rsid w:val="00FD7E12"/>
    <w:rsid w:val="00FE0539"/>
    <w:rsid w:val="00FE0615"/>
    <w:rsid w:val="00FE06BE"/>
    <w:rsid w:val="00FE09D6"/>
    <w:rsid w:val="00FE0BFD"/>
    <w:rsid w:val="00FE1026"/>
    <w:rsid w:val="00FE18F0"/>
    <w:rsid w:val="00FE19DC"/>
    <w:rsid w:val="00FE1F6D"/>
    <w:rsid w:val="00FE214D"/>
    <w:rsid w:val="00FE2275"/>
    <w:rsid w:val="00FE271A"/>
    <w:rsid w:val="00FE27B7"/>
    <w:rsid w:val="00FE2905"/>
    <w:rsid w:val="00FE293B"/>
    <w:rsid w:val="00FE2A9C"/>
    <w:rsid w:val="00FE2EE4"/>
    <w:rsid w:val="00FE30AD"/>
    <w:rsid w:val="00FE3163"/>
    <w:rsid w:val="00FE35AF"/>
    <w:rsid w:val="00FE3AB6"/>
    <w:rsid w:val="00FE3C32"/>
    <w:rsid w:val="00FE4473"/>
    <w:rsid w:val="00FE47AB"/>
    <w:rsid w:val="00FE494F"/>
    <w:rsid w:val="00FE4BF3"/>
    <w:rsid w:val="00FE52C7"/>
    <w:rsid w:val="00FE59D7"/>
    <w:rsid w:val="00FE5EA1"/>
    <w:rsid w:val="00FE634B"/>
    <w:rsid w:val="00FE6351"/>
    <w:rsid w:val="00FE6BE1"/>
    <w:rsid w:val="00FE6EE2"/>
    <w:rsid w:val="00FE71AD"/>
    <w:rsid w:val="00FE7283"/>
    <w:rsid w:val="00FE7E0F"/>
    <w:rsid w:val="00FF0747"/>
    <w:rsid w:val="00FF0A16"/>
    <w:rsid w:val="00FF0AE8"/>
    <w:rsid w:val="00FF0BC3"/>
    <w:rsid w:val="00FF0D81"/>
    <w:rsid w:val="00FF14A5"/>
    <w:rsid w:val="00FF14B0"/>
    <w:rsid w:val="00FF1550"/>
    <w:rsid w:val="00FF15D6"/>
    <w:rsid w:val="00FF1D8F"/>
    <w:rsid w:val="00FF1D91"/>
    <w:rsid w:val="00FF2A23"/>
    <w:rsid w:val="00FF2C48"/>
    <w:rsid w:val="00FF344C"/>
    <w:rsid w:val="00FF4218"/>
    <w:rsid w:val="00FF47BC"/>
    <w:rsid w:val="00FF4C88"/>
    <w:rsid w:val="00FF4E99"/>
    <w:rsid w:val="00FF510A"/>
    <w:rsid w:val="00FF510F"/>
    <w:rsid w:val="00FF536C"/>
    <w:rsid w:val="00FF57F6"/>
    <w:rsid w:val="00FF59A9"/>
    <w:rsid w:val="00FF5A6D"/>
    <w:rsid w:val="00FF5C0D"/>
    <w:rsid w:val="00FF6240"/>
    <w:rsid w:val="00FF62EE"/>
    <w:rsid w:val="00FF6698"/>
    <w:rsid w:val="00FF6A2D"/>
    <w:rsid w:val="00FF6AC9"/>
    <w:rsid w:val="00FF7117"/>
    <w:rsid w:val="00FF7583"/>
    <w:rsid w:val="00FF7C1C"/>
    <w:rsid w:val="00FF7C43"/>
    <w:rsid w:val="00FF7CBE"/>
    <w:rsid w:val="01061BFF"/>
    <w:rsid w:val="01099C8D"/>
    <w:rsid w:val="0116744F"/>
    <w:rsid w:val="011DF03A"/>
    <w:rsid w:val="01228061"/>
    <w:rsid w:val="0124C14C"/>
    <w:rsid w:val="01288CEB"/>
    <w:rsid w:val="012F610A"/>
    <w:rsid w:val="013075AA"/>
    <w:rsid w:val="0132D81B"/>
    <w:rsid w:val="013439C7"/>
    <w:rsid w:val="013B92A0"/>
    <w:rsid w:val="014465AB"/>
    <w:rsid w:val="014669E3"/>
    <w:rsid w:val="01559875"/>
    <w:rsid w:val="01578BB0"/>
    <w:rsid w:val="0170E2D5"/>
    <w:rsid w:val="0170FF11"/>
    <w:rsid w:val="0174201B"/>
    <w:rsid w:val="01837543"/>
    <w:rsid w:val="0188405D"/>
    <w:rsid w:val="018D989E"/>
    <w:rsid w:val="018E1018"/>
    <w:rsid w:val="018F4849"/>
    <w:rsid w:val="019097DE"/>
    <w:rsid w:val="01918FBB"/>
    <w:rsid w:val="01969078"/>
    <w:rsid w:val="0196910D"/>
    <w:rsid w:val="019CFA0D"/>
    <w:rsid w:val="019F10B0"/>
    <w:rsid w:val="01A733E6"/>
    <w:rsid w:val="01A9A187"/>
    <w:rsid w:val="01B8390D"/>
    <w:rsid w:val="01C1A0C6"/>
    <w:rsid w:val="01D468D9"/>
    <w:rsid w:val="01E636C8"/>
    <w:rsid w:val="01E89405"/>
    <w:rsid w:val="01EB76EB"/>
    <w:rsid w:val="01EB9AE1"/>
    <w:rsid w:val="01F303DC"/>
    <w:rsid w:val="01F9861F"/>
    <w:rsid w:val="01FB48D1"/>
    <w:rsid w:val="01FD7C73"/>
    <w:rsid w:val="02195315"/>
    <w:rsid w:val="021D2654"/>
    <w:rsid w:val="021F1BFF"/>
    <w:rsid w:val="02218755"/>
    <w:rsid w:val="02282792"/>
    <w:rsid w:val="022AB474"/>
    <w:rsid w:val="023201EF"/>
    <w:rsid w:val="0234B268"/>
    <w:rsid w:val="02582EC6"/>
    <w:rsid w:val="025CE956"/>
    <w:rsid w:val="025EBB30"/>
    <w:rsid w:val="0262AA27"/>
    <w:rsid w:val="026479BE"/>
    <w:rsid w:val="0264CD59"/>
    <w:rsid w:val="0268EA86"/>
    <w:rsid w:val="0269D012"/>
    <w:rsid w:val="026A953C"/>
    <w:rsid w:val="02761957"/>
    <w:rsid w:val="0277C328"/>
    <w:rsid w:val="027D1E79"/>
    <w:rsid w:val="027FF23D"/>
    <w:rsid w:val="02814333"/>
    <w:rsid w:val="02851A09"/>
    <w:rsid w:val="028BD718"/>
    <w:rsid w:val="028C6AB7"/>
    <w:rsid w:val="029ABC7E"/>
    <w:rsid w:val="029BBE7B"/>
    <w:rsid w:val="029C8410"/>
    <w:rsid w:val="02A7CE6F"/>
    <w:rsid w:val="02B0C857"/>
    <w:rsid w:val="02B58B1E"/>
    <w:rsid w:val="02C091AD"/>
    <w:rsid w:val="02C3C11E"/>
    <w:rsid w:val="02C6B6E2"/>
    <w:rsid w:val="02CB37BC"/>
    <w:rsid w:val="02CF36EB"/>
    <w:rsid w:val="02D04037"/>
    <w:rsid w:val="02D167DD"/>
    <w:rsid w:val="02F4E5D8"/>
    <w:rsid w:val="02FA8694"/>
    <w:rsid w:val="02FAE8D8"/>
    <w:rsid w:val="03060266"/>
    <w:rsid w:val="0309EB75"/>
    <w:rsid w:val="03122656"/>
    <w:rsid w:val="03142C39"/>
    <w:rsid w:val="031AAC1E"/>
    <w:rsid w:val="031B71B5"/>
    <w:rsid w:val="031F45A4"/>
    <w:rsid w:val="032C56D3"/>
    <w:rsid w:val="032E0776"/>
    <w:rsid w:val="0332284E"/>
    <w:rsid w:val="03364D01"/>
    <w:rsid w:val="0338A27D"/>
    <w:rsid w:val="033AF6B4"/>
    <w:rsid w:val="034D7281"/>
    <w:rsid w:val="034E104D"/>
    <w:rsid w:val="0352FE92"/>
    <w:rsid w:val="03546EAC"/>
    <w:rsid w:val="035AB932"/>
    <w:rsid w:val="035DF9D5"/>
    <w:rsid w:val="036C111D"/>
    <w:rsid w:val="036DC67F"/>
    <w:rsid w:val="0370393A"/>
    <w:rsid w:val="0378382B"/>
    <w:rsid w:val="0388B3CE"/>
    <w:rsid w:val="038A1DFF"/>
    <w:rsid w:val="038D9F9A"/>
    <w:rsid w:val="038E095B"/>
    <w:rsid w:val="038F0E1F"/>
    <w:rsid w:val="038FE3E7"/>
    <w:rsid w:val="03960FA5"/>
    <w:rsid w:val="03969830"/>
    <w:rsid w:val="039EECA5"/>
    <w:rsid w:val="03A2D681"/>
    <w:rsid w:val="03A3F02A"/>
    <w:rsid w:val="03A8C42A"/>
    <w:rsid w:val="03B0111F"/>
    <w:rsid w:val="03B628C7"/>
    <w:rsid w:val="03BB967B"/>
    <w:rsid w:val="03BE7CA0"/>
    <w:rsid w:val="03C1C620"/>
    <w:rsid w:val="03CA8BC5"/>
    <w:rsid w:val="03CCBB17"/>
    <w:rsid w:val="03DABC01"/>
    <w:rsid w:val="03DD2887"/>
    <w:rsid w:val="03DDB1B7"/>
    <w:rsid w:val="03E1DF02"/>
    <w:rsid w:val="03E86CC9"/>
    <w:rsid w:val="03EC5CD8"/>
    <w:rsid w:val="03FBD987"/>
    <w:rsid w:val="03FFBD25"/>
    <w:rsid w:val="0400EDB8"/>
    <w:rsid w:val="0404A414"/>
    <w:rsid w:val="040C2E56"/>
    <w:rsid w:val="04153E10"/>
    <w:rsid w:val="041AE195"/>
    <w:rsid w:val="0420EA6A"/>
    <w:rsid w:val="0429C61E"/>
    <w:rsid w:val="04359E0D"/>
    <w:rsid w:val="0439D622"/>
    <w:rsid w:val="0441CD4B"/>
    <w:rsid w:val="0442506F"/>
    <w:rsid w:val="04439ED0"/>
    <w:rsid w:val="0443ECA5"/>
    <w:rsid w:val="044881B2"/>
    <w:rsid w:val="045EF246"/>
    <w:rsid w:val="0462CE00"/>
    <w:rsid w:val="04632AB9"/>
    <w:rsid w:val="04664D6E"/>
    <w:rsid w:val="0475EC4A"/>
    <w:rsid w:val="04790D84"/>
    <w:rsid w:val="047D86F0"/>
    <w:rsid w:val="047FF64D"/>
    <w:rsid w:val="048BDE7D"/>
    <w:rsid w:val="049AFCD5"/>
    <w:rsid w:val="049F8326"/>
    <w:rsid w:val="04A1AC88"/>
    <w:rsid w:val="04B95CC7"/>
    <w:rsid w:val="04D3FF03"/>
    <w:rsid w:val="04D7C092"/>
    <w:rsid w:val="04EC536E"/>
    <w:rsid w:val="04F7E433"/>
    <w:rsid w:val="04FFEA09"/>
    <w:rsid w:val="050294E7"/>
    <w:rsid w:val="050310FE"/>
    <w:rsid w:val="05036683"/>
    <w:rsid w:val="0504D062"/>
    <w:rsid w:val="0508B37E"/>
    <w:rsid w:val="05171FE0"/>
    <w:rsid w:val="051ECCC6"/>
    <w:rsid w:val="05248845"/>
    <w:rsid w:val="052FBA3B"/>
    <w:rsid w:val="0530DC1D"/>
    <w:rsid w:val="053522A1"/>
    <w:rsid w:val="053E0463"/>
    <w:rsid w:val="05533755"/>
    <w:rsid w:val="0553B46B"/>
    <w:rsid w:val="0556E2C4"/>
    <w:rsid w:val="0558E00B"/>
    <w:rsid w:val="055B4695"/>
    <w:rsid w:val="056597C5"/>
    <w:rsid w:val="0565F93B"/>
    <w:rsid w:val="056E78E8"/>
    <w:rsid w:val="05720C7A"/>
    <w:rsid w:val="0572C884"/>
    <w:rsid w:val="05752EE8"/>
    <w:rsid w:val="0576BFD4"/>
    <w:rsid w:val="05827ED5"/>
    <w:rsid w:val="0597A39C"/>
    <w:rsid w:val="05A170D4"/>
    <w:rsid w:val="05A5C2C3"/>
    <w:rsid w:val="05AB866D"/>
    <w:rsid w:val="05ACA219"/>
    <w:rsid w:val="05B3C8C5"/>
    <w:rsid w:val="05B6BD5E"/>
    <w:rsid w:val="05B99A56"/>
    <w:rsid w:val="05BCBACB"/>
    <w:rsid w:val="05C09A60"/>
    <w:rsid w:val="05C43183"/>
    <w:rsid w:val="05D05B3C"/>
    <w:rsid w:val="05D34F07"/>
    <w:rsid w:val="05D3A407"/>
    <w:rsid w:val="05EBDB30"/>
    <w:rsid w:val="05EF70EA"/>
    <w:rsid w:val="05F278B4"/>
    <w:rsid w:val="0615D082"/>
    <w:rsid w:val="06216F58"/>
    <w:rsid w:val="0623CBD5"/>
    <w:rsid w:val="062885EA"/>
    <w:rsid w:val="062BB87B"/>
    <w:rsid w:val="062BDED5"/>
    <w:rsid w:val="06417E6D"/>
    <w:rsid w:val="06469A2C"/>
    <w:rsid w:val="06481E9F"/>
    <w:rsid w:val="064EDC95"/>
    <w:rsid w:val="0657A88D"/>
    <w:rsid w:val="065EF12F"/>
    <w:rsid w:val="066D5ADA"/>
    <w:rsid w:val="066E6277"/>
    <w:rsid w:val="06859001"/>
    <w:rsid w:val="0689EDF5"/>
    <w:rsid w:val="068BAA30"/>
    <w:rsid w:val="0690EDF0"/>
    <w:rsid w:val="0696CF98"/>
    <w:rsid w:val="0698A29D"/>
    <w:rsid w:val="069CA166"/>
    <w:rsid w:val="06A9733E"/>
    <w:rsid w:val="06AE8502"/>
    <w:rsid w:val="06AEDF8F"/>
    <w:rsid w:val="06C6BAA7"/>
    <w:rsid w:val="06D1575E"/>
    <w:rsid w:val="06D71E27"/>
    <w:rsid w:val="06D9D927"/>
    <w:rsid w:val="06DDA9EC"/>
    <w:rsid w:val="06DE5310"/>
    <w:rsid w:val="06DFB5F8"/>
    <w:rsid w:val="06E738B2"/>
    <w:rsid w:val="06EE7353"/>
    <w:rsid w:val="0700807D"/>
    <w:rsid w:val="071A6A12"/>
    <w:rsid w:val="071CDCA2"/>
    <w:rsid w:val="0728CC24"/>
    <w:rsid w:val="072F5090"/>
    <w:rsid w:val="073B372F"/>
    <w:rsid w:val="074AA959"/>
    <w:rsid w:val="074DC155"/>
    <w:rsid w:val="0750DF6F"/>
    <w:rsid w:val="075256B8"/>
    <w:rsid w:val="07643F06"/>
    <w:rsid w:val="076C23AC"/>
    <w:rsid w:val="076F6DD2"/>
    <w:rsid w:val="0772DE28"/>
    <w:rsid w:val="077CF75E"/>
    <w:rsid w:val="07936298"/>
    <w:rsid w:val="0795BFAD"/>
    <w:rsid w:val="0798A4E5"/>
    <w:rsid w:val="079AF8C3"/>
    <w:rsid w:val="079CEE8E"/>
    <w:rsid w:val="07A0627E"/>
    <w:rsid w:val="07B2B748"/>
    <w:rsid w:val="07B715DB"/>
    <w:rsid w:val="07BF54B1"/>
    <w:rsid w:val="07CBADFA"/>
    <w:rsid w:val="07DF00CB"/>
    <w:rsid w:val="07E7199F"/>
    <w:rsid w:val="07EAE29F"/>
    <w:rsid w:val="07F0240A"/>
    <w:rsid w:val="07F0EEEE"/>
    <w:rsid w:val="07F3193F"/>
    <w:rsid w:val="07F7B358"/>
    <w:rsid w:val="07F88A99"/>
    <w:rsid w:val="07F8D257"/>
    <w:rsid w:val="07F8E895"/>
    <w:rsid w:val="0801CE2F"/>
    <w:rsid w:val="08081A46"/>
    <w:rsid w:val="080F70AA"/>
    <w:rsid w:val="08193062"/>
    <w:rsid w:val="0819D984"/>
    <w:rsid w:val="081B837A"/>
    <w:rsid w:val="0826DC81"/>
    <w:rsid w:val="08287670"/>
    <w:rsid w:val="082DDDD2"/>
    <w:rsid w:val="082F15B9"/>
    <w:rsid w:val="083A0735"/>
    <w:rsid w:val="083C5131"/>
    <w:rsid w:val="083C7E8D"/>
    <w:rsid w:val="083F1342"/>
    <w:rsid w:val="08434546"/>
    <w:rsid w:val="084BDAFB"/>
    <w:rsid w:val="08537F6E"/>
    <w:rsid w:val="086AAD5F"/>
    <w:rsid w:val="086BF4D1"/>
    <w:rsid w:val="0879F308"/>
    <w:rsid w:val="088366DD"/>
    <w:rsid w:val="08890897"/>
    <w:rsid w:val="088B0CEA"/>
    <w:rsid w:val="088E844B"/>
    <w:rsid w:val="0890F783"/>
    <w:rsid w:val="0893A9A1"/>
    <w:rsid w:val="0894A98C"/>
    <w:rsid w:val="089B7E2F"/>
    <w:rsid w:val="089FDA52"/>
    <w:rsid w:val="08AD629F"/>
    <w:rsid w:val="08C31850"/>
    <w:rsid w:val="08C3385A"/>
    <w:rsid w:val="08C398C3"/>
    <w:rsid w:val="08C77768"/>
    <w:rsid w:val="08DDFB82"/>
    <w:rsid w:val="08E049AF"/>
    <w:rsid w:val="08E7181D"/>
    <w:rsid w:val="08E884AE"/>
    <w:rsid w:val="08EC277B"/>
    <w:rsid w:val="090B1ED7"/>
    <w:rsid w:val="090BB01E"/>
    <w:rsid w:val="090C9C78"/>
    <w:rsid w:val="090F4F1D"/>
    <w:rsid w:val="0916A974"/>
    <w:rsid w:val="0917669E"/>
    <w:rsid w:val="091F2C35"/>
    <w:rsid w:val="092A75BD"/>
    <w:rsid w:val="092FFAA2"/>
    <w:rsid w:val="093597CA"/>
    <w:rsid w:val="093668A4"/>
    <w:rsid w:val="09369BDC"/>
    <w:rsid w:val="0937DEBB"/>
    <w:rsid w:val="09398855"/>
    <w:rsid w:val="093B767F"/>
    <w:rsid w:val="093C0085"/>
    <w:rsid w:val="093E12F1"/>
    <w:rsid w:val="09412248"/>
    <w:rsid w:val="094337A6"/>
    <w:rsid w:val="09457F53"/>
    <w:rsid w:val="094E21EB"/>
    <w:rsid w:val="094FC439"/>
    <w:rsid w:val="09523425"/>
    <w:rsid w:val="09635B3F"/>
    <w:rsid w:val="096C9CF0"/>
    <w:rsid w:val="0989CA34"/>
    <w:rsid w:val="098EE84D"/>
    <w:rsid w:val="0990827E"/>
    <w:rsid w:val="0994B5AE"/>
    <w:rsid w:val="09A0F640"/>
    <w:rsid w:val="09A57B86"/>
    <w:rsid w:val="09ADC465"/>
    <w:rsid w:val="09AF8830"/>
    <w:rsid w:val="09B753DB"/>
    <w:rsid w:val="09B7C612"/>
    <w:rsid w:val="09B8F164"/>
    <w:rsid w:val="09B8FD84"/>
    <w:rsid w:val="09C133FA"/>
    <w:rsid w:val="09CC3632"/>
    <w:rsid w:val="09D7609F"/>
    <w:rsid w:val="09D94D9A"/>
    <w:rsid w:val="09DB600F"/>
    <w:rsid w:val="09E388C5"/>
    <w:rsid w:val="09F0D26A"/>
    <w:rsid w:val="09F44199"/>
    <w:rsid w:val="09F7F968"/>
    <w:rsid w:val="09FB6EE8"/>
    <w:rsid w:val="09FE965C"/>
    <w:rsid w:val="0A00AB80"/>
    <w:rsid w:val="0A01DC0A"/>
    <w:rsid w:val="0A07CE2A"/>
    <w:rsid w:val="0A09000B"/>
    <w:rsid w:val="0A0C07A9"/>
    <w:rsid w:val="0A10F72A"/>
    <w:rsid w:val="0A1C3182"/>
    <w:rsid w:val="0A227149"/>
    <w:rsid w:val="0A27CEE6"/>
    <w:rsid w:val="0A2CD2D3"/>
    <w:rsid w:val="0A30DBCE"/>
    <w:rsid w:val="0A3281C0"/>
    <w:rsid w:val="0A332CD1"/>
    <w:rsid w:val="0A4C4AF3"/>
    <w:rsid w:val="0A57BEDB"/>
    <w:rsid w:val="0A5FDF98"/>
    <w:rsid w:val="0A6D5576"/>
    <w:rsid w:val="0A8B787C"/>
    <w:rsid w:val="0A8B92EC"/>
    <w:rsid w:val="0A8DEA93"/>
    <w:rsid w:val="0A988A02"/>
    <w:rsid w:val="0A99969D"/>
    <w:rsid w:val="0AA143A1"/>
    <w:rsid w:val="0AA59304"/>
    <w:rsid w:val="0AA75D57"/>
    <w:rsid w:val="0AA89E0F"/>
    <w:rsid w:val="0AAB098B"/>
    <w:rsid w:val="0AAEA2FF"/>
    <w:rsid w:val="0AB58CD7"/>
    <w:rsid w:val="0AD021EE"/>
    <w:rsid w:val="0AD2616D"/>
    <w:rsid w:val="0AD72B4F"/>
    <w:rsid w:val="0AE10C73"/>
    <w:rsid w:val="0AF5A2FC"/>
    <w:rsid w:val="0B062BEF"/>
    <w:rsid w:val="0B0D7C50"/>
    <w:rsid w:val="0B0E1BF4"/>
    <w:rsid w:val="0B15004F"/>
    <w:rsid w:val="0B15CC8D"/>
    <w:rsid w:val="0B176828"/>
    <w:rsid w:val="0B18DC27"/>
    <w:rsid w:val="0B20B817"/>
    <w:rsid w:val="0B270643"/>
    <w:rsid w:val="0B2856DE"/>
    <w:rsid w:val="0B44505D"/>
    <w:rsid w:val="0B46108F"/>
    <w:rsid w:val="0B56EA2C"/>
    <w:rsid w:val="0B5A3B21"/>
    <w:rsid w:val="0B5D4286"/>
    <w:rsid w:val="0B6643CF"/>
    <w:rsid w:val="0B715CE9"/>
    <w:rsid w:val="0B743F32"/>
    <w:rsid w:val="0B7440C8"/>
    <w:rsid w:val="0B7906B0"/>
    <w:rsid w:val="0B832FA2"/>
    <w:rsid w:val="0B8DB0CC"/>
    <w:rsid w:val="0B8E1BEE"/>
    <w:rsid w:val="0B8E561C"/>
    <w:rsid w:val="0B946AFA"/>
    <w:rsid w:val="0B9EB257"/>
    <w:rsid w:val="0BAED455"/>
    <w:rsid w:val="0BC29F95"/>
    <w:rsid w:val="0BC3AFEA"/>
    <w:rsid w:val="0BC556DB"/>
    <w:rsid w:val="0BC618F9"/>
    <w:rsid w:val="0BCF701F"/>
    <w:rsid w:val="0BD3F1A0"/>
    <w:rsid w:val="0BDF2CB8"/>
    <w:rsid w:val="0BE505EE"/>
    <w:rsid w:val="0BF14827"/>
    <w:rsid w:val="0BF56F30"/>
    <w:rsid w:val="0C08F4CC"/>
    <w:rsid w:val="0C0FF442"/>
    <w:rsid w:val="0C11ED63"/>
    <w:rsid w:val="0C13FE20"/>
    <w:rsid w:val="0C165B00"/>
    <w:rsid w:val="0C2DF638"/>
    <w:rsid w:val="0C302E4D"/>
    <w:rsid w:val="0C32B124"/>
    <w:rsid w:val="0C51634D"/>
    <w:rsid w:val="0C54743E"/>
    <w:rsid w:val="0C55C998"/>
    <w:rsid w:val="0C6518FD"/>
    <w:rsid w:val="0C661575"/>
    <w:rsid w:val="0C67CED3"/>
    <w:rsid w:val="0C6BE527"/>
    <w:rsid w:val="0C6D10F7"/>
    <w:rsid w:val="0C6E4117"/>
    <w:rsid w:val="0C70FB5F"/>
    <w:rsid w:val="0C7D2624"/>
    <w:rsid w:val="0C7EE46D"/>
    <w:rsid w:val="0C88F531"/>
    <w:rsid w:val="0C8B99DC"/>
    <w:rsid w:val="0C8BA885"/>
    <w:rsid w:val="0C94FE09"/>
    <w:rsid w:val="0CA44A74"/>
    <w:rsid w:val="0CA4795B"/>
    <w:rsid w:val="0CA79E5A"/>
    <w:rsid w:val="0CAB51C5"/>
    <w:rsid w:val="0CAF7A3D"/>
    <w:rsid w:val="0CB9F43B"/>
    <w:rsid w:val="0CBBD07B"/>
    <w:rsid w:val="0CBE1506"/>
    <w:rsid w:val="0CBFE237"/>
    <w:rsid w:val="0CC5A11B"/>
    <w:rsid w:val="0CCAD40D"/>
    <w:rsid w:val="0CD7331C"/>
    <w:rsid w:val="0CF17E5E"/>
    <w:rsid w:val="0CF6E736"/>
    <w:rsid w:val="0CFB6C90"/>
    <w:rsid w:val="0D0CA2AC"/>
    <w:rsid w:val="0D0DDA41"/>
    <w:rsid w:val="0D1BCBD7"/>
    <w:rsid w:val="0D1C6219"/>
    <w:rsid w:val="0D292D26"/>
    <w:rsid w:val="0D2BAB14"/>
    <w:rsid w:val="0D3369FF"/>
    <w:rsid w:val="0D359BE2"/>
    <w:rsid w:val="0D385AA6"/>
    <w:rsid w:val="0D3BD644"/>
    <w:rsid w:val="0D3C38FB"/>
    <w:rsid w:val="0D409A8E"/>
    <w:rsid w:val="0D47B25A"/>
    <w:rsid w:val="0D4C2B81"/>
    <w:rsid w:val="0D4F925D"/>
    <w:rsid w:val="0D56F9E2"/>
    <w:rsid w:val="0D5715CE"/>
    <w:rsid w:val="0D6507D1"/>
    <w:rsid w:val="0D66D84A"/>
    <w:rsid w:val="0D6E83B1"/>
    <w:rsid w:val="0D77F113"/>
    <w:rsid w:val="0D7BA697"/>
    <w:rsid w:val="0D81D1B9"/>
    <w:rsid w:val="0D834919"/>
    <w:rsid w:val="0D88C148"/>
    <w:rsid w:val="0DAA4BF2"/>
    <w:rsid w:val="0DAE99A2"/>
    <w:rsid w:val="0DB0AAB5"/>
    <w:rsid w:val="0DC71674"/>
    <w:rsid w:val="0DDD30B2"/>
    <w:rsid w:val="0DDEF539"/>
    <w:rsid w:val="0DEA1A97"/>
    <w:rsid w:val="0DF1D08D"/>
    <w:rsid w:val="0DF26A37"/>
    <w:rsid w:val="0DF60B28"/>
    <w:rsid w:val="0DFE39A9"/>
    <w:rsid w:val="0E029C8B"/>
    <w:rsid w:val="0E235D1D"/>
    <w:rsid w:val="0E3247D6"/>
    <w:rsid w:val="0E32B125"/>
    <w:rsid w:val="0E3E953E"/>
    <w:rsid w:val="0E476E70"/>
    <w:rsid w:val="0E613A27"/>
    <w:rsid w:val="0E736221"/>
    <w:rsid w:val="0E79AD57"/>
    <w:rsid w:val="0E7BEEC5"/>
    <w:rsid w:val="0E87E1DD"/>
    <w:rsid w:val="0E8CD906"/>
    <w:rsid w:val="0E8FCB20"/>
    <w:rsid w:val="0E9FDA66"/>
    <w:rsid w:val="0EA09DA8"/>
    <w:rsid w:val="0EA16F41"/>
    <w:rsid w:val="0EA5CC6D"/>
    <w:rsid w:val="0EBF8289"/>
    <w:rsid w:val="0EC54BCF"/>
    <w:rsid w:val="0ED07DAC"/>
    <w:rsid w:val="0ED713FF"/>
    <w:rsid w:val="0EE2B3FA"/>
    <w:rsid w:val="0EEE8344"/>
    <w:rsid w:val="0EF56C18"/>
    <w:rsid w:val="0F012F47"/>
    <w:rsid w:val="0F076322"/>
    <w:rsid w:val="0F07EA12"/>
    <w:rsid w:val="0F0A6294"/>
    <w:rsid w:val="0F0D8CC8"/>
    <w:rsid w:val="0F11B5CF"/>
    <w:rsid w:val="0F198CB8"/>
    <w:rsid w:val="0F229767"/>
    <w:rsid w:val="0F2577F4"/>
    <w:rsid w:val="0F2F72ED"/>
    <w:rsid w:val="0F305067"/>
    <w:rsid w:val="0F41BC9C"/>
    <w:rsid w:val="0F4B11EF"/>
    <w:rsid w:val="0F4EE866"/>
    <w:rsid w:val="0F560A3E"/>
    <w:rsid w:val="0F59FBC3"/>
    <w:rsid w:val="0F5C4EF6"/>
    <w:rsid w:val="0F60EA07"/>
    <w:rsid w:val="0F6B0439"/>
    <w:rsid w:val="0F722824"/>
    <w:rsid w:val="0F76683D"/>
    <w:rsid w:val="0F870400"/>
    <w:rsid w:val="0F90C8E1"/>
    <w:rsid w:val="0FA33D51"/>
    <w:rsid w:val="0FA3B819"/>
    <w:rsid w:val="0FA54212"/>
    <w:rsid w:val="0FA5CC34"/>
    <w:rsid w:val="0FC39FBE"/>
    <w:rsid w:val="0FCC8C7D"/>
    <w:rsid w:val="0FCCC2CD"/>
    <w:rsid w:val="0FCF7B7C"/>
    <w:rsid w:val="0FDDD9EE"/>
    <w:rsid w:val="0FE22DF4"/>
    <w:rsid w:val="0FEB7F86"/>
    <w:rsid w:val="0FED5012"/>
    <w:rsid w:val="0FEEA5D7"/>
    <w:rsid w:val="0FF1FB39"/>
    <w:rsid w:val="0FF6ADD8"/>
    <w:rsid w:val="0FFBAC54"/>
    <w:rsid w:val="0FFCA681"/>
    <w:rsid w:val="0FFF2C3F"/>
    <w:rsid w:val="1000E4F4"/>
    <w:rsid w:val="1002F236"/>
    <w:rsid w:val="1010C0C9"/>
    <w:rsid w:val="1012A865"/>
    <w:rsid w:val="101A69BE"/>
    <w:rsid w:val="10328C76"/>
    <w:rsid w:val="10364A21"/>
    <w:rsid w:val="103A6D73"/>
    <w:rsid w:val="103ABFB9"/>
    <w:rsid w:val="103F52B3"/>
    <w:rsid w:val="10400F4C"/>
    <w:rsid w:val="10486D66"/>
    <w:rsid w:val="10506538"/>
    <w:rsid w:val="1064B37A"/>
    <w:rsid w:val="1066D25B"/>
    <w:rsid w:val="1067C893"/>
    <w:rsid w:val="106EAC98"/>
    <w:rsid w:val="10701753"/>
    <w:rsid w:val="10719E10"/>
    <w:rsid w:val="10785AA6"/>
    <w:rsid w:val="1081DAEB"/>
    <w:rsid w:val="108B6C91"/>
    <w:rsid w:val="108F466A"/>
    <w:rsid w:val="10A772E2"/>
    <w:rsid w:val="10B0177C"/>
    <w:rsid w:val="10B2F99F"/>
    <w:rsid w:val="10B600D5"/>
    <w:rsid w:val="10BFA459"/>
    <w:rsid w:val="10C38383"/>
    <w:rsid w:val="10CE4D2A"/>
    <w:rsid w:val="10CF67EA"/>
    <w:rsid w:val="10D19CE1"/>
    <w:rsid w:val="10E63A64"/>
    <w:rsid w:val="10E9694C"/>
    <w:rsid w:val="10EB6758"/>
    <w:rsid w:val="10EEB5A1"/>
    <w:rsid w:val="10F10CC2"/>
    <w:rsid w:val="10F583B2"/>
    <w:rsid w:val="10F682CD"/>
    <w:rsid w:val="10FD6572"/>
    <w:rsid w:val="11060A13"/>
    <w:rsid w:val="110A0C21"/>
    <w:rsid w:val="110A3A36"/>
    <w:rsid w:val="110BB24F"/>
    <w:rsid w:val="110E18AA"/>
    <w:rsid w:val="111A557D"/>
    <w:rsid w:val="1121BB59"/>
    <w:rsid w:val="11305054"/>
    <w:rsid w:val="1132C334"/>
    <w:rsid w:val="11410279"/>
    <w:rsid w:val="114F6B93"/>
    <w:rsid w:val="114FC367"/>
    <w:rsid w:val="1150C42B"/>
    <w:rsid w:val="1152AEF5"/>
    <w:rsid w:val="116492E0"/>
    <w:rsid w:val="1164EE3B"/>
    <w:rsid w:val="116E15A2"/>
    <w:rsid w:val="1185813F"/>
    <w:rsid w:val="1185CB96"/>
    <w:rsid w:val="119CB246"/>
    <w:rsid w:val="119CD37C"/>
    <w:rsid w:val="11A6E6A4"/>
    <w:rsid w:val="11AE7091"/>
    <w:rsid w:val="11B6FF35"/>
    <w:rsid w:val="11B784EF"/>
    <w:rsid w:val="11B98051"/>
    <w:rsid w:val="11BA0EEB"/>
    <w:rsid w:val="11BBE495"/>
    <w:rsid w:val="11C04940"/>
    <w:rsid w:val="11C6BA4C"/>
    <w:rsid w:val="11D48A9A"/>
    <w:rsid w:val="11DC1D9A"/>
    <w:rsid w:val="11F03947"/>
    <w:rsid w:val="11F14659"/>
    <w:rsid w:val="11FA79EA"/>
    <w:rsid w:val="1203465C"/>
    <w:rsid w:val="12053554"/>
    <w:rsid w:val="120ACE3F"/>
    <w:rsid w:val="120F583F"/>
    <w:rsid w:val="12106CB0"/>
    <w:rsid w:val="12110CD8"/>
    <w:rsid w:val="12289CA4"/>
    <w:rsid w:val="122DEC9F"/>
    <w:rsid w:val="122E4210"/>
    <w:rsid w:val="1231ADD5"/>
    <w:rsid w:val="1231CF37"/>
    <w:rsid w:val="1231F2CD"/>
    <w:rsid w:val="123B0229"/>
    <w:rsid w:val="123E8F40"/>
    <w:rsid w:val="12448DC1"/>
    <w:rsid w:val="124C888F"/>
    <w:rsid w:val="12513670"/>
    <w:rsid w:val="1255E379"/>
    <w:rsid w:val="125998B7"/>
    <w:rsid w:val="125C5E11"/>
    <w:rsid w:val="12645E3F"/>
    <w:rsid w:val="12655ED1"/>
    <w:rsid w:val="1268EEDA"/>
    <w:rsid w:val="127883C7"/>
    <w:rsid w:val="128A7147"/>
    <w:rsid w:val="129C06DD"/>
    <w:rsid w:val="129CB240"/>
    <w:rsid w:val="129F1F4C"/>
    <w:rsid w:val="12A6DE96"/>
    <w:rsid w:val="12AC4E06"/>
    <w:rsid w:val="12B32993"/>
    <w:rsid w:val="12B407D0"/>
    <w:rsid w:val="12B4DCBE"/>
    <w:rsid w:val="12BF7073"/>
    <w:rsid w:val="12C9C27F"/>
    <w:rsid w:val="12CA834B"/>
    <w:rsid w:val="12D4C7FE"/>
    <w:rsid w:val="12D7843A"/>
    <w:rsid w:val="12E1910C"/>
    <w:rsid w:val="12E7FFA4"/>
    <w:rsid w:val="12FE0C75"/>
    <w:rsid w:val="1311D170"/>
    <w:rsid w:val="131DA4A4"/>
    <w:rsid w:val="131E35CA"/>
    <w:rsid w:val="132038FF"/>
    <w:rsid w:val="13275044"/>
    <w:rsid w:val="13387951"/>
    <w:rsid w:val="133D0BDD"/>
    <w:rsid w:val="133D38F2"/>
    <w:rsid w:val="134409DE"/>
    <w:rsid w:val="1349FE99"/>
    <w:rsid w:val="13599504"/>
    <w:rsid w:val="135CC341"/>
    <w:rsid w:val="1369E9D9"/>
    <w:rsid w:val="136D5159"/>
    <w:rsid w:val="136F25F3"/>
    <w:rsid w:val="1384B278"/>
    <w:rsid w:val="138BEDFA"/>
    <w:rsid w:val="138D420C"/>
    <w:rsid w:val="1394BED0"/>
    <w:rsid w:val="1397DC7A"/>
    <w:rsid w:val="1398C444"/>
    <w:rsid w:val="13A11BDA"/>
    <w:rsid w:val="13AE105D"/>
    <w:rsid w:val="13BDEA99"/>
    <w:rsid w:val="13C19663"/>
    <w:rsid w:val="13C56287"/>
    <w:rsid w:val="13E36985"/>
    <w:rsid w:val="13E3C3A5"/>
    <w:rsid w:val="13E3E713"/>
    <w:rsid w:val="13E6AB38"/>
    <w:rsid w:val="13ED06D1"/>
    <w:rsid w:val="13EE5B0D"/>
    <w:rsid w:val="13EFBDAE"/>
    <w:rsid w:val="13F2622A"/>
    <w:rsid w:val="13F900C3"/>
    <w:rsid w:val="1400204F"/>
    <w:rsid w:val="14146B86"/>
    <w:rsid w:val="142D857E"/>
    <w:rsid w:val="143D29B3"/>
    <w:rsid w:val="143D50DB"/>
    <w:rsid w:val="14400AF0"/>
    <w:rsid w:val="144A180A"/>
    <w:rsid w:val="144B12C0"/>
    <w:rsid w:val="145C6402"/>
    <w:rsid w:val="14626140"/>
    <w:rsid w:val="1468A357"/>
    <w:rsid w:val="146D73F5"/>
    <w:rsid w:val="14718EF1"/>
    <w:rsid w:val="147A735E"/>
    <w:rsid w:val="147B10B2"/>
    <w:rsid w:val="147DA838"/>
    <w:rsid w:val="148E8D3B"/>
    <w:rsid w:val="148FD052"/>
    <w:rsid w:val="14A97333"/>
    <w:rsid w:val="14AF23C7"/>
    <w:rsid w:val="14AF6305"/>
    <w:rsid w:val="14BE70B7"/>
    <w:rsid w:val="14BE95D8"/>
    <w:rsid w:val="14C87EAA"/>
    <w:rsid w:val="14CDF97F"/>
    <w:rsid w:val="14D351AD"/>
    <w:rsid w:val="14DCC0D6"/>
    <w:rsid w:val="14DDA2D3"/>
    <w:rsid w:val="14E4E9A1"/>
    <w:rsid w:val="14E994C1"/>
    <w:rsid w:val="14EE1F86"/>
    <w:rsid w:val="14F24B48"/>
    <w:rsid w:val="14F26E73"/>
    <w:rsid w:val="14FF136D"/>
    <w:rsid w:val="15007607"/>
    <w:rsid w:val="150368ED"/>
    <w:rsid w:val="150B63F9"/>
    <w:rsid w:val="150CBAC5"/>
    <w:rsid w:val="15102353"/>
    <w:rsid w:val="1513CEEF"/>
    <w:rsid w:val="1519CC40"/>
    <w:rsid w:val="153A1E14"/>
    <w:rsid w:val="153B2E30"/>
    <w:rsid w:val="1544D12B"/>
    <w:rsid w:val="15528A6B"/>
    <w:rsid w:val="15533F06"/>
    <w:rsid w:val="155D3373"/>
    <w:rsid w:val="15678B9F"/>
    <w:rsid w:val="1567A556"/>
    <w:rsid w:val="15749CCC"/>
    <w:rsid w:val="1577FAD1"/>
    <w:rsid w:val="157A752A"/>
    <w:rsid w:val="157D8197"/>
    <w:rsid w:val="157FC6E3"/>
    <w:rsid w:val="15823AA0"/>
    <w:rsid w:val="15861C5B"/>
    <w:rsid w:val="15872626"/>
    <w:rsid w:val="1591EA98"/>
    <w:rsid w:val="15AB7EC4"/>
    <w:rsid w:val="15B205DA"/>
    <w:rsid w:val="15C24E87"/>
    <w:rsid w:val="15C291EC"/>
    <w:rsid w:val="15C43B58"/>
    <w:rsid w:val="15C4F3E3"/>
    <w:rsid w:val="15C5FD49"/>
    <w:rsid w:val="15CA807B"/>
    <w:rsid w:val="15CB11A2"/>
    <w:rsid w:val="15CDA04D"/>
    <w:rsid w:val="15D4D9B9"/>
    <w:rsid w:val="15D6E827"/>
    <w:rsid w:val="15E7050E"/>
    <w:rsid w:val="15F06E90"/>
    <w:rsid w:val="15F315AA"/>
    <w:rsid w:val="15F5BC0E"/>
    <w:rsid w:val="15FA25B8"/>
    <w:rsid w:val="15FE5AC7"/>
    <w:rsid w:val="1608A62B"/>
    <w:rsid w:val="16135AD7"/>
    <w:rsid w:val="1614F4C5"/>
    <w:rsid w:val="1618B3B5"/>
    <w:rsid w:val="161A3ED3"/>
    <w:rsid w:val="1627A769"/>
    <w:rsid w:val="162A4A37"/>
    <w:rsid w:val="162C680A"/>
    <w:rsid w:val="163567D2"/>
    <w:rsid w:val="1636DAB8"/>
    <w:rsid w:val="164F0460"/>
    <w:rsid w:val="165FF388"/>
    <w:rsid w:val="1661125A"/>
    <w:rsid w:val="16699033"/>
    <w:rsid w:val="166B7579"/>
    <w:rsid w:val="166F8FBE"/>
    <w:rsid w:val="16768509"/>
    <w:rsid w:val="168BB4F4"/>
    <w:rsid w:val="168C6C27"/>
    <w:rsid w:val="169DD68F"/>
    <w:rsid w:val="169FB298"/>
    <w:rsid w:val="16A33EB3"/>
    <w:rsid w:val="16AC3729"/>
    <w:rsid w:val="16B50E11"/>
    <w:rsid w:val="16B99C44"/>
    <w:rsid w:val="16BB57D4"/>
    <w:rsid w:val="16BC5A6B"/>
    <w:rsid w:val="16BE9BCB"/>
    <w:rsid w:val="16C6148F"/>
    <w:rsid w:val="16CD1290"/>
    <w:rsid w:val="16D3A2F9"/>
    <w:rsid w:val="16D570BD"/>
    <w:rsid w:val="16D7011B"/>
    <w:rsid w:val="16D76163"/>
    <w:rsid w:val="16E12647"/>
    <w:rsid w:val="16EA96D6"/>
    <w:rsid w:val="16ED1C31"/>
    <w:rsid w:val="16F7AEFC"/>
    <w:rsid w:val="1705C83E"/>
    <w:rsid w:val="17107AA4"/>
    <w:rsid w:val="17167B31"/>
    <w:rsid w:val="1719AAB0"/>
    <w:rsid w:val="17231A04"/>
    <w:rsid w:val="172A02EC"/>
    <w:rsid w:val="17484A5C"/>
    <w:rsid w:val="174B4D11"/>
    <w:rsid w:val="174E2016"/>
    <w:rsid w:val="174F924C"/>
    <w:rsid w:val="175289CD"/>
    <w:rsid w:val="17580FC3"/>
    <w:rsid w:val="17634033"/>
    <w:rsid w:val="176E996A"/>
    <w:rsid w:val="1770564D"/>
    <w:rsid w:val="177F4A10"/>
    <w:rsid w:val="1789C16C"/>
    <w:rsid w:val="178CD927"/>
    <w:rsid w:val="1793D12A"/>
    <w:rsid w:val="1798ED27"/>
    <w:rsid w:val="179A790C"/>
    <w:rsid w:val="17A521E9"/>
    <w:rsid w:val="17B7FBEA"/>
    <w:rsid w:val="17BEF744"/>
    <w:rsid w:val="17C2012C"/>
    <w:rsid w:val="17C21AB7"/>
    <w:rsid w:val="17C21DA9"/>
    <w:rsid w:val="17C9AEC2"/>
    <w:rsid w:val="17D6B5E7"/>
    <w:rsid w:val="17D9BB78"/>
    <w:rsid w:val="17DA53BD"/>
    <w:rsid w:val="17E01DC4"/>
    <w:rsid w:val="17E7D78F"/>
    <w:rsid w:val="17E9ED37"/>
    <w:rsid w:val="17EEF59C"/>
    <w:rsid w:val="17EF0371"/>
    <w:rsid w:val="17F17FB3"/>
    <w:rsid w:val="180B7864"/>
    <w:rsid w:val="180E66E5"/>
    <w:rsid w:val="181149B7"/>
    <w:rsid w:val="1812E7B0"/>
    <w:rsid w:val="1818C158"/>
    <w:rsid w:val="18234AE9"/>
    <w:rsid w:val="182A4AAD"/>
    <w:rsid w:val="182A9A32"/>
    <w:rsid w:val="18311249"/>
    <w:rsid w:val="184CA5C9"/>
    <w:rsid w:val="184D651C"/>
    <w:rsid w:val="185216B5"/>
    <w:rsid w:val="1852D6EF"/>
    <w:rsid w:val="18548540"/>
    <w:rsid w:val="1861C470"/>
    <w:rsid w:val="186BC00F"/>
    <w:rsid w:val="1872B141"/>
    <w:rsid w:val="18735974"/>
    <w:rsid w:val="188A898D"/>
    <w:rsid w:val="189AC903"/>
    <w:rsid w:val="18A4095C"/>
    <w:rsid w:val="18A4B238"/>
    <w:rsid w:val="18A5C208"/>
    <w:rsid w:val="18A65B21"/>
    <w:rsid w:val="18B034CC"/>
    <w:rsid w:val="18CDCD71"/>
    <w:rsid w:val="18CEC050"/>
    <w:rsid w:val="18D2AB2D"/>
    <w:rsid w:val="18D73CB5"/>
    <w:rsid w:val="18D85BBC"/>
    <w:rsid w:val="18D8E1C0"/>
    <w:rsid w:val="18DC5418"/>
    <w:rsid w:val="18E10441"/>
    <w:rsid w:val="18E6D97D"/>
    <w:rsid w:val="18EB4184"/>
    <w:rsid w:val="18EC9911"/>
    <w:rsid w:val="18EE0FFC"/>
    <w:rsid w:val="18F4D81E"/>
    <w:rsid w:val="18F92B64"/>
    <w:rsid w:val="18FAADFD"/>
    <w:rsid w:val="18FD6851"/>
    <w:rsid w:val="1903AD19"/>
    <w:rsid w:val="1908C8DB"/>
    <w:rsid w:val="19129131"/>
    <w:rsid w:val="191EDF59"/>
    <w:rsid w:val="19221589"/>
    <w:rsid w:val="192431D5"/>
    <w:rsid w:val="19326475"/>
    <w:rsid w:val="1934BC24"/>
    <w:rsid w:val="193D2246"/>
    <w:rsid w:val="1940B730"/>
    <w:rsid w:val="1943BC29"/>
    <w:rsid w:val="1944987D"/>
    <w:rsid w:val="19485428"/>
    <w:rsid w:val="194F28D1"/>
    <w:rsid w:val="195D328A"/>
    <w:rsid w:val="19648C93"/>
    <w:rsid w:val="196A1060"/>
    <w:rsid w:val="19700020"/>
    <w:rsid w:val="19769968"/>
    <w:rsid w:val="197DF789"/>
    <w:rsid w:val="198D4010"/>
    <w:rsid w:val="199087A5"/>
    <w:rsid w:val="199C1E29"/>
    <w:rsid w:val="19A188D9"/>
    <w:rsid w:val="19A7ECC1"/>
    <w:rsid w:val="19A7F36C"/>
    <w:rsid w:val="19AD9233"/>
    <w:rsid w:val="19ADA8A4"/>
    <w:rsid w:val="19BBAF60"/>
    <w:rsid w:val="19BFE6D4"/>
    <w:rsid w:val="19C39FD5"/>
    <w:rsid w:val="19CACCB7"/>
    <w:rsid w:val="19E76321"/>
    <w:rsid w:val="19EEA899"/>
    <w:rsid w:val="19F363EF"/>
    <w:rsid w:val="19F6417C"/>
    <w:rsid w:val="19F834C9"/>
    <w:rsid w:val="1A036C11"/>
    <w:rsid w:val="1A0CA955"/>
    <w:rsid w:val="1A1573B3"/>
    <w:rsid w:val="1A434F7E"/>
    <w:rsid w:val="1A51EE4E"/>
    <w:rsid w:val="1A56328F"/>
    <w:rsid w:val="1A61F36E"/>
    <w:rsid w:val="1A6543B0"/>
    <w:rsid w:val="1A66BE74"/>
    <w:rsid w:val="1A702E81"/>
    <w:rsid w:val="1A76653C"/>
    <w:rsid w:val="1A7E86BE"/>
    <w:rsid w:val="1A800833"/>
    <w:rsid w:val="1A88F42A"/>
    <w:rsid w:val="1A8AF47A"/>
    <w:rsid w:val="1A9193A4"/>
    <w:rsid w:val="1A951DBF"/>
    <w:rsid w:val="1A9DAB56"/>
    <w:rsid w:val="1A9DABE5"/>
    <w:rsid w:val="1AA4EFB7"/>
    <w:rsid w:val="1AAB6E2E"/>
    <w:rsid w:val="1AAC1BCC"/>
    <w:rsid w:val="1AADBB61"/>
    <w:rsid w:val="1AB58F67"/>
    <w:rsid w:val="1AC0B9D1"/>
    <w:rsid w:val="1ACD97A5"/>
    <w:rsid w:val="1ACF6C23"/>
    <w:rsid w:val="1AD295E5"/>
    <w:rsid w:val="1AD3F068"/>
    <w:rsid w:val="1AD5A830"/>
    <w:rsid w:val="1ADA9252"/>
    <w:rsid w:val="1B1286CE"/>
    <w:rsid w:val="1B1EA2BA"/>
    <w:rsid w:val="1B204F15"/>
    <w:rsid w:val="1B21BB40"/>
    <w:rsid w:val="1B2B9209"/>
    <w:rsid w:val="1B2C0401"/>
    <w:rsid w:val="1B351F7A"/>
    <w:rsid w:val="1B36F807"/>
    <w:rsid w:val="1B3CB1F7"/>
    <w:rsid w:val="1B422D63"/>
    <w:rsid w:val="1B46FEC7"/>
    <w:rsid w:val="1B4F93D9"/>
    <w:rsid w:val="1B52FFA5"/>
    <w:rsid w:val="1B57A4C0"/>
    <w:rsid w:val="1B6C2E3A"/>
    <w:rsid w:val="1B863F33"/>
    <w:rsid w:val="1B887FD6"/>
    <w:rsid w:val="1B8B9EA8"/>
    <w:rsid w:val="1B8BAFB5"/>
    <w:rsid w:val="1B90CC95"/>
    <w:rsid w:val="1B9907A0"/>
    <w:rsid w:val="1BA46795"/>
    <w:rsid w:val="1BA7430F"/>
    <w:rsid w:val="1BAEB015"/>
    <w:rsid w:val="1BC32A9D"/>
    <w:rsid w:val="1BD60CF8"/>
    <w:rsid w:val="1BDB55B8"/>
    <w:rsid w:val="1BDF0DA5"/>
    <w:rsid w:val="1BEA1474"/>
    <w:rsid w:val="1BEDF992"/>
    <w:rsid w:val="1BF57C7C"/>
    <w:rsid w:val="1BFB102D"/>
    <w:rsid w:val="1BFBA8D4"/>
    <w:rsid w:val="1BFFD7A1"/>
    <w:rsid w:val="1C06D9E9"/>
    <w:rsid w:val="1C0B8166"/>
    <w:rsid w:val="1C2D84FA"/>
    <w:rsid w:val="1C33B9F6"/>
    <w:rsid w:val="1C3AD77E"/>
    <w:rsid w:val="1C3B4C7D"/>
    <w:rsid w:val="1C4E2061"/>
    <w:rsid w:val="1C546289"/>
    <w:rsid w:val="1C57C0E3"/>
    <w:rsid w:val="1C5E4822"/>
    <w:rsid w:val="1C5F450E"/>
    <w:rsid w:val="1C63BEE1"/>
    <w:rsid w:val="1C6D577B"/>
    <w:rsid w:val="1C753932"/>
    <w:rsid w:val="1C97870A"/>
    <w:rsid w:val="1C9D2005"/>
    <w:rsid w:val="1C9DB57F"/>
    <w:rsid w:val="1C9E9DEF"/>
    <w:rsid w:val="1CA0D715"/>
    <w:rsid w:val="1CA2F28D"/>
    <w:rsid w:val="1CB03C39"/>
    <w:rsid w:val="1CBFE213"/>
    <w:rsid w:val="1CC18D91"/>
    <w:rsid w:val="1CCC5770"/>
    <w:rsid w:val="1CCC6375"/>
    <w:rsid w:val="1CD0F0F7"/>
    <w:rsid w:val="1CD2C868"/>
    <w:rsid w:val="1CE0533D"/>
    <w:rsid w:val="1CE42C1E"/>
    <w:rsid w:val="1CEBDBA9"/>
    <w:rsid w:val="1CF11C22"/>
    <w:rsid w:val="1CF51823"/>
    <w:rsid w:val="1CF54CD3"/>
    <w:rsid w:val="1D0567E3"/>
    <w:rsid w:val="1D17AC97"/>
    <w:rsid w:val="1D1C7416"/>
    <w:rsid w:val="1D1F8E4E"/>
    <w:rsid w:val="1D21DBD3"/>
    <w:rsid w:val="1D254084"/>
    <w:rsid w:val="1D279EE1"/>
    <w:rsid w:val="1D2BA621"/>
    <w:rsid w:val="1D323F23"/>
    <w:rsid w:val="1D3D1A2A"/>
    <w:rsid w:val="1D4425A1"/>
    <w:rsid w:val="1D4934C7"/>
    <w:rsid w:val="1D533ABB"/>
    <w:rsid w:val="1D55D3F9"/>
    <w:rsid w:val="1D5709BD"/>
    <w:rsid w:val="1D6FF92F"/>
    <w:rsid w:val="1D7341B7"/>
    <w:rsid w:val="1D7F0E31"/>
    <w:rsid w:val="1D836168"/>
    <w:rsid w:val="1DA24DE8"/>
    <w:rsid w:val="1DA430BB"/>
    <w:rsid w:val="1DA88762"/>
    <w:rsid w:val="1DADADBE"/>
    <w:rsid w:val="1DAE15AD"/>
    <w:rsid w:val="1DB00C09"/>
    <w:rsid w:val="1DB0A829"/>
    <w:rsid w:val="1DB24F98"/>
    <w:rsid w:val="1DB51657"/>
    <w:rsid w:val="1DB5D594"/>
    <w:rsid w:val="1DB9219A"/>
    <w:rsid w:val="1DBED3D0"/>
    <w:rsid w:val="1DBFD965"/>
    <w:rsid w:val="1DBFE2AA"/>
    <w:rsid w:val="1DCC28AA"/>
    <w:rsid w:val="1DD45BA3"/>
    <w:rsid w:val="1DD49209"/>
    <w:rsid w:val="1DE2A8B5"/>
    <w:rsid w:val="1DE8D865"/>
    <w:rsid w:val="1DFAC322"/>
    <w:rsid w:val="1DFBD3D1"/>
    <w:rsid w:val="1DFDEBAF"/>
    <w:rsid w:val="1DFF9EAD"/>
    <w:rsid w:val="1E02DC8D"/>
    <w:rsid w:val="1E0D48F2"/>
    <w:rsid w:val="1E1DC9B0"/>
    <w:rsid w:val="1E1E8C51"/>
    <w:rsid w:val="1E21F6EB"/>
    <w:rsid w:val="1E25457C"/>
    <w:rsid w:val="1E2D7B76"/>
    <w:rsid w:val="1E38BF5D"/>
    <w:rsid w:val="1E3A1A5C"/>
    <w:rsid w:val="1E3BC265"/>
    <w:rsid w:val="1E3CD90A"/>
    <w:rsid w:val="1E465C15"/>
    <w:rsid w:val="1E4A98A1"/>
    <w:rsid w:val="1E4B2BF8"/>
    <w:rsid w:val="1E589031"/>
    <w:rsid w:val="1E5D6E03"/>
    <w:rsid w:val="1E64CA3C"/>
    <w:rsid w:val="1E6601EF"/>
    <w:rsid w:val="1E668237"/>
    <w:rsid w:val="1E6AD1FC"/>
    <w:rsid w:val="1E777BBA"/>
    <w:rsid w:val="1E797751"/>
    <w:rsid w:val="1E827D31"/>
    <w:rsid w:val="1E83663E"/>
    <w:rsid w:val="1E83AF45"/>
    <w:rsid w:val="1E8761AF"/>
    <w:rsid w:val="1E95283B"/>
    <w:rsid w:val="1E9D54D9"/>
    <w:rsid w:val="1EA2AFBC"/>
    <w:rsid w:val="1EB20C70"/>
    <w:rsid w:val="1EBAE8CC"/>
    <w:rsid w:val="1EC9C3DA"/>
    <w:rsid w:val="1ED913FA"/>
    <w:rsid w:val="1EE20416"/>
    <w:rsid w:val="1EE2713E"/>
    <w:rsid w:val="1EE5DA32"/>
    <w:rsid w:val="1EEB7ECA"/>
    <w:rsid w:val="1EF2E7E5"/>
    <w:rsid w:val="1EF8A4C9"/>
    <w:rsid w:val="1EF8EB8E"/>
    <w:rsid w:val="1F10A1D1"/>
    <w:rsid w:val="1F154804"/>
    <w:rsid w:val="1F186E2B"/>
    <w:rsid w:val="1F25FFA1"/>
    <w:rsid w:val="1F2FC5E5"/>
    <w:rsid w:val="1F2FFBB0"/>
    <w:rsid w:val="1F37483D"/>
    <w:rsid w:val="1F3E105A"/>
    <w:rsid w:val="1F4A7C8D"/>
    <w:rsid w:val="1F4B959C"/>
    <w:rsid w:val="1F53DD31"/>
    <w:rsid w:val="1F59AF6C"/>
    <w:rsid w:val="1F6B04CD"/>
    <w:rsid w:val="1F6C3C50"/>
    <w:rsid w:val="1F7712C9"/>
    <w:rsid w:val="1F83B61D"/>
    <w:rsid w:val="1F87B025"/>
    <w:rsid w:val="1F8B4C14"/>
    <w:rsid w:val="1F8FB849"/>
    <w:rsid w:val="1F9188AA"/>
    <w:rsid w:val="1F94029E"/>
    <w:rsid w:val="1FA1941E"/>
    <w:rsid w:val="1FA35D70"/>
    <w:rsid w:val="1FABBFE1"/>
    <w:rsid w:val="1FBC28EB"/>
    <w:rsid w:val="1FBC2ECD"/>
    <w:rsid w:val="1FBCDA84"/>
    <w:rsid w:val="1FC3566F"/>
    <w:rsid w:val="1FCB877D"/>
    <w:rsid w:val="1FCC6B0F"/>
    <w:rsid w:val="1FCCB1C0"/>
    <w:rsid w:val="1FCCD1C8"/>
    <w:rsid w:val="1FD2527B"/>
    <w:rsid w:val="1FDAA5A1"/>
    <w:rsid w:val="1FE1C318"/>
    <w:rsid w:val="1FEE4969"/>
    <w:rsid w:val="1FF7001F"/>
    <w:rsid w:val="2001BA3C"/>
    <w:rsid w:val="200481BB"/>
    <w:rsid w:val="200A692A"/>
    <w:rsid w:val="200B4225"/>
    <w:rsid w:val="200D1B41"/>
    <w:rsid w:val="200D96A6"/>
    <w:rsid w:val="200D9A65"/>
    <w:rsid w:val="2017CF38"/>
    <w:rsid w:val="2029CA79"/>
    <w:rsid w:val="202A1780"/>
    <w:rsid w:val="202BAD66"/>
    <w:rsid w:val="202FF203"/>
    <w:rsid w:val="20300E50"/>
    <w:rsid w:val="203F9F5D"/>
    <w:rsid w:val="20407901"/>
    <w:rsid w:val="20486FB5"/>
    <w:rsid w:val="205C9241"/>
    <w:rsid w:val="2061CB69"/>
    <w:rsid w:val="2065F51C"/>
    <w:rsid w:val="20660A85"/>
    <w:rsid w:val="207118DF"/>
    <w:rsid w:val="2071E06E"/>
    <w:rsid w:val="2071FB89"/>
    <w:rsid w:val="2074A2AB"/>
    <w:rsid w:val="207BC663"/>
    <w:rsid w:val="2080289A"/>
    <w:rsid w:val="20938227"/>
    <w:rsid w:val="2094FD78"/>
    <w:rsid w:val="2095620E"/>
    <w:rsid w:val="20963768"/>
    <w:rsid w:val="209CCDE2"/>
    <w:rsid w:val="20A2BD48"/>
    <w:rsid w:val="20AB86E3"/>
    <w:rsid w:val="20AD2F93"/>
    <w:rsid w:val="20ADCEF0"/>
    <w:rsid w:val="20B2705D"/>
    <w:rsid w:val="20B62CC1"/>
    <w:rsid w:val="20B7F4FB"/>
    <w:rsid w:val="20C11934"/>
    <w:rsid w:val="20C79222"/>
    <w:rsid w:val="20CDE31B"/>
    <w:rsid w:val="20D0DC86"/>
    <w:rsid w:val="20D35F51"/>
    <w:rsid w:val="20D41225"/>
    <w:rsid w:val="20D8E44E"/>
    <w:rsid w:val="20DCDC00"/>
    <w:rsid w:val="20DDC63D"/>
    <w:rsid w:val="20E068C7"/>
    <w:rsid w:val="20E668AB"/>
    <w:rsid w:val="20E765FD"/>
    <w:rsid w:val="20F09BDE"/>
    <w:rsid w:val="20F3A1B9"/>
    <w:rsid w:val="210532B4"/>
    <w:rsid w:val="210750CD"/>
    <w:rsid w:val="210EAB4F"/>
    <w:rsid w:val="21140D40"/>
    <w:rsid w:val="211E07A7"/>
    <w:rsid w:val="2123AB48"/>
    <w:rsid w:val="2128974D"/>
    <w:rsid w:val="212D590B"/>
    <w:rsid w:val="212F0A9A"/>
    <w:rsid w:val="21312310"/>
    <w:rsid w:val="21367839"/>
    <w:rsid w:val="213A5F6F"/>
    <w:rsid w:val="213A8518"/>
    <w:rsid w:val="214B671E"/>
    <w:rsid w:val="2154FFF3"/>
    <w:rsid w:val="215FE95A"/>
    <w:rsid w:val="2168DD9D"/>
    <w:rsid w:val="216B077D"/>
    <w:rsid w:val="21758B7F"/>
    <w:rsid w:val="21760097"/>
    <w:rsid w:val="21813E1E"/>
    <w:rsid w:val="21837408"/>
    <w:rsid w:val="218F0D0B"/>
    <w:rsid w:val="2190A9A6"/>
    <w:rsid w:val="21912B0C"/>
    <w:rsid w:val="21A6B569"/>
    <w:rsid w:val="21ADF81C"/>
    <w:rsid w:val="21AF61A8"/>
    <w:rsid w:val="21C4BD6B"/>
    <w:rsid w:val="21C65E5A"/>
    <w:rsid w:val="21CAA508"/>
    <w:rsid w:val="21CF65BC"/>
    <w:rsid w:val="21D1C505"/>
    <w:rsid w:val="21E1BC6E"/>
    <w:rsid w:val="21E1C3B5"/>
    <w:rsid w:val="21E85EDF"/>
    <w:rsid w:val="21E97AF1"/>
    <w:rsid w:val="21F0BCD2"/>
    <w:rsid w:val="21FB2C30"/>
    <w:rsid w:val="21FE9ADC"/>
    <w:rsid w:val="2204DF4D"/>
    <w:rsid w:val="220BE0BB"/>
    <w:rsid w:val="220FF342"/>
    <w:rsid w:val="221448C2"/>
    <w:rsid w:val="2217134E"/>
    <w:rsid w:val="22311A7E"/>
    <w:rsid w:val="223164A6"/>
    <w:rsid w:val="22394409"/>
    <w:rsid w:val="2239646D"/>
    <w:rsid w:val="223E1B18"/>
    <w:rsid w:val="22436D55"/>
    <w:rsid w:val="22499F51"/>
    <w:rsid w:val="22501DFF"/>
    <w:rsid w:val="226DC355"/>
    <w:rsid w:val="228411BA"/>
    <w:rsid w:val="22852930"/>
    <w:rsid w:val="228BECE9"/>
    <w:rsid w:val="228E65B9"/>
    <w:rsid w:val="22956678"/>
    <w:rsid w:val="2295E6D6"/>
    <w:rsid w:val="22A7750C"/>
    <w:rsid w:val="22B0B347"/>
    <w:rsid w:val="22B2D94C"/>
    <w:rsid w:val="22B4DED3"/>
    <w:rsid w:val="22B72DB1"/>
    <w:rsid w:val="22C73288"/>
    <w:rsid w:val="22C790D2"/>
    <w:rsid w:val="22E6A920"/>
    <w:rsid w:val="22F254F0"/>
    <w:rsid w:val="2309279F"/>
    <w:rsid w:val="231A3A81"/>
    <w:rsid w:val="23216EE3"/>
    <w:rsid w:val="2322B72C"/>
    <w:rsid w:val="23326E7C"/>
    <w:rsid w:val="23391772"/>
    <w:rsid w:val="233E70D9"/>
    <w:rsid w:val="2341487C"/>
    <w:rsid w:val="2341A502"/>
    <w:rsid w:val="234283EB"/>
    <w:rsid w:val="234B4DA0"/>
    <w:rsid w:val="234B92C5"/>
    <w:rsid w:val="235E17C2"/>
    <w:rsid w:val="235FCC9E"/>
    <w:rsid w:val="23635FFB"/>
    <w:rsid w:val="2374EFB8"/>
    <w:rsid w:val="237794BE"/>
    <w:rsid w:val="237A69F2"/>
    <w:rsid w:val="237F7788"/>
    <w:rsid w:val="238B6C1D"/>
    <w:rsid w:val="238E76C6"/>
    <w:rsid w:val="239AAB90"/>
    <w:rsid w:val="239BAE48"/>
    <w:rsid w:val="239E2B15"/>
    <w:rsid w:val="23A39CE0"/>
    <w:rsid w:val="23B559EE"/>
    <w:rsid w:val="23B67514"/>
    <w:rsid w:val="23BD9156"/>
    <w:rsid w:val="23D89E5E"/>
    <w:rsid w:val="23D9F657"/>
    <w:rsid w:val="23E56871"/>
    <w:rsid w:val="23EA2AFD"/>
    <w:rsid w:val="23EB8F86"/>
    <w:rsid w:val="23EE7EE0"/>
    <w:rsid w:val="23F6075E"/>
    <w:rsid w:val="23F71A94"/>
    <w:rsid w:val="240BB2E7"/>
    <w:rsid w:val="240CCACA"/>
    <w:rsid w:val="2410DAC3"/>
    <w:rsid w:val="24143372"/>
    <w:rsid w:val="241B239F"/>
    <w:rsid w:val="241B982F"/>
    <w:rsid w:val="241DBA7C"/>
    <w:rsid w:val="241F732E"/>
    <w:rsid w:val="241FE21B"/>
    <w:rsid w:val="24219258"/>
    <w:rsid w:val="24241DAB"/>
    <w:rsid w:val="2430BD7C"/>
    <w:rsid w:val="24326CA5"/>
    <w:rsid w:val="24342591"/>
    <w:rsid w:val="2441C33B"/>
    <w:rsid w:val="24492B5E"/>
    <w:rsid w:val="244A0535"/>
    <w:rsid w:val="244A6401"/>
    <w:rsid w:val="245AA317"/>
    <w:rsid w:val="245AEB98"/>
    <w:rsid w:val="245DB743"/>
    <w:rsid w:val="2462DB90"/>
    <w:rsid w:val="24809B75"/>
    <w:rsid w:val="248BA079"/>
    <w:rsid w:val="248F724D"/>
    <w:rsid w:val="24922D40"/>
    <w:rsid w:val="2495113E"/>
    <w:rsid w:val="249EDB27"/>
    <w:rsid w:val="24A55765"/>
    <w:rsid w:val="24AF23FA"/>
    <w:rsid w:val="24B1D327"/>
    <w:rsid w:val="24C0ABAE"/>
    <w:rsid w:val="24C29A7A"/>
    <w:rsid w:val="24C4C956"/>
    <w:rsid w:val="24C8A4B9"/>
    <w:rsid w:val="24C91693"/>
    <w:rsid w:val="24CA2086"/>
    <w:rsid w:val="24CF98CF"/>
    <w:rsid w:val="24D29080"/>
    <w:rsid w:val="24D6A0E0"/>
    <w:rsid w:val="24D9BB9D"/>
    <w:rsid w:val="24E3D370"/>
    <w:rsid w:val="24E71E01"/>
    <w:rsid w:val="24F22D94"/>
    <w:rsid w:val="250C3A86"/>
    <w:rsid w:val="250EA437"/>
    <w:rsid w:val="251A8F1B"/>
    <w:rsid w:val="2525964C"/>
    <w:rsid w:val="25277A8C"/>
    <w:rsid w:val="252CC527"/>
    <w:rsid w:val="252F84B4"/>
    <w:rsid w:val="25316EC8"/>
    <w:rsid w:val="2537BB22"/>
    <w:rsid w:val="253F59E1"/>
    <w:rsid w:val="25413F4C"/>
    <w:rsid w:val="25457BEF"/>
    <w:rsid w:val="2547B37A"/>
    <w:rsid w:val="2548557E"/>
    <w:rsid w:val="254E3944"/>
    <w:rsid w:val="25507423"/>
    <w:rsid w:val="2553BA80"/>
    <w:rsid w:val="25592CD9"/>
    <w:rsid w:val="2559A39E"/>
    <w:rsid w:val="2559BCB1"/>
    <w:rsid w:val="255AC1A6"/>
    <w:rsid w:val="255C23B8"/>
    <w:rsid w:val="256FD3D3"/>
    <w:rsid w:val="257BEDD6"/>
    <w:rsid w:val="25862826"/>
    <w:rsid w:val="258BB1B8"/>
    <w:rsid w:val="258F5F36"/>
    <w:rsid w:val="2590F6DD"/>
    <w:rsid w:val="2592B109"/>
    <w:rsid w:val="259FFB24"/>
    <w:rsid w:val="25A50BE0"/>
    <w:rsid w:val="25AE3D85"/>
    <w:rsid w:val="25B73502"/>
    <w:rsid w:val="25BA9238"/>
    <w:rsid w:val="25C87DBC"/>
    <w:rsid w:val="25C90E76"/>
    <w:rsid w:val="25CCB2D9"/>
    <w:rsid w:val="25CE5B70"/>
    <w:rsid w:val="25D1A96D"/>
    <w:rsid w:val="25D299C9"/>
    <w:rsid w:val="25D7BFB0"/>
    <w:rsid w:val="25D8A6C0"/>
    <w:rsid w:val="25DB56B7"/>
    <w:rsid w:val="25E67380"/>
    <w:rsid w:val="25EECE73"/>
    <w:rsid w:val="25F1BEA1"/>
    <w:rsid w:val="25F26563"/>
    <w:rsid w:val="25F38164"/>
    <w:rsid w:val="25F826F5"/>
    <w:rsid w:val="26016F25"/>
    <w:rsid w:val="261E39C8"/>
    <w:rsid w:val="26436EEF"/>
    <w:rsid w:val="2644109D"/>
    <w:rsid w:val="2646479D"/>
    <w:rsid w:val="264A9F4D"/>
    <w:rsid w:val="264F0583"/>
    <w:rsid w:val="2654E387"/>
    <w:rsid w:val="26568279"/>
    <w:rsid w:val="266099B7"/>
    <w:rsid w:val="26612F2B"/>
    <w:rsid w:val="26689FA1"/>
    <w:rsid w:val="266F884D"/>
    <w:rsid w:val="269E0E6A"/>
    <w:rsid w:val="26B439C3"/>
    <w:rsid w:val="26C0577F"/>
    <w:rsid w:val="26E06EC7"/>
    <w:rsid w:val="26E24460"/>
    <w:rsid w:val="26E7B0F9"/>
    <w:rsid w:val="26EA4698"/>
    <w:rsid w:val="26F1E626"/>
    <w:rsid w:val="26FB2721"/>
    <w:rsid w:val="26FF39D4"/>
    <w:rsid w:val="270CE9E9"/>
    <w:rsid w:val="270D47E5"/>
    <w:rsid w:val="270D4C0E"/>
    <w:rsid w:val="270EE373"/>
    <w:rsid w:val="270F2E5B"/>
    <w:rsid w:val="271D1074"/>
    <w:rsid w:val="271E3FA4"/>
    <w:rsid w:val="271FD715"/>
    <w:rsid w:val="2721D39A"/>
    <w:rsid w:val="2727F6A8"/>
    <w:rsid w:val="27286FD3"/>
    <w:rsid w:val="272C8C2D"/>
    <w:rsid w:val="2734797F"/>
    <w:rsid w:val="27351ED2"/>
    <w:rsid w:val="27383AF1"/>
    <w:rsid w:val="273C8C6A"/>
    <w:rsid w:val="274086E6"/>
    <w:rsid w:val="274107D7"/>
    <w:rsid w:val="2744BFD8"/>
    <w:rsid w:val="27486F73"/>
    <w:rsid w:val="274F16EA"/>
    <w:rsid w:val="274F9CCD"/>
    <w:rsid w:val="27558B5E"/>
    <w:rsid w:val="2757FB86"/>
    <w:rsid w:val="2759D91D"/>
    <w:rsid w:val="276389EA"/>
    <w:rsid w:val="276EAA3A"/>
    <w:rsid w:val="2773C9C4"/>
    <w:rsid w:val="2779DDC2"/>
    <w:rsid w:val="2779E77D"/>
    <w:rsid w:val="27887CE8"/>
    <w:rsid w:val="279427AE"/>
    <w:rsid w:val="27B2B7BC"/>
    <w:rsid w:val="27B9A956"/>
    <w:rsid w:val="27B9BEB2"/>
    <w:rsid w:val="27BBD0FE"/>
    <w:rsid w:val="27C08A15"/>
    <w:rsid w:val="27C86145"/>
    <w:rsid w:val="27CDD7C4"/>
    <w:rsid w:val="27D248D3"/>
    <w:rsid w:val="27D953DD"/>
    <w:rsid w:val="27D97931"/>
    <w:rsid w:val="27DB88A3"/>
    <w:rsid w:val="27E32515"/>
    <w:rsid w:val="27E3AEDF"/>
    <w:rsid w:val="27E3E07E"/>
    <w:rsid w:val="27F3C236"/>
    <w:rsid w:val="27F727A9"/>
    <w:rsid w:val="27F7C066"/>
    <w:rsid w:val="27FAC8F6"/>
    <w:rsid w:val="27FEF884"/>
    <w:rsid w:val="2807F6C2"/>
    <w:rsid w:val="28080DEF"/>
    <w:rsid w:val="280EC092"/>
    <w:rsid w:val="2814AEF8"/>
    <w:rsid w:val="2815F6ED"/>
    <w:rsid w:val="281D1E4A"/>
    <w:rsid w:val="2836C8B9"/>
    <w:rsid w:val="283FC186"/>
    <w:rsid w:val="284F3553"/>
    <w:rsid w:val="284F7239"/>
    <w:rsid w:val="2851F8D3"/>
    <w:rsid w:val="285825FB"/>
    <w:rsid w:val="285C4118"/>
    <w:rsid w:val="285E0C7E"/>
    <w:rsid w:val="28628702"/>
    <w:rsid w:val="2865F38E"/>
    <w:rsid w:val="286892E0"/>
    <w:rsid w:val="28690F8A"/>
    <w:rsid w:val="286DAC6B"/>
    <w:rsid w:val="28750E33"/>
    <w:rsid w:val="2877CABA"/>
    <w:rsid w:val="287978BD"/>
    <w:rsid w:val="28798254"/>
    <w:rsid w:val="28813BB3"/>
    <w:rsid w:val="2881D694"/>
    <w:rsid w:val="288407FB"/>
    <w:rsid w:val="28910279"/>
    <w:rsid w:val="28922CD7"/>
    <w:rsid w:val="2892CC5E"/>
    <w:rsid w:val="289408A4"/>
    <w:rsid w:val="2897B9F7"/>
    <w:rsid w:val="28A2D280"/>
    <w:rsid w:val="28A5AF5D"/>
    <w:rsid w:val="28A7526B"/>
    <w:rsid w:val="28AB79FC"/>
    <w:rsid w:val="28AEF033"/>
    <w:rsid w:val="28B03B22"/>
    <w:rsid w:val="28B7F009"/>
    <w:rsid w:val="28B9D924"/>
    <w:rsid w:val="28BF00A9"/>
    <w:rsid w:val="28C807D4"/>
    <w:rsid w:val="28CE5793"/>
    <w:rsid w:val="28D8AE98"/>
    <w:rsid w:val="28E9238E"/>
    <w:rsid w:val="29018677"/>
    <w:rsid w:val="29059F18"/>
    <w:rsid w:val="290A698D"/>
    <w:rsid w:val="290D1022"/>
    <w:rsid w:val="29110C3E"/>
    <w:rsid w:val="2919D68B"/>
    <w:rsid w:val="292B29FA"/>
    <w:rsid w:val="2932A521"/>
    <w:rsid w:val="2936F3BE"/>
    <w:rsid w:val="293E84EA"/>
    <w:rsid w:val="294A3FB6"/>
    <w:rsid w:val="294FF8A9"/>
    <w:rsid w:val="295600A0"/>
    <w:rsid w:val="295E5477"/>
    <w:rsid w:val="29608DA7"/>
    <w:rsid w:val="29641586"/>
    <w:rsid w:val="29680327"/>
    <w:rsid w:val="29690CE9"/>
    <w:rsid w:val="296AF1F6"/>
    <w:rsid w:val="296F0151"/>
    <w:rsid w:val="29764703"/>
    <w:rsid w:val="297C3E54"/>
    <w:rsid w:val="298CFCD6"/>
    <w:rsid w:val="298E50A1"/>
    <w:rsid w:val="298E5C97"/>
    <w:rsid w:val="299CB402"/>
    <w:rsid w:val="299E222D"/>
    <w:rsid w:val="299F1255"/>
    <w:rsid w:val="29A72790"/>
    <w:rsid w:val="29A7CEB5"/>
    <w:rsid w:val="29ADA2D5"/>
    <w:rsid w:val="29AED1E5"/>
    <w:rsid w:val="29B9D3A5"/>
    <w:rsid w:val="29C4F405"/>
    <w:rsid w:val="29CA5EB1"/>
    <w:rsid w:val="29D0ED4D"/>
    <w:rsid w:val="29D9668E"/>
    <w:rsid w:val="29F5496A"/>
    <w:rsid w:val="2A040AD6"/>
    <w:rsid w:val="2A04EE6E"/>
    <w:rsid w:val="2A06816D"/>
    <w:rsid w:val="2A068686"/>
    <w:rsid w:val="2A08F751"/>
    <w:rsid w:val="2A0DB883"/>
    <w:rsid w:val="2A0FA112"/>
    <w:rsid w:val="2A19DA2C"/>
    <w:rsid w:val="2A2C3447"/>
    <w:rsid w:val="2A3D49CE"/>
    <w:rsid w:val="2A3D8701"/>
    <w:rsid w:val="2A4344F6"/>
    <w:rsid w:val="2A47531F"/>
    <w:rsid w:val="2A485FDB"/>
    <w:rsid w:val="2A4A3846"/>
    <w:rsid w:val="2A4EAC6A"/>
    <w:rsid w:val="2A4F5957"/>
    <w:rsid w:val="2A51624D"/>
    <w:rsid w:val="2A5A4BDA"/>
    <w:rsid w:val="2A5FA3B9"/>
    <w:rsid w:val="2A643FBD"/>
    <w:rsid w:val="2A6507FE"/>
    <w:rsid w:val="2A79E6DD"/>
    <w:rsid w:val="2A7A6A13"/>
    <w:rsid w:val="2A7E2C6C"/>
    <w:rsid w:val="2A8175B4"/>
    <w:rsid w:val="2A8B5847"/>
    <w:rsid w:val="2A954A0E"/>
    <w:rsid w:val="2A978130"/>
    <w:rsid w:val="2AABAC62"/>
    <w:rsid w:val="2AAE56F7"/>
    <w:rsid w:val="2AB6D084"/>
    <w:rsid w:val="2AC1D03B"/>
    <w:rsid w:val="2ADE4EC0"/>
    <w:rsid w:val="2AE2E823"/>
    <w:rsid w:val="2AEC21C0"/>
    <w:rsid w:val="2AECF460"/>
    <w:rsid w:val="2AF4FA4A"/>
    <w:rsid w:val="2AF58B84"/>
    <w:rsid w:val="2AF7B494"/>
    <w:rsid w:val="2B063AC6"/>
    <w:rsid w:val="2B1869D9"/>
    <w:rsid w:val="2B2115AB"/>
    <w:rsid w:val="2B25E17F"/>
    <w:rsid w:val="2B299D3B"/>
    <w:rsid w:val="2B445D19"/>
    <w:rsid w:val="2B45AEEE"/>
    <w:rsid w:val="2B460A22"/>
    <w:rsid w:val="2B50152A"/>
    <w:rsid w:val="2B584C30"/>
    <w:rsid w:val="2B591DC0"/>
    <w:rsid w:val="2B6A706B"/>
    <w:rsid w:val="2B75416A"/>
    <w:rsid w:val="2B7ADC15"/>
    <w:rsid w:val="2B7E2D09"/>
    <w:rsid w:val="2B899955"/>
    <w:rsid w:val="2B8A6D6D"/>
    <w:rsid w:val="2B9353FC"/>
    <w:rsid w:val="2B994B27"/>
    <w:rsid w:val="2B9A65E3"/>
    <w:rsid w:val="2BA35F01"/>
    <w:rsid w:val="2BB3EB17"/>
    <w:rsid w:val="2BB49E13"/>
    <w:rsid w:val="2BC1B558"/>
    <w:rsid w:val="2BCA58A1"/>
    <w:rsid w:val="2BCB08D8"/>
    <w:rsid w:val="2BE67652"/>
    <w:rsid w:val="2BF650F3"/>
    <w:rsid w:val="2C02F0C8"/>
    <w:rsid w:val="2C085BB7"/>
    <w:rsid w:val="2C0874EA"/>
    <w:rsid w:val="2C0EC32E"/>
    <w:rsid w:val="2C16A05D"/>
    <w:rsid w:val="2C181ABA"/>
    <w:rsid w:val="2C185AD3"/>
    <w:rsid w:val="2C21C35D"/>
    <w:rsid w:val="2C2462BF"/>
    <w:rsid w:val="2C27527A"/>
    <w:rsid w:val="2C279EDF"/>
    <w:rsid w:val="2C28D4C2"/>
    <w:rsid w:val="2C28DAFF"/>
    <w:rsid w:val="2C35CB14"/>
    <w:rsid w:val="2C41692A"/>
    <w:rsid w:val="2C44E562"/>
    <w:rsid w:val="2C62FE18"/>
    <w:rsid w:val="2C673CAE"/>
    <w:rsid w:val="2C6F913D"/>
    <w:rsid w:val="2C7A5C98"/>
    <w:rsid w:val="2C7C13A5"/>
    <w:rsid w:val="2C7DF285"/>
    <w:rsid w:val="2C802DB5"/>
    <w:rsid w:val="2C858D1A"/>
    <w:rsid w:val="2C905600"/>
    <w:rsid w:val="2C9267A1"/>
    <w:rsid w:val="2C9A40D9"/>
    <w:rsid w:val="2C9DCA1E"/>
    <w:rsid w:val="2CA117D7"/>
    <w:rsid w:val="2CA93195"/>
    <w:rsid w:val="2CAE04A7"/>
    <w:rsid w:val="2CB1C267"/>
    <w:rsid w:val="2CB248AD"/>
    <w:rsid w:val="2CB41D7C"/>
    <w:rsid w:val="2CB439B9"/>
    <w:rsid w:val="2CB59AB6"/>
    <w:rsid w:val="2CB6B2DE"/>
    <w:rsid w:val="2CBF6DDE"/>
    <w:rsid w:val="2CC2BBCF"/>
    <w:rsid w:val="2CD2E678"/>
    <w:rsid w:val="2CD3AECF"/>
    <w:rsid w:val="2CD79A6A"/>
    <w:rsid w:val="2CDCF0C1"/>
    <w:rsid w:val="2CDD1481"/>
    <w:rsid w:val="2CDE128E"/>
    <w:rsid w:val="2CDF9867"/>
    <w:rsid w:val="2CE2983A"/>
    <w:rsid w:val="2CE4448A"/>
    <w:rsid w:val="2CE808A8"/>
    <w:rsid w:val="2CE855EB"/>
    <w:rsid w:val="2CF49EED"/>
    <w:rsid w:val="2CF4C9EC"/>
    <w:rsid w:val="2CF88533"/>
    <w:rsid w:val="2CFEF0B4"/>
    <w:rsid w:val="2D0C14F8"/>
    <w:rsid w:val="2D1433F4"/>
    <w:rsid w:val="2D144EA7"/>
    <w:rsid w:val="2D159D0B"/>
    <w:rsid w:val="2D19328F"/>
    <w:rsid w:val="2D19AB6B"/>
    <w:rsid w:val="2D242551"/>
    <w:rsid w:val="2D25D0AF"/>
    <w:rsid w:val="2D29B878"/>
    <w:rsid w:val="2D2A360C"/>
    <w:rsid w:val="2D2DF7BF"/>
    <w:rsid w:val="2D2E761D"/>
    <w:rsid w:val="2D37AB51"/>
    <w:rsid w:val="2D42689F"/>
    <w:rsid w:val="2D43AE81"/>
    <w:rsid w:val="2D476507"/>
    <w:rsid w:val="2D497B4A"/>
    <w:rsid w:val="2D59066A"/>
    <w:rsid w:val="2D6C0E0D"/>
    <w:rsid w:val="2D6CA067"/>
    <w:rsid w:val="2D6CDEC6"/>
    <w:rsid w:val="2D753093"/>
    <w:rsid w:val="2D7D3057"/>
    <w:rsid w:val="2D7DB335"/>
    <w:rsid w:val="2D7EE909"/>
    <w:rsid w:val="2D7EECE1"/>
    <w:rsid w:val="2D817044"/>
    <w:rsid w:val="2D837923"/>
    <w:rsid w:val="2D85D60A"/>
    <w:rsid w:val="2D887CA8"/>
    <w:rsid w:val="2D8BDABA"/>
    <w:rsid w:val="2D8E9EA4"/>
    <w:rsid w:val="2D93C421"/>
    <w:rsid w:val="2D98801D"/>
    <w:rsid w:val="2D9CC2CD"/>
    <w:rsid w:val="2DA50D31"/>
    <w:rsid w:val="2DB073B0"/>
    <w:rsid w:val="2DB775F4"/>
    <w:rsid w:val="2DB8511E"/>
    <w:rsid w:val="2DCAD1C0"/>
    <w:rsid w:val="2DCCAC84"/>
    <w:rsid w:val="2DD44BE5"/>
    <w:rsid w:val="2DD6A2B7"/>
    <w:rsid w:val="2DE72B07"/>
    <w:rsid w:val="2DE7CAC2"/>
    <w:rsid w:val="2DE8CB53"/>
    <w:rsid w:val="2DEC127D"/>
    <w:rsid w:val="2DEEE577"/>
    <w:rsid w:val="2DF7471C"/>
    <w:rsid w:val="2DFF42ED"/>
    <w:rsid w:val="2E01FBF5"/>
    <w:rsid w:val="2E0686C0"/>
    <w:rsid w:val="2E175185"/>
    <w:rsid w:val="2E188F6E"/>
    <w:rsid w:val="2E1A0DD1"/>
    <w:rsid w:val="2E2469CB"/>
    <w:rsid w:val="2E251E35"/>
    <w:rsid w:val="2E2BDA6A"/>
    <w:rsid w:val="2E310824"/>
    <w:rsid w:val="2E31C59E"/>
    <w:rsid w:val="2E3384DF"/>
    <w:rsid w:val="2E3886FC"/>
    <w:rsid w:val="2E38B11C"/>
    <w:rsid w:val="2E3D5417"/>
    <w:rsid w:val="2E3F37A1"/>
    <w:rsid w:val="2E414326"/>
    <w:rsid w:val="2E548783"/>
    <w:rsid w:val="2E553940"/>
    <w:rsid w:val="2E5E88F2"/>
    <w:rsid w:val="2E608D7D"/>
    <w:rsid w:val="2E624EED"/>
    <w:rsid w:val="2E64AA60"/>
    <w:rsid w:val="2E6CE942"/>
    <w:rsid w:val="2E6D4024"/>
    <w:rsid w:val="2E802050"/>
    <w:rsid w:val="2E95F41F"/>
    <w:rsid w:val="2E987D05"/>
    <w:rsid w:val="2E9920B9"/>
    <w:rsid w:val="2E9C7DB2"/>
    <w:rsid w:val="2E9E8066"/>
    <w:rsid w:val="2EAA5F05"/>
    <w:rsid w:val="2EAB62BB"/>
    <w:rsid w:val="2EAF9230"/>
    <w:rsid w:val="2EB70E87"/>
    <w:rsid w:val="2ECFA492"/>
    <w:rsid w:val="2ED72E79"/>
    <w:rsid w:val="2EDB4FCD"/>
    <w:rsid w:val="2EDE1B23"/>
    <w:rsid w:val="2EF6317F"/>
    <w:rsid w:val="2EFE0752"/>
    <w:rsid w:val="2EFF4C7B"/>
    <w:rsid w:val="2F0A145B"/>
    <w:rsid w:val="2F10A776"/>
    <w:rsid w:val="2F10EF29"/>
    <w:rsid w:val="2F10FB32"/>
    <w:rsid w:val="2F13B6D6"/>
    <w:rsid w:val="2F1491EC"/>
    <w:rsid w:val="2F221D8D"/>
    <w:rsid w:val="2F2368E6"/>
    <w:rsid w:val="2F2796AD"/>
    <w:rsid w:val="2F292AA4"/>
    <w:rsid w:val="2F32CAA7"/>
    <w:rsid w:val="2F3A55DF"/>
    <w:rsid w:val="2F3D5887"/>
    <w:rsid w:val="2F404028"/>
    <w:rsid w:val="2F4059FE"/>
    <w:rsid w:val="2F4D5800"/>
    <w:rsid w:val="2F4FBB7C"/>
    <w:rsid w:val="2F4FE659"/>
    <w:rsid w:val="2F5E8383"/>
    <w:rsid w:val="2F6D1988"/>
    <w:rsid w:val="2F706EF9"/>
    <w:rsid w:val="2F725E2E"/>
    <w:rsid w:val="2F76B204"/>
    <w:rsid w:val="2F85A73B"/>
    <w:rsid w:val="2F8F55AA"/>
    <w:rsid w:val="2F958343"/>
    <w:rsid w:val="2F959F33"/>
    <w:rsid w:val="2F9EC33D"/>
    <w:rsid w:val="2FADBA86"/>
    <w:rsid w:val="2FB59EDE"/>
    <w:rsid w:val="2FB6E636"/>
    <w:rsid w:val="2FC5D50F"/>
    <w:rsid w:val="2FCF5702"/>
    <w:rsid w:val="2FD05477"/>
    <w:rsid w:val="2FD37857"/>
    <w:rsid w:val="2FE71E9E"/>
    <w:rsid w:val="2FFD502C"/>
    <w:rsid w:val="30005043"/>
    <w:rsid w:val="3002D24B"/>
    <w:rsid w:val="3003CF3B"/>
    <w:rsid w:val="300AF037"/>
    <w:rsid w:val="300DBB68"/>
    <w:rsid w:val="301BD326"/>
    <w:rsid w:val="301F111C"/>
    <w:rsid w:val="30322C7A"/>
    <w:rsid w:val="303B32D0"/>
    <w:rsid w:val="303B90E9"/>
    <w:rsid w:val="304E0FF9"/>
    <w:rsid w:val="3059BF36"/>
    <w:rsid w:val="3061F84E"/>
    <w:rsid w:val="30640C10"/>
    <w:rsid w:val="30771BFB"/>
    <w:rsid w:val="3077E98C"/>
    <w:rsid w:val="3078ED55"/>
    <w:rsid w:val="307CC1AB"/>
    <w:rsid w:val="30809C5A"/>
    <w:rsid w:val="3080D5FD"/>
    <w:rsid w:val="30846324"/>
    <w:rsid w:val="30849906"/>
    <w:rsid w:val="30962310"/>
    <w:rsid w:val="309DFE03"/>
    <w:rsid w:val="30B21902"/>
    <w:rsid w:val="30B572E1"/>
    <w:rsid w:val="30B69DFA"/>
    <w:rsid w:val="30BF44AD"/>
    <w:rsid w:val="30D4D168"/>
    <w:rsid w:val="30D6F3F9"/>
    <w:rsid w:val="30E1D905"/>
    <w:rsid w:val="30ECE5D4"/>
    <w:rsid w:val="30EE1C59"/>
    <w:rsid w:val="30F9226A"/>
    <w:rsid w:val="30FB1550"/>
    <w:rsid w:val="3105AF5E"/>
    <w:rsid w:val="31071153"/>
    <w:rsid w:val="310A5993"/>
    <w:rsid w:val="310D4752"/>
    <w:rsid w:val="31189D68"/>
    <w:rsid w:val="31194299"/>
    <w:rsid w:val="31235480"/>
    <w:rsid w:val="3124C7E7"/>
    <w:rsid w:val="312B91E2"/>
    <w:rsid w:val="312D1EFB"/>
    <w:rsid w:val="3136F740"/>
    <w:rsid w:val="313B9F30"/>
    <w:rsid w:val="3144A369"/>
    <w:rsid w:val="314717A1"/>
    <w:rsid w:val="314A4822"/>
    <w:rsid w:val="314F7AC8"/>
    <w:rsid w:val="315FBB15"/>
    <w:rsid w:val="31674EE9"/>
    <w:rsid w:val="316C46BC"/>
    <w:rsid w:val="3184F8DD"/>
    <w:rsid w:val="31865DA1"/>
    <w:rsid w:val="318E5EB2"/>
    <w:rsid w:val="3192660D"/>
    <w:rsid w:val="3198DE30"/>
    <w:rsid w:val="319A14C3"/>
    <w:rsid w:val="319AA318"/>
    <w:rsid w:val="319D9BB8"/>
    <w:rsid w:val="31A20CFE"/>
    <w:rsid w:val="31B6095D"/>
    <w:rsid w:val="31B6A6C7"/>
    <w:rsid w:val="31B9DA95"/>
    <w:rsid w:val="31BE8D5F"/>
    <w:rsid w:val="31C95C84"/>
    <w:rsid w:val="31CCB110"/>
    <w:rsid w:val="31D4FDE7"/>
    <w:rsid w:val="31D9E0A0"/>
    <w:rsid w:val="31E1047F"/>
    <w:rsid w:val="31E2DCD4"/>
    <w:rsid w:val="31E9226A"/>
    <w:rsid w:val="31ED273F"/>
    <w:rsid w:val="31F4C7A8"/>
    <w:rsid w:val="31F6ABB1"/>
    <w:rsid w:val="31F74181"/>
    <w:rsid w:val="31F8BCD6"/>
    <w:rsid w:val="31F9DB04"/>
    <w:rsid w:val="31FFFE6E"/>
    <w:rsid w:val="3203E9B4"/>
    <w:rsid w:val="320B560C"/>
    <w:rsid w:val="320DB029"/>
    <w:rsid w:val="32102824"/>
    <w:rsid w:val="3210A519"/>
    <w:rsid w:val="3212C6BC"/>
    <w:rsid w:val="321B63A4"/>
    <w:rsid w:val="3224DD48"/>
    <w:rsid w:val="32272272"/>
    <w:rsid w:val="3227646B"/>
    <w:rsid w:val="322F4B2A"/>
    <w:rsid w:val="3231A08B"/>
    <w:rsid w:val="323877D9"/>
    <w:rsid w:val="323F4A90"/>
    <w:rsid w:val="32488FEB"/>
    <w:rsid w:val="3248FD23"/>
    <w:rsid w:val="324E2ED1"/>
    <w:rsid w:val="324E56DB"/>
    <w:rsid w:val="3250C175"/>
    <w:rsid w:val="32528EEC"/>
    <w:rsid w:val="325A768F"/>
    <w:rsid w:val="326765F3"/>
    <w:rsid w:val="3268DE99"/>
    <w:rsid w:val="3268E878"/>
    <w:rsid w:val="326D9E6F"/>
    <w:rsid w:val="327D771B"/>
    <w:rsid w:val="3280B49F"/>
    <w:rsid w:val="32962445"/>
    <w:rsid w:val="329D01C9"/>
    <w:rsid w:val="329E0232"/>
    <w:rsid w:val="329E75DB"/>
    <w:rsid w:val="32A3D347"/>
    <w:rsid w:val="32AAA812"/>
    <w:rsid w:val="32BFD699"/>
    <w:rsid w:val="32CA62BD"/>
    <w:rsid w:val="32D280DA"/>
    <w:rsid w:val="32D5B3FB"/>
    <w:rsid w:val="32DB95DD"/>
    <w:rsid w:val="32E11751"/>
    <w:rsid w:val="32E99E1C"/>
    <w:rsid w:val="32EC4CAF"/>
    <w:rsid w:val="32EED0EB"/>
    <w:rsid w:val="32F990BE"/>
    <w:rsid w:val="3306DB9D"/>
    <w:rsid w:val="330BF81F"/>
    <w:rsid w:val="33147408"/>
    <w:rsid w:val="331B780D"/>
    <w:rsid w:val="3326B602"/>
    <w:rsid w:val="3343DFBE"/>
    <w:rsid w:val="33474872"/>
    <w:rsid w:val="335D0670"/>
    <w:rsid w:val="335E0D79"/>
    <w:rsid w:val="3363C752"/>
    <w:rsid w:val="3368872C"/>
    <w:rsid w:val="3368D2D7"/>
    <w:rsid w:val="336BA87E"/>
    <w:rsid w:val="336F6570"/>
    <w:rsid w:val="3379DAC5"/>
    <w:rsid w:val="337CF26C"/>
    <w:rsid w:val="33843AB5"/>
    <w:rsid w:val="33875D45"/>
    <w:rsid w:val="338AAA4E"/>
    <w:rsid w:val="338D9A06"/>
    <w:rsid w:val="338EE3DB"/>
    <w:rsid w:val="339B4050"/>
    <w:rsid w:val="33A4FECC"/>
    <w:rsid w:val="33A7266D"/>
    <w:rsid w:val="33B03AD3"/>
    <w:rsid w:val="33B8A3EF"/>
    <w:rsid w:val="33BA7F71"/>
    <w:rsid w:val="33BC7C10"/>
    <w:rsid w:val="33BE64AC"/>
    <w:rsid w:val="33BF8933"/>
    <w:rsid w:val="33BFCFEC"/>
    <w:rsid w:val="33C1AB5D"/>
    <w:rsid w:val="33CB53B5"/>
    <w:rsid w:val="33D329EE"/>
    <w:rsid w:val="33D368B4"/>
    <w:rsid w:val="33DA5F8D"/>
    <w:rsid w:val="33DEBC45"/>
    <w:rsid w:val="33F334B0"/>
    <w:rsid w:val="34048DD8"/>
    <w:rsid w:val="3407A0C6"/>
    <w:rsid w:val="3407EA87"/>
    <w:rsid w:val="34156F82"/>
    <w:rsid w:val="342BD953"/>
    <w:rsid w:val="3432CDD2"/>
    <w:rsid w:val="343360BE"/>
    <w:rsid w:val="343483E2"/>
    <w:rsid w:val="3434E63B"/>
    <w:rsid w:val="343C8603"/>
    <w:rsid w:val="343FA3A8"/>
    <w:rsid w:val="3446BB8F"/>
    <w:rsid w:val="344F37B2"/>
    <w:rsid w:val="345393E4"/>
    <w:rsid w:val="345C3218"/>
    <w:rsid w:val="345CE3EA"/>
    <w:rsid w:val="34645D61"/>
    <w:rsid w:val="34758F8C"/>
    <w:rsid w:val="3481778E"/>
    <w:rsid w:val="34979E88"/>
    <w:rsid w:val="349BE874"/>
    <w:rsid w:val="349F93AF"/>
    <w:rsid w:val="34AC3441"/>
    <w:rsid w:val="34ADC7EF"/>
    <w:rsid w:val="34B00EDA"/>
    <w:rsid w:val="34B3C7CB"/>
    <w:rsid w:val="34B5EDE0"/>
    <w:rsid w:val="34C0AA47"/>
    <w:rsid w:val="34D26A05"/>
    <w:rsid w:val="34D481C2"/>
    <w:rsid w:val="34D72222"/>
    <w:rsid w:val="34DFBC0C"/>
    <w:rsid w:val="34E6B6B4"/>
    <w:rsid w:val="34EBE14F"/>
    <w:rsid w:val="34F05729"/>
    <w:rsid w:val="34F5FBAD"/>
    <w:rsid w:val="34FFE2ED"/>
    <w:rsid w:val="35186C6E"/>
    <w:rsid w:val="351E0D24"/>
    <w:rsid w:val="3524B6BE"/>
    <w:rsid w:val="35382655"/>
    <w:rsid w:val="3549DDA2"/>
    <w:rsid w:val="355387BB"/>
    <w:rsid w:val="3560CDD7"/>
    <w:rsid w:val="35662A7A"/>
    <w:rsid w:val="356DD7C7"/>
    <w:rsid w:val="356E14F5"/>
    <w:rsid w:val="3573D917"/>
    <w:rsid w:val="3577FC3C"/>
    <w:rsid w:val="3580FDFB"/>
    <w:rsid w:val="358F8FD4"/>
    <w:rsid w:val="359149CF"/>
    <w:rsid w:val="359C7584"/>
    <w:rsid w:val="359FEEE5"/>
    <w:rsid w:val="35A5D7CD"/>
    <w:rsid w:val="35AAEB4E"/>
    <w:rsid w:val="35B4ACB4"/>
    <w:rsid w:val="35C3CCF5"/>
    <w:rsid w:val="35C537E0"/>
    <w:rsid w:val="35C7B6DD"/>
    <w:rsid w:val="35D141B8"/>
    <w:rsid w:val="35D83526"/>
    <w:rsid w:val="35E942C6"/>
    <w:rsid w:val="35F38C4C"/>
    <w:rsid w:val="35F7B29B"/>
    <w:rsid w:val="35FC6C4B"/>
    <w:rsid w:val="3605FEC1"/>
    <w:rsid w:val="360BAED7"/>
    <w:rsid w:val="360C9C22"/>
    <w:rsid w:val="360F0021"/>
    <w:rsid w:val="36143E11"/>
    <w:rsid w:val="361F8075"/>
    <w:rsid w:val="36227DFA"/>
    <w:rsid w:val="36316F54"/>
    <w:rsid w:val="36350110"/>
    <w:rsid w:val="36497BBF"/>
    <w:rsid w:val="364F0831"/>
    <w:rsid w:val="36586520"/>
    <w:rsid w:val="36604140"/>
    <w:rsid w:val="3669214C"/>
    <w:rsid w:val="366AD3EC"/>
    <w:rsid w:val="366B6933"/>
    <w:rsid w:val="36705223"/>
    <w:rsid w:val="3676B4D8"/>
    <w:rsid w:val="367A0CBC"/>
    <w:rsid w:val="367A7783"/>
    <w:rsid w:val="367AD84A"/>
    <w:rsid w:val="367D83FD"/>
    <w:rsid w:val="36818CFA"/>
    <w:rsid w:val="369415A6"/>
    <w:rsid w:val="369C00F7"/>
    <w:rsid w:val="36A92977"/>
    <w:rsid w:val="36B67312"/>
    <w:rsid w:val="36C41A81"/>
    <w:rsid w:val="36D3F24D"/>
    <w:rsid w:val="36DA54A7"/>
    <w:rsid w:val="36DDF192"/>
    <w:rsid w:val="36E6FC8A"/>
    <w:rsid w:val="36F8B530"/>
    <w:rsid w:val="36F9F50B"/>
    <w:rsid w:val="36FAB587"/>
    <w:rsid w:val="3703FD8C"/>
    <w:rsid w:val="370437B9"/>
    <w:rsid w:val="37067FCC"/>
    <w:rsid w:val="37083DDE"/>
    <w:rsid w:val="37106E8E"/>
    <w:rsid w:val="3718C983"/>
    <w:rsid w:val="37201A8B"/>
    <w:rsid w:val="3727DA47"/>
    <w:rsid w:val="3729C288"/>
    <w:rsid w:val="373D46AC"/>
    <w:rsid w:val="37402D3D"/>
    <w:rsid w:val="374DD425"/>
    <w:rsid w:val="374FA8D0"/>
    <w:rsid w:val="3757A1E4"/>
    <w:rsid w:val="375B9074"/>
    <w:rsid w:val="376D1477"/>
    <w:rsid w:val="37868AC4"/>
    <w:rsid w:val="37868D0C"/>
    <w:rsid w:val="37910EC0"/>
    <w:rsid w:val="379B5AA5"/>
    <w:rsid w:val="37A31879"/>
    <w:rsid w:val="37A3CDF4"/>
    <w:rsid w:val="37B328D5"/>
    <w:rsid w:val="37B623AB"/>
    <w:rsid w:val="37BCA855"/>
    <w:rsid w:val="37CEE9AA"/>
    <w:rsid w:val="37D75AE3"/>
    <w:rsid w:val="37D9FA5F"/>
    <w:rsid w:val="37DBFF3C"/>
    <w:rsid w:val="37DFAA7E"/>
    <w:rsid w:val="37E80A4A"/>
    <w:rsid w:val="37E84056"/>
    <w:rsid w:val="37F35A47"/>
    <w:rsid w:val="37F3820B"/>
    <w:rsid w:val="37F44E99"/>
    <w:rsid w:val="37F82354"/>
    <w:rsid w:val="37FA53EF"/>
    <w:rsid w:val="37FCB58A"/>
    <w:rsid w:val="38022DE9"/>
    <w:rsid w:val="3806A44D"/>
    <w:rsid w:val="38112CEA"/>
    <w:rsid w:val="38122BB0"/>
    <w:rsid w:val="381EE2E0"/>
    <w:rsid w:val="382B53A9"/>
    <w:rsid w:val="3832DAE6"/>
    <w:rsid w:val="38337743"/>
    <w:rsid w:val="384296F3"/>
    <w:rsid w:val="384B6A39"/>
    <w:rsid w:val="384E38BD"/>
    <w:rsid w:val="38548AE6"/>
    <w:rsid w:val="385875D0"/>
    <w:rsid w:val="385ACA0C"/>
    <w:rsid w:val="385F5FE2"/>
    <w:rsid w:val="3860CE8E"/>
    <w:rsid w:val="386456AE"/>
    <w:rsid w:val="386BED25"/>
    <w:rsid w:val="3874C6A5"/>
    <w:rsid w:val="3875B1B3"/>
    <w:rsid w:val="38779D38"/>
    <w:rsid w:val="387B30B1"/>
    <w:rsid w:val="3880A860"/>
    <w:rsid w:val="38810B76"/>
    <w:rsid w:val="3887D390"/>
    <w:rsid w:val="388EA393"/>
    <w:rsid w:val="388FD4F2"/>
    <w:rsid w:val="389072D9"/>
    <w:rsid w:val="38960703"/>
    <w:rsid w:val="3897A083"/>
    <w:rsid w:val="38A40E3F"/>
    <w:rsid w:val="38A5A416"/>
    <w:rsid w:val="38ACC3B1"/>
    <w:rsid w:val="38B565B9"/>
    <w:rsid w:val="38B7D16F"/>
    <w:rsid w:val="38BD6238"/>
    <w:rsid w:val="38C1AC09"/>
    <w:rsid w:val="38C9AD16"/>
    <w:rsid w:val="38CAB489"/>
    <w:rsid w:val="38CC4A1D"/>
    <w:rsid w:val="38DE9326"/>
    <w:rsid w:val="38E43A3D"/>
    <w:rsid w:val="38F9CF5E"/>
    <w:rsid w:val="38FD6607"/>
    <w:rsid w:val="390D0BBA"/>
    <w:rsid w:val="391061E3"/>
    <w:rsid w:val="391515B0"/>
    <w:rsid w:val="391B66A6"/>
    <w:rsid w:val="391E4947"/>
    <w:rsid w:val="392B1487"/>
    <w:rsid w:val="392B7835"/>
    <w:rsid w:val="392D7869"/>
    <w:rsid w:val="392EB53D"/>
    <w:rsid w:val="3938817A"/>
    <w:rsid w:val="393A9080"/>
    <w:rsid w:val="393B453A"/>
    <w:rsid w:val="39473B23"/>
    <w:rsid w:val="394AE799"/>
    <w:rsid w:val="394CD89C"/>
    <w:rsid w:val="394DE89E"/>
    <w:rsid w:val="395BFF07"/>
    <w:rsid w:val="395D0805"/>
    <w:rsid w:val="395F1BB2"/>
    <w:rsid w:val="3961A7AD"/>
    <w:rsid w:val="396B4BBB"/>
    <w:rsid w:val="3972813B"/>
    <w:rsid w:val="3983810C"/>
    <w:rsid w:val="39850412"/>
    <w:rsid w:val="398E10BA"/>
    <w:rsid w:val="3992707E"/>
    <w:rsid w:val="39955E92"/>
    <w:rsid w:val="399AE936"/>
    <w:rsid w:val="39A1EE0D"/>
    <w:rsid w:val="39A84E46"/>
    <w:rsid w:val="39AACE65"/>
    <w:rsid w:val="39AE544B"/>
    <w:rsid w:val="39B8DD6E"/>
    <w:rsid w:val="39B92285"/>
    <w:rsid w:val="39BA2BB3"/>
    <w:rsid w:val="39BE4F72"/>
    <w:rsid w:val="39C62265"/>
    <w:rsid w:val="39CE8217"/>
    <w:rsid w:val="39CF19BB"/>
    <w:rsid w:val="39CF47A4"/>
    <w:rsid w:val="39D94749"/>
    <w:rsid w:val="39DD332A"/>
    <w:rsid w:val="39DDBB94"/>
    <w:rsid w:val="39E9023A"/>
    <w:rsid w:val="39EBFE89"/>
    <w:rsid w:val="39F9EC1F"/>
    <w:rsid w:val="39FF61AE"/>
    <w:rsid w:val="3A01EA75"/>
    <w:rsid w:val="3A086214"/>
    <w:rsid w:val="3A08BEDD"/>
    <w:rsid w:val="3A0AED13"/>
    <w:rsid w:val="3A10B32B"/>
    <w:rsid w:val="3A141837"/>
    <w:rsid w:val="3A16034A"/>
    <w:rsid w:val="3A18C20E"/>
    <w:rsid w:val="3A1B4DAF"/>
    <w:rsid w:val="3A2DC2F6"/>
    <w:rsid w:val="3A31FF92"/>
    <w:rsid w:val="3A35B822"/>
    <w:rsid w:val="3A393906"/>
    <w:rsid w:val="3A441AFC"/>
    <w:rsid w:val="3A59CB49"/>
    <w:rsid w:val="3A5A2A35"/>
    <w:rsid w:val="3A632823"/>
    <w:rsid w:val="3A652112"/>
    <w:rsid w:val="3A69BF67"/>
    <w:rsid w:val="3A6F2B05"/>
    <w:rsid w:val="3A7BD642"/>
    <w:rsid w:val="3A7E7D0B"/>
    <w:rsid w:val="3A83E359"/>
    <w:rsid w:val="3A8B6D22"/>
    <w:rsid w:val="3A8BB406"/>
    <w:rsid w:val="3A9A248B"/>
    <w:rsid w:val="3A9D2C7A"/>
    <w:rsid w:val="3A9E5320"/>
    <w:rsid w:val="3AAADA5E"/>
    <w:rsid w:val="3ABAD833"/>
    <w:rsid w:val="3ABDABBC"/>
    <w:rsid w:val="3AD36D33"/>
    <w:rsid w:val="3AE00D45"/>
    <w:rsid w:val="3AE5B1B0"/>
    <w:rsid w:val="3AE7F6F5"/>
    <w:rsid w:val="3AEAF90A"/>
    <w:rsid w:val="3AF39591"/>
    <w:rsid w:val="3AF6C351"/>
    <w:rsid w:val="3AFB9561"/>
    <w:rsid w:val="3B037553"/>
    <w:rsid w:val="3B1F2255"/>
    <w:rsid w:val="3B2C33D2"/>
    <w:rsid w:val="3B3CEA10"/>
    <w:rsid w:val="3B457E46"/>
    <w:rsid w:val="3B52F3D3"/>
    <w:rsid w:val="3B57680D"/>
    <w:rsid w:val="3B5EDD22"/>
    <w:rsid w:val="3B61E8B3"/>
    <w:rsid w:val="3B68EA62"/>
    <w:rsid w:val="3B6B1805"/>
    <w:rsid w:val="3B7CE118"/>
    <w:rsid w:val="3B80DF8F"/>
    <w:rsid w:val="3B82942F"/>
    <w:rsid w:val="3B82C830"/>
    <w:rsid w:val="3B9104CB"/>
    <w:rsid w:val="3BA0056E"/>
    <w:rsid w:val="3BAD5275"/>
    <w:rsid w:val="3BBBF6D8"/>
    <w:rsid w:val="3BBC3BC4"/>
    <w:rsid w:val="3BBC4DA0"/>
    <w:rsid w:val="3BC069C6"/>
    <w:rsid w:val="3BC1C658"/>
    <w:rsid w:val="3BC30C5D"/>
    <w:rsid w:val="3BC47888"/>
    <w:rsid w:val="3BC53B16"/>
    <w:rsid w:val="3BC9D833"/>
    <w:rsid w:val="3BDB70DB"/>
    <w:rsid w:val="3BDD9D70"/>
    <w:rsid w:val="3BE09BAA"/>
    <w:rsid w:val="3BE52105"/>
    <w:rsid w:val="3BEBF564"/>
    <w:rsid w:val="3BED5125"/>
    <w:rsid w:val="3BEE2831"/>
    <w:rsid w:val="3BFA1412"/>
    <w:rsid w:val="3C043753"/>
    <w:rsid w:val="3C0C7D03"/>
    <w:rsid w:val="3C108541"/>
    <w:rsid w:val="3C1AA031"/>
    <w:rsid w:val="3C1B4106"/>
    <w:rsid w:val="3C1D4BCE"/>
    <w:rsid w:val="3C1D52F5"/>
    <w:rsid w:val="3C27BD7E"/>
    <w:rsid w:val="3C329A34"/>
    <w:rsid w:val="3C36662F"/>
    <w:rsid w:val="3C379C2F"/>
    <w:rsid w:val="3C3AB1D2"/>
    <w:rsid w:val="3C3E560F"/>
    <w:rsid w:val="3C4ACE6E"/>
    <w:rsid w:val="3C53C3B9"/>
    <w:rsid w:val="3C55D107"/>
    <w:rsid w:val="3C64953E"/>
    <w:rsid w:val="3C731AFD"/>
    <w:rsid w:val="3C781181"/>
    <w:rsid w:val="3C7A5268"/>
    <w:rsid w:val="3C7D3829"/>
    <w:rsid w:val="3C837EC3"/>
    <w:rsid w:val="3C89F6DF"/>
    <w:rsid w:val="3C8A57E9"/>
    <w:rsid w:val="3C8B2250"/>
    <w:rsid w:val="3C982BAE"/>
    <w:rsid w:val="3C99B208"/>
    <w:rsid w:val="3C9BDA95"/>
    <w:rsid w:val="3C9F8DB0"/>
    <w:rsid w:val="3CA15ADF"/>
    <w:rsid w:val="3CA35C55"/>
    <w:rsid w:val="3CB16E55"/>
    <w:rsid w:val="3CCDD700"/>
    <w:rsid w:val="3CCDF1BE"/>
    <w:rsid w:val="3CE49C3B"/>
    <w:rsid w:val="3CE4E4F0"/>
    <w:rsid w:val="3CE7E591"/>
    <w:rsid w:val="3CF89B65"/>
    <w:rsid w:val="3D06F458"/>
    <w:rsid w:val="3D0AD946"/>
    <w:rsid w:val="3D0AF4D2"/>
    <w:rsid w:val="3D15E86A"/>
    <w:rsid w:val="3D17DEDF"/>
    <w:rsid w:val="3D25D133"/>
    <w:rsid w:val="3D36F920"/>
    <w:rsid w:val="3D3A874F"/>
    <w:rsid w:val="3D3D02F0"/>
    <w:rsid w:val="3D414702"/>
    <w:rsid w:val="3D421C56"/>
    <w:rsid w:val="3D45075C"/>
    <w:rsid w:val="3D50398D"/>
    <w:rsid w:val="3D50C90E"/>
    <w:rsid w:val="3D55AD71"/>
    <w:rsid w:val="3D615DED"/>
    <w:rsid w:val="3D61645C"/>
    <w:rsid w:val="3D69FDC3"/>
    <w:rsid w:val="3D6B1413"/>
    <w:rsid w:val="3D6C0E30"/>
    <w:rsid w:val="3D6FBC01"/>
    <w:rsid w:val="3D71CF71"/>
    <w:rsid w:val="3D77E075"/>
    <w:rsid w:val="3D7DEEC0"/>
    <w:rsid w:val="3D80784A"/>
    <w:rsid w:val="3D80F24E"/>
    <w:rsid w:val="3D8225A7"/>
    <w:rsid w:val="3D86D5AC"/>
    <w:rsid w:val="3D8D562C"/>
    <w:rsid w:val="3DA09396"/>
    <w:rsid w:val="3DA0BFD0"/>
    <w:rsid w:val="3DA6A432"/>
    <w:rsid w:val="3DAD3E16"/>
    <w:rsid w:val="3DB8F33B"/>
    <w:rsid w:val="3DBC1D78"/>
    <w:rsid w:val="3DD2EB05"/>
    <w:rsid w:val="3DD3DAEF"/>
    <w:rsid w:val="3DD8401F"/>
    <w:rsid w:val="3DF117B7"/>
    <w:rsid w:val="3E002F26"/>
    <w:rsid w:val="3E003D44"/>
    <w:rsid w:val="3E083756"/>
    <w:rsid w:val="3E0C1C0F"/>
    <w:rsid w:val="3E19778E"/>
    <w:rsid w:val="3E1FD88F"/>
    <w:rsid w:val="3E2299CC"/>
    <w:rsid w:val="3E28DFD5"/>
    <w:rsid w:val="3E2A925A"/>
    <w:rsid w:val="3E363E05"/>
    <w:rsid w:val="3E377284"/>
    <w:rsid w:val="3E38A13E"/>
    <w:rsid w:val="3E393CAF"/>
    <w:rsid w:val="3E3BB495"/>
    <w:rsid w:val="3E3C88CA"/>
    <w:rsid w:val="3E413084"/>
    <w:rsid w:val="3E41B1EF"/>
    <w:rsid w:val="3E43D56C"/>
    <w:rsid w:val="3E474ACA"/>
    <w:rsid w:val="3E50BA84"/>
    <w:rsid w:val="3E53665F"/>
    <w:rsid w:val="3E537715"/>
    <w:rsid w:val="3E54E948"/>
    <w:rsid w:val="3E5B91E4"/>
    <w:rsid w:val="3E5FAF76"/>
    <w:rsid w:val="3E5FE127"/>
    <w:rsid w:val="3E6C121A"/>
    <w:rsid w:val="3E7131A0"/>
    <w:rsid w:val="3E786AAF"/>
    <w:rsid w:val="3E7FC14F"/>
    <w:rsid w:val="3E829F2F"/>
    <w:rsid w:val="3E99B49C"/>
    <w:rsid w:val="3EA2B8C7"/>
    <w:rsid w:val="3EB270A7"/>
    <w:rsid w:val="3EBBF5CD"/>
    <w:rsid w:val="3ECB2FAB"/>
    <w:rsid w:val="3ECD06D6"/>
    <w:rsid w:val="3ECD53FA"/>
    <w:rsid w:val="3ECFAC07"/>
    <w:rsid w:val="3ED09B01"/>
    <w:rsid w:val="3EDD1270"/>
    <w:rsid w:val="3EDE02F6"/>
    <w:rsid w:val="3EEAD616"/>
    <w:rsid w:val="3F03EB23"/>
    <w:rsid w:val="3F04A541"/>
    <w:rsid w:val="3F092945"/>
    <w:rsid w:val="3F134DDE"/>
    <w:rsid w:val="3F159825"/>
    <w:rsid w:val="3F15D81C"/>
    <w:rsid w:val="3F254941"/>
    <w:rsid w:val="3F2A3614"/>
    <w:rsid w:val="3F2BC70A"/>
    <w:rsid w:val="3F3C99D3"/>
    <w:rsid w:val="3F4027F9"/>
    <w:rsid w:val="3F431928"/>
    <w:rsid w:val="3F485935"/>
    <w:rsid w:val="3F4A536D"/>
    <w:rsid w:val="3F4B9C13"/>
    <w:rsid w:val="3F54A46F"/>
    <w:rsid w:val="3F5B2901"/>
    <w:rsid w:val="3F687633"/>
    <w:rsid w:val="3F6E0AE8"/>
    <w:rsid w:val="3F748A0A"/>
    <w:rsid w:val="3F8043AA"/>
    <w:rsid w:val="3F87B881"/>
    <w:rsid w:val="3F8B5EB0"/>
    <w:rsid w:val="3F92438E"/>
    <w:rsid w:val="3F92C7D9"/>
    <w:rsid w:val="3F92F01D"/>
    <w:rsid w:val="3FA5A440"/>
    <w:rsid w:val="3FA6CB29"/>
    <w:rsid w:val="3FAED102"/>
    <w:rsid w:val="3FB5E9EE"/>
    <w:rsid w:val="3FB95952"/>
    <w:rsid w:val="3FBF2FD6"/>
    <w:rsid w:val="3FBF660F"/>
    <w:rsid w:val="3FC3456E"/>
    <w:rsid w:val="3FCEA0E5"/>
    <w:rsid w:val="3FD71144"/>
    <w:rsid w:val="3FD7DF5B"/>
    <w:rsid w:val="3FD9FA31"/>
    <w:rsid w:val="3FE18D0D"/>
    <w:rsid w:val="3FEB0BC8"/>
    <w:rsid w:val="3FEE65C7"/>
    <w:rsid w:val="3FF3D321"/>
    <w:rsid w:val="3FF8930B"/>
    <w:rsid w:val="4000D31F"/>
    <w:rsid w:val="40099F88"/>
    <w:rsid w:val="400A2ABA"/>
    <w:rsid w:val="400A8A13"/>
    <w:rsid w:val="400AC239"/>
    <w:rsid w:val="4013748C"/>
    <w:rsid w:val="4021BE39"/>
    <w:rsid w:val="40225387"/>
    <w:rsid w:val="40286F40"/>
    <w:rsid w:val="4029BF04"/>
    <w:rsid w:val="402A222A"/>
    <w:rsid w:val="402BFA68"/>
    <w:rsid w:val="402DA573"/>
    <w:rsid w:val="402F13EE"/>
    <w:rsid w:val="40321F0C"/>
    <w:rsid w:val="40342604"/>
    <w:rsid w:val="403C1008"/>
    <w:rsid w:val="404834F7"/>
    <w:rsid w:val="404989EA"/>
    <w:rsid w:val="404E7DA8"/>
    <w:rsid w:val="404EE5FA"/>
    <w:rsid w:val="4050C263"/>
    <w:rsid w:val="40579095"/>
    <w:rsid w:val="4064092D"/>
    <w:rsid w:val="406973E1"/>
    <w:rsid w:val="406C6B62"/>
    <w:rsid w:val="40715D47"/>
    <w:rsid w:val="407A5F2F"/>
    <w:rsid w:val="4081BF86"/>
    <w:rsid w:val="408525AC"/>
    <w:rsid w:val="4085C512"/>
    <w:rsid w:val="40864BF6"/>
    <w:rsid w:val="4093E907"/>
    <w:rsid w:val="4098282E"/>
    <w:rsid w:val="40A48422"/>
    <w:rsid w:val="40B96C9D"/>
    <w:rsid w:val="40BB3A1F"/>
    <w:rsid w:val="40CC1CC6"/>
    <w:rsid w:val="40CCC56D"/>
    <w:rsid w:val="40CEFB81"/>
    <w:rsid w:val="40E5004D"/>
    <w:rsid w:val="40E51393"/>
    <w:rsid w:val="40ED526D"/>
    <w:rsid w:val="40EEB4F9"/>
    <w:rsid w:val="41006FE4"/>
    <w:rsid w:val="410FA8A8"/>
    <w:rsid w:val="41156825"/>
    <w:rsid w:val="41172962"/>
    <w:rsid w:val="411D1655"/>
    <w:rsid w:val="41213DEC"/>
    <w:rsid w:val="412B3DE9"/>
    <w:rsid w:val="412DC40B"/>
    <w:rsid w:val="414A3EEC"/>
    <w:rsid w:val="41528DB7"/>
    <w:rsid w:val="4168B76F"/>
    <w:rsid w:val="416A194E"/>
    <w:rsid w:val="416AE7DF"/>
    <w:rsid w:val="4170BD7A"/>
    <w:rsid w:val="4179A2FD"/>
    <w:rsid w:val="417B22F1"/>
    <w:rsid w:val="417D7B52"/>
    <w:rsid w:val="417D8B82"/>
    <w:rsid w:val="418769CA"/>
    <w:rsid w:val="4196E659"/>
    <w:rsid w:val="41971625"/>
    <w:rsid w:val="41A954C1"/>
    <w:rsid w:val="41B304CA"/>
    <w:rsid w:val="41B54CD6"/>
    <w:rsid w:val="41BFA549"/>
    <w:rsid w:val="41C0BE64"/>
    <w:rsid w:val="41DA002D"/>
    <w:rsid w:val="41DD67FE"/>
    <w:rsid w:val="41DDA98E"/>
    <w:rsid w:val="41E58CE6"/>
    <w:rsid w:val="41E69B95"/>
    <w:rsid w:val="41EBA3F4"/>
    <w:rsid w:val="41EF52BE"/>
    <w:rsid w:val="41F4CE4F"/>
    <w:rsid w:val="41F759D2"/>
    <w:rsid w:val="41FE77A0"/>
    <w:rsid w:val="42158D79"/>
    <w:rsid w:val="4216EC69"/>
    <w:rsid w:val="422ECA74"/>
    <w:rsid w:val="4232DAB1"/>
    <w:rsid w:val="4238E79E"/>
    <w:rsid w:val="423E370D"/>
    <w:rsid w:val="42472845"/>
    <w:rsid w:val="4248AB7D"/>
    <w:rsid w:val="424B7F51"/>
    <w:rsid w:val="4266C8FC"/>
    <w:rsid w:val="42712309"/>
    <w:rsid w:val="4283B59B"/>
    <w:rsid w:val="428AEF39"/>
    <w:rsid w:val="4290B430"/>
    <w:rsid w:val="42928121"/>
    <w:rsid w:val="4297D0E2"/>
    <w:rsid w:val="42ABC50E"/>
    <w:rsid w:val="42AF4E49"/>
    <w:rsid w:val="42B340EF"/>
    <w:rsid w:val="42C234D0"/>
    <w:rsid w:val="42C63B63"/>
    <w:rsid w:val="42C86307"/>
    <w:rsid w:val="42C9766D"/>
    <w:rsid w:val="42CF7C49"/>
    <w:rsid w:val="42D1F6CD"/>
    <w:rsid w:val="42D35184"/>
    <w:rsid w:val="42DA7FCF"/>
    <w:rsid w:val="42E251E8"/>
    <w:rsid w:val="42E60B52"/>
    <w:rsid w:val="42EFCCB0"/>
    <w:rsid w:val="42F87F08"/>
    <w:rsid w:val="42F8E21C"/>
    <w:rsid w:val="42FAEA4E"/>
    <w:rsid w:val="42FCF8BD"/>
    <w:rsid w:val="430EA29C"/>
    <w:rsid w:val="430F8023"/>
    <w:rsid w:val="4329C978"/>
    <w:rsid w:val="432C3009"/>
    <w:rsid w:val="432F01CA"/>
    <w:rsid w:val="433E1205"/>
    <w:rsid w:val="43453A3B"/>
    <w:rsid w:val="43463878"/>
    <w:rsid w:val="4346BCE7"/>
    <w:rsid w:val="434B3CD3"/>
    <w:rsid w:val="434CEF87"/>
    <w:rsid w:val="43559853"/>
    <w:rsid w:val="43605D7D"/>
    <w:rsid w:val="43638822"/>
    <w:rsid w:val="436489E9"/>
    <w:rsid w:val="436CCCFA"/>
    <w:rsid w:val="437B60FF"/>
    <w:rsid w:val="437DD6BE"/>
    <w:rsid w:val="43815B44"/>
    <w:rsid w:val="43862DFA"/>
    <w:rsid w:val="4389C22C"/>
    <w:rsid w:val="438B26EF"/>
    <w:rsid w:val="43A2C351"/>
    <w:rsid w:val="43B96D45"/>
    <w:rsid w:val="43C86EF5"/>
    <w:rsid w:val="43D04493"/>
    <w:rsid w:val="43D076AC"/>
    <w:rsid w:val="43D572D9"/>
    <w:rsid w:val="43DD5D1E"/>
    <w:rsid w:val="43E1E05C"/>
    <w:rsid w:val="43FBFCB2"/>
    <w:rsid w:val="440732CE"/>
    <w:rsid w:val="4408714D"/>
    <w:rsid w:val="440C4A98"/>
    <w:rsid w:val="440E4E36"/>
    <w:rsid w:val="44128B0F"/>
    <w:rsid w:val="44214253"/>
    <w:rsid w:val="4427F897"/>
    <w:rsid w:val="442CAD34"/>
    <w:rsid w:val="442D4E5B"/>
    <w:rsid w:val="442DE383"/>
    <w:rsid w:val="442EEA8E"/>
    <w:rsid w:val="44302112"/>
    <w:rsid w:val="44321059"/>
    <w:rsid w:val="4432F301"/>
    <w:rsid w:val="443A2B1A"/>
    <w:rsid w:val="443E25EC"/>
    <w:rsid w:val="44402DF4"/>
    <w:rsid w:val="4440C7A2"/>
    <w:rsid w:val="44484AD2"/>
    <w:rsid w:val="444A4415"/>
    <w:rsid w:val="444AE635"/>
    <w:rsid w:val="445A0BDA"/>
    <w:rsid w:val="44614623"/>
    <w:rsid w:val="4470A4F0"/>
    <w:rsid w:val="4472A527"/>
    <w:rsid w:val="447B465A"/>
    <w:rsid w:val="44831AD0"/>
    <w:rsid w:val="4488ED35"/>
    <w:rsid w:val="44896959"/>
    <w:rsid w:val="44A2C983"/>
    <w:rsid w:val="44A90FAC"/>
    <w:rsid w:val="44AD45E3"/>
    <w:rsid w:val="44B65692"/>
    <w:rsid w:val="44C42ACC"/>
    <w:rsid w:val="44D254A4"/>
    <w:rsid w:val="44D6EA20"/>
    <w:rsid w:val="44D77E18"/>
    <w:rsid w:val="44DC7867"/>
    <w:rsid w:val="44E4E3F7"/>
    <w:rsid w:val="44F29312"/>
    <w:rsid w:val="4502240C"/>
    <w:rsid w:val="450A6675"/>
    <w:rsid w:val="451140D6"/>
    <w:rsid w:val="451D1D6B"/>
    <w:rsid w:val="451D7FF2"/>
    <w:rsid w:val="45216CA5"/>
    <w:rsid w:val="4526B428"/>
    <w:rsid w:val="45312872"/>
    <w:rsid w:val="45335B49"/>
    <w:rsid w:val="45495207"/>
    <w:rsid w:val="454BCF79"/>
    <w:rsid w:val="454CE402"/>
    <w:rsid w:val="4560485F"/>
    <w:rsid w:val="4568F900"/>
    <w:rsid w:val="456AD8DA"/>
    <w:rsid w:val="45700C79"/>
    <w:rsid w:val="45726670"/>
    <w:rsid w:val="45746A91"/>
    <w:rsid w:val="45746E74"/>
    <w:rsid w:val="45754A61"/>
    <w:rsid w:val="4575634F"/>
    <w:rsid w:val="457E0574"/>
    <w:rsid w:val="45954C4B"/>
    <w:rsid w:val="45A0A195"/>
    <w:rsid w:val="45A10DF7"/>
    <w:rsid w:val="45A44168"/>
    <w:rsid w:val="45AD30E9"/>
    <w:rsid w:val="45B09354"/>
    <w:rsid w:val="45B19093"/>
    <w:rsid w:val="45C7DAE8"/>
    <w:rsid w:val="45C8F427"/>
    <w:rsid w:val="45C9C6E1"/>
    <w:rsid w:val="45D0F144"/>
    <w:rsid w:val="45D24A09"/>
    <w:rsid w:val="45E0EA5F"/>
    <w:rsid w:val="45E6C1CE"/>
    <w:rsid w:val="45E8D800"/>
    <w:rsid w:val="45F5130F"/>
    <w:rsid w:val="45F7B9F2"/>
    <w:rsid w:val="45F98BE8"/>
    <w:rsid w:val="45FF148A"/>
    <w:rsid w:val="46021730"/>
    <w:rsid w:val="4608F3A9"/>
    <w:rsid w:val="46234401"/>
    <w:rsid w:val="4626EC95"/>
    <w:rsid w:val="46296BD5"/>
    <w:rsid w:val="46347883"/>
    <w:rsid w:val="4636F03E"/>
    <w:rsid w:val="46392FDA"/>
    <w:rsid w:val="46425B39"/>
    <w:rsid w:val="4642BF5D"/>
    <w:rsid w:val="4644436E"/>
    <w:rsid w:val="46448A91"/>
    <w:rsid w:val="4645FBAC"/>
    <w:rsid w:val="4648777A"/>
    <w:rsid w:val="464BB08C"/>
    <w:rsid w:val="4650FCA5"/>
    <w:rsid w:val="465BB468"/>
    <w:rsid w:val="46603D3C"/>
    <w:rsid w:val="46608658"/>
    <w:rsid w:val="46620B7F"/>
    <w:rsid w:val="4676A4A7"/>
    <w:rsid w:val="4677FBB2"/>
    <w:rsid w:val="4678DC93"/>
    <w:rsid w:val="4678E10C"/>
    <w:rsid w:val="467E7271"/>
    <w:rsid w:val="46812B48"/>
    <w:rsid w:val="468A6F0F"/>
    <w:rsid w:val="468D35D5"/>
    <w:rsid w:val="468F93BC"/>
    <w:rsid w:val="469AB08F"/>
    <w:rsid w:val="46A5894F"/>
    <w:rsid w:val="46AD774D"/>
    <w:rsid w:val="46AD793C"/>
    <w:rsid w:val="46B00023"/>
    <w:rsid w:val="46B23FF2"/>
    <w:rsid w:val="46B81ED8"/>
    <w:rsid w:val="46BF68A5"/>
    <w:rsid w:val="46C7C5F8"/>
    <w:rsid w:val="46CB3E50"/>
    <w:rsid w:val="46CED4AD"/>
    <w:rsid w:val="46D4AAE5"/>
    <w:rsid w:val="46D8AD39"/>
    <w:rsid w:val="46D9024C"/>
    <w:rsid w:val="46DF19C8"/>
    <w:rsid w:val="46E7C6FF"/>
    <w:rsid w:val="46F34E32"/>
    <w:rsid w:val="46F96589"/>
    <w:rsid w:val="46F9A681"/>
    <w:rsid w:val="46FAE284"/>
    <w:rsid w:val="46FB8F40"/>
    <w:rsid w:val="46FF383A"/>
    <w:rsid w:val="47094954"/>
    <w:rsid w:val="47103ED5"/>
    <w:rsid w:val="472214BC"/>
    <w:rsid w:val="472520C3"/>
    <w:rsid w:val="47466B45"/>
    <w:rsid w:val="474B40C2"/>
    <w:rsid w:val="474DF050"/>
    <w:rsid w:val="474E2F1B"/>
    <w:rsid w:val="47594655"/>
    <w:rsid w:val="475E6066"/>
    <w:rsid w:val="476057E1"/>
    <w:rsid w:val="47611083"/>
    <w:rsid w:val="4763AB49"/>
    <w:rsid w:val="476419BF"/>
    <w:rsid w:val="4768F80E"/>
    <w:rsid w:val="476B1149"/>
    <w:rsid w:val="476C0DDE"/>
    <w:rsid w:val="476C3106"/>
    <w:rsid w:val="476E8F42"/>
    <w:rsid w:val="476E9BFE"/>
    <w:rsid w:val="477220FD"/>
    <w:rsid w:val="47725425"/>
    <w:rsid w:val="47832220"/>
    <w:rsid w:val="478B64E3"/>
    <w:rsid w:val="478B9E61"/>
    <w:rsid w:val="4797805A"/>
    <w:rsid w:val="47BD1945"/>
    <w:rsid w:val="47BF9B21"/>
    <w:rsid w:val="47C57175"/>
    <w:rsid w:val="47C6E10C"/>
    <w:rsid w:val="47C8FFD7"/>
    <w:rsid w:val="47DDEB85"/>
    <w:rsid w:val="47DE229C"/>
    <w:rsid w:val="47E1CB36"/>
    <w:rsid w:val="47E2478D"/>
    <w:rsid w:val="47E4E2D6"/>
    <w:rsid w:val="47E6A4F5"/>
    <w:rsid w:val="47E7CEE3"/>
    <w:rsid w:val="47F532EB"/>
    <w:rsid w:val="47F8FCDD"/>
    <w:rsid w:val="47FC97D0"/>
    <w:rsid w:val="48009CF7"/>
    <w:rsid w:val="480BF971"/>
    <w:rsid w:val="480E8ABC"/>
    <w:rsid w:val="48139BDC"/>
    <w:rsid w:val="4813CC13"/>
    <w:rsid w:val="4814648B"/>
    <w:rsid w:val="483483BA"/>
    <w:rsid w:val="4835550F"/>
    <w:rsid w:val="4837210A"/>
    <w:rsid w:val="48379C28"/>
    <w:rsid w:val="4839B1DC"/>
    <w:rsid w:val="483D2DAA"/>
    <w:rsid w:val="483D5309"/>
    <w:rsid w:val="4842BBE5"/>
    <w:rsid w:val="484C55E7"/>
    <w:rsid w:val="4859769F"/>
    <w:rsid w:val="48691CF6"/>
    <w:rsid w:val="487612C9"/>
    <w:rsid w:val="4878471B"/>
    <w:rsid w:val="487B5A12"/>
    <w:rsid w:val="487CCE17"/>
    <w:rsid w:val="487E45D1"/>
    <w:rsid w:val="4884BFEE"/>
    <w:rsid w:val="488E7FD1"/>
    <w:rsid w:val="48B795D7"/>
    <w:rsid w:val="48BBE009"/>
    <w:rsid w:val="48BDB19E"/>
    <w:rsid w:val="48C1D689"/>
    <w:rsid w:val="48C50B4A"/>
    <w:rsid w:val="48CCDE76"/>
    <w:rsid w:val="48D5E2BF"/>
    <w:rsid w:val="48DAE154"/>
    <w:rsid w:val="48DC5256"/>
    <w:rsid w:val="48E7F810"/>
    <w:rsid w:val="48E8B414"/>
    <w:rsid w:val="48EC3158"/>
    <w:rsid w:val="48F18856"/>
    <w:rsid w:val="48F4BC49"/>
    <w:rsid w:val="48FB0B4F"/>
    <w:rsid w:val="49001259"/>
    <w:rsid w:val="49045FC5"/>
    <w:rsid w:val="491141F9"/>
    <w:rsid w:val="49125B72"/>
    <w:rsid w:val="49157225"/>
    <w:rsid w:val="4918B588"/>
    <w:rsid w:val="491BAA00"/>
    <w:rsid w:val="49202137"/>
    <w:rsid w:val="492F517E"/>
    <w:rsid w:val="4931D2BF"/>
    <w:rsid w:val="495FA715"/>
    <w:rsid w:val="49613B32"/>
    <w:rsid w:val="49642757"/>
    <w:rsid w:val="496B1270"/>
    <w:rsid w:val="49844F8A"/>
    <w:rsid w:val="498E8950"/>
    <w:rsid w:val="49ACBA76"/>
    <w:rsid w:val="49B081CE"/>
    <w:rsid w:val="49B2177F"/>
    <w:rsid w:val="49B3A00A"/>
    <w:rsid w:val="49B48F47"/>
    <w:rsid w:val="49BAC0BC"/>
    <w:rsid w:val="49BB3751"/>
    <w:rsid w:val="49C08707"/>
    <w:rsid w:val="49C8F5CA"/>
    <w:rsid w:val="49D016BA"/>
    <w:rsid w:val="49D9C29D"/>
    <w:rsid w:val="49EC9AF7"/>
    <w:rsid w:val="49EF4492"/>
    <w:rsid w:val="49F03A13"/>
    <w:rsid w:val="49F62429"/>
    <w:rsid w:val="49F81C67"/>
    <w:rsid w:val="49F99A5C"/>
    <w:rsid w:val="49FA4892"/>
    <w:rsid w:val="49FBAFD6"/>
    <w:rsid w:val="49FE6F23"/>
    <w:rsid w:val="4A051449"/>
    <w:rsid w:val="4A13BB49"/>
    <w:rsid w:val="4A373C95"/>
    <w:rsid w:val="4A37F983"/>
    <w:rsid w:val="4A409652"/>
    <w:rsid w:val="4A54CEE4"/>
    <w:rsid w:val="4A58667B"/>
    <w:rsid w:val="4A5A5CC8"/>
    <w:rsid w:val="4A5DB563"/>
    <w:rsid w:val="4A610EA8"/>
    <w:rsid w:val="4A6B7333"/>
    <w:rsid w:val="4A71DAE1"/>
    <w:rsid w:val="4A756B95"/>
    <w:rsid w:val="4A7C62D6"/>
    <w:rsid w:val="4A81D426"/>
    <w:rsid w:val="4A82E184"/>
    <w:rsid w:val="4A8B1FE7"/>
    <w:rsid w:val="4A93E4BF"/>
    <w:rsid w:val="4A984BF6"/>
    <w:rsid w:val="4AA893EE"/>
    <w:rsid w:val="4AAFE7C6"/>
    <w:rsid w:val="4AB385F2"/>
    <w:rsid w:val="4AB89884"/>
    <w:rsid w:val="4AB9B61E"/>
    <w:rsid w:val="4ABD0654"/>
    <w:rsid w:val="4ABF0896"/>
    <w:rsid w:val="4AC27849"/>
    <w:rsid w:val="4AC349C8"/>
    <w:rsid w:val="4AC627FD"/>
    <w:rsid w:val="4AC6284D"/>
    <w:rsid w:val="4AC6B176"/>
    <w:rsid w:val="4ACC3C4C"/>
    <w:rsid w:val="4ACD6A0F"/>
    <w:rsid w:val="4ADBF04E"/>
    <w:rsid w:val="4AE4F638"/>
    <w:rsid w:val="4AED6B00"/>
    <w:rsid w:val="4AFDF723"/>
    <w:rsid w:val="4B10225E"/>
    <w:rsid w:val="4B10E683"/>
    <w:rsid w:val="4B13A13D"/>
    <w:rsid w:val="4B142C38"/>
    <w:rsid w:val="4B15F75D"/>
    <w:rsid w:val="4B207386"/>
    <w:rsid w:val="4B24173F"/>
    <w:rsid w:val="4B27958C"/>
    <w:rsid w:val="4B2E34C4"/>
    <w:rsid w:val="4B4541A3"/>
    <w:rsid w:val="4B613A48"/>
    <w:rsid w:val="4B644D42"/>
    <w:rsid w:val="4B649774"/>
    <w:rsid w:val="4B6C4A1C"/>
    <w:rsid w:val="4B71BCAA"/>
    <w:rsid w:val="4B753E16"/>
    <w:rsid w:val="4B767D50"/>
    <w:rsid w:val="4B841B6B"/>
    <w:rsid w:val="4B93ECC8"/>
    <w:rsid w:val="4B9BAD8B"/>
    <w:rsid w:val="4B9C444B"/>
    <w:rsid w:val="4B9E2D9C"/>
    <w:rsid w:val="4BAB3688"/>
    <w:rsid w:val="4BACBE14"/>
    <w:rsid w:val="4BB3353D"/>
    <w:rsid w:val="4BBF8161"/>
    <w:rsid w:val="4BCB37AD"/>
    <w:rsid w:val="4BCDD453"/>
    <w:rsid w:val="4BDAE7C9"/>
    <w:rsid w:val="4BE27DFC"/>
    <w:rsid w:val="4BF14D30"/>
    <w:rsid w:val="4BF4DE3F"/>
    <w:rsid w:val="4BFD4361"/>
    <w:rsid w:val="4C0E55E6"/>
    <w:rsid w:val="4C0FB7B8"/>
    <w:rsid w:val="4C10D093"/>
    <w:rsid w:val="4C14B6D5"/>
    <w:rsid w:val="4C1B0303"/>
    <w:rsid w:val="4C1F436F"/>
    <w:rsid w:val="4C285FEE"/>
    <w:rsid w:val="4C2A0565"/>
    <w:rsid w:val="4C2B4B5F"/>
    <w:rsid w:val="4C2F68AA"/>
    <w:rsid w:val="4C3035CF"/>
    <w:rsid w:val="4C3FFF24"/>
    <w:rsid w:val="4C40A054"/>
    <w:rsid w:val="4C436391"/>
    <w:rsid w:val="4C44B6A8"/>
    <w:rsid w:val="4C47F67B"/>
    <w:rsid w:val="4C508583"/>
    <w:rsid w:val="4C520724"/>
    <w:rsid w:val="4C61465A"/>
    <w:rsid w:val="4C618D4D"/>
    <w:rsid w:val="4C664597"/>
    <w:rsid w:val="4C723FF0"/>
    <w:rsid w:val="4C810A3A"/>
    <w:rsid w:val="4C832478"/>
    <w:rsid w:val="4C984042"/>
    <w:rsid w:val="4C99FE75"/>
    <w:rsid w:val="4CB1413A"/>
    <w:rsid w:val="4CB5D657"/>
    <w:rsid w:val="4CC07FC8"/>
    <w:rsid w:val="4CDBF7F8"/>
    <w:rsid w:val="4CE23107"/>
    <w:rsid w:val="4CE559AB"/>
    <w:rsid w:val="4CF09EDE"/>
    <w:rsid w:val="4CF1F6D2"/>
    <w:rsid w:val="4D02D219"/>
    <w:rsid w:val="4D030877"/>
    <w:rsid w:val="4D11A2EF"/>
    <w:rsid w:val="4D201AA5"/>
    <w:rsid w:val="4D298380"/>
    <w:rsid w:val="4D368B69"/>
    <w:rsid w:val="4D48F8CD"/>
    <w:rsid w:val="4D5089FE"/>
    <w:rsid w:val="4D56B50B"/>
    <w:rsid w:val="4D607378"/>
    <w:rsid w:val="4D632399"/>
    <w:rsid w:val="4D68DF26"/>
    <w:rsid w:val="4D6DD94A"/>
    <w:rsid w:val="4D77FAB6"/>
    <w:rsid w:val="4D800EEE"/>
    <w:rsid w:val="4D84684E"/>
    <w:rsid w:val="4D88F152"/>
    <w:rsid w:val="4D905A5D"/>
    <w:rsid w:val="4D9ADD3A"/>
    <w:rsid w:val="4D9ED260"/>
    <w:rsid w:val="4DABCE4C"/>
    <w:rsid w:val="4DB5CF7B"/>
    <w:rsid w:val="4DBA8246"/>
    <w:rsid w:val="4DBF52A8"/>
    <w:rsid w:val="4DC079C1"/>
    <w:rsid w:val="4DD155E5"/>
    <w:rsid w:val="4DE3B044"/>
    <w:rsid w:val="4DEC9F73"/>
    <w:rsid w:val="4DEF3BCF"/>
    <w:rsid w:val="4DF2A37B"/>
    <w:rsid w:val="4DF46FA5"/>
    <w:rsid w:val="4DF51F39"/>
    <w:rsid w:val="4DFED393"/>
    <w:rsid w:val="4E0AD63F"/>
    <w:rsid w:val="4E0F2264"/>
    <w:rsid w:val="4E168297"/>
    <w:rsid w:val="4E1A113D"/>
    <w:rsid w:val="4E1ADD2A"/>
    <w:rsid w:val="4E1E9437"/>
    <w:rsid w:val="4E246765"/>
    <w:rsid w:val="4E29621B"/>
    <w:rsid w:val="4E2C7170"/>
    <w:rsid w:val="4E313DF7"/>
    <w:rsid w:val="4E341ECB"/>
    <w:rsid w:val="4E383298"/>
    <w:rsid w:val="4E41A378"/>
    <w:rsid w:val="4E4DC9E8"/>
    <w:rsid w:val="4E4E47DF"/>
    <w:rsid w:val="4E4F90D3"/>
    <w:rsid w:val="4E5B31C0"/>
    <w:rsid w:val="4E6BDF6E"/>
    <w:rsid w:val="4E6D5916"/>
    <w:rsid w:val="4E6EBEAC"/>
    <w:rsid w:val="4E6FDCC4"/>
    <w:rsid w:val="4E705A52"/>
    <w:rsid w:val="4E74D8DD"/>
    <w:rsid w:val="4E75D835"/>
    <w:rsid w:val="4E7B3AF5"/>
    <w:rsid w:val="4E87FCAA"/>
    <w:rsid w:val="4E924E95"/>
    <w:rsid w:val="4EA4D483"/>
    <w:rsid w:val="4EA50F8D"/>
    <w:rsid w:val="4EAD33A5"/>
    <w:rsid w:val="4EAFD779"/>
    <w:rsid w:val="4EC69BAD"/>
    <w:rsid w:val="4ED7444E"/>
    <w:rsid w:val="4EDF537E"/>
    <w:rsid w:val="4EEB2446"/>
    <w:rsid w:val="4F01AC25"/>
    <w:rsid w:val="4F0820A0"/>
    <w:rsid w:val="4F1DABAF"/>
    <w:rsid w:val="4F1F1441"/>
    <w:rsid w:val="4F23E3D6"/>
    <w:rsid w:val="4F269690"/>
    <w:rsid w:val="4F28AEDF"/>
    <w:rsid w:val="4F292746"/>
    <w:rsid w:val="4F2E050D"/>
    <w:rsid w:val="4F313501"/>
    <w:rsid w:val="4F3EA680"/>
    <w:rsid w:val="4F3F3307"/>
    <w:rsid w:val="4F4893EB"/>
    <w:rsid w:val="4F49ECB1"/>
    <w:rsid w:val="4F4D5EEE"/>
    <w:rsid w:val="4F4DB504"/>
    <w:rsid w:val="4F4E7DD3"/>
    <w:rsid w:val="4F5174CF"/>
    <w:rsid w:val="4F6E9EEA"/>
    <w:rsid w:val="4F74D2A2"/>
    <w:rsid w:val="4F7781F0"/>
    <w:rsid w:val="4F7DAD86"/>
    <w:rsid w:val="4F7FBF88"/>
    <w:rsid w:val="4F8A2A64"/>
    <w:rsid w:val="4F911F6F"/>
    <w:rsid w:val="4F959D2C"/>
    <w:rsid w:val="4F971CC3"/>
    <w:rsid w:val="4F9D9B93"/>
    <w:rsid w:val="4FAEF632"/>
    <w:rsid w:val="4FAF9A19"/>
    <w:rsid w:val="4FB469DC"/>
    <w:rsid w:val="4FB7F992"/>
    <w:rsid w:val="4FBAD898"/>
    <w:rsid w:val="4FBE6CC8"/>
    <w:rsid w:val="4FC0D4F0"/>
    <w:rsid w:val="4FC5E9E6"/>
    <w:rsid w:val="4FD0529D"/>
    <w:rsid w:val="4FD5D2CD"/>
    <w:rsid w:val="4FD9F6CF"/>
    <w:rsid w:val="4FE58B3E"/>
    <w:rsid w:val="4FE931C4"/>
    <w:rsid w:val="4FEA50E4"/>
    <w:rsid w:val="4FFD1AF1"/>
    <w:rsid w:val="4FFEE48F"/>
    <w:rsid w:val="5003218F"/>
    <w:rsid w:val="501FC352"/>
    <w:rsid w:val="502490E8"/>
    <w:rsid w:val="502B84E1"/>
    <w:rsid w:val="5033D8E4"/>
    <w:rsid w:val="503A1D0B"/>
    <w:rsid w:val="503E930A"/>
    <w:rsid w:val="505119A4"/>
    <w:rsid w:val="506000A5"/>
    <w:rsid w:val="5070D2A2"/>
    <w:rsid w:val="5073C6EB"/>
    <w:rsid w:val="5087A106"/>
    <w:rsid w:val="5088F775"/>
    <w:rsid w:val="50A0975B"/>
    <w:rsid w:val="50A0AE4C"/>
    <w:rsid w:val="50A28B8D"/>
    <w:rsid w:val="50A52A55"/>
    <w:rsid w:val="50B9F592"/>
    <w:rsid w:val="50BC4D9D"/>
    <w:rsid w:val="50BC50CA"/>
    <w:rsid w:val="50BF3F57"/>
    <w:rsid w:val="50C08C3D"/>
    <w:rsid w:val="50C77AE7"/>
    <w:rsid w:val="50C7B99C"/>
    <w:rsid w:val="50CB34BB"/>
    <w:rsid w:val="50D722C0"/>
    <w:rsid w:val="50D7394D"/>
    <w:rsid w:val="50DC2154"/>
    <w:rsid w:val="50E6A3BB"/>
    <w:rsid w:val="50EB0CC1"/>
    <w:rsid w:val="50F33C7F"/>
    <w:rsid w:val="50F77C6C"/>
    <w:rsid w:val="50FE9CF1"/>
    <w:rsid w:val="5101D242"/>
    <w:rsid w:val="51052C81"/>
    <w:rsid w:val="510B98BF"/>
    <w:rsid w:val="510E6EB1"/>
    <w:rsid w:val="51188DCD"/>
    <w:rsid w:val="511BC3A0"/>
    <w:rsid w:val="511C1350"/>
    <w:rsid w:val="5120840A"/>
    <w:rsid w:val="512691D1"/>
    <w:rsid w:val="512EBCBD"/>
    <w:rsid w:val="5131B663"/>
    <w:rsid w:val="51336765"/>
    <w:rsid w:val="513DF1EE"/>
    <w:rsid w:val="514C598A"/>
    <w:rsid w:val="514CF115"/>
    <w:rsid w:val="514E8063"/>
    <w:rsid w:val="51508120"/>
    <w:rsid w:val="51509520"/>
    <w:rsid w:val="51522D70"/>
    <w:rsid w:val="5155B72F"/>
    <w:rsid w:val="51561994"/>
    <w:rsid w:val="51586465"/>
    <w:rsid w:val="515EB7FC"/>
    <w:rsid w:val="5162D019"/>
    <w:rsid w:val="51693CBF"/>
    <w:rsid w:val="5172CB19"/>
    <w:rsid w:val="517C9A71"/>
    <w:rsid w:val="517D38AE"/>
    <w:rsid w:val="51841575"/>
    <w:rsid w:val="51921D8D"/>
    <w:rsid w:val="5195B806"/>
    <w:rsid w:val="5195DAD4"/>
    <w:rsid w:val="519B9CD2"/>
    <w:rsid w:val="519BDF4B"/>
    <w:rsid w:val="519C3084"/>
    <w:rsid w:val="519DA81C"/>
    <w:rsid w:val="51A8DDCE"/>
    <w:rsid w:val="51B26F86"/>
    <w:rsid w:val="51BB93B3"/>
    <w:rsid w:val="51BD8B80"/>
    <w:rsid w:val="51BFFF43"/>
    <w:rsid w:val="51C25D5A"/>
    <w:rsid w:val="51C4E3B4"/>
    <w:rsid w:val="51CFD3DA"/>
    <w:rsid w:val="51D945AA"/>
    <w:rsid w:val="51DAB702"/>
    <w:rsid w:val="51DF1522"/>
    <w:rsid w:val="52032E4C"/>
    <w:rsid w:val="52066729"/>
    <w:rsid w:val="52093B2E"/>
    <w:rsid w:val="520BA0FC"/>
    <w:rsid w:val="520D76F8"/>
    <w:rsid w:val="5215ED96"/>
    <w:rsid w:val="52271DF7"/>
    <w:rsid w:val="522CCD8C"/>
    <w:rsid w:val="523087DF"/>
    <w:rsid w:val="523715BF"/>
    <w:rsid w:val="523C67BC"/>
    <w:rsid w:val="5251D8AC"/>
    <w:rsid w:val="52575950"/>
    <w:rsid w:val="525B52A9"/>
    <w:rsid w:val="526B3E8E"/>
    <w:rsid w:val="526E6289"/>
    <w:rsid w:val="526F9CCC"/>
    <w:rsid w:val="527331DF"/>
    <w:rsid w:val="527BEC2A"/>
    <w:rsid w:val="528871F3"/>
    <w:rsid w:val="528DF369"/>
    <w:rsid w:val="528FE3C9"/>
    <w:rsid w:val="52951F66"/>
    <w:rsid w:val="52A28C10"/>
    <w:rsid w:val="52A8B0AD"/>
    <w:rsid w:val="52ACE31E"/>
    <w:rsid w:val="52B06CC7"/>
    <w:rsid w:val="52B21CC9"/>
    <w:rsid w:val="52B300AB"/>
    <w:rsid w:val="52B8FB79"/>
    <w:rsid w:val="52BFC707"/>
    <w:rsid w:val="52CE1F0E"/>
    <w:rsid w:val="52CF2455"/>
    <w:rsid w:val="52DA527B"/>
    <w:rsid w:val="52E25322"/>
    <w:rsid w:val="52E4F021"/>
    <w:rsid w:val="52F0081D"/>
    <w:rsid w:val="52F5F49D"/>
    <w:rsid w:val="52F88508"/>
    <w:rsid w:val="52FBA32B"/>
    <w:rsid w:val="52FD7D04"/>
    <w:rsid w:val="52FF4AD9"/>
    <w:rsid w:val="530B5A32"/>
    <w:rsid w:val="5311BACE"/>
    <w:rsid w:val="5312002F"/>
    <w:rsid w:val="5317CDD9"/>
    <w:rsid w:val="5322E679"/>
    <w:rsid w:val="53249D1D"/>
    <w:rsid w:val="5336CE5B"/>
    <w:rsid w:val="53388C06"/>
    <w:rsid w:val="533DB13D"/>
    <w:rsid w:val="533EE0FC"/>
    <w:rsid w:val="5343A6C0"/>
    <w:rsid w:val="534A541C"/>
    <w:rsid w:val="5350D59B"/>
    <w:rsid w:val="5351CC42"/>
    <w:rsid w:val="5357F03D"/>
    <w:rsid w:val="53587A35"/>
    <w:rsid w:val="535B6C2E"/>
    <w:rsid w:val="536CE67B"/>
    <w:rsid w:val="536F899D"/>
    <w:rsid w:val="537633CC"/>
    <w:rsid w:val="53785BFA"/>
    <w:rsid w:val="537C4DE6"/>
    <w:rsid w:val="5389F8A5"/>
    <w:rsid w:val="538ABE9F"/>
    <w:rsid w:val="538C7C14"/>
    <w:rsid w:val="538EE25D"/>
    <w:rsid w:val="539C4234"/>
    <w:rsid w:val="539E1010"/>
    <w:rsid w:val="53A7715D"/>
    <w:rsid w:val="53AA810E"/>
    <w:rsid w:val="53AAB571"/>
    <w:rsid w:val="53AE92EC"/>
    <w:rsid w:val="53B21188"/>
    <w:rsid w:val="53B72B9F"/>
    <w:rsid w:val="53C35B9A"/>
    <w:rsid w:val="53CA18DE"/>
    <w:rsid w:val="53CC60AC"/>
    <w:rsid w:val="53CF6F2A"/>
    <w:rsid w:val="53D10612"/>
    <w:rsid w:val="53D507BD"/>
    <w:rsid w:val="53DA3171"/>
    <w:rsid w:val="53DA6A00"/>
    <w:rsid w:val="53E0BC72"/>
    <w:rsid w:val="53E7920A"/>
    <w:rsid w:val="53EF8AFE"/>
    <w:rsid w:val="53F9B1EC"/>
    <w:rsid w:val="53F9D47C"/>
    <w:rsid w:val="5405835C"/>
    <w:rsid w:val="540A3701"/>
    <w:rsid w:val="540DE83C"/>
    <w:rsid w:val="54114725"/>
    <w:rsid w:val="543C3046"/>
    <w:rsid w:val="543C9A32"/>
    <w:rsid w:val="544D0163"/>
    <w:rsid w:val="545296B4"/>
    <w:rsid w:val="5458BBE8"/>
    <w:rsid w:val="54669D83"/>
    <w:rsid w:val="546A2C5B"/>
    <w:rsid w:val="54708633"/>
    <w:rsid w:val="5472B021"/>
    <w:rsid w:val="54793846"/>
    <w:rsid w:val="547A13D5"/>
    <w:rsid w:val="547E66A8"/>
    <w:rsid w:val="548577D5"/>
    <w:rsid w:val="548BD87E"/>
    <w:rsid w:val="549795E5"/>
    <w:rsid w:val="54A15B39"/>
    <w:rsid w:val="54A48D34"/>
    <w:rsid w:val="54A5408A"/>
    <w:rsid w:val="54A56857"/>
    <w:rsid w:val="54B5AC44"/>
    <w:rsid w:val="54BC11C3"/>
    <w:rsid w:val="54C303D8"/>
    <w:rsid w:val="54C4D25C"/>
    <w:rsid w:val="54CB9A6D"/>
    <w:rsid w:val="54CD58C8"/>
    <w:rsid w:val="54D24788"/>
    <w:rsid w:val="54DE13E1"/>
    <w:rsid w:val="54EDB5ED"/>
    <w:rsid w:val="54EEA339"/>
    <w:rsid w:val="5504F9D2"/>
    <w:rsid w:val="5507145B"/>
    <w:rsid w:val="5510E5E6"/>
    <w:rsid w:val="5517E314"/>
    <w:rsid w:val="551ADCAD"/>
    <w:rsid w:val="552FFDED"/>
    <w:rsid w:val="55429926"/>
    <w:rsid w:val="55450EB5"/>
    <w:rsid w:val="554685D2"/>
    <w:rsid w:val="5549354F"/>
    <w:rsid w:val="554C7EDB"/>
    <w:rsid w:val="554D93F3"/>
    <w:rsid w:val="55505013"/>
    <w:rsid w:val="5557F8D0"/>
    <w:rsid w:val="5566B6B5"/>
    <w:rsid w:val="5576291E"/>
    <w:rsid w:val="5578B388"/>
    <w:rsid w:val="557AAC2A"/>
    <w:rsid w:val="557AEC76"/>
    <w:rsid w:val="557D95FF"/>
    <w:rsid w:val="55877A3A"/>
    <w:rsid w:val="5593F560"/>
    <w:rsid w:val="55943E2D"/>
    <w:rsid w:val="559C0934"/>
    <w:rsid w:val="559DDEA7"/>
    <w:rsid w:val="559F3500"/>
    <w:rsid w:val="55A555F1"/>
    <w:rsid w:val="55A83248"/>
    <w:rsid w:val="55A9F212"/>
    <w:rsid w:val="55AA8CF6"/>
    <w:rsid w:val="55AE2084"/>
    <w:rsid w:val="55B02C07"/>
    <w:rsid w:val="55BDD820"/>
    <w:rsid w:val="55C2F89F"/>
    <w:rsid w:val="55C5F8D2"/>
    <w:rsid w:val="55C9BA5B"/>
    <w:rsid w:val="55D6B3D6"/>
    <w:rsid w:val="55DEE8C0"/>
    <w:rsid w:val="55EA9642"/>
    <w:rsid w:val="55EBDDE7"/>
    <w:rsid w:val="56004ECC"/>
    <w:rsid w:val="5600FCF3"/>
    <w:rsid w:val="56011522"/>
    <w:rsid w:val="5601C46C"/>
    <w:rsid w:val="5603982F"/>
    <w:rsid w:val="560DFC32"/>
    <w:rsid w:val="5617DA26"/>
    <w:rsid w:val="561DC049"/>
    <w:rsid w:val="5625B5DE"/>
    <w:rsid w:val="5627EC80"/>
    <w:rsid w:val="562EC514"/>
    <w:rsid w:val="56338D00"/>
    <w:rsid w:val="56351DC6"/>
    <w:rsid w:val="563968AC"/>
    <w:rsid w:val="5642C203"/>
    <w:rsid w:val="564575DB"/>
    <w:rsid w:val="5645E136"/>
    <w:rsid w:val="56490916"/>
    <w:rsid w:val="564A35BD"/>
    <w:rsid w:val="564B8578"/>
    <w:rsid w:val="5655E8C1"/>
    <w:rsid w:val="565A274A"/>
    <w:rsid w:val="565B46C9"/>
    <w:rsid w:val="566E7994"/>
    <w:rsid w:val="566FFDD1"/>
    <w:rsid w:val="56725F8B"/>
    <w:rsid w:val="567673B9"/>
    <w:rsid w:val="567FA3EC"/>
    <w:rsid w:val="5680D768"/>
    <w:rsid w:val="5684349E"/>
    <w:rsid w:val="568D3C50"/>
    <w:rsid w:val="56928FC9"/>
    <w:rsid w:val="569E320D"/>
    <w:rsid w:val="56BF4AC3"/>
    <w:rsid w:val="56C59A3A"/>
    <w:rsid w:val="56C717B1"/>
    <w:rsid w:val="56CC8DE3"/>
    <w:rsid w:val="56DC851E"/>
    <w:rsid w:val="56E72025"/>
    <w:rsid w:val="56E7ABB6"/>
    <w:rsid w:val="56E9B24A"/>
    <w:rsid w:val="56EBC502"/>
    <w:rsid w:val="56EC57C7"/>
    <w:rsid w:val="56F32357"/>
    <w:rsid w:val="56F41740"/>
    <w:rsid w:val="56F46C33"/>
    <w:rsid w:val="56F6CCF4"/>
    <w:rsid w:val="56FF7E39"/>
    <w:rsid w:val="5702E9F1"/>
    <w:rsid w:val="57094DCD"/>
    <w:rsid w:val="570CD277"/>
    <w:rsid w:val="570D8E4F"/>
    <w:rsid w:val="57167C8B"/>
    <w:rsid w:val="571BD562"/>
    <w:rsid w:val="571DECDA"/>
    <w:rsid w:val="572820F6"/>
    <w:rsid w:val="572CAEAD"/>
    <w:rsid w:val="5737DF3F"/>
    <w:rsid w:val="5741BB05"/>
    <w:rsid w:val="57483C2F"/>
    <w:rsid w:val="574E230F"/>
    <w:rsid w:val="574E5CBA"/>
    <w:rsid w:val="57548664"/>
    <w:rsid w:val="575F8131"/>
    <w:rsid w:val="5762D248"/>
    <w:rsid w:val="576887CE"/>
    <w:rsid w:val="5771D6C7"/>
    <w:rsid w:val="577521F7"/>
    <w:rsid w:val="577B0383"/>
    <w:rsid w:val="579D6ADD"/>
    <w:rsid w:val="579DAAA9"/>
    <w:rsid w:val="57A2504F"/>
    <w:rsid w:val="57A712E4"/>
    <w:rsid w:val="57A786A0"/>
    <w:rsid w:val="57AC4E20"/>
    <w:rsid w:val="57BD3065"/>
    <w:rsid w:val="57C16B37"/>
    <w:rsid w:val="57C1863F"/>
    <w:rsid w:val="57C453D0"/>
    <w:rsid w:val="57CB9674"/>
    <w:rsid w:val="57D42EA7"/>
    <w:rsid w:val="57DC13B4"/>
    <w:rsid w:val="57E93AB6"/>
    <w:rsid w:val="57F7F1AE"/>
    <w:rsid w:val="57F92E3A"/>
    <w:rsid w:val="57FB0EFF"/>
    <w:rsid w:val="580032F9"/>
    <w:rsid w:val="58051FF6"/>
    <w:rsid w:val="5805FCD4"/>
    <w:rsid w:val="580C58AD"/>
    <w:rsid w:val="5816C193"/>
    <w:rsid w:val="581AB081"/>
    <w:rsid w:val="581D91F2"/>
    <w:rsid w:val="581E928E"/>
    <w:rsid w:val="58282882"/>
    <w:rsid w:val="582F54F1"/>
    <w:rsid w:val="58351CB3"/>
    <w:rsid w:val="5839BD92"/>
    <w:rsid w:val="583C1C7E"/>
    <w:rsid w:val="583FC228"/>
    <w:rsid w:val="58423DEA"/>
    <w:rsid w:val="58471CFC"/>
    <w:rsid w:val="58612E1D"/>
    <w:rsid w:val="586DC609"/>
    <w:rsid w:val="586E40D0"/>
    <w:rsid w:val="58702CEF"/>
    <w:rsid w:val="58713C56"/>
    <w:rsid w:val="58718133"/>
    <w:rsid w:val="5877EC35"/>
    <w:rsid w:val="587BE1C9"/>
    <w:rsid w:val="588167EF"/>
    <w:rsid w:val="588AA990"/>
    <w:rsid w:val="589E47CB"/>
    <w:rsid w:val="58A4FF60"/>
    <w:rsid w:val="58A66215"/>
    <w:rsid w:val="58B4DE6E"/>
    <w:rsid w:val="58B5E554"/>
    <w:rsid w:val="58B64B99"/>
    <w:rsid w:val="58BF7CBF"/>
    <w:rsid w:val="58CB31EF"/>
    <w:rsid w:val="58D4C3C8"/>
    <w:rsid w:val="58D732EB"/>
    <w:rsid w:val="58DF1E6D"/>
    <w:rsid w:val="58DF3E50"/>
    <w:rsid w:val="58E1434F"/>
    <w:rsid w:val="58E90C96"/>
    <w:rsid w:val="58EC1980"/>
    <w:rsid w:val="590344BE"/>
    <w:rsid w:val="59094267"/>
    <w:rsid w:val="591A0C70"/>
    <w:rsid w:val="591C82E0"/>
    <w:rsid w:val="591CB3E0"/>
    <w:rsid w:val="591DA52A"/>
    <w:rsid w:val="593597E4"/>
    <w:rsid w:val="594E9CC2"/>
    <w:rsid w:val="595FC7BE"/>
    <w:rsid w:val="596F40EA"/>
    <w:rsid w:val="596F6A19"/>
    <w:rsid w:val="596FEC2C"/>
    <w:rsid w:val="597289D3"/>
    <w:rsid w:val="59729A77"/>
    <w:rsid w:val="598CE6A5"/>
    <w:rsid w:val="59A0E459"/>
    <w:rsid w:val="59AD78C2"/>
    <w:rsid w:val="59B5E26B"/>
    <w:rsid w:val="59CFFF8E"/>
    <w:rsid w:val="59D43A79"/>
    <w:rsid w:val="59DDB952"/>
    <w:rsid w:val="59DEEB20"/>
    <w:rsid w:val="59E82195"/>
    <w:rsid w:val="59E9E199"/>
    <w:rsid w:val="59ECEF3D"/>
    <w:rsid w:val="59F3A3FF"/>
    <w:rsid w:val="59F638DA"/>
    <w:rsid w:val="59F63D79"/>
    <w:rsid w:val="59F6C5CF"/>
    <w:rsid w:val="5A0C6046"/>
    <w:rsid w:val="5A20FF7B"/>
    <w:rsid w:val="5A2EEBD2"/>
    <w:rsid w:val="5A31A8B3"/>
    <w:rsid w:val="5A334DCD"/>
    <w:rsid w:val="5A4B8C03"/>
    <w:rsid w:val="5A4FAE1C"/>
    <w:rsid w:val="5A504D1B"/>
    <w:rsid w:val="5A5FCD71"/>
    <w:rsid w:val="5A645D61"/>
    <w:rsid w:val="5A6B1E7F"/>
    <w:rsid w:val="5A6D647E"/>
    <w:rsid w:val="5A6EE89C"/>
    <w:rsid w:val="5A7FED2A"/>
    <w:rsid w:val="5A84E98C"/>
    <w:rsid w:val="5A8D685E"/>
    <w:rsid w:val="5A94BED7"/>
    <w:rsid w:val="5A9923EF"/>
    <w:rsid w:val="5A992499"/>
    <w:rsid w:val="5AA18AF2"/>
    <w:rsid w:val="5AA1C404"/>
    <w:rsid w:val="5AA5E587"/>
    <w:rsid w:val="5AA761A2"/>
    <w:rsid w:val="5AADF957"/>
    <w:rsid w:val="5AB6035C"/>
    <w:rsid w:val="5AB61982"/>
    <w:rsid w:val="5AB6A064"/>
    <w:rsid w:val="5AB8E48A"/>
    <w:rsid w:val="5ABA9DC4"/>
    <w:rsid w:val="5ABF9CF6"/>
    <w:rsid w:val="5AC58E75"/>
    <w:rsid w:val="5AD48B5A"/>
    <w:rsid w:val="5ADC3F7D"/>
    <w:rsid w:val="5AEDE077"/>
    <w:rsid w:val="5AEFA003"/>
    <w:rsid w:val="5AF5CEE1"/>
    <w:rsid w:val="5AF822EB"/>
    <w:rsid w:val="5AFB75C2"/>
    <w:rsid w:val="5B006361"/>
    <w:rsid w:val="5B040C08"/>
    <w:rsid w:val="5B0B1640"/>
    <w:rsid w:val="5B0FB5E3"/>
    <w:rsid w:val="5B2506C8"/>
    <w:rsid w:val="5B26E5F3"/>
    <w:rsid w:val="5B285E88"/>
    <w:rsid w:val="5B2D5443"/>
    <w:rsid w:val="5B2E4935"/>
    <w:rsid w:val="5B3148E4"/>
    <w:rsid w:val="5B33D86F"/>
    <w:rsid w:val="5B34F9FD"/>
    <w:rsid w:val="5B3E54D4"/>
    <w:rsid w:val="5B436951"/>
    <w:rsid w:val="5B480F59"/>
    <w:rsid w:val="5B53FCA1"/>
    <w:rsid w:val="5B5E2EAC"/>
    <w:rsid w:val="5B631232"/>
    <w:rsid w:val="5B64D92F"/>
    <w:rsid w:val="5B700ADA"/>
    <w:rsid w:val="5B739FE4"/>
    <w:rsid w:val="5B7EB1C5"/>
    <w:rsid w:val="5B86A985"/>
    <w:rsid w:val="5B89B408"/>
    <w:rsid w:val="5B8E37EE"/>
    <w:rsid w:val="5B90785A"/>
    <w:rsid w:val="5B96E0F5"/>
    <w:rsid w:val="5B98108A"/>
    <w:rsid w:val="5B9C4CBA"/>
    <w:rsid w:val="5BA7262D"/>
    <w:rsid w:val="5BAAF305"/>
    <w:rsid w:val="5BAD7946"/>
    <w:rsid w:val="5BAD9694"/>
    <w:rsid w:val="5BB07519"/>
    <w:rsid w:val="5BB176E2"/>
    <w:rsid w:val="5BB92B6A"/>
    <w:rsid w:val="5BBCB630"/>
    <w:rsid w:val="5BC06D79"/>
    <w:rsid w:val="5BC24A52"/>
    <w:rsid w:val="5BCEBB01"/>
    <w:rsid w:val="5BD92E4D"/>
    <w:rsid w:val="5BDD4526"/>
    <w:rsid w:val="5BDE100E"/>
    <w:rsid w:val="5BE60C24"/>
    <w:rsid w:val="5BE96E9D"/>
    <w:rsid w:val="5BF1B27E"/>
    <w:rsid w:val="5BF4469F"/>
    <w:rsid w:val="5C048DB2"/>
    <w:rsid w:val="5C07016A"/>
    <w:rsid w:val="5C0A454B"/>
    <w:rsid w:val="5C0AA312"/>
    <w:rsid w:val="5C0B5848"/>
    <w:rsid w:val="5C1025ED"/>
    <w:rsid w:val="5C13F6CE"/>
    <w:rsid w:val="5C1DB70A"/>
    <w:rsid w:val="5C25A77A"/>
    <w:rsid w:val="5C2831FA"/>
    <w:rsid w:val="5C2DB010"/>
    <w:rsid w:val="5C2F56D9"/>
    <w:rsid w:val="5C3087CB"/>
    <w:rsid w:val="5C318210"/>
    <w:rsid w:val="5C4695C1"/>
    <w:rsid w:val="5C4A3446"/>
    <w:rsid w:val="5C5DDCFF"/>
    <w:rsid w:val="5C61C4A5"/>
    <w:rsid w:val="5C706CA0"/>
    <w:rsid w:val="5C75FB1A"/>
    <w:rsid w:val="5C7D9DDD"/>
    <w:rsid w:val="5C85314D"/>
    <w:rsid w:val="5C884522"/>
    <w:rsid w:val="5C8F907F"/>
    <w:rsid w:val="5C96E4FA"/>
    <w:rsid w:val="5C979FEB"/>
    <w:rsid w:val="5CA23073"/>
    <w:rsid w:val="5CA85CAA"/>
    <w:rsid w:val="5CABA863"/>
    <w:rsid w:val="5CB2E1D0"/>
    <w:rsid w:val="5CB7A7D2"/>
    <w:rsid w:val="5CBF595D"/>
    <w:rsid w:val="5CC0F289"/>
    <w:rsid w:val="5CC106EC"/>
    <w:rsid w:val="5CC6BC64"/>
    <w:rsid w:val="5CC91701"/>
    <w:rsid w:val="5CD4E0A2"/>
    <w:rsid w:val="5CDB90AA"/>
    <w:rsid w:val="5CDC3011"/>
    <w:rsid w:val="5CDC6A46"/>
    <w:rsid w:val="5CFEC1A5"/>
    <w:rsid w:val="5D0727BF"/>
    <w:rsid w:val="5D0A9655"/>
    <w:rsid w:val="5D0F42BC"/>
    <w:rsid w:val="5D0F5CF1"/>
    <w:rsid w:val="5D0FDD56"/>
    <w:rsid w:val="5D195F95"/>
    <w:rsid w:val="5D1A0C88"/>
    <w:rsid w:val="5D1F0B59"/>
    <w:rsid w:val="5D204417"/>
    <w:rsid w:val="5D21825B"/>
    <w:rsid w:val="5D25A974"/>
    <w:rsid w:val="5D2AD934"/>
    <w:rsid w:val="5D395CB8"/>
    <w:rsid w:val="5D3DFF00"/>
    <w:rsid w:val="5D3ED453"/>
    <w:rsid w:val="5D440054"/>
    <w:rsid w:val="5D50A131"/>
    <w:rsid w:val="5D55E656"/>
    <w:rsid w:val="5D581DFB"/>
    <w:rsid w:val="5D6262B5"/>
    <w:rsid w:val="5D774B0C"/>
    <w:rsid w:val="5D7C879F"/>
    <w:rsid w:val="5D81CE6D"/>
    <w:rsid w:val="5D8CBF6E"/>
    <w:rsid w:val="5D9CFC0A"/>
    <w:rsid w:val="5DA728A9"/>
    <w:rsid w:val="5DABFAEE"/>
    <w:rsid w:val="5DAE3CD5"/>
    <w:rsid w:val="5DBF6B39"/>
    <w:rsid w:val="5DC62081"/>
    <w:rsid w:val="5DE634EC"/>
    <w:rsid w:val="5DE8E24B"/>
    <w:rsid w:val="5DF5DCA8"/>
    <w:rsid w:val="5DFB6F6A"/>
    <w:rsid w:val="5E051472"/>
    <w:rsid w:val="5E0CB0CE"/>
    <w:rsid w:val="5E0E9D62"/>
    <w:rsid w:val="5E0F088F"/>
    <w:rsid w:val="5E0F3396"/>
    <w:rsid w:val="5E10A211"/>
    <w:rsid w:val="5E124BC0"/>
    <w:rsid w:val="5E1567D0"/>
    <w:rsid w:val="5E190BB7"/>
    <w:rsid w:val="5E1F49FB"/>
    <w:rsid w:val="5E21BCAB"/>
    <w:rsid w:val="5E361FE1"/>
    <w:rsid w:val="5E37FF04"/>
    <w:rsid w:val="5E3872A7"/>
    <w:rsid w:val="5E392C28"/>
    <w:rsid w:val="5E3DF35A"/>
    <w:rsid w:val="5E4059AB"/>
    <w:rsid w:val="5E4CE5F1"/>
    <w:rsid w:val="5E4E2C40"/>
    <w:rsid w:val="5E501F72"/>
    <w:rsid w:val="5E684D48"/>
    <w:rsid w:val="5E6EED3D"/>
    <w:rsid w:val="5E7241B1"/>
    <w:rsid w:val="5E76D031"/>
    <w:rsid w:val="5E7BBC55"/>
    <w:rsid w:val="5E80E9E5"/>
    <w:rsid w:val="5E9A3A03"/>
    <w:rsid w:val="5E9BDB75"/>
    <w:rsid w:val="5EA7AB9C"/>
    <w:rsid w:val="5EB5B4F1"/>
    <w:rsid w:val="5EBE2A68"/>
    <w:rsid w:val="5EC1396F"/>
    <w:rsid w:val="5EC58429"/>
    <w:rsid w:val="5ECBF6AA"/>
    <w:rsid w:val="5ED0B039"/>
    <w:rsid w:val="5EDB614D"/>
    <w:rsid w:val="5EE0822A"/>
    <w:rsid w:val="5EE30479"/>
    <w:rsid w:val="5EE87F13"/>
    <w:rsid w:val="5EEB2A91"/>
    <w:rsid w:val="5EF263D3"/>
    <w:rsid w:val="5EF869B5"/>
    <w:rsid w:val="5EFC593F"/>
    <w:rsid w:val="5EFC9A2B"/>
    <w:rsid w:val="5F193BF3"/>
    <w:rsid w:val="5F1D11CC"/>
    <w:rsid w:val="5F1DAC82"/>
    <w:rsid w:val="5F1E32F5"/>
    <w:rsid w:val="5F287D9A"/>
    <w:rsid w:val="5F3B2073"/>
    <w:rsid w:val="5F3E9F8B"/>
    <w:rsid w:val="5F3F4976"/>
    <w:rsid w:val="5F509A89"/>
    <w:rsid w:val="5F59067D"/>
    <w:rsid w:val="5F593990"/>
    <w:rsid w:val="5F6026D0"/>
    <w:rsid w:val="5F66578D"/>
    <w:rsid w:val="5F672196"/>
    <w:rsid w:val="5F68089C"/>
    <w:rsid w:val="5F6C9CE6"/>
    <w:rsid w:val="5F81FD6B"/>
    <w:rsid w:val="5F823539"/>
    <w:rsid w:val="5F8A33B8"/>
    <w:rsid w:val="5F8D4604"/>
    <w:rsid w:val="5F9297B7"/>
    <w:rsid w:val="5F9B6195"/>
    <w:rsid w:val="5FA3DCF1"/>
    <w:rsid w:val="5FAC0166"/>
    <w:rsid w:val="5FAF2A89"/>
    <w:rsid w:val="5FB0F40D"/>
    <w:rsid w:val="5FBEDFF4"/>
    <w:rsid w:val="5FCCB133"/>
    <w:rsid w:val="5FD0DC9C"/>
    <w:rsid w:val="5FD2B7CE"/>
    <w:rsid w:val="5FD485AA"/>
    <w:rsid w:val="5FD90993"/>
    <w:rsid w:val="5FDD5506"/>
    <w:rsid w:val="5FDD7597"/>
    <w:rsid w:val="5FE0D58B"/>
    <w:rsid w:val="5FE5F0D0"/>
    <w:rsid w:val="5FE6B580"/>
    <w:rsid w:val="5FFACDC5"/>
    <w:rsid w:val="5FFADF21"/>
    <w:rsid w:val="5FFB593A"/>
    <w:rsid w:val="6001EF28"/>
    <w:rsid w:val="60077BAC"/>
    <w:rsid w:val="60124FEE"/>
    <w:rsid w:val="601AF113"/>
    <w:rsid w:val="601C36A9"/>
    <w:rsid w:val="601CDB10"/>
    <w:rsid w:val="601E9E9E"/>
    <w:rsid w:val="601EEDE5"/>
    <w:rsid w:val="603DFF3D"/>
    <w:rsid w:val="603FA7FB"/>
    <w:rsid w:val="603FEDDC"/>
    <w:rsid w:val="6047F8EF"/>
    <w:rsid w:val="606C2D1A"/>
    <w:rsid w:val="607062D2"/>
    <w:rsid w:val="6086E5FA"/>
    <w:rsid w:val="608AF662"/>
    <w:rsid w:val="60982E85"/>
    <w:rsid w:val="6099E7E0"/>
    <w:rsid w:val="609CDA50"/>
    <w:rsid w:val="60A0B490"/>
    <w:rsid w:val="60A4C27B"/>
    <w:rsid w:val="60AA27FF"/>
    <w:rsid w:val="60B4868A"/>
    <w:rsid w:val="60B6EF4F"/>
    <w:rsid w:val="60B85093"/>
    <w:rsid w:val="60B980D6"/>
    <w:rsid w:val="60C4A2EA"/>
    <w:rsid w:val="60C92AAF"/>
    <w:rsid w:val="60CDA24C"/>
    <w:rsid w:val="60D1C3FC"/>
    <w:rsid w:val="60D85D2D"/>
    <w:rsid w:val="60D9BDB3"/>
    <w:rsid w:val="60DA1A60"/>
    <w:rsid w:val="60DA6003"/>
    <w:rsid w:val="60E84514"/>
    <w:rsid w:val="60EFA02E"/>
    <w:rsid w:val="60F05078"/>
    <w:rsid w:val="60F8811D"/>
    <w:rsid w:val="611081B2"/>
    <w:rsid w:val="6114CAEF"/>
    <w:rsid w:val="6117E239"/>
    <w:rsid w:val="61183157"/>
    <w:rsid w:val="61228984"/>
    <w:rsid w:val="61305D95"/>
    <w:rsid w:val="61344105"/>
    <w:rsid w:val="613A7295"/>
    <w:rsid w:val="613AA35A"/>
    <w:rsid w:val="613ACC07"/>
    <w:rsid w:val="613E94D7"/>
    <w:rsid w:val="61447F99"/>
    <w:rsid w:val="6149698D"/>
    <w:rsid w:val="6149B378"/>
    <w:rsid w:val="614D756C"/>
    <w:rsid w:val="61556A17"/>
    <w:rsid w:val="61618E44"/>
    <w:rsid w:val="61649283"/>
    <w:rsid w:val="617984E4"/>
    <w:rsid w:val="6189763C"/>
    <w:rsid w:val="618CC4AA"/>
    <w:rsid w:val="618FFAD6"/>
    <w:rsid w:val="6199E64F"/>
    <w:rsid w:val="619BFD5C"/>
    <w:rsid w:val="619FDA1F"/>
    <w:rsid w:val="61A2B5F9"/>
    <w:rsid w:val="61C0D613"/>
    <w:rsid w:val="61C42CCE"/>
    <w:rsid w:val="61C73179"/>
    <w:rsid w:val="61CE30BB"/>
    <w:rsid w:val="61D457FE"/>
    <w:rsid w:val="61D4758D"/>
    <w:rsid w:val="61DF792C"/>
    <w:rsid w:val="62010B8C"/>
    <w:rsid w:val="6202F6FD"/>
    <w:rsid w:val="62093CD3"/>
    <w:rsid w:val="620F3C1A"/>
    <w:rsid w:val="62118969"/>
    <w:rsid w:val="6225B774"/>
    <w:rsid w:val="6226E8E9"/>
    <w:rsid w:val="6229FF7B"/>
    <w:rsid w:val="622BD472"/>
    <w:rsid w:val="622CE1C7"/>
    <w:rsid w:val="62314B2E"/>
    <w:rsid w:val="62318BD6"/>
    <w:rsid w:val="6241EF55"/>
    <w:rsid w:val="625086BE"/>
    <w:rsid w:val="625787F0"/>
    <w:rsid w:val="62587679"/>
    <w:rsid w:val="6259CCE1"/>
    <w:rsid w:val="625AF466"/>
    <w:rsid w:val="62648513"/>
    <w:rsid w:val="6265A469"/>
    <w:rsid w:val="62668590"/>
    <w:rsid w:val="6271C5C2"/>
    <w:rsid w:val="62805213"/>
    <w:rsid w:val="62841723"/>
    <w:rsid w:val="628D6F90"/>
    <w:rsid w:val="62A6E4DA"/>
    <w:rsid w:val="62AA2704"/>
    <w:rsid w:val="62AA6DC9"/>
    <w:rsid w:val="62ACBFD7"/>
    <w:rsid w:val="62B024AD"/>
    <w:rsid w:val="62B307A6"/>
    <w:rsid w:val="62BC5643"/>
    <w:rsid w:val="62BDAA2B"/>
    <w:rsid w:val="62C85981"/>
    <w:rsid w:val="62CBFF22"/>
    <w:rsid w:val="62D05FA9"/>
    <w:rsid w:val="62D6C1B7"/>
    <w:rsid w:val="62D74B40"/>
    <w:rsid w:val="62DDD5B3"/>
    <w:rsid w:val="62E2909B"/>
    <w:rsid w:val="62E4F045"/>
    <w:rsid w:val="62EAFCEB"/>
    <w:rsid w:val="62F0D988"/>
    <w:rsid w:val="62F96CFB"/>
    <w:rsid w:val="62FBED27"/>
    <w:rsid w:val="630AA3A3"/>
    <w:rsid w:val="630CDAA5"/>
    <w:rsid w:val="630F104A"/>
    <w:rsid w:val="6315E807"/>
    <w:rsid w:val="6326F752"/>
    <w:rsid w:val="63287EA5"/>
    <w:rsid w:val="633069C1"/>
    <w:rsid w:val="63310F2A"/>
    <w:rsid w:val="633171E2"/>
    <w:rsid w:val="633295A1"/>
    <w:rsid w:val="633B75A1"/>
    <w:rsid w:val="633B7883"/>
    <w:rsid w:val="633DBE7D"/>
    <w:rsid w:val="6343284C"/>
    <w:rsid w:val="6343AFDC"/>
    <w:rsid w:val="634489BF"/>
    <w:rsid w:val="634767A1"/>
    <w:rsid w:val="634C4799"/>
    <w:rsid w:val="634F7ED1"/>
    <w:rsid w:val="6354DFAB"/>
    <w:rsid w:val="635C1837"/>
    <w:rsid w:val="636C6938"/>
    <w:rsid w:val="636E655F"/>
    <w:rsid w:val="637DB393"/>
    <w:rsid w:val="637E8F77"/>
    <w:rsid w:val="63807260"/>
    <w:rsid w:val="638703DA"/>
    <w:rsid w:val="639933B3"/>
    <w:rsid w:val="639DE9F7"/>
    <w:rsid w:val="63AD12CB"/>
    <w:rsid w:val="63B9B9E6"/>
    <w:rsid w:val="63BEA52C"/>
    <w:rsid w:val="63CCF569"/>
    <w:rsid w:val="63E93412"/>
    <w:rsid w:val="63E977FB"/>
    <w:rsid w:val="63F55954"/>
    <w:rsid w:val="63FB0882"/>
    <w:rsid w:val="63FEFBBA"/>
    <w:rsid w:val="6400DB5C"/>
    <w:rsid w:val="6401948C"/>
    <w:rsid w:val="6410F45A"/>
    <w:rsid w:val="641DA61A"/>
    <w:rsid w:val="6423E78E"/>
    <w:rsid w:val="64269CE5"/>
    <w:rsid w:val="642723DE"/>
    <w:rsid w:val="642CE8B3"/>
    <w:rsid w:val="642E2869"/>
    <w:rsid w:val="6440BE60"/>
    <w:rsid w:val="6443BD45"/>
    <w:rsid w:val="6454D39A"/>
    <w:rsid w:val="6456C4B4"/>
    <w:rsid w:val="645F07E9"/>
    <w:rsid w:val="64618EC2"/>
    <w:rsid w:val="646C71A0"/>
    <w:rsid w:val="64725527"/>
    <w:rsid w:val="64734BA3"/>
    <w:rsid w:val="6477D372"/>
    <w:rsid w:val="647B42A1"/>
    <w:rsid w:val="647E0413"/>
    <w:rsid w:val="6489B7A7"/>
    <w:rsid w:val="6489BF64"/>
    <w:rsid w:val="64916B08"/>
    <w:rsid w:val="649636AF"/>
    <w:rsid w:val="64975D1B"/>
    <w:rsid w:val="6499CB9A"/>
    <w:rsid w:val="64A33C5F"/>
    <w:rsid w:val="64AC50BF"/>
    <w:rsid w:val="64BAE76C"/>
    <w:rsid w:val="64BB0983"/>
    <w:rsid w:val="64C0D9C9"/>
    <w:rsid w:val="64D03901"/>
    <w:rsid w:val="64EB806D"/>
    <w:rsid w:val="64F02FE2"/>
    <w:rsid w:val="64F58D48"/>
    <w:rsid w:val="64F7380E"/>
    <w:rsid w:val="6508250D"/>
    <w:rsid w:val="65086D2F"/>
    <w:rsid w:val="65092944"/>
    <w:rsid w:val="650953C6"/>
    <w:rsid w:val="650DE4E4"/>
    <w:rsid w:val="651A92C8"/>
    <w:rsid w:val="6526E85A"/>
    <w:rsid w:val="65287DB9"/>
    <w:rsid w:val="6535DD7F"/>
    <w:rsid w:val="653952E1"/>
    <w:rsid w:val="653EF740"/>
    <w:rsid w:val="655923EF"/>
    <w:rsid w:val="655D6C2F"/>
    <w:rsid w:val="655DD497"/>
    <w:rsid w:val="6564A872"/>
    <w:rsid w:val="656AA827"/>
    <w:rsid w:val="6578875E"/>
    <w:rsid w:val="657DFF87"/>
    <w:rsid w:val="65ACD23F"/>
    <w:rsid w:val="65B31848"/>
    <w:rsid w:val="65B76062"/>
    <w:rsid w:val="65E04CDF"/>
    <w:rsid w:val="65E70CA8"/>
    <w:rsid w:val="65E8B04A"/>
    <w:rsid w:val="65E9E722"/>
    <w:rsid w:val="65EF7EBA"/>
    <w:rsid w:val="65F0AFFF"/>
    <w:rsid w:val="65F5EAE0"/>
    <w:rsid w:val="6634FF67"/>
    <w:rsid w:val="663C46B8"/>
    <w:rsid w:val="66417EF5"/>
    <w:rsid w:val="6643EB6A"/>
    <w:rsid w:val="664489C3"/>
    <w:rsid w:val="664A8400"/>
    <w:rsid w:val="664CEC6D"/>
    <w:rsid w:val="66550E39"/>
    <w:rsid w:val="66557FEC"/>
    <w:rsid w:val="6661963D"/>
    <w:rsid w:val="6661D606"/>
    <w:rsid w:val="66674B76"/>
    <w:rsid w:val="667EDE58"/>
    <w:rsid w:val="667F1D31"/>
    <w:rsid w:val="6681D9F7"/>
    <w:rsid w:val="668492E7"/>
    <w:rsid w:val="668ADB0E"/>
    <w:rsid w:val="668F3E41"/>
    <w:rsid w:val="669719AF"/>
    <w:rsid w:val="669E617E"/>
    <w:rsid w:val="66A06751"/>
    <w:rsid w:val="66A56694"/>
    <w:rsid w:val="66B2BD81"/>
    <w:rsid w:val="66B6E504"/>
    <w:rsid w:val="66B7490B"/>
    <w:rsid w:val="66C0E5B4"/>
    <w:rsid w:val="66C48B4C"/>
    <w:rsid w:val="66D68339"/>
    <w:rsid w:val="66DCFC35"/>
    <w:rsid w:val="66E2A6E3"/>
    <w:rsid w:val="66E54AA9"/>
    <w:rsid w:val="66E969C6"/>
    <w:rsid w:val="66EE6C1F"/>
    <w:rsid w:val="66F15B76"/>
    <w:rsid w:val="66F303B8"/>
    <w:rsid w:val="67011F92"/>
    <w:rsid w:val="67016CF7"/>
    <w:rsid w:val="6704B6CD"/>
    <w:rsid w:val="6704D055"/>
    <w:rsid w:val="6704F3E9"/>
    <w:rsid w:val="6705AE4C"/>
    <w:rsid w:val="670784E5"/>
    <w:rsid w:val="67089033"/>
    <w:rsid w:val="6710ABD4"/>
    <w:rsid w:val="671880B5"/>
    <w:rsid w:val="6718AAE0"/>
    <w:rsid w:val="671FC5A9"/>
    <w:rsid w:val="672187F9"/>
    <w:rsid w:val="6729438E"/>
    <w:rsid w:val="672A838C"/>
    <w:rsid w:val="672DC9AC"/>
    <w:rsid w:val="673426B6"/>
    <w:rsid w:val="6741EB22"/>
    <w:rsid w:val="675EC4A0"/>
    <w:rsid w:val="6765C9AE"/>
    <w:rsid w:val="6767D1F0"/>
    <w:rsid w:val="67682F6C"/>
    <w:rsid w:val="676E8BE2"/>
    <w:rsid w:val="6774E4EC"/>
    <w:rsid w:val="6777AEB3"/>
    <w:rsid w:val="677D5C1B"/>
    <w:rsid w:val="677DDEEC"/>
    <w:rsid w:val="67909B01"/>
    <w:rsid w:val="6791115F"/>
    <w:rsid w:val="679177E1"/>
    <w:rsid w:val="6792ED45"/>
    <w:rsid w:val="6795121D"/>
    <w:rsid w:val="67A3871B"/>
    <w:rsid w:val="67A5BA1B"/>
    <w:rsid w:val="67A829B9"/>
    <w:rsid w:val="67AE0EEF"/>
    <w:rsid w:val="67B62E3F"/>
    <w:rsid w:val="67B72EB2"/>
    <w:rsid w:val="67BA68D6"/>
    <w:rsid w:val="67C15589"/>
    <w:rsid w:val="67CA88C9"/>
    <w:rsid w:val="67D14816"/>
    <w:rsid w:val="67ECEC69"/>
    <w:rsid w:val="67EE1147"/>
    <w:rsid w:val="68029E78"/>
    <w:rsid w:val="68099035"/>
    <w:rsid w:val="681AF831"/>
    <w:rsid w:val="68287DF2"/>
    <w:rsid w:val="682C0486"/>
    <w:rsid w:val="682CA939"/>
    <w:rsid w:val="682E7505"/>
    <w:rsid w:val="6832DC66"/>
    <w:rsid w:val="683787AC"/>
    <w:rsid w:val="683A05DE"/>
    <w:rsid w:val="683AAF45"/>
    <w:rsid w:val="684B06DD"/>
    <w:rsid w:val="684D69E9"/>
    <w:rsid w:val="6856AB31"/>
    <w:rsid w:val="685F346F"/>
    <w:rsid w:val="6869A802"/>
    <w:rsid w:val="6880581E"/>
    <w:rsid w:val="68814420"/>
    <w:rsid w:val="68848062"/>
    <w:rsid w:val="68866F67"/>
    <w:rsid w:val="688B4209"/>
    <w:rsid w:val="68908120"/>
    <w:rsid w:val="6891DE77"/>
    <w:rsid w:val="689B4569"/>
    <w:rsid w:val="689B9B4C"/>
    <w:rsid w:val="68BC080B"/>
    <w:rsid w:val="68BF7263"/>
    <w:rsid w:val="68D05E3C"/>
    <w:rsid w:val="68D85C26"/>
    <w:rsid w:val="68DB0B31"/>
    <w:rsid w:val="68DFE68E"/>
    <w:rsid w:val="68E8B679"/>
    <w:rsid w:val="68EABEB8"/>
    <w:rsid w:val="68EBCB86"/>
    <w:rsid w:val="68FAFD01"/>
    <w:rsid w:val="6901BC6A"/>
    <w:rsid w:val="69058D55"/>
    <w:rsid w:val="690668B2"/>
    <w:rsid w:val="6909220F"/>
    <w:rsid w:val="690B63FC"/>
    <w:rsid w:val="690C187F"/>
    <w:rsid w:val="691049E9"/>
    <w:rsid w:val="6916CB70"/>
    <w:rsid w:val="6928D629"/>
    <w:rsid w:val="6939B0A3"/>
    <w:rsid w:val="693A0039"/>
    <w:rsid w:val="693ACDCE"/>
    <w:rsid w:val="6942A41D"/>
    <w:rsid w:val="69434ECC"/>
    <w:rsid w:val="6949DF50"/>
    <w:rsid w:val="694B2030"/>
    <w:rsid w:val="694ECCE1"/>
    <w:rsid w:val="69538BAC"/>
    <w:rsid w:val="6957F7F5"/>
    <w:rsid w:val="695BEC1A"/>
    <w:rsid w:val="695C733A"/>
    <w:rsid w:val="696D7C9E"/>
    <w:rsid w:val="697221AE"/>
    <w:rsid w:val="6972EC21"/>
    <w:rsid w:val="69732916"/>
    <w:rsid w:val="697B174B"/>
    <w:rsid w:val="697F63F5"/>
    <w:rsid w:val="69864CF7"/>
    <w:rsid w:val="698F15D7"/>
    <w:rsid w:val="6993322A"/>
    <w:rsid w:val="69967045"/>
    <w:rsid w:val="69997630"/>
    <w:rsid w:val="69ABF792"/>
    <w:rsid w:val="69AFD95C"/>
    <w:rsid w:val="69B0B4B5"/>
    <w:rsid w:val="69BB911E"/>
    <w:rsid w:val="69C39C8C"/>
    <w:rsid w:val="69D90CAD"/>
    <w:rsid w:val="69D91DAF"/>
    <w:rsid w:val="69DCC4E9"/>
    <w:rsid w:val="69E2EE62"/>
    <w:rsid w:val="69E9424A"/>
    <w:rsid w:val="69EADCFA"/>
    <w:rsid w:val="69EEC58A"/>
    <w:rsid w:val="69F2CBB0"/>
    <w:rsid w:val="6A03D125"/>
    <w:rsid w:val="6A09C700"/>
    <w:rsid w:val="6A0A4CA6"/>
    <w:rsid w:val="6A0AEA40"/>
    <w:rsid w:val="6A135C62"/>
    <w:rsid w:val="6A16F07A"/>
    <w:rsid w:val="6A1B3C74"/>
    <w:rsid w:val="6A23914B"/>
    <w:rsid w:val="6A359783"/>
    <w:rsid w:val="6A44402A"/>
    <w:rsid w:val="6A509099"/>
    <w:rsid w:val="6A563E7A"/>
    <w:rsid w:val="6A597657"/>
    <w:rsid w:val="6A59D539"/>
    <w:rsid w:val="6A6180EA"/>
    <w:rsid w:val="6A62094F"/>
    <w:rsid w:val="6A648362"/>
    <w:rsid w:val="6A719775"/>
    <w:rsid w:val="6A8D69A1"/>
    <w:rsid w:val="6A8DE1B6"/>
    <w:rsid w:val="6A935895"/>
    <w:rsid w:val="6A9529FA"/>
    <w:rsid w:val="6AA4B172"/>
    <w:rsid w:val="6AACDFD1"/>
    <w:rsid w:val="6AB07C8C"/>
    <w:rsid w:val="6AB5014C"/>
    <w:rsid w:val="6ABA85B5"/>
    <w:rsid w:val="6AC860B3"/>
    <w:rsid w:val="6ACDFB77"/>
    <w:rsid w:val="6AD3253B"/>
    <w:rsid w:val="6AE3D672"/>
    <w:rsid w:val="6AEB2988"/>
    <w:rsid w:val="6AF22196"/>
    <w:rsid w:val="6B103726"/>
    <w:rsid w:val="6B163DDB"/>
    <w:rsid w:val="6B226298"/>
    <w:rsid w:val="6B2D5E44"/>
    <w:rsid w:val="6B2E83AF"/>
    <w:rsid w:val="6B32D3BE"/>
    <w:rsid w:val="6B47E1C8"/>
    <w:rsid w:val="6B48070A"/>
    <w:rsid w:val="6B66DBC9"/>
    <w:rsid w:val="6B675EEC"/>
    <w:rsid w:val="6B6EAE37"/>
    <w:rsid w:val="6B6F0640"/>
    <w:rsid w:val="6B7652C6"/>
    <w:rsid w:val="6B7FE2BF"/>
    <w:rsid w:val="6B8221E3"/>
    <w:rsid w:val="6B8CEDD9"/>
    <w:rsid w:val="6B900088"/>
    <w:rsid w:val="6B90A178"/>
    <w:rsid w:val="6B93F484"/>
    <w:rsid w:val="6B96CF7D"/>
    <w:rsid w:val="6B97D5FC"/>
    <w:rsid w:val="6B9B1D70"/>
    <w:rsid w:val="6B9F5701"/>
    <w:rsid w:val="6BA0C341"/>
    <w:rsid w:val="6BA29C33"/>
    <w:rsid w:val="6BA3E97F"/>
    <w:rsid w:val="6BAB4CFF"/>
    <w:rsid w:val="6BABF92F"/>
    <w:rsid w:val="6BACDA7E"/>
    <w:rsid w:val="6BAEA5E1"/>
    <w:rsid w:val="6BBEC4F8"/>
    <w:rsid w:val="6BBF63F7"/>
    <w:rsid w:val="6BC3CEAD"/>
    <w:rsid w:val="6BC4F70A"/>
    <w:rsid w:val="6BC77928"/>
    <w:rsid w:val="6BD319D9"/>
    <w:rsid w:val="6BD91301"/>
    <w:rsid w:val="6BD9FD25"/>
    <w:rsid w:val="6BDC5B35"/>
    <w:rsid w:val="6BDC7D3D"/>
    <w:rsid w:val="6BDCD4D1"/>
    <w:rsid w:val="6BDFC7C9"/>
    <w:rsid w:val="6BE28D4D"/>
    <w:rsid w:val="6BE2F289"/>
    <w:rsid w:val="6BE9F816"/>
    <w:rsid w:val="6BF0677E"/>
    <w:rsid w:val="6BF40386"/>
    <w:rsid w:val="6BF7BC83"/>
    <w:rsid w:val="6BF80245"/>
    <w:rsid w:val="6BFB56E0"/>
    <w:rsid w:val="6C0860DD"/>
    <w:rsid w:val="6C143B2C"/>
    <w:rsid w:val="6C1E7C41"/>
    <w:rsid w:val="6C234A44"/>
    <w:rsid w:val="6C287E97"/>
    <w:rsid w:val="6C39E660"/>
    <w:rsid w:val="6C3E5F71"/>
    <w:rsid w:val="6C4EA478"/>
    <w:rsid w:val="6C5B9177"/>
    <w:rsid w:val="6C60C93A"/>
    <w:rsid w:val="6C61F38B"/>
    <w:rsid w:val="6C8B2C6E"/>
    <w:rsid w:val="6C913ECD"/>
    <w:rsid w:val="6C96E2C2"/>
    <w:rsid w:val="6C97FAF3"/>
    <w:rsid w:val="6CA7E406"/>
    <w:rsid w:val="6CAC8867"/>
    <w:rsid w:val="6CAD124C"/>
    <w:rsid w:val="6CB4DE13"/>
    <w:rsid w:val="6CB91D92"/>
    <w:rsid w:val="6CB9C440"/>
    <w:rsid w:val="6CC10ED9"/>
    <w:rsid w:val="6CC31A12"/>
    <w:rsid w:val="6CD0EADE"/>
    <w:rsid w:val="6CD54C03"/>
    <w:rsid w:val="6CD68CFA"/>
    <w:rsid w:val="6CDB9523"/>
    <w:rsid w:val="6CE4C5ED"/>
    <w:rsid w:val="6CE95A8B"/>
    <w:rsid w:val="6CEB83A9"/>
    <w:rsid w:val="6CEEFF1E"/>
    <w:rsid w:val="6CF31625"/>
    <w:rsid w:val="6D01EBEB"/>
    <w:rsid w:val="6D0C6BB2"/>
    <w:rsid w:val="6D148235"/>
    <w:rsid w:val="6D1707F5"/>
    <w:rsid w:val="6D1C60F7"/>
    <w:rsid w:val="6D21C73C"/>
    <w:rsid w:val="6D225714"/>
    <w:rsid w:val="6D2EE510"/>
    <w:rsid w:val="6D36A88E"/>
    <w:rsid w:val="6D511187"/>
    <w:rsid w:val="6D5D8A61"/>
    <w:rsid w:val="6D6058E5"/>
    <w:rsid w:val="6D62683D"/>
    <w:rsid w:val="6D6C44B0"/>
    <w:rsid w:val="6D76B18D"/>
    <w:rsid w:val="6D7BED59"/>
    <w:rsid w:val="6D7F0E0D"/>
    <w:rsid w:val="6D85717F"/>
    <w:rsid w:val="6D88105D"/>
    <w:rsid w:val="6D9343D1"/>
    <w:rsid w:val="6D94A42D"/>
    <w:rsid w:val="6D9D7535"/>
    <w:rsid w:val="6DA7142C"/>
    <w:rsid w:val="6DACB41F"/>
    <w:rsid w:val="6DADCFAE"/>
    <w:rsid w:val="6DB41006"/>
    <w:rsid w:val="6DB78195"/>
    <w:rsid w:val="6DBA4FC6"/>
    <w:rsid w:val="6DBAA29C"/>
    <w:rsid w:val="6DD793FE"/>
    <w:rsid w:val="6DE0A985"/>
    <w:rsid w:val="6DE5CC7A"/>
    <w:rsid w:val="6DEA935C"/>
    <w:rsid w:val="6DF0F3F2"/>
    <w:rsid w:val="6DF50FDA"/>
    <w:rsid w:val="6DFC08FA"/>
    <w:rsid w:val="6DFC999B"/>
    <w:rsid w:val="6DFD0B63"/>
    <w:rsid w:val="6E071365"/>
    <w:rsid w:val="6E1032B3"/>
    <w:rsid w:val="6E18DB27"/>
    <w:rsid w:val="6E1C69C4"/>
    <w:rsid w:val="6E2213BE"/>
    <w:rsid w:val="6E22A361"/>
    <w:rsid w:val="6E26FCCF"/>
    <w:rsid w:val="6E4858C8"/>
    <w:rsid w:val="6E58F180"/>
    <w:rsid w:val="6E649BE3"/>
    <w:rsid w:val="6E64E05E"/>
    <w:rsid w:val="6E6628CA"/>
    <w:rsid w:val="6E69427B"/>
    <w:rsid w:val="6E7D776C"/>
    <w:rsid w:val="6E81C048"/>
    <w:rsid w:val="6E8C5334"/>
    <w:rsid w:val="6E8E2D08"/>
    <w:rsid w:val="6E8E7542"/>
    <w:rsid w:val="6E9C289F"/>
    <w:rsid w:val="6E9F074B"/>
    <w:rsid w:val="6EAE745A"/>
    <w:rsid w:val="6EAECB5D"/>
    <w:rsid w:val="6EB112B9"/>
    <w:rsid w:val="6EBA2D18"/>
    <w:rsid w:val="6EC559E0"/>
    <w:rsid w:val="6EC78DEC"/>
    <w:rsid w:val="6EC867AC"/>
    <w:rsid w:val="6EC86F75"/>
    <w:rsid w:val="6ECCD67C"/>
    <w:rsid w:val="6ED4A92E"/>
    <w:rsid w:val="6ED537F2"/>
    <w:rsid w:val="6ED58D0D"/>
    <w:rsid w:val="6ED6641E"/>
    <w:rsid w:val="6ED6F7C3"/>
    <w:rsid w:val="6ED724C4"/>
    <w:rsid w:val="6EE0652A"/>
    <w:rsid w:val="6EE85912"/>
    <w:rsid w:val="6EFECFEC"/>
    <w:rsid w:val="6F03273B"/>
    <w:rsid w:val="6F067796"/>
    <w:rsid w:val="6F122F8D"/>
    <w:rsid w:val="6F17BDBA"/>
    <w:rsid w:val="6F1A2DE6"/>
    <w:rsid w:val="6F258849"/>
    <w:rsid w:val="6F30D450"/>
    <w:rsid w:val="6F3EF0B9"/>
    <w:rsid w:val="6F40C360"/>
    <w:rsid w:val="6F42588D"/>
    <w:rsid w:val="6F4B8496"/>
    <w:rsid w:val="6F4BE81E"/>
    <w:rsid w:val="6F4FF0E0"/>
    <w:rsid w:val="6F53D62E"/>
    <w:rsid w:val="6F64CC2D"/>
    <w:rsid w:val="6F677200"/>
    <w:rsid w:val="6F69193D"/>
    <w:rsid w:val="6F6DE0E9"/>
    <w:rsid w:val="6F7678AF"/>
    <w:rsid w:val="6F7E6707"/>
    <w:rsid w:val="6F7FD8C7"/>
    <w:rsid w:val="6F82CD7F"/>
    <w:rsid w:val="6F851C19"/>
    <w:rsid w:val="6F89B0D3"/>
    <w:rsid w:val="6F89F7EE"/>
    <w:rsid w:val="6F8CF149"/>
    <w:rsid w:val="6F90863C"/>
    <w:rsid w:val="6F972E07"/>
    <w:rsid w:val="6F9E452C"/>
    <w:rsid w:val="6FA5C232"/>
    <w:rsid w:val="6FAE0033"/>
    <w:rsid w:val="6FB3F635"/>
    <w:rsid w:val="6FC52170"/>
    <w:rsid w:val="6FCBA68C"/>
    <w:rsid w:val="6FD75005"/>
    <w:rsid w:val="6FDD63C6"/>
    <w:rsid w:val="6FDD6B07"/>
    <w:rsid w:val="6FDE1443"/>
    <w:rsid w:val="6FE47942"/>
    <w:rsid w:val="6FE5832B"/>
    <w:rsid w:val="6FEF57A4"/>
    <w:rsid w:val="700E4D7E"/>
    <w:rsid w:val="700F7042"/>
    <w:rsid w:val="70190411"/>
    <w:rsid w:val="701CC744"/>
    <w:rsid w:val="70281A2A"/>
    <w:rsid w:val="70374B3E"/>
    <w:rsid w:val="703BBF78"/>
    <w:rsid w:val="70427403"/>
    <w:rsid w:val="70438153"/>
    <w:rsid w:val="704C7D8C"/>
    <w:rsid w:val="70561E8A"/>
    <w:rsid w:val="7063F18F"/>
    <w:rsid w:val="706CF610"/>
    <w:rsid w:val="7071C66E"/>
    <w:rsid w:val="707A40A9"/>
    <w:rsid w:val="707B6E03"/>
    <w:rsid w:val="707D1F8E"/>
    <w:rsid w:val="70878D28"/>
    <w:rsid w:val="708C878A"/>
    <w:rsid w:val="708E216C"/>
    <w:rsid w:val="708FB1DE"/>
    <w:rsid w:val="70924946"/>
    <w:rsid w:val="7098028B"/>
    <w:rsid w:val="709E65BD"/>
    <w:rsid w:val="709FC92E"/>
    <w:rsid w:val="70A84CDE"/>
    <w:rsid w:val="70AEB845"/>
    <w:rsid w:val="70AF0E18"/>
    <w:rsid w:val="70B11EE4"/>
    <w:rsid w:val="70BE8991"/>
    <w:rsid w:val="70C3A98B"/>
    <w:rsid w:val="70C6DBE1"/>
    <w:rsid w:val="70D6EC31"/>
    <w:rsid w:val="70DC9E8B"/>
    <w:rsid w:val="70E5422F"/>
    <w:rsid w:val="70F0DE62"/>
    <w:rsid w:val="70F52F43"/>
    <w:rsid w:val="70F6509E"/>
    <w:rsid w:val="70F7011D"/>
    <w:rsid w:val="70FB6352"/>
    <w:rsid w:val="7107E8D7"/>
    <w:rsid w:val="710C4638"/>
    <w:rsid w:val="710D7D1F"/>
    <w:rsid w:val="711272F8"/>
    <w:rsid w:val="7118A7BB"/>
    <w:rsid w:val="7124CBDB"/>
    <w:rsid w:val="712A016E"/>
    <w:rsid w:val="712C5DFB"/>
    <w:rsid w:val="712FA923"/>
    <w:rsid w:val="713C27E3"/>
    <w:rsid w:val="713CC15D"/>
    <w:rsid w:val="714DC265"/>
    <w:rsid w:val="714E60B1"/>
    <w:rsid w:val="7159235F"/>
    <w:rsid w:val="716293E9"/>
    <w:rsid w:val="7163602A"/>
    <w:rsid w:val="7165479A"/>
    <w:rsid w:val="716D11FB"/>
    <w:rsid w:val="71733B15"/>
    <w:rsid w:val="717A906A"/>
    <w:rsid w:val="7182E581"/>
    <w:rsid w:val="7190EF9B"/>
    <w:rsid w:val="719B9438"/>
    <w:rsid w:val="71AA555E"/>
    <w:rsid w:val="71BBC69A"/>
    <w:rsid w:val="71C3E8C7"/>
    <w:rsid w:val="71C7AF34"/>
    <w:rsid w:val="71CC5F87"/>
    <w:rsid w:val="71DEE8D7"/>
    <w:rsid w:val="71E320F1"/>
    <w:rsid w:val="71EB1CDF"/>
    <w:rsid w:val="71EDC61C"/>
    <w:rsid w:val="71F1EEEB"/>
    <w:rsid w:val="71FD5DAE"/>
    <w:rsid w:val="71FED18E"/>
    <w:rsid w:val="720E92EB"/>
    <w:rsid w:val="72167370"/>
    <w:rsid w:val="72169993"/>
    <w:rsid w:val="7220ACC1"/>
    <w:rsid w:val="72225482"/>
    <w:rsid w:val="7223A084"/>
    <w:rsid w:val="722E4C5E"/>
    <w:rsid w:val="722FFB99"/>
    <w:rsid w:val="72351362"/>
    <w:rsid w:val="7239BF09"/>
    <w:rsid w:val="723DE209"/>
    <w:rsid w:val="7243F745"/>
    <w:rsid w:val="724447E6"/>
    <w:rsid w:val="7247C4B3"/>
    <w:rsid w:val="7247CCB2"/>
    <w:rsid w:val="724A0C17"/>
    <w:rsid w:val="724C5983"/>
    <w:rsid w:val="724CEC21"/>
    <w:rsid w:val="7256AFCE"/>
    <w:rsid w:val="7256C8D8"/>
    <w:rsid w:val="7259FAC7"/>
    <w:rsid w:val="7261CC48"/>
    <w:rsid w:val="72643664"/>
    <w:rsid w:val="7271F006"/>
    <w:rsid w:val="727A6DAC"/>
    <w:rsid w:val="727B917B"/>
    <w:rsid w:val="727E908F"/>
    <w:rsid w:val="728CAEC3"/>
    <w:rsid w:val="728E2FB5"/>
    <w:rsid w:val="729148C8"/>
    <w:rsid w:val="7291DB4B"/>
    <w:rsid w:val="729733B3"/>
    <w:rsid w:val="72A5D092"/>
    <w:rsid w:val="72A766D5"/>
    <w:rsid w:val="72AE448B"/>
    <w:rsid w:val="72C68AB1"/>
    <w:rsid w:val="72CFE551"/>
    <w:rsid w:val="72D2EA1B"/>
    <w:rsid w:val="72D5547E"/>
    <w:rsid w:val="72E46FB4"/>
    <w:rsid w:val="72E48E1C"/>
    <w:rsid w:val="72E9331B"/>
    <w:rsid w:val="72F48997"/>
    <w:rsid w:val="73006EAD"/>
    <w:rsid w:val="730CC412"/>
    <w:rsid w:val="731117DC"/>
    <w:rsid w:val="73178523"/>
    <w:rsid w:val="7317C40C"/>
    <w:rsid w:val="731CD55B"/>
    <w:rsid w:val="731F5CC2"/>
    <w:rsid w:val="7323C990"/>
    <w:rsid w:val="735B3B50"/>
    <w:rsid w:val="73627994"/>
    <w:rsid w:val="7366808A"/>
    <w:rsid w:val="737394B1"/>
    <w:rsid w:val="737BAD36"/>
    <w:rsid w:val="738273E4"/>
    <w:rsid w:val="738CF62D"/>
    <w:rsid w:val="73922F92"/>
    <w:rsid w:val="739A8ED3"/>
    <w:rsid w:val="73B5E7AB"/>
    <w:rsid w:val="73B666D8"/>
    <w:rsid w:val="73BD9201"/>
    <w:rsid w:val="73C3D67C"/>
    <w:rsid w:val="73E81A4D"/>
    <w:rsid w:val="73F78DF5"/>
    <w:rsid w:val="73FED17C"/>
    <w:rsid w:val="73FFEE49"/>
    <w:rsid w:val="7400AB68"/>
    <w:rsid w:val="7404928B"/>
    <w:rsid w:val="740840C5"/>
    <w:rsid w:val="74086A0E"/>
    <w:rsid w:val="740D7814"/>
    <w:rsid w:val="7410F56E"/>
    <w:rsid w:val="7411B95A"/>
    <w:rsid w:val="741818B8"/>
    <w:rsid w:val="741B4B3A"/>
    <w:rsid w:val="742060A4"/>
    <w:rsid w:val="742C3457"/>
    <w:rsid w:val="7431BF6C"/>
    <w:rsid w:val="7431E5F2"/>
    <w:rsid w:val="7433C9E4"/>
    <w:rsid w:val="7439FEF7"/>
    <w:rsid w:val="743A66D8"/>
    <w:rsid w:val="743B85C3"/>
    <w:rsid w:val="743E5615"/>
    <w:rsid w:val="744091FD"/>
    <w:rsid w:val="7440A8B3"/>
    <w:rsid w:val="74428620"/>
    <w:rsid w:val="7443A022"/>
    <w:rsid w:val="74504C27"/>
    <w:rsid w:val="7454AB8C"/>
    <w:rsid w:val="745B34B9"/>
    <w:rsid w:val="747A2340"/>
    <w:rsid w:val="747C2B40"/>
    <w:rsid w:val="747FD654"/>
    <w:rsid w:val="74828FCD"/>
    <w:rsid w:val="748ACC7E"/>
    <w:rsid w:val="748CF6CA"/>
    <w:rsid w:val="74923A3A"/>
    <w:rsid w:val="74950E73"/>
    <w:rsid w:val="749F9E94"/>
    <w:rsid w:val="74BDFD36"/>
    <w:rsid w:val="74C10CF6"/>
    <w:rsid w:val="74C53AA5"/>
    <w:rsid w:val="74C9239F"/>
    <w:rsid w:val="74CCD70D"/>
    <w:rsid w:val="74CECC4E"/>
    <w:rsid w:val="74D24329"/>
    <w:rsid w:val="74D35CF7"/>
    <w:rsid w:val="74DEC5B3"/>
    <w:rsid w:val="74EBE3F3"/>
    <w:rsid w:val="74EDAB79"/>
    <w:rsid w:val="74F518E8"/>
    <w:rsid w:val="74F95C83"/>
    <w:rsid w:val="750459A7"/>
    <w:rsid w:val="750AD3A7"/>
    <w:rsid w:val="7510E28F"/>
    <w:rsid w:val="75166B26"/>
    <w:rsid w:val="75175AFF"/>
    <w:rsid w:val="75190CB9"/>
    <w:rsid w:val="75298FAD"/>
    <w:rsid w:val="75338030"/>
    <w:rsid w:val="7535CF08"/>
    <w:rsid w:val="7537C5CD"/>
    <w:rsid w:val="75390F2C"/>
    <w:rsid w:val="75447976"/>
    <w:rsid w:val="754C9A58"/>
    <w:rsid w:val="7550EC4A"/>
    <w:rsid w:val="7562FDC9"/>
    <w:rsid w:val="756E3A78"/>
    <w:rsid w:val="756F2FF4"/>
    <w:rsid w:val="75740B03"/>
    <w:rsid w:val="75755CDF"/>
    <w:rsid w:val="7579924B"/>
    <w:rsid w:val="757ADB44"/>
    <w:rsid w:val="7581C008"/>
    <w:rsid w:val="75823CC4"/>
    <w:rsid w:val="75882DB1"/>
    <w:rsid w:val="7589ED66"/>
    <w:rsid w:val="758D4E69"/>
    <w:rsid w:val="7592BAA8"/>
    <w:rsid w:val="75989BD2"/>
    <w:rsid w:val="759BACAE"/>
    <w:rsid w:val="759EA97A"/>
    <w:rsid w:val="75A14F56"/>
    <w:rsid w:val="75A1F08E"/>
    <w:rsid w:val="75A478E0"/>
    <w:rsid w:val="75A69082"/>
    <w:rsid w:val="75B36371"/>
    <w:rsid w:val="75BF9966"/>
    <w:rsid w:val="75C95346"/>
    <w:rsid w:val="75C99551"/>
    <w:rsid w:val="75CDE163"/>
    <w:rsid w:val="75D07925"/>
    <w:rsid w:val="75E975C5"/>
    <w:rsid w:val="75EB88F8"/>
    <w:rsid w:val="75EF726F"/>
    <w:rsid w:val="75F3B536"/>
    <w:rsid w:val="75FFF00F"/>
    <w:rsid w:val="7601FFAC"/>
    <w:rsid w:val="760CAB2C"/>
    <w:rsid w:val="761020F8"/>
    <w:rsid w:val="7614C13D"/>
    <w:rsid w:val="76172686"/>
    <w:rsid w:val="761DF4F6"/>
    <w:rsid w:val="7620D3DD"/>
    <w:rsid w:val="762390EA"/>
    <w:rsid w:val="76297FE8"/>
    <w:rsid w:val="7629D7A6"/>
    <w:rsid w:val="76335A77"/>
    <w:rsid w:val="764100FE"/>
    <w:rsid w:val="7645E999"/>
    <w:rsid w:val="76499EBE"/>
    <w:rsid w:val="764BA7A2"/>
    <w:rsid w:val="764F25E5"/>
    <w:rsid w:val="7659B0F6"/>
    <w:rsid w:val="766227D3"/>
    <w:rsid w:val="76642AF5"/>
    <w:rsid w:val="7664AE13"/>
    <w:rsid w:val="7667E3F3"/>
    <w:rsid w:val="76732945"/>
    <w:rsid w:val="7675E323"/>
    <w:rsid w:val="7678E47E"/>
    <w:rsid w:val="767EBC71"/>
    <w:rsid w:val="76819D54"/>
    <w:rsid w:val="76927D8C"/>
    <w:rsid w:val="769B2057"/>
    <w:rsid w:val="769BDD7B"/>
    <w:rsid w:val="769FEA70"/>
    <w:rsid w:val="76A08A24"/>
    <w:rsid w:val="76A1E5F1"/>
    <w:rsid w:val="76AA9584"/>
    <w:rsid w:val="76AF51D3"/>
    <w:rsid w:val="76B5477E"/>
    <w:rsid w:val="76BD95FB"/>
    <w:rsid w:val="76D00058"/>
    <w:rsid w:val="76DD0244"/>
    <w:rsid w:val="76EDF333"/>
    <w:rsid w:val="76EE8D46"/>
    <w:rsid w:val="76F7DE7E"/>
    <w:rsid w:val="76FBB2B3"/>
    <w:rsid w:val="770149A3"/>
    <w:rsid w:val="77047111"/>
    <w:rsid w:val="77083567"/>
    <w:rsid w:val="7708F44C"/>
    <w:rsid w:val="770E88AB"/>
    <w:rsid w:val="771216FD"/>
    <w:rsid w:val="7714DBA0"/>
    <w:rsid w:val="7718857F"/>
    <w:rsid w:val="7727A208"/>
    <w:rsid w:val="7731F3A2"/>
    <w:rsid w:val="7732B7B2"/>
    <w:rsid w:val="77417E54"/>
    <w:rsid w:val="775A821C"/>
    <w:rsid w:val="7760FE7A"/>
    <w:rsid w:val="7774B707"/>
    <w:rsid w:val="777CD5F0"/>
    <w:rsid w:val="77817522"/>
    <w:rsid w:val="77831D27"/>
    <w:rsid w:val="778784E5"/>
    <w:rsid w:val="7792F555"/>
    <w:rsid w:val="77A7F6BB"/>
    <w:rsid w:val="77A9ABCA"/>
    <w:rsid w:val="77AB6967"/>
    <w:rsid w:val="77CAE798"/>
    <w:rsid w:val="77CF7308"/>
    <w:rsid w:val="77DB010C"/>
    <w:rsid w:val="77DB68E5"/>
    <w:rsid w:val="77DE0871"/>
    <w:rsid w:val="77E072E3"/>
    <w:rsid w:val="77E9EE76"/>
    <w:rsid w:val="77F4AB04"/>
    <w:rsid w:val="77F62869"/>
    <w:rsid w:val="77FA744E"/>
    <w:rsid w:val="78017F6C"/>
    <w:rsid w:val="78049A25"/>
    <w:rsid w:val="78061612"/>
    <w:rsid w:val="780778A5"/>
    <w:rsid w:val="78096940"/>
    <w:rsid w:val="7815DE66"/>
    <w:rsid w:val="781C93BB"/>
    <w:rsid w:val="78212D27"/>
    <w:rsid w:val="78274EAE"/>
    <w:rsid w:val="78298521"/>
    <w:rsid w:val="782D3F44"/>
    <w:rsid w:val="78386415"/>
    <w:rsid w:val="7842751E"/>
    <w:rsid w:val="784555E7"/>
    <w:rsid w:val="7845BBAD"/>
    <w:rsid w:val="7846C2B3"/>
    <w:rsid w:val="785040C3"/>
    <w:rsid w:val="785547D5"/>
    <w:rsid w:val="78559465"/>
    <w:rsid w:val="7857F1DD"/>
    <w:rsid w:val="78586B7C"/>
    <w:rsid w:val="785A47CC"/>
    <w:rsid w:val="785D45DA"/>
    <w:rsid w:val="786451B7"/>
    <w:rsid w:val="787151F1"/>
    <w:rsid w:val="78910B7F"/>
    <w:rsid w:val="7898AE6E"/>
    <w:rsid w:val="789A2810"/>
    <w:rsid w:val="789B8430"/>
    <w:rsid w:val="789E94BB"/>
    <w:rsid w:val="78A13D17"/>
    <w:rsid w:val="78A8EEF3"/>
    <w:rsid w:val="78AD0876"/>
    <w:rsid w:val="78B22F29"/>
    <w:rsid w:val="78B65B57"/>
    <w:rsid w:val="78BC310B"/>
    <w:rsid w:val="78BED0E3"/>
    <w:rsid w:val="78C169F2"/>
    <w:rsid w:val="78C18E28"/>
    <w:rsid w:val="78DBF558"/>
    <w:rsid w:val="78DE3376"/>
    <w:rsid w:val="78E2F235"/>
    <w:rsid w:val="78E74AF9"/>
    <w:rsid w:val="78E75EE8"/>
    <w:rsid w:val="78E7A5A6"/>
    <w:rsid w:val="78E9CA42"/>
    <w:rsid w:val="78EDF243"/>
    <w:rsid w:val="78F052B3"/>
    <w:rsid w:val="78F2F9F2"/>
    <w:rsid w:val="7901953B"/>
    <w:rsid w:val="79080ACF"/>
    <w:rsid w:val="7908DA89"/>
    <w:rsid w:val="790A2456"/>
    <w:rsid w:val="790B5CBC"/>
    <w:rsid w:val="790FBBC9"/>
    <w:rsid w:val="792574B8"/>
    <w:rsid w:val="79278C3D"/>
    <w:rsid w:val="793F364C"/>
    <w:rsid w:val="79437475"/>
    <w:rsid w:val="7944DC4E"/>
    <w:rsid w:val="794E0B4A"/>
    <w:rsid w:val="794F3F31"/>
    <w:rsid w:val="7952F114"/>
    <w:rsid w:val="7964D826"/>
    <w:rsid w:val="796A0ED2"/>
    <w:rsid w:val="796E219B"/>
    <w:rsid w:val="7971424E"/>
    <w:rsid w:val="797D686D"/>
    <w:rsid w:val="797E783D"/>
    <w:rsid w:val="797FF2A7"/>
    <w:rsid w:val="7982BD75"/>
    <w:rsid w:val="79874FA5"/>
    <w:rsid w:val="79923C0C"/>
    <w:rsid w:val="79931DB6"/>
    <w:rsid w:val="799F3789"/>
    <w:rsid w:val="79A3943C"/>
    <w:rsid w:val="79A4EE5E"/>
    <w:rsid w:val="79A75E05"/>
    <w:rsid w:val="79AA03BA"/>
    <w:rsid w:val="79B01455"/>
    <w:rsid w:val="79B4F4D3"/>
    <w:rsid w:val="79B8222D"/>
    <w:rsid w:val="79C00534"/>
    <w:rsid w:val="79C6F709"/>
    <w:rsid w:val="79D64B7F"/>
    <w:rsid w:val="79D88120"/>
    <w:rsid w:val="79DEC3A6"/>
    <w:rsid w:val="79E4158B"/>
    <w:rsid w:val="79F7C984"/>
    <w:rsid w:val="79FB7FFD"/>
    <w:rsid w:val="7A07384D"/>
    <w:rsid w:val="7A0A26E8"/>
    <w:rsid w:val="7A114235"/>
    <w:rsid w:val="7A1707AD"/>
    <w:rsid w:val="7A1DBB57"/>
    <w:rsid w:val="7A203E09"/>
    <w:rsid w:val="7A260464"/>
    <w:rsid w:val="7A32B869"/>
    <w:rsid w:val="7A3B9FD3"/>
    <w:rsid w:val="7A40E722"/>
    <w:rsid w:val="7A4A2407"/>
    <w:rsid w:val="7A51F00B"/>
    <w:rsid w:val="7A540BEA"/>
    <w:rsid w:val="7A6A908D"/>
    <w:rsid w:val="7A84E1DA"/>
    <w:rsid w:val="7A84EBBF"/>
    <w:rsid w:val="7A894153"/>
    <w:rsid w:val="7A8CAD38"/>
    <w:rsid w:val="7A9245E9"/>
    <w:rsid w:val="7A92A126"/>
    <w:rsid w:val="7A9EB1EB"/>
    <w:rsid w:val="7AA1132A"/>
    <w:rsid w:val="7AA81CBC"/>
    <w:rsid w:val="7ABA048C"/>
    <w:rsid w:val="7AC1BFBA"/>
    <w:rsid w:val="7AC82D74"/>
    <w:rsid w:val="7ACFEAF8"/>
    <w:rsid w:val="7AD0B5E7"/>
    <w:rsid w:val="7AD56AF2"/>
    <w:rsid w:val="7ADD73DC"/>
    <w:rsid w:val="7AE159B9"/>
    <w:rsid w:val="7AE1A617"/>
    <w:rsid w:val="7AE30A29"/>
    <w:rsid w:val="7AEA97A9"/>
    <w:rsid w:val="7AEF857F"/>
    <w:rsid w:val="7AFBE57B"/>
    <w:rsid w:val="7B054D22"/>
    <w:rsid w:val="7B1EBF8D"/>
    <w:rsid w:val="7B207364"/>
    <w:rsid w:val="7B2C34FD"/>
    <w:rsid w:val="7B319448"/>
    <w:rsid w:val="7B358F84"/>
    <w:rsid w:val="7B4166E2"/>
    <w:rsid w:val="7B460E44"/>
    <w:rsid w:val="7B52D4C7"/>
    <w:rsid w:val="7B5750A6"/>
    <w:rsid w:val="7B588E49"/>
    <w:rsid w:val="7B5A325F"/>
    <w:rsid w:val="7B61C041"/>
    <w:rsid w:val="7B691E93"/>
    <w:rsid w:val="7B6E917A"/>
    <w:rsid w:val="7B833D89"/>
    <w:rsid w:val="7B8E3FAE"/>
    <w:rsid w:val="7B98D131"/>
    <w:rsid w:val="7B9D8096"/>
    <w:rsid w:val="7BA422CC"/>
    <w:rsid w:val="7BBC5F75"/>
    <w:rsid w:val="7BC1463C"/>
    <w:rsid w:val="7BC3443F"/>
    <w:rsid w:val="7BC52955"/>
    <w:rsid w:val="7BC6FBD6"/>
    <w:rsid w:val="7BD4BAC6"/>
    <w:rsid w:val="7BDD6073"/>
    <w:rsid w:val="7BDF2056"/>
    <w:rsid w:val="7BEA8865"/>
    <w:rsid w:val="7BF16AEC"/>
    <w:rsid w:val="7BF74DA2"/>
    <w:rsid w:val="7BF74DFE"/>
    <w:rsid w:val="7BF84F1A"/>
    <w:rsid w:val="7BFDDC38"/>
    <w:rsid w:val="7BFE4B1E"/>
    <w:rsid w:val="7C038353"/>
    <w:rsid w:val="7C0544B9"/>
    <w:rsid w:val="7C0A3F89"/>
    <w:rsid w:val="7C0B94F5"/>
    <w:rsid w:val="7C0E8977"/>
    <w:rsid w:val="7C109F99"/>
    <w:rsid w:val="7C125747"/>
    <w:rsid w:val="7C1B002E"/>
    <w:rsid w:val="7C1B87F8"/>
    <w:rsid w:val="7C265D1F"/>
    <w:rsid w:val="7C26707B"/>
    <w:rsid w:val="7C2B1767"/>
    <w:rsid w:val="7C2C3996"/>
    <w:rsid w:val="7C2E73E8"/>
    <w:rsid w:val="7C342CDB"/>
    <w:rsid w:val="7C38E0D1"/>
    <w:rsid w:val="7C3E425F"/>
    <w:rsid w:val="7C464118"/>
    <w:rsid w:val="7C4D3A37"/>
    <w:rsid w:val="7C520905"/>
    <w:rsid w:val="7C581D4C"/>
    <w:rsid w:val="7C5E3620"/>
    <w:rsid w:val="7C7B86BC"/>
    <w:rsid w:val="7C7EDA8A"/>
    <w:rsid w:val="7C819D62"/>
    <w:rsid w:val="7C86C0BE"/>
    <w:rsid w:val="7C8A705F"/>
    <w:rsid w:val="7C8F134D"/>
    <w:rsid w:val="7C91F4C2"/>
    <w:rsid w:val="7CB09466"/>
    <w:rsid w:val="7CB46609"/>
    <w:rsid w:val="7CB9A323"/>
    <w:rsid w:val="7CBFD338"/>
    <w:rsid w:val="7CC18A27"/>
    <w:rsid w:val="7CC4EA6B"/>
    <w:rsid w:val="7CC556A8"/>
    <w:rsid w:val="7CC92C7C"/>
    <w:rsid w:val="7CC957AC"/>
    <w:rsid w:val="7CD3306E"/>
    <w:rsid w:val="7CD50C37"/>
    <w:rsid w:val="7CD7328F"/>
    <w:rsid w:val="7CE3FA76"/>
    <w:rsid w:val="7CE7E389"/>
    <w:rsid w:val="7CE87F16"/>
    <w:rsid w:val="7CF9B4C2"/>
    <w:rsid w:val="7CFC06E3"/>
    <w:rsid w:val="7D1BC55F"/>
    <w:rsid w:val="7D2CD31B"/>
    <w:rsid w:val="7D31D8EC"/>
    <w:rsid w:val="7D34A589"/>
    <w:rsid w:val="7D353F0D"/>
    <w:rsid w:val="7D3C855D"/>
    <w:rsid w:val="7D3F09CD"/>
    <w:rsid w:val="7D3FFC75"/>
    <w:rsid w:val="7D425CD3"/>
    <w:rsid w:val="7D505E47"/>
    <w:rsid w:val="7D514D94"/>
    <w:rsid w:val="7D55E732"/>
    <w:rsid w:val="7D5CC4C0"/>
    <w:rsid w:val="7D62397E"/>
    <w:rsid w:val="7D626AD9"/>
    <w:rsid w:val="7D6C1DB5"/>
    <w:rsid w:val="7D6CD10E"/>
    <w:rsid w:val="7D7128D2"/>
    <w:rsid w:val="7D712E5C"/>
    <w:rsid w:val="7D78347F"/>
    <w:rsid w:val="7D7F0A91"/>
    <w:rsid w:val="7D87873F"/>
    <w:rsid w:val="7D9278C4"/>
    <w:rsid w:val="7D97DA1B"/>
    <w:rsid w:val="7D9B854C"/>
    <w:rsid w:val="7DA41C13"/>
    <w:rsid w:val="7DA64F8B"/>
    <w:rsid w:val="7DAA3F60"/>
    <w:rsid w:val="7DB8CAA2"/>
    <w:rsid w:val="7DBD9372"/>
    <w:rsid w:val="7DBD94D3"/>
    <w:rsid w:val="7DD03638"/>
    <w:rsid w:val="7DD14D76"/>
    <w:rsid w:val="7DD2310C"/>
    <w:rsid w:val="7DD588D1"/>
    <w:rsid w:val="7DD75D4E"/>
    <w:rsid w:val="7DDDAF95"/>
    <w:rsid w:val="7DE7BB53"/>
    <w:rsid w:val="7DE7DDA9"/>
    <w:rsid w:val="7DF1B148"/>
    <w:rsid w:val="7DF3467C"/>
    <w:rsid w:val="7DF3EDAD"/>
    <w:rsid w:val="7DF49A2B"/>
    <w:rsid w:val="7DF8B5EE"/>
    <w:rsid w:val="7E0486F7"/>
    <w:rsid w:val="7E114ECA"/>
    <w:rsid w:val="7E1DB79F"/>
    <w:rsid w:val="7E281EEE"/>
    <w:rsid w:val="7E2D5417"/>
    <w:rsid w:val="7E37B5D0"/>
    <w:rsid w:val="7E38EF95"/>
    <w:rsid w:val="7E3CE480"/>
    <w:rsid w:val="7E46A57A"/>
    <w:rsid w:val="7E47540C"/>
    <w:rsid w:val="7E48C053"/>
    <w:rsid w:val="7E51E960"/>
    <w:rsid w:val="7E598E52"/>
    <w:rsid w:val="7E59C770"/>
    <w:rsid w:val="7E5EBF42"/>
    <w:rsid w:val="7E652F22"/>
    <w:rsid w:val="7E695D07"/>
    <w:rsid w:val="7E6FD2DF"/>
    <w:rsid w:val="7E7109DD"/>
    <w:rsid w:val="7E7252C0"/>
    <w:rsid w:val="7E83B3EA"/>
    <w:rsid w:val="7E948DBF"/>
    <w:rsid w:val="7EA00478"/>
    <w:rsid w:val="7EA1F607"/>
    <w:rsid w:val="7EAA5AA1"/>
    <w:rsid w:val="7EB2BA67"/>
    <w:rsid w:val="7EBC0745"/>
    <w:rsid w:val="7EC0D805"/>
    <w:rsid w:val="7EC2F2B2"/>
    <w:rsid w:val="7EC3C9C1"/>
    <w:rsid w:val="7EC78FF1"/>
    <w:rsid w:val="7ECD5779"/>
    <w:rsid w:val="7ED0B719"/>
    <w:rsid w:val="7EE4605A"/>
    <w:rsid w:val="7F128637"/>
    <w:rsid w:val="7F128ECD"/>
    <w:rsid w:val="7F15770B"/>
    <w:rsid w:val="7F246B91"/>
    <w:rsid w:val="7F28CBC5"/>
    <w:rsid w:val="7F3574DE"/>
    <w:rsid w:val="7F35B7C2"/>
    <w:rsid w:val="7F3C1EA4"/>
    <w:rsid w:val="7F3C71B5"/>
    <w:rsid w:val="7F3FB918"/>
    <w:rsid w:val="7F48E38B"/>
    <w:rsid w:val="7F4E5147"/>
    <w:rsid w:val="7F52B66D"/>
    <w:rsid w:val="7F5428C6"/>
    <w:rsid w:val="7F570D2F"/>
    <w:rsid w:val="7F5E05C7"/>
    <w:rsid w:val="7F62E028"/>
    <w:rsid w:val="7F6D7C35"/>
    <w:rsid w:val="7F6EF8F4"/>
    <w:rsid w:val="7F7043D7"/>
    <w:rsid w:val="7F74E438"/>
    <w:rsid w:val="7F8D5079"/>
    <w:rsid w:val="7F9E7F4A"/>
    <w:rsid w:val="7FA92D2C"/>
    <w:rsid w:val="7FAB00BB"/>
    <w:rsid w:val="7FB0849F"/>
    <w:rsid w:val="7FB23309"/>
    <w:rsid w:val="7FB27EC6"/>
    <w:rsid w:val="7FB655F3"/>
    <w:rsid w:val="7FC1E900"/>
    <w:rsid w:val="7FC3C364"/>
    <w:rsid w:val="7FC408B9"/>
    <w:rsid w:val="7FD3A607"/>
    <w:rsid w:val="7FD545C9"/>
    <w:rsid w:val="7FE37CC8"/>
    <w:rsid w:val="7FF68F3A"/>
    <w:rsid w:val="7FF81E48"/>
    <w:rsid w:val="7FFDCA49"/>
    <w:rsid w:val="7FFE918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02041CD"/>
  <w15:docId w15:val="{29CF1A4F-813B-5E48-82F3-494570F17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 w:val="24"/>
        <w:szCs w:val="24"/>
        <w:lang w:val="en-GB" w:eastAsia="ja-JP" w:bidi="ar-SA"/>
      </w:rPr>
    </w:rPrDefault>
    <w:pPrDefault>
      <w:pPr>
        <w:spacing w:before="240" w:after="12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92C26"/>
    <w:rPr>
      <w:lang w:eastAsia="en-GB"/>
    </w:rPr>
  </w:style>
  <w:style w:type="paragraph" w:styleId="Heading1">
    <w:name w:val="heading 1"/>
    <w:aliases w:val="Chapter title"/>
    <w:basedOn w:val="Title"/>
    <w:next w:val="Normal"/>
    <w:link w:val="Heading1Char"/>
    <w:uiPriority w:val="9"/>
    <w:qFormat/>
    <w:rsid w:val="00192C26"/>
    <w:pPr>
      <w:numPr>
        <w:numId w:val="0"/>
      </w:numPr>
      <w:outlineLvl w:val="0"/>
    </w:pPr>
    <w:rPr>
      <w:rFonts w:eastAsia="Times New Roman"/>
      <w:sz w:val="36"/>
      <w:szCs w:val="32"/>
    </w:rPr>
  </w:style>
  <w:style w:type="paragraph" w:styleId="Heading2">
    <w:name w:val="heading 2"/>
    <w:aliases w:val="Level 1,Level 2"/>
    <w:basedOn w:val="Heading1"/>
    <w:next w:val="Normal"/>
    <w:link w:val="Heading2Char"/>
    <w:uiPriority w:val="9"/>
    <w:unhideWhenUsed/>
    <w:qFormat/>
    <w:rsid w:val="008521D1"/>
    <w:pPr>
      <w:keepNext/>
      <w:numPr>
        <w:ilvl w:val="2"/>
        <w:numId w:val="10"/>
      </w:numPr>
      <w:spacing w:before="360"/>
      <w:outlineLvl w:val="1"/>
    </w:pPr>
    <w:rPr>
      <w:sz w:val="28"/>
      <w:szCs w:val="28"/>
    </w:rPr>
  </w:style>
  <w:style w:type="paragraph" w:styleId="Heading3">
    <w:name w:val="heading 3"/>
    <w:aliases w:val="Level 3a"/>
    <w:basedOn w:val="Heading2"/>
    <w:next w:val="Normal"/>
    <w:link w:val="Heading3Char"/>
    <w:uiPriority w:val="9"/>
    <w:unhideWhenUsed/>
    <w:qFormat/>
    <w:rsid w:val="00CF3CE1"/>
    <w:pPr>
      <w:numPr>
        <w:ilvl w:val="3"/>
      </w:numPr>
      <w:ind w:left="648"/>
      <w:outlineLvl w:val="2"/>
    </w:pPr>
  </w:style>
  <w:style w:type="paragraph" w:styleId="Heading4">
    <w:name w:val="heading 4"/>
    <w:aliases w:val="level3"/>
    <w:basedOn w:val="Normal"/>
    <w:next w:val="Normal"/>
    <w:link w:val="Heading4Char"/>
    <w:uiPriority w:val="9"/>
    <w:unhideWhenUsed/>
    <w:qFormat/>
    <w:rsid w:val="00192C26"/>
    <w:pPr>
      <w:outlineLvl w:val="3"/>
    </w:pPr>
    <w:rPr>
      <w:b/>
      <w:bCs/>
    </w:rPr>
  </w:style>
  <w:style w:type="paragraph" w:styleId="Heading5">
    <w:name w:val="heading 5"/>
    <w:aliases w:val="Level four"/>
    <w:basedOn w:val="Heading4"/>
    <w:next w:val="Normal"/>
    <w:link w:val="Heading5Char"/>
    <w:uiPriority w:val="9"/>
    <w:unhideWhenUsed/>
    <w:qFormat/>
    <w:rsid w:val="00962D0B"/>
    <w:pPr>
      <w:keepNext/>
      <w:spacing w:after="0"/>
      <w:outlineLvl w:val="4"/>
    </w:pPr>
    <w:rPr>
      <w:bCs w:val="0"/>
    </w:rPr>
  </w:style>
  <w:style w:type="paragraph" w:styleId="Heading6">
    <w:name w:val="heading 6"/>
    <w:aliases w:val="Level 5,Level five"/>
    <w:basedOn w:val="Normal"/>
    <w:next w:val="Normal"/>
    <w:link w:val="Heading6Char"/>
    <w:uiPriority w:val="9"/>
    <w:unhideWhenUsed/>
    <w:qFormat/>
    <w:rsid w:val="00C14761"/>
    <w:pPr>
      <w:keepNext/>
      <w:keepLines/>
      <w:spacing w:before="40"/>
      <w:outlineLvl w:val="5"/>
    </w:pPr>
    <w:rPr>
      <w:rFonts w:asciiTheme="majorHAnsi" w:eastAsiaTheme="majorEastAsia" w:hAnsiTheme="majorHAnsi" w:cstheme="majorBidi"/>
      <w:bCs/>
      <w:color w:val="1F3763" w:themeColor="accent1" w:themeShade="7F"/>
      <w:lang w:eastAsia="en-US"/>
    </w:rPr>
  </w:style>
  <w:style w:type="paragraph" w:styleId="Heading7">
    <w:name w:val="heading 7"/>
    <w:aliases w:val="Level 6"/>
    <w:basedOn w:val="Normal"/>
    <w:next w:val="Normal"/>
    <w:link w:val="Heading7Char"/>
    <w:uiPriority w:val="9"/>
    <w:unhideWhenUsed/>
    <w:rsid w:val="00C14761"/>
    <w:pPr>
      <w:keepNext/>
      <w:keepLines/>
      <w:spacing w:before="40"/>
      <w:outlineLvl w:val="6"/>
    </w:pPr>
    <w:rPr>
      <w:rFonts w:asciiTheme="majorHAnsi" w:eastAsiaTheme="majorEastAsia" w:hAnsiTheme="majorHAnsi" w:cstheme="majorBidi"/>
      <w:bCs/>
      <w:i/>
      <w:iCs/>
      <w:color w:val="1F3763" w:themeColor="accent1" w:themeShade="7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92C26"/>
    <w:pPr>
      <w:numPr>
        <w:numId w:val="1"/>
      </w:numPr>
      <w:contextualSpacing/>
    </w:pPr>
    <w:rPr>
      <w:rFonts w:eastAsiaTheme="majorEastAsia"/>
      <w:b/>
      <w:spacing w:val="-10"/>
      <w:kern w:val="28"/>
    </w:rPr>
  </w:style>
  <w:style w:type="character" w:customStyle="1" w:styleId="Heading1Char">
    <w:name w:val="Heading 1 Char"/>
    <w:aliases w:val="Chapter title Char"/>
    <w:basedOn w:val="DefaultParagraphFont"/>
    <w:link w:val="Heading1"/>
    <w:uiPriority w:val="9"/>
    <w:qFormat/>
    <w:rsid w:val="00F43FF4"/>
    <w:rPr>
      <w:rFonts w:eastAsia="Times New Roman"/>
      <w:b/>
      <w:spacing w:val="-10"/>
      <w:kern w:val="28"/>
      <w:sz w:val="36"/>
      <w:szCs w:val="32"/>
      <w:lang w:eastAsia="en-GB"/>
    </w:rPr>
  </w:style>
  <w:style w:type="character" w:customStyle="1" w:styleId="Heading2Char">
    <w:name w:val="Heading 2 Char"/>
    <w:aliases w:val="Level 1 Char,Level 2 Char"/>
    <w:basedOn w:val="DefaultParagraphFont"/>
    <w:link w:val="Heading2"/>
    <w:uiPriority w:val="9"/>
    <w:qFormat/>
    <w:rsid w:val="008521D1"/>
    <w:rPr>
      <w:rFonts w:eastAsia="Times New Roman"/>
      <w:b/>
      <w:spacing w:val="-10"/>
      <w:kern w:val="28"/>
      <w:sz w:val="28"/>
      <w:szCs w:val="28"/>
      <w:lang w:eastAsia="en-GB"/>
    </w:rPr>
  </w:style>
  <w:style w:type="character" w:customStyle="1" w:styleId="Heading3Char">
    <w:name w:val="Heading 3 Char"/>
    <w:aliases w:val="Level 3a Char"/>
    <w:basedOn w:val="DefaultParagraphFont"/>
    <w:link w:val="Heading3"/>
    <w:uiPriority w:val="9"/>
    <w:qFormat/>
    <w:rsid w:val="00CF3CE1"/>
    <w:rPr>
      <w:rFonts w:ascii="Times New Roman" w:eastAsia="Times New Roman" w:hAnsi="Times New Roman" w:cs="Times New Roman"/>
      <w:b/>
      <w:spacing w:val="-10"/>
      <w:kern w:val="28"/>
      <w:sz w:val="28"/>
      <w:szCs w:val="32"/>
      <w:lang w:val="en-GB" w:eastAsia="en-GB"/>
    </w:rPr>
  </w:style>
  <w:style w:type="character" w:customStyle="1" w:styleId="TitleChar">
    <w:name w:val="Title Char"/>
    <w:basedOn w:val="DefaultParagraphFont"/>
    <w:link w:val="Title"/>
    <w:uiPriority w:val="10"/>
    <w:qFormat/>
    <w:rsid w:val="00500973"/>
    <w:rPr>
      <w:rFonts w:eastAsiaTheme="majorEastAsia"/>
      <w:b/>
      <w:spacing w:val="-10"/>
      <w:kern w:val="28"/>
      <w:lang w:eastAsia="en-GB"/>
    </w:rPr>
  </w:style>
  <w:style w:type="paragraph" w:styleId="TOCHeading">
    <w:name w:val="TOC Heading"/>
    <w:basedOn w:val="Heading1"/>
    <w:next w:val="Normal"/>
    <w:uiPriority w:val="39"/>
    <w:unhideWhenUsed/>
    <w:qFormat/>
    <w:rsid w:val="00500973"/>
    <w:pPr>
      <w:keepNext/>
      <w:keepLines/>
      <w:spacing w:line="259" w:lineRule="auto"/>
      <w:contextualSpacing w:val="0"/>
      <w:outlineLvl w:val="9"/>
    </w:pPr>
    <w:rPr>
      <w:rFonts w:asciiTheme="majorHAnsi" w:hAnsiTheme="majorHAnsi" w:cstheme="majorBidi"/>
      <w:b w:val="0"/>
      <w:color w:val="2F5496" w:themeColor="accent1" w:themeShade="BF"/>
      <w:spacing w:val="0"/>
      <w:kern w:val="0"/>
      <w:sz w:val="32"/>
      <w:lang w:eastAsia="en-US"/>
    </w:rPr>
  </w:style>
  <w:style w:type="paragraph" w:styleId="ListParagraph">
    <w:name w:val="List Paragraph"/>
    <w:basedOn w:val="Normal"/>
    <w:link w:val="ListParagraphChar"/>
    <w:uiPriority w:val="34"/>
    <w:qFormat/>
    <w:rsid w:val="00500973"/>
    <w:pPr>
      <w:ind w:left="720"/>
      <w:contextualSpacing/>
    </w:pPr>
  </w:style>
  <w:style w:type="table" w:styleId="TableGrid">
    <w:name w:val="Table Grid"/>
    <w:basedOn w:val="TableNormal"/>
    <w:uiPriority w:val="39"/>
    <w:rsid w:val="00472D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qFormat/>
    <w:rsid w:val="00472DDB"/>
    <w:rPr>
      <w:sz w:val="16"/>
      <w:szCs w:val="16"/>
    </w:rPr>
  </w:style>
  <w:style w:type="paragraph" w:styleId="CommentText">
    <w:name w:val="annotation text"/>
    <w:basedOn w:val="Normal"/>
    <w:link w:val="CommentTextChar"/>
    <w:unhideWhenUsed/>
    <w:qFormat/>
    <w:rsid w:val="00472DDB"/>
    <w:rPr>
      <w:rFonts w:asciiTheme="majorHAnsi" w:hAnsiTheme="majorHAnsi"/>
      <w:sz w:val="20"/>
      <w:szCs w:val="20"/>
      <w:lang w:eastAsia="en-US"/>
    </w:rPr>
  </w:style>
  <w:style w:type="character" w:customStyle="1" w:styleId="CommentTextChar">
    <w:name w:val="Comment Text Char"/>
    <w:basedOn w:val="DefaultParagraphFont"/>
    <w:link w:val="CommentText"/>
    <w:qFormat/>
    <w:rsid w:val="00472DDB"/>
    <w:rPr>
      <w:rFonts w:asciiTheme="majorHAnsi" w:eastAsia="Times New Roman" w:hAnsiTheme="majorHAnsi" w:cs="Times New Roman"/>
      <w:bCs/>
      <w:sz w:val="20"/>
      <w:szCs w:val="20"/>
      <w:lang w:val="en-US"/>
    </w:rPr>
  </w:style>
  <w:style w:type="paragraph" w:customStyle="1" w:styleId="Default">
    <w:name w:val="Default"/>
    <w:rsid w:val="00472DDB"/>
    <w:pPr>
      <w:autoSpaceDE w:val="0"/>
      <w:autoSpaceDN w:val="0"/>
      <w:adjustRightInd w:val="0"/>
    </w:pPr>
    <w:rPr>
      <w:rFonts w:ascii="Calibri" w:hAnsi="Calibri" w:cs="Calibri"/>
      <w:color w:val="000000"/>
    </w:rPr>
  </w:style>
  <w:style w:type="paragraph" w:customStyle="1" w:styleId="Box">
    <w:name w:val="Box"/>
    <w:basedOn w:val="Normal"/>
    <w:rsid w:val="00472DDB"/>
    <w:rPr>
      <w:b/>
      <w:bCs/>
      <w:color w:val="000000" w:themeColor="text1"/>
    </w:rPr>
  </w:style>
  <w:style w:type="paragraph" w:customStyle="1" w:styleId="Figure">
    <w:name w:val="Figure"/>
    <w:basedOn w:val="Normal"/>
    <w:rsid w:val="00472DDB"/>
    <w:rPr>
      <w:b/>
      <w:bCs/>
    </w:rPr>
  </w:style>
  <w:style w:type="paragraph" w:customStyle="1" w:styleId="Table">
    <w:name w:val="Table"/>
    <w:basedOn w:val="Normal"/>
    <w:rsid w:val="00472DDB"/>
    <w:rPr>
      <w:b/>
      <w:bCs/>
    </w:rPr>
  </w:style>
  <w:style w:type="paragraph" w:customStyle="1" w:styleId="Level3">
    <w:name w:val="Level 3"/>
    <w:basedOn w:val="Normal"/>
    <w:qFormat/>
    <w:rsid w:val="00192C26"/>
    <w:pPr>
      <w:numPr>
        <w:ilvl w:val="3"/>
        <w:numId w:val="6"/>
      </w:numPr>
    </w:pPr>
    <w:rPr>
      <w:b/>
    </w:rPr>
  </w:style>
  <w:style w:type="character" w:customStyle="1" w:styleId="Heading4Char">
    <w:name w:val="Heading 4 Char"/>
    <w:aliases w:val="level3 Char"/>
    <w:basedOn w:val="DefaultParagraphFont"/>
    <w:link w:val="Heading4"/>
    <w:uiPriority w:val="9"/>
    <w:qFormat/>
    <w:rsid w:val="00740FF0"/>
    <w:rPr>
      <w:b/>
      <w:bCs/>
      <w:lang w:eastAsia="en-GB"/>
    </w:rPr>
  </w:style>
  <w:style w:type="paragraph" w:styleId="TOC1">
    <w:name w:val="toc 1"/>
    <w:basedOn w:val="Normal"/>
    <w:next w:val="Normal"/>
    <w:autoRedefine/>
    <w:uiPriority w:val="39"/>
    <w:unhideWhenUsed/>
    <w:rsid w:val="00CE1C22"/>
    <w:pPr>
      <w:tabs>
        <w:tab w:val="right" w:leader="dot" w:pos="9614"/>
      </w:tabs>
      <w:spacing w:before="0" w:after="0"/>
      <w:contextualSpacing/>
    </w:pPr>
    <w:rPr>
      <w:b/>
      <w:iCs/>
      <w:noProof/>
    </w:rPr>
  </w:style>
  <w:style w:type="paragraph" w:styleId="TOC2">
    <w:name w:val="toc 2"/>
    <w:basedOn w:val="Normal"/>
    <w:next w:val="Normal"/>
    <w:autoRedefine/>
    <w:uiPriority w:val="39"/>
    <w:unhideWhenUsed/>
    <w:rsid w:val="00192C26"/>
    <w:pPr>
      <w:spacing w:before="120" w:after="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373FF8"/>
    <w:pPr>
      <w:spacing w:before="0" w:after="0"/>
      <w:ind w:left="480"/>
    </w:pPr>
    <w:rPr>
      <w:rFonts w:asciiTheme="minorHAnsi" w:hAnsiTheme="minorHAnsi" w:cstheme="minorHAnsi"/>
      <w:sz w:val="20"/>
      <w:szCs w:val="20"/>
    </w:rPr>
  </w:style>
  <w:style w:type="character" w:customStyle="1" w:styleId="Heading5Char">
    <w:name w:val="Heading 5 Char"/>
    <w:aliases w:val="Level four Char"/>
    <w:basedOn w:val="DefaultParagraphFont"/>
    <w:link w:val="Heading5"/>
    <w:uiPriority w:val="9"/>
    <w:qFormat/>
    <w:rsid w:val="00962D0B"/>
    <w:rPr>
      <w:rFonts w:ascii="Times New Roman" w:eastAsia="Times New Roman" w:hAnsi="Times New Roman" w:cs="Times New Roman"/>
      <w:b/>
      <w:lang w:val="en-GB" w:eastAsia="en-GB"/>
    </w:rPr>
  </w:style>
  <w:style w:type="character" w:customStyle="1" w:styleId="Heading6Char">
    <w:name w:val="Heading 6 Char"/>
    <w:aliases w:val="Level 5 Char,Level five Char"/>
    <w:basedOn w:val="DefaultParagraphFont"/>
    <w:link w:val="Heading6"/>
    <w:uiPriority w:val="9"/>
    <w:qFormat/>
    <w:rsid w:val="00C14761"/>
    <w:rPr>
      <w:rFonts w:asciiTheme="majorHAnsi" w:eastAsiaTheme="majorEastAsia" w:hAnsiTheme="majorHAnsi" w:cstheme="majorBidi"/>
      <w:bCs/>
      <w:color w:val="1F3763" w:themeColor="accent1" w:themeShade="7F"/>
      <w:lang w:val="en-US"/>
    </w:rPr>
  </w:style>
  <w:style w:type="character" w:customStyle="1" w:styleId="Heading7Char">
    <w:name w:val="Heading 7 Char"/>
    <w:aliases w:val="Level 6 Char"/>
    <w:basedOn w:val="DefaultParagraphFont"/>
    <w:link w:val="Heading7"/>
    <w:uiPriority w:val="9"/>
    <w:qFormat/>
    <w:rsid w:val="00C14761"/>
    <w:rPr>
      <w:rFonts w:asciiTheme="majorHAnsi" w:eastAsiaTheme="majorEastAsia" w:hAnsiTheme="majorHAnsi" w:cstheme="majorBidi"/>
      <w:bCs/>
      <w:i/>
      <w:iCs/>
      <w:color w:val="1F3763" w:themeColor="accent1" w:themeShade="7F"/>
      <w:lang w:val="en-US"/>
    </w:rPr>
  </w:style>
  <w:style w:type="character" w:styleId="Hyperlink">
    <w:name w:val="Hyperlink"/>
    <w:basedOn w:val="DefaultParagraphFont"/>
    <w:uiPriority w:val="99"/>
    <w:unhideWhenUsed/>
    <w:rsid w:val="00C14761"/>
    <w:rPr>
      <w:color w:val="0563C1" w:themeColor="hyperlink"/>
      <w:u w:val="single"/>
    </w:rPr>
  </w:style>
  <w:style w:type="paragraph" w:styleId="Header">
    <w:name w:val="header"/>
    <w:basedOn w:val="Normal"/>
    <w:link w:val="HeaderChar"/>
    <w:uiPriority w:val="99"/>
    <w:unhideWhenUsed/>
    <w:rsid w:val="00C14761"/>
    <w:pPr>
      <w:tabs>
        <w:tab w:val="center" w:pos="4680"/>
        <w:tab w:val="right" w:pos="9360"/>
      </w:tabs>
    </w:pPr>
    <w:rPr>
      <w:bCs/>
    </w:rPr>
  </w:style>
  <w:style w:type="character" w:customStyle="1" w:styleId="HeaderChar">
    <w:name w:val="Header Char"/>
    <w:basedOn w:val="DefaultParagraphFont"/>
    <w:link w:val="Header"/>
    <w:uiPriority w:val="99"/>
    <w:qFormat/>
    <w:rsid w:val="00C14761"/>
    <w:rPr>
      <w:rFonts w:ascii="Times New Roman" w:eastAsia="Times New Roman" w:hAnsi="Times New Roman" w:cs="Times New Roman"/>
      <w:bCs/>
      <w:lang w:val="en-US" w:eastAsia="en-GB"/>
    </w:rPr>
  </w:style>
  <w:style w:type="paragraph" w:styleId="Footer">
    <w:name w:val="footer"/>
    <w:basedOn w:val="Normal"/>
    <w:link w:val="FooterChar"/>
    <w:uiPriority w:val="99"/>
    <w:unhideWhenUsed/>
    <w:rsid w:val="00C14761"/>
    <w:pPr>
      <w:tabs>
        <w:tab w:val="center" w:pos="4680"/>
        <w:tab w:val="right" w:pos="9360"/>
      </w:tabs>
    </w:pPr>
    <w:rPr>
      <w:bCs/>
    </w:rPr>
  </w:style>
  <w:style w:type="character" w:customStyle="1" w:styleId="FooterChar">
    <w:name w:val="Footer Char"/>
    <w:basedOn w:val="DefaultParagraphFont"/>
    <w:link w:val="Footer"/>
    <w:uiPriority w:val="99"/>
    <w:qFormat/>
    <w:rsid w:val="00C14761"/>
    <w:rPr>
      <w:rFonts w:ascii="Times New Roman" w:eastAsia="Times New Roman" w:hAnsi="Times New Roman" w:cs="Times New Roman"/>
      <w:bCs/>
      <w:lang w:val="en-US" w:eastAsia="en-GB"/>
    </w:rPr>
  </w:style>
  <w:style w:type="paragraph" w:styleId="NoSpacing">
    <w:name w:val="No Spacing"/>
    <w:aliases w:val="Headings"/>
    <w:uiPriority w:val="1"/>
    <w:qFormat/>
    <w:rsid w:val="00192C26"/>
    <w:pPr>
      <w:jc w:val="both"/>
    </w:pPr>
    <w:rPr>
      <w:szCs w:val="22"/>
      <w:lang w:eastAsia="zh-CN"/>
    </w:rPr>
  </w:style>
  <w:style w:type="character" w:styleId="LineNumber">
    <w:name w:val="line number"/>
    <w:basedOn w:val="DefaultParagraphFont"/>
    <w:uiPriority w:val="99"/>
    <w:semiHidden/>
    <w:unhideWhenUsed/>
    <w:qFormat/>
    <w:rsid w:val="00C14761"/>
  </w:style>
  <w:style w:type="paragraph" w:styleId="Bibliography">
    <w:name w:val="Bibliography"/>
    <w:basedOn w:val="Normal"/>
    <w:next w:val="Normal"/>
    <w:uiPriority w:val="37"/>
    <w:unhideWhenUsed/>
    <w:qFormat/>
    <w:rsid w:val="00C14761"/>
    <w:pPr>
      <w:spacing w:line="480" w:lineRule="auto"/>
      <w:ind w:left="720" w:hanging="720"/>
    </w:pPr>
    <w:rPr>
      <w:rFonts w:asciiTheme="majorHAnsi" w:hAnsiTheme="majorHAnsi"/>
      <w:bCs/>
      <w:lang w:eastAsia="en-US"/>
    </w:rPr>
  </w:style>
  <w:style w:type="character" w:styleId="Emphasis">
    <w:name w:val="Emphasis"/>
    <w:basedOn w:val="DefaultParagraphFont"/>
    <w:uiPriority w:val="20"/>
    <w:qFormat/>
    <w:rsid w:val="00C14761"/>
    <w:rPr>
      <w:i/>
      <w:iCs/>
    </w:rPr>
  </w:style>
  <w:style w:type="character" w:customStyle="1" w:styleId="normaltextrun">
    <w:name w:val="normaltextrun"/>
    <w:basedOn w:val="DefaultParagraphFont"/>
    <w:rsid w:val="00C14761"/>
  </w:style>
  <w:style w:type="paragraph" w:styleId="CommentSubject">
    <w:name w:val="annotation subject"/>
    <w:basedOn w:val="CommentText"/>
    <w:next w:val="CommentText"/>
    <w:link w:val="CommentSubjectChar"/>
    <w:uiPriority w:val="99"/>
    <w:semiHidden/>
    <w:unhideWhenUsed/>
    <w:qFormat/>
    <w:rsid w:val="00C14761"/>
    <w:rPr>
      <w:b/>
    </w:rPr>
  </w:style>
  <w:style w:type="character" w:customStyle="1" w:styleId="CommentSubjectChar">
    <w:name w:val="Comment Subject Char"/>
    <w:basedOn w:val="CommentTextChar"/>
    <w:link w:val="CommentSubject"/>
    <w:uiPriority w:val="99"/>
    <w:semiHidden/>
    <w:qFormat/>
    <w:rsid w:val="00C14761"/>
    <w:rPr>
      <w:rFonts w:asciiTheme="majorHAnsi" w:eastAsia="Times New Roman" w:hAnsiTheme="majorHAnsi" w:cs="Times New Roman"/>
      <w:b/>
      <w:bCs w:val="0"/>
      <w:sz w:val="20"/>
      <w:szCs w:val="20"/>
      <w:lang w:val="en-US"/>
    </w:rPr>
  </w:style>
  <w:style w:type="paragraph" w:styleId="BalloonText">
    <w:name w:val="Balloon Text"/>
    <w:basedOn w:val="Normal"/>
    <w:link w:val="BalloonTextChar"/>
    <w:uiPriority w:val="99"/>
    <w:semiHidden/>
    <w:unhideWhenUsed/>
    <w:qFormat/>
    <w:rsid w:val="00C14761"/>
    <w:rPr>
      <w:rFonts w:ascii="Segoe UI" w:hAnsi="Segoe UI" w:cs="Segoe UI"/>
      <w:bCs/>
      <w:sz w:val="18"/>
      <w:szCs w:val="18"/>
      <w:lang w:eastAsia="en-US"/>
    </w:rPr>
  </w:style>
  <w:style w:type="character" w:customStyle="1" w:styleId="BalloonTextChar">
    <w:name w:val="Balloon Text Char"/>
    <w:basedOn w:val="DefaultParagraphFont"/>
    <w:link w:val="BalloonText"/>
    <w:uiPriority w:val="99"/>
    <w:semiHidden/>
    <w:qFormat/>
    <w:rsid w:val="00C14761"/>
    <w:rPr>
      <w:rFonts w:ascii="Segoe UI" w:eastAsia="Times New Roman" w:hAnsi="Segoe UI" w:cs="Segoe UI"/>
      <w:sz w:val="18"/>
      <w:szCs w:val="18"/>
      <w:lang w:val="en-US"/>
    </w:rPr>
  </w:style>
  <w:style w:type="paragraph" w:customStyle="1" w:styleId="EndNoteBibliography">
    <w:name w:val="EndNote Bibliography"/>
    <w:basedOn w:val="Normal"/>
    <w:link w:val="EndNoteBibliographyChar"/>
    <w:rsid w:val="00C14761"/>
    <w:pPr>
      <w:widowControl w:val="0"/>
    </w:pPr>
    <w:rPr>
      <w:bCs/>
      <w:noProof/>
      <w:kern w:val="2"/>
    </w:rPr>
  </w:style>
  <w:style w:type="character" w:customStyle="1" w:styleId="EndNoteBibliographyChar">
    <w:name w:val="EndNote Bibliography Char"/>
    <w:basedOn w:val="DefaultParagraphFont"/>
    <w:link w:val="EndNoteBibliography"/>
    <w:qFormat/>
    <w:rsid w:val="00C14761"/>
    <w:rPr>
      <w:rFonts w:ascii="Times New Roman" w:eastAsia="Times New Roman" w:hAnsi="Times New Roman" w:cs="Times New Roman"/>
      <w:bCs/>
      <w:noProof/>
      <w:kern w:val="2"/>
      <w:lang w:val="en-US" w:eastAsia="en-GB"/>
    </w:rPr>
  </w:style>
  <w:style w:type="paragraph" w:styleId="TOC4">
    <w:name w:val="toc 4"/>
    <w:basedOn w:val="Normal"/>
    <w:next w:val="Normal"/>
    <w:autoRedefine/>
    <w:uiPriority w:val="39"/>
    <w:unhideWhenUsed/>
    <w:rsid w:val="00C14761"/>
    <w:pPr>
      <w:spacing w:before="0" w:after="0"/>
      <w:ind w:left="720"/>
    </w:pPr>
    <w:rPr>
      <w:rFonts w:asciiTheme="minorHAnsi" w:hAnsiTheme="minorHAnsi" w:cstheme="minorHAnsi"/>
      <w:sz w:val="20"/>
      <w:szCs w:val="20"/>
    </w:rPr>
  </w:style>
  <w:style w:type="paragraph" w:styleId="EndnoteText">
    <w:name w:val="endnote text"/>
    <w:basedOn w:val="Normal"/>
    <w:link w:val="EndnoteTextChar"/>
    <w:uiPriority w:val="99"/>
    <w:semiHidden/>
    <w:unhideWhenUsed/>
    <w:rsid w:val="00C14761"/>
    <w:rPr>
      <w:rFonts w:asciiTheme="majorHAnsi" w:hAnsiTheme="majorHAnsi"/>
      <w:bCs/>
      <w:sz w:val="20"/>
      <w:szCs w:val="20"/>
      <w:lang w:eastAsia="en-US"/>
    </w:rPr>
  </w:style>
  <w:style w:type="character" w:customStyle="1" w:styleId="EndnoteTextChar">
    <w:name w:val="Endnote Text Char"/>
    <w:basedOn w:val="DefaultParagraphFont"/>
    <w:link w:val="EndnoteText"/>
    <w:uiPriority w:val="99"/>
    <w:semiHidden/>
    <w:qFormat/>
    <w:rsid w:val="00C14761"/>
    <w:rPr>
      <w:rFonts w:asciiTheme="majorHAnsi" w:eastAsia="Times New Roman" w:hAnsiTheme="majorHAnsi" w:cs="Times New Roman"/>
      <w:sz w:val="20"/>
      <w:szCs w:val="20"/>
      <w:lang w:val="en-US"/>
    </w:rPr>
  </w:style>
  <w:style w:type="character" w:styleId="EndnoteReference">
    <w:name w:val="endnote reference"/>
    <w:basedOn w:val="DefaultParagraphFont"/>
    <w:uiPriority w:val="99"/>
    <w:semiHidden/>
    <w:unhideWhenUsed/>
    <w:rsid w:val="00C14761"/>
    <w:rPr>
      <w:vertAlign w:val="superscript"/>
    </w:rPr>
  </w:style>
  <w:style w:type="character" w:customStyle="1" w:styleId="UnresolvedMention1">
    <w:name w:val="Unresolved Mention1"/>
    <w:basedOn w:val="DefaultParagraphFont"/>
    <w:uiPriority w:val="99"/>
    <w:semiHidden/>
    <w:unhideWhenUsed/>
    <w:qFormat/>
    <w:rsid w:val="00C14761"/>
    <w:rPr>
      <w:color w:val="605E5C"/>
      <w:shd w:val="clear" w:color="auto" w:fill="E1DFDD"/>
    </w:rPr>
  </w:style>
  <w:style w:type="table" w:customStyle="1" w:styleId="TableGrid1">
    <w:name w:val="Table Grid1"/>
    <w:basedOn w:val="TableNormal"/>
    <w:next w:val="TableGrid"/>
    <w:uiPriority w:val="39"/>
    <w:rsid w:val="00C14761"/>
    <w:pPr>
      <w:jc w:val="both"/>
    </w:pPr>
    <w:rPr>
      <w:rFonts w:ascii="Calibri" w:eastAsia="Batang" w:hAnsi="Calibri" w:cs="Calibri"/>
      <w:sz w:val="22"/>
      <w:szCs w:val="22"/>
      <w:lang w:val="en-US"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14761"/>
    <w:pPr>
      <w:jc w:val="both"/>
    </w:pPr>
    <w:rPr>
      <w:rFonts w:ascii="Calibri" w:eastAsia="Batang" w:hAnsi="Calibri" w:cs="Calibri"/>
      <w:sz w:val="22"/>
      <w:szCs w:val="22"/>
      <w:lang w:val="en-US"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14761"/>
    <w:pPr>
      <w:jc w:val="both"/>
    </w:pPr>
    <w:rPr>
      <w:rFonts w:ascii="Calibri" w:eastAsia="Batang" w:hAnsi="Calibri" w:cs="Calibri"/>
      <w:sz w:val="22"/>
      <w:szCs w:val="22"/>
      <w:lang w:val="en-US"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14761"/>
    <w:pPr>
      <w:jc w:val="both"/>
    </w:pPr>
    <w:rPr>
      <w:rFonts w:ascii="Calibri" w:eastAsia="Batang" w:hAnsi="Calibri" w:cs="Calibri"/>
      <w:sz w:val="22"/>
      <w:szCs w:val="22"/>
      <w:lang w:val="en-US"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C14761"/>
    <w:pPr>
      <w:jc w:val="both"/>
    </w:pPr>
    <w:rPr>
      <w:rFonts w:ascii="Calibri" w:eastAsia="Batang" w:hAnsi="Calibri" w:cs="Calibri"/>
      <w:sz w:val="22"/>
      <w:szCs w:val="22"/>
      <w:lang w:val="en-US"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C14761"/>
    <w:pPr>
      <w:jc w:val="both"/>
    </w:pPr>
    <w:rPr>
      <w:rFonts w:ascii="Calibri" w:eastAsia="Batang" w:hAnsi="Calibri" w:cs="Calibri"/>
      <w:sz w:val="22"/>
      <w:szCs w:val="22"/>
      <w:lang w:val="en-US"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C14761"/>
    <w:pPr>
      <w:spacing w:before="100" w:beforeAutospacing="1" w:after="100" w:afterAutospacing="1"/>
    </w:pPr>
    <w:rPr>
      <w:rFonts w:asciiTheme="majorHAnsi" w:hAnsiTheme="majorHAnsi"/>
      <w:bCs/>
      <w:lang w:eastAsia="en-US"/>
    </w:rPr>
  </w:style>
  <w:style w:type="paragraph" w:customStyle="1" w:styleId="paragraph">
    <w:name w:val="paragraph"/>
    <w:basedOn w:val="Normal"/>
    <w:link w:val="paragraphChar"/>
    <w:rsid w:val="00C14761"/>
    <w:pPr>
      <w:spacing w:before="100" w:beforeAutospacing="1" w:after="100" w:afterAutospacing="1"/>
    </w:pPr>
    <w:rPr>
      <w:rFonts w:asciiTheme="majorHAnsi" w:hAnsiTheme="majorHAnsi"/>
      <w:bCs/>
      <w:lang w:eastAsia="en-US"/>
    </w:rPr>
  </w:style>
  <w:style w:type="character" w:customStyle="1" w:styleId="eop">
    <w:name w:val="eop"/>
    <w:basedOn w:val="DefaultParagraphFont"/>
    <w:rsid w:val="00C14761"/>
  </w:style>
  <w:style w:type="paragraph" w:styleId="TOC5">
    <w:name w:val="toc 5"/>
    <w:basedOn w:val="Normal"/>
    <w:next w:val="Normal"/>
    <w:autoRedefine/>
    <w:uiPriority w:val="39"/>
    <w:unhideWhenUsed/>
    <w:rsid w:val="00C14761"/>
    <w:pPr>
      <w:spacing w:before="0" w:after="0"/>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C14761"/>
    <w:pPr>
      <w:spacing w:before="0" w:after="0"/>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C14761"/>
    <w:pPr>
      <w:spacing w:before="0" w:after="0"/>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C14761"/>
    <w:pPr>
      <w:spacing w:before="0" w:after="0"/>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C14761"/>
    <w:pPr>
      <w:spacing w:before="0" w:after="0"/>
      <w:ind w:left="1920"/>
    </w:pPr>
    <w:rPr>
      <w:rFonts w:asciiTheme="minorHAnsi" w:hAnsiTheme="minorHAnsi" w:cstheme="minorHAnsi"/>
      <w:sz w:val="20"/>
      <w:szCs w:val="20"/>
    </w:rPr>
  </w:style>
  <w:style w:type="character" w:customStyle="1" w:styleId="SubtitleChar">
    <w:name w:val="Subtitle Char"/>
    <w:basedOn w:val="DefaultParagraphFont"/>
    <w:link w:val="Subtitle"/>
    <w:uiPriority w:val="11"/>
    <w:qFormat/>
    <w:rsid w:val="00C14761"/>
    <w:rPr>
      <w:rFonts w:ascii="Calibri" w:eastAsia="Calibri" w:hAnsi="Calibri" w:cs="Calibri"/>
      <w:color w:val="5A5A5A"/>
      <w:lang w:eastAsia="en-GB"/>
    </w:rPr>
  </w:style>
  <w:style w:type="paragraph" w:styleId="Subtitle">
    <w:name w:val="Subtitle"/>
    <w:basedOn w:val="Normal"/>
    <w:next w:val="Normal"/>
    <w:link w:val="SubtitleChar"/>
    <w:uiPriority w:val="11"/>
    <w:qFormat/>
    <w:rsid w:val="00192C26"/>
    <w:rPr>
      <w:rFonts w:ascii="Calibri" w:eastAsia="Calibri" w:hAnsi="Calibri" w:cs="Calibri"/>
      <w:color w:val="5A5A5A"/>
    </w:rPr>
  </w:style>
  <w:style w:type="character" w:customStyle="1" w:styleId="SubtitleChar1">
    <w:name w:val="Subtitle Char1"/>
    <w:basedOn w:val="DefaultParagraphFont"/>
    <w:uiPriority w:val="11"/>
    <w:rsid w:val="00C14761"/>
    <w:rPr>
      <w:rFonts w:eastAsiaTheme="minorEastAsia"/>
      <w:bCs/>
      <w:color w:val="5A5A5A" w:themeColor="text1" w:themeTint="A5"/>
      <w:spacing w:val="15"/>
      <w:sz w:val="22"/>
      <w:szCs w:val="22"/>
      <w:lang w:val="en-GB" w:eastAsia="en-GB"/>
    </w:rPr>
  </w:style>
  <w:style w:type="character" w:styleId="FootnoteReference">
    <w:name w:val="footnote reference"/>
    <w:aliases w:val="number,Footnote Reference Superscript,-E Fußnotenzeichen,(Diplomarbeit FZ),(Diplomarbeit FZ)1,(Diplomarbeit FZ)2,(Diplomarbeit FZ)3,(Diplomarbeit FZ)4,(Diplomarbeit FZ)5,(Diplomarbeit FZ)6,(Diplomarbeit FZ)7,(Diplomarbeit FZ)8,ftref"/>
    <w:basedOn w:val="DefaultParagraphFont"/>
    <w:link w:val="BVIfnrChar"/>
    <w:unhideWhenUsed/>
    <w:qFormat/>
    <w:rsid w:val="00C14761"/>
    <w:rPr>
      <w:vertAlign w:val="superscript"/>
    </w:rPr>
  </w:style>
  <w:style w:type="character" w:customStyle="1" w:styleId="FootnoteTextChar">
    <w:name w:val="Footnote Text Char"/>
    <w:aliases w:val="Geneva 9 Char,Font: Geneva 9 Char,Boston 10 Char,f Char,ft Char1,Fotnotstext Char Char,ft Char Char,single space Char,footnote text Char,FOOTNOTES Char,ADB Char,single space1 Char,footnote text1 Char,FOOTNOTES1 Char,fn1 Char,ADB1 Char"/>
    <w:basedOn w:val="DefaultParagraphFont"/>
    <w:link w:val="FootnoteText"/>
    <w:qFormat/>
    <w:rsid w:val="00C14761"/>
    <w:rPr>
      <w:sz w:val="20"/>
      <w:szCs w:val="20"/>
    </w:rPr>
  </w:style>
  <w:style w:type="paragraph" w:styleId="FootnoteText">
    <w:name w:val="footnote text"/>
    <w:aliases w:val="Geneva 9,Font: Geneva 9,Boston 10,f,ft,Fotnotstext Char,ft Char,single space,footnote text,FOOTNOTES,ADB,single space1,footnote text1,FOOTNOTES1,fn1,ADB1,single space2,footnote text2,FOOTNOTES2,fn2,ADB2,single space3,footnote text3,fn"/>
    <w:basedOn w:val="Normal"/>
    <w:link w:val="FootnoteTextChar"/>
    <w:unhideWhenUsed/>
    <w:qFormat/>
    <w:rsid w:val="00C14761"/>
    <w:rPr>
      <w:rFonts w:asciiTheme="minorHAnsi" w:eastAsiaTheme="minorHAnsi" w:hAnsiTheme="minorHAnsi" w:cstheme="minorBidi"/>
      <w:bCs/>
      <w:sz w:val="20"/>
      <w:szCs w:val="20"/>
      <w:lang w:eastAsia="en-US"/>
    </w:rPr>
  </w:style>
  <w:style w:type="character" w:customStyle="1" w:styleId="FootnoteTextChar1">
    <w:name w:val="Footnote Text Char1"/>
    <w:basedOn w:val="DefaultParagraphFont"/>
    <w:uiPriority w:val="99"/>
    <w:semiHidden/>
    <w:qFormat/>
    <w:rsid w:val="00C14761"/>
    <w:rPr>
      <w:rFonts w:ascii="Times New Roman" w:eastAsia="Times New Roman" w:hAnsi="Times New Roman" w:cs="Times New Roman"/>
      <w:bCs/>
      <w:sz w:val="20"/>
      <w:szCs w:val="20"/>
      <w:lang w:val="en-GB" w:eastAsia="en-GB"/>
    </w:rPr>
  </w:style>
  <w:style w:type="character" w:customStyle="1" w:styleId="UnresolvedMention2">
    <w:name w:val="Unresolved Mention2"/>
    <w:basedOn w:val="DefaultParagraphFont"/>
    <w:uiPriority w:val="99"/>
    <w:semiHidden/>
    <w:unhideWhenUsed/>
    <w:qFormat/>
    <w:rsid w:val="00C14761"/>
    <w:rPr>
      <w:color w:val="605E5C"/>
      <w:shd w:val="clear" w:color="auto" w:fill="E1DFDD"/>
    </w:rPr>
  </w:style>
  <w:style w:type="character" w:customStyle="1" w:styleId="apple-converted-space">
    <w:name w:val="apple-converted-space"/>
    <w:basedOn w:val="DefaultParagraphFont"/>
    <w:rsid w:val="00C14761"/>
  </w:style>
  <w:style w:type="character" w:customStyle="1" w:styleId="apple-tab-span">
    <w:name w:val="apple-tab-span"/>
    <w:basedOn w:val="DefaultParagraphFont"/>
    <w:rsid w:val="00C14761"/>
  </w:style>
  <w:style w:type="paragraph" w:customStyle="1" w:styleId="EndNoteBibliographyTitle">
    <w:name w:val="EndNote Bibliography Title"/>
    <w:basedOn w:val="Normal"/>
    <w:link w:val="EndNoteBibliographyTitleChar"/>
    <w:rsid w:val="00C14761"/>
    <w:pPr>
      <w:jc w:val="center"/>
    </w:pPr>
    <w:rPr>
      <w:bCs/>
      <w:lang w:eastAsia="en-US"/>
    </w:rPr>
  </w:style>
  <w:style w:type="character" w:customStyle="1" w:styleId="paragraphChar">
    <w:name w:val="paragraph Char"/>
    <w:basedOn w:val="DefaultParagraphFont"/>
    <w:link w:val="paragraph"/>
    <w:qFormat/>
    <w:rsid w:val="00C14761"/>
    <w:rPr>
      <w:rFonts w:asciiTheme="majorHAnsi" w:eastAsia="Times New Roman" w:hAnsiTheme="majorHAnsi" w:cs="Times New Roman"/>
      <w:bCs/>
      <w:lang w:val="en-US"/>
    </w:rPr>
  </w:style>
  <w:style w:type="character" w:customStyle="1" w:styleId="EndNoteBibliographyTitleChar">
    <w:name w:val="EndNote Bibliography Title Char"/>
    <w:basedOn w:val="paragraphChar"/>
    <w:link w:val="EndNoteBibliographyTitle"/>
    <w:qFormat/>
    <w:rsid w:val="00C14761"/>
    <w:rPr>
      <w:rFonts w:ascii="Times New Roman" w:eastAsia="Times New Roman" w:hAnsi="Times New Roman" w:cs="Times New Roman"/>
      <w:bCs/>
      <w:lang w:val="en-US"/>
    </w:rPr>
  </w:style>
  <w:style w:type="character" w:customStyle="1" w:styleId="UnresolvedMention20">
    <w:name w:val="Unresolved Mention20"/>
    <w:basedOn w:val="DefaultParagraphFont"/>
    <w:uiPriority w:val="99"/>
    <w:semiHidden/>
    <w:unhideWhenUsed/>
    <w:qFormat/>
    <w:rsid w:val="00C14761"/>
    <w:rPr>
      <w:color w:val="605E5C"/>
      <w:shd w:val="clear" w:color="auto" w:fill="E1DFDD"/>
    </w:rPr>
  </w:style>
  <w:style w:type="character" w:styleId="Strong">
    <w:name w:val="Strong"/>
    <w:rsid w:val="00C14761"/>
    <w:rPr>
      <w:b/>
      <w:bCs/>
    </w:rPr>
  </w:style>
  <w:style w:type="character" w:styleId="FollowedHyperlink">
    <w:name w:val="FollowedHyperlink"/>
    <w:basedOn w:val="DefaultParagraphFont"/>
    <w:uiPriority w:val="99"/>
    <w:semiHidden/>
    <w:unhideWhenUsed/>
    <w:rsid w:val="00C14761"/>
    <w:rPr>
      <w:color w:val="954F72" w:themeColor="followedHyperlink"/>
      <w:u w:val="single"/>
    </w:rPr>
  </w:style>
  <w:style w:type="character" w:customStyle="1" w:styleId="spellingerror">
    <w:name w:val="spellingerror"/>
    <w:basedOn w:val="DefaultParagraphFont"/>
    <w:rsid w:val="00C14761"/>
  </w:style>
  <w:style w:type="character" w:customStyle="1" w:styleId="pagebreaktextspan">
    <w:name w:val="pagebreaktextspan"/>
    <w:basedOn w:val="DefaultParagraphFont"/>
    <w:rsid w:val="00C14761"/>
  </w:style>
  <w:style w:type="character" w:customStyle="1" w:styleId="contextualspellingandgrammarerror">
    <w:name w:val="contextualspellingandgrammarerror"/>
    <w:basedOn w:val="DefaultParagraphFont"/>
    <w:rsid w:val="00C14761"/>
  </w:style>
  <w:style w:type="table" w:customStyle="1" w:styleId="TableGrid7">
    <w:name w:val="Table Grid7"/>
    <w:basedOn w:val="TableNormal"/>
    <w:next w:val="TableGrid"/>
    <w:uiPriority w:val="39"/>
    <w:rsid w:val="00C14761"/>
    <w:pPr>
      <w:jc w:val="both"/>
    </w:pPr>
    <w:rPr>
      <w:rFonts w:ascii="Calibri" w:eastAsia="Batang" w:hAnsi="Calibri" w:cs="Calibri"/>
      <w:sz w:val="22"/>
      <w:szCs w:val="22"/>
      <w:lang w:val="en-US"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C14761"/>
    <w:rPr>
      <w:rFonts w:ascii="Berling-Roman-SC800" w:hAnsi="Berling-Roman-SC800" w:hint="default"/>
      <w:b w:val="0"/>
      <w:bCs w:val="0"/>
      <w:i w:val="0"/>
      <w:iCs w:val="0"/>
      <w:color w:val="242021"/>
      <w:sz w:val="20"/>
      <w:szCs w:val="20"/>
    </w:rPr>
  </w:style>
  <w:style w:type="paragraph" w:styleId="Revision">
    <w:name w:val="Revision"/>
    <w:hidden/>
    <w:uiPriority w:val="99"/>
    <w:semiHidden/>
    <w:qFormat/>
    <w:rsid w:val="00192C26"/>
    <w:rPr>
      <w:lang w:val="en-US"/>
    </w:rPr>
  </w:style>
  <w:style w:type="table" w:customStyle="1" w:styleId="TableGrid8">
    <w:name w:val="Table Grid8"/>
    <w:basedOn w:val="TableNormal"/>
    <w:next w:val="TableGrid"/>
    <w:uiPriority w:val="39"/>
    <w:rsid w:val="00C14761"/>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121A89"/>
    <w:pPr>
      <w:keepNext/>
    </w:pPr>
    <w:rPr>
      <w:rFonts w:eastAsia="Batang"/>
      <w:b/>
      <w:bCs/>
      <w:szCs w:val="20"/>
      <w:lang w:eastAsia="en-NZ"/>
    </w:rPr>
  </w:style>
  <w:style w:type="paragraph" w:styleId="TableofFigures">
    <w:name w:val="table of figures"/>
    <w:basedOn w:val="Normal"/>
    <w:next w:val="Normal"/>
    <w:uiPriority w:val="99"/>
    <w:unhideWhenUsed/>
    <w:rsid w:val="00C14761"/>
    <w:rPr>
      <w:bCs/>
    </w:rPr>
  </w:style>
  <w:style w:type="character" w:customStyle="1" w:styleId="UnresolvedMention3">
    <w:name w:val="Unresolved Mention3"/>
    <w:basedOn w:val="DefaultParagraphFont"/>
    <w:uiPriority w:val="99"/>
    <w:semiHidden/>
    <w:unhideWhenUsed/>
    <w:qFormat/>
    <w:rsid w:val="00C14761"/>
    <w:rPr>
      <w:color w:val="605E5C"/>
      <w:shd w:val="clear" w:color="auto" w:fill="E1DFDD"/>
    </w:rPr>
  </w:style>
  <w:style w:type="character" w:customStyle="1" w:styleId="UnresolvedMention4">
    <w:name w:val="Unresolved Mention4"/>
    <w:basedOn w:val="DefaultParagraphFont"/>
    <w:uiPriority w:val="99"/>
    <w:semiHidden/>
    <w:unhideWhenUsed/>
    <w:rsid w:val="00C14761"/>
    <w:rPr>
      <w:color w:val="605E5C"/>
      <w:shd w:val="clear" w:color="auto" w:fill="E1DFDD"/>
    </w:rPr>
  </w:style>
  <w:style w:type="character" w:customStyle="1" w:styleId="10">
    <w:name w:val="확인되지 않은 멘션1"/>
    <w:basedOn w:val="DefaultParagraphFont"/>
    <w:uiPriority w:val="99"/>
    <w:semiHidden/>
    <w:unhideWhenUsed/>
    <w:rsid w:val="00F34A9B"/>
    <w:rPr>
      <w:color w:val="605E5C"/>
      <w:shd w:val="clear" w:color="auto" w:fill="E1DFDD"/>
    </w:rPr>
  </w:style>
  <w:style w:type="character" w:styleId="PageNumber">
    <w:name w:val="page number"/>
    <w:basedOn w:val="DefaultParagraphFont"/>
    <w:uiPriority w:val="99"/>
    <w:semiHidden/>
    <w:unhideWhenUsed/>
    <w:rsid w:val="006527BE"/>
  </w:style>
  <w:style w:type="character" w:customStyle="1" w:styleId="EndnoteCharacters">
    <w:name w:val="Endnote Characters"/>
    <w:basedOn w:val="DefaultParagraphFont"/>
    <w:uiPriority w:val="99"/>
    <w:semiHidden/>
    <w:unhideWhenUsed/>
    <w:qFormat/>
    <w:rsid w:val="00CC4659"/>
    <w:rPr>
      <w:vertAlign w:val="superscript"/>
    </w:rPr>
  </w:style>
  <w:style w:type="character" w:customStyle="1" w:styleId="EndnoteAnchor">
    <w:name w:val="Endnote Anchor"/>
    <w:rsid w:val="00CC4659"/>
    <w:rPr>
      <w:vertAlign w:val="superscript"/>
    </w:rPr>
  </w:style>
  <w:style w:type="character" w:customStyle="1" w:styleId="FootnoteCharacters">
    <w:name w:val="Footnote Characters"/>
    <w:basedOn w:val="DefaultParagraphFont"/>
    <w:uiPriority w:val="99"/>
    <w:semiHidden/>
    <w:unhideWhenUsed/>
    <w:qFormat/>
    <w:rsid w:val="00CC4659"/>
    <w:rPr>
      <w:vertAlign w:val="superscript"/>
    </w:rPr>
  </w:style>
  <w:style w:type="character" w:customStyle="1" w:styleId="FootnoteAnchor">
    <w:name w:val="Footnote Anchor"/>
    <w:rsid w:val="00CC4659"/>
    <w:rPr>
      <w:vertAlign w:val="superscript"/>
    </w:rPr>
  </w:style>
  <w:style w:type="character" w:customStyle="1" w:styleId="IndexLink">
    <w:name w:val="Index Link"/>
    <w:rsid w:val="00CC4659"/>
  </w:style>
  <w:style w:type="character" w:customStyle="1" w:styleId="LineNumbering">
    <w:name w:val="Line Numbering"/>
    <w:rsid w:val="00CC4659"/>
  </w:style>
  <w:style w:type="paragraph" w:customStyle="1" w:styleId="Heading">
    <w:name w:val="Heading"/>
    <w:basedOn w:val="Normal"/>
    <w:next w:val="BodyText"/>
    <w:rsid w:val="00CC4659"/>
    <w:pPr>
      <w:keepNext/>
      <w:suppressAutoHyphens/>
    </w:pPr>
    <w:rPr>
      <w:rFonts w:ascii="Liberation Sans" w:eastAsia="Microsoft YaHei" w:hAnsi="Liberation Sans" w:cs="Arial"/>
      <w:bCs/>
    </w:rPr>
  </w:style>
  <w:style w:type="paragraph" w:styleId="BodyText">
    <w:name w:val="Body Text"/>
    <w:basedOn w:val="Normal"/>
    <w:link w:val="BodyTextChar"/>
    <w:rsid w:val="00CC4659"/>
    <w:pPr>
      <w:suppressAutoHyphens/>
      <w:spacing w:after="140" w:line="276" w:lineRule="auto"/>
    </w:pPr>
    <w:rPr>
      <w:bCs/>
    </w:rPr>
  </w:style>
  <w:style w:type="character" w:customStyle="1" w:styleId="BodyTextChar">
    <w:name w:val="Body Text Char"/>
    <w:basedOn w:val="DefaultParagraphFont"/>
    <w:link w:val="BodyText"/>
    <w:rsid w:val="00CC4659"/>
    <w:rPr>
      <w:rFonts w:ascii="Times New Roman" w:eastAsia="Times New Roman" w:hAnsi="Times New Roman" w:cs="Times New Roman"/>
      <w:bCs/>
      <w:lang w:val="en-US" w:eastAsia="en-GB"/>
    </w:rPr>
  </w:style>
  <w:style w:type="paragraph" w:styleId="List">
    <w:name w:val="List"/>
    <w:basedOn w:val="BodyText"/>
    <w:rsid w:val="00CC4659"/>
    <w:rPr>
      <w:rFonts w:cs="Arial"/>
    </w:rPr>
  </w:style>
  <w:style w:type="paragraph" w:customStyle="1" w:styleId="Index">
    <w:name w:val="Index"/>
    <w:basedOn w:val="Normal"/>
    <w:rsid w:val="00CC4659"/>
    <w:pPr>
      <w:suppressLineNumbers/>
      <w:suppressAutoHyphens/>
    </w:pPr>
    <w:rPr>
      <w:rFonts w:cs="Arial"/>
      <w:bCs/>
    </w:rPr>
  </w:style>
  <w:style w:type="paragraph" w:customStyle="1" w:styleId="HeaderandFooter">
    <w:name w:val="Header and Footer"/>
    <w:basedOn w:val="Normal"/>
    <w:rsid w:val="00CC4659"/>
    <w:pPr>
      <w:suppressAutoHyphens/>
    </w:pPr>
    <w:rPr>
      <w:bCs/>
    </w:rPr>
  </w:style>
  <w:style w:type="paragraph" w:styleId="Index1">
    <w:name w:val="index 1"/>
    <w:basedOn w:val="Normal"/>
    <w:next w:val="Normal"/>
    <w:autoRedefine/>
    <w:uiPriority w:val="99"/>
    <w:semiHidden/>
    <w:unhideWhenUsed/>
    <w:rsid w:val="00CC4659"/>
    <w:pPr>
      <w:ind w:left="280" w:hanging="280"/>
    </w:pPr>
  </w:style>
  <w:style w:type="paragraph" w:styleId="IndexHeading">
    <w:name w:val="index heading"/>
    <w:basedOn w:val="Heading"/>
    <w:rsid w:val="00CC4659"/>
    <w:pPr>
      <w:suppressLineNumbers/>
    </w:pPr>
    <w:rPr>
      <w:b/>
      <w:bCs w:val="0"/>
      <w:sz w:val="32"/>
      <w:szCs w:val="32"/>
    </w:rPr>
  </w:style>
  <w:style w:type="paragraph" w:styleId="TOAHeading">
    <w:name w:val="toa heading"/>
    <w:basedOn w:val="IndexHeading"/>
    <w:rsid w:val="00CC4659"/>
  </w:style>
  <w:style w:type="table" w:styleId="TableGridLight">
    <w:name w:val="Grid Table Light"/>
    <w:basedOn w:val="TableNormal"/>
    <w:uiPriority w:val="40"/>
    <w:rsid w:val="00CC4659"/>
    <w:pPr>
      <w:suppressAutoHyphens/>
    </w:pPr>
    <w:rPr>
      <w:sz w:val="22"/>
      <w:szCs w:val="22"/>
      <w:lang w:val="en-US" w:eastAsia="zh-C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TableGrid9">
    <w:name w:val="Table Grid9"/>
    <w:basedOn w:val="TableNormal"/>
    <w:next w:val="TableGrid"/>
    <w:uiPriority w:val="39"/>
    <w:rsid w:val="005806C1"/>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semiHidden/>
    <w:unhideWhenUsed/>
    <w:rsid w:val="00727CF6"/>
    <w:rPr>
      <w:color w:val="605E5C"/>
      <w:shd w:val="clear" w:color="auto" w:fill="E1DFDD"/>
    </w:rPr>
  </w:style>
  <w:style w:type="character" w:customStyle="1" w:styleId="UnresolvedMention6">
    <w:name w:val="Unresolved Mention6"/>
    <w:basedOn w:val="DefaultParagraphFont"/>
    <w:uiPriority w:val="99"/>
    <w:semiHidden/>
    <w:unhideWhenUsed/>
    <w:rsid w:val="001B47F4"/>
    <w:rPr>
      <w:color w:val="605E5C"/>
      <w:shd w:val="clear" w:color="auto" w:fill="E1DFDD"/>
    </w:rPr>
  </w:style>
  <w:style w:type="table" w:styleId="GridTable4-Accent3">
    <w:name w:val="Grid Table 4 Accent 3"/>
    <w:basedOn w:val="TableNormal"/>
    <w:uiPriority w:val="49"/>
    <w:rsid w:val="00604FC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B53AE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UnresolvedMention7">
    <w:name w:val="Unresolved Mention7"/>
    <w:basedOn w:val="DefaultParagraphFont"/>
    <w:uiPriority w:val="99"/>
    <w:semiHidden/>
    <w:unhideWhenUsed/>
    <w:rsid w:val="00911647"/>
    <w:rPr>
      <w:color w:val="605E5C"/>
      <w:shd w:val="clear" w:color="auto" w:fill="E1DFDD"/>
    </w:rPr>
  </w:style>
  <w:style w:type="paragraph" w:customStyle="1" w:styleId="Style1">
    <w:name w:val="Style1"/>
    <w:basedOn w:val="Normal"/>
    <w:link w:val="Style1Char"/>
    <w:rsid w:val="001D401D"/>
    <w:pPr>
      <w:spacing w:line="276" w:lineRule="auto"/>
      <w:jc w:val="both"/>
    </w:pPr>
    <w:rPr>
      <w:rFonts w:eastAsiaTheme="minorHAnsi"/>
      <w:b/>
      <w:lang w:eastAsia="en-US"/>
    </w:rPr>
  </w:style>
  <w:style w:type="character" w:customStyle="1" w:styleId="Style1Char">
    <w:name w:val="Style1 Char"/>
    <w:basedOn w:val="DefaultParagraphFont"/>
    <w:link w:val="Style1"/>
    <w:rsid w:val="001D401D"/>
    <w:rPr>
      <w:rFonts w:ascii="Times New Roman" w:eastAsiaTheme="minorHAnsi" w:hAnsi="Times New Roman" w:cs="Times New Roman"/>
      <w:b/>
      <w:lang w:val="en-US"/>
    </w:rPr>
  </w:style>
  <w:style w:type="character" w:styleId="SubtleEmphasis">
    <w:name w:val="Subtle Emphasis"/>
    <w:basedOn w:val="DefaultParagraphFont"/>
    <w:uiPriority w:val="19"/>
    <w:rsid w:val="001D401D"/>
    <w:rPr>
      <w:i/>
      <w:iCs/>
      <w:color w:val="404040" w:themeColor="text1" w:themeTint="BF"/>
    </w:rPr>
  </w:style>
  <w:style w:type="character" w:customStyle="1" w:styleId="source">
    <w:name w:val="source"/>
    <w:basedOn w:val="DefaultParagraphFont"/>
    <w:rsid w:val="00851847"/>
  </w:style>
  <w:style w:type="character" w:customStyle="1" w:styleId="UnresolvedMention8">
    <w:name w:val="Unresolved Mention8"/>
    <w:basedOn w:val="DefaultParagraphFont"/>
    <w:uiPriority w:val="99"/>
    <w:semiHidden/>
    <w:unhideWhenUsed/>
    <w:rsid w:val="008D6650"/>
    <w:rPr>
      <w:color w:val="605E5C"/>
      <w:shd w:val="clear" w:color="auto" w:fill="E1DFDD"/>
    </w:rPr>
  </w:style>
  <w:style w:type="character" w:customStyle="1" w:styleId="ListParagraphChar">
    <w:name w:val="List Paragraph Char"/>
    <w:basedOn w:val="DefaultParagraphFont"/>
    <w:link w:val="ListParagraph"/>
    <w:uiPriority w:val="34"/>
    <w:locked/>
    <w:rsid w:val="00EB0A54"/>
    <w:rPr>
      <w:rFonts w:ascii="Times New Roman" w:eastAsia="Times New Roman" w:hAnsi="Times New Roman" w:cs="Times New Roman"/>
      <w:lang w:val="en-US" w:eastAsia="en-GB"/>
    </w:rPr>
  </w:style>
  <w:style w:type="numbering" w:customStyle="1" w:styleId="1">
    <w:name w:val="スタイル1"/>
    <w:uiPriority w:val="99"/>
    <w:rsid w:val="00EE56C5"/>
    <w:pPr>
      <w:numPr>
        <w:numId w:val="38"/>
      </w:numPr>
    </w:pPr>
  </w:style>
  <w:style w:type="character" w:customStyle="1" w:styleId="UnresolvedMention9">
    <w:name w:val="Unresolved Mention9"/>
    <w:basedOn w:val="DefaultParagraphFont"/>
    <w:uiPriority w:val="99"/>
    <w:semiHidden/>
    <w:unhideWhenUsed/>
    <w:rsid w:val="00566CD3"/>
    <w:rPr>
      <w:color w:val="605E5C"/>
      <w:shd w:val="clear" w:color="auto" w:fill="E1DFDD"/>
    </w:rPr>
  </w:style>
  <w:style w:type="character" w:customStyle="1" w:styleId="UnresolvedMention10">
    <w:name w:val="Unresolved Mention10"/>
    <w:basedOn w:val="DefaultParagraphFont"/>
    <w:uiPriority w:val="99"/>
    <w:semiHidden/>
    <w:unhideWhenUsed/>
    <w:rsid w:val="00273D8C"/>
    <w:rPr>
      <w:color w:val="605E5C"/>
      <w:shd w:val="clear" w:color="auto" w:fill="E1DFDD"/>
    </w:rPr>
  </w:style>
  <w:style w:type="character" w:customStyle="1" w:styleId="UnresolvedMention11">
    <w:name w:val="Unresolved Mention11"/>
    <w:basedOn w:val="DefaultParagraphFont"/>
    <w:uiPriority w:val="99"/>
    <w:semiHidden/>
    <w:unhideWhenUsed/>
    <w:rsid w:val="00B107F5"/>
    <w:rPr>
      <w:color w:val="605E5C"/>
      <w:shd w:val="clear" w:color="auto" w:fill="E1DFDD"/>
    </w:rPr>
  </w:style>
  <w:style w:type="character" w:customStyle="1" w:styleId="cf01">
    <w:name w:val="cf01"/>
    <w:basedOn w:val="DefaultParagraphFont"/>
    <w:rsid w:val="002A75C8"/>
    <w:rPr>
      <w:rFonts w:ascii="Segoe UI" w:hAnsi="Segoe UI" w:cs="Segoe UI" w:hint="default"/>
      <w:sz w:val="22"/>
      <w:szCs w:val="22"/>
    </w:rPr>
  </w:style>
  <w:style w:type="character" w:customStyle="1" w:styleId="UnresolvedMention110">
    <w:name w:val="Unresolved Mention110"/>
    <w:basedOn w:val="DefaultParagraphFont"/>
    <w:uiPriority w:val="99"/>
    <w:semiHidden/>
    <w:unhideWhenUsed/>
    <w:rsid w:val="0022132A"/>
    <w:rPr>
      <w:color w:val="605E5C"/>
      <w:shd w:val="clear" w:color="auto" w:fill="E1DFDD"/>
    </w:rPr>
  </w:style>
  <w:style w:type="character" w:customStyle="1" w:styleId="fontstyle21">
    <w:name w:val="fontstyle21"/>
    <w:basedOn w:val="DefaultParagraphFont"/>
    <w:rsid w:val="00815E0B"/>
    <w:rPr>
      <w:rFonts w:ascii="TimesNewRomanPSMT" w:hAnsi="TimesNewRomanPSMT" w:hint="default"/>
      <w:b w:val="0"/>
      <w:bCs w:val="0"/>
      <w:i w:val="0"/>
      <w:iCs w:val="0"/>
      <w:color w:val="000000"/>
      <w:sz w:val="24"/>
      <w:szCs w:val="24"/>
    </w:rPr>
  </w:style>
  <w:style w:type="character" w:styleId="UnresolvedMention">
    <w:name w:val="Unresolved Mention"/>
    <w:basedOn w:val="DefaultParagraphFont"/>
    <w:uiPriority w:val="99"/>
    <w:semiHidden/>
    <w:unhideWhenUsed/>
    <w:rsid w:val="00E874E3"/>
    <w:rPr>
      <w:color w:val="605E5C"/>
      <w:shd w:val="clear" w:color="auto" w:fill="E1DFDD"/>
    </w:rPr>
  </w:style>
  <w:style w:type="paragraph" w:customStyle="1" w:styleId="pf0">
    <w:name w:val="pf0"/>
    <w:basedOn w:val="Normal"/>
    <w:rsid w:val="00ED798D"/>
    <w:pPr>
      <w:spacing w:before="100" w:beforeAutospacing="1" w:after="100" w:afterAutospacing="1"/>
    </w:pPr>
    <w:rPr>
      <w:lang w:eastAsia="en-AU"/>
    </w:rPr>
  </w:style>
  <w:style w:type="character" w:customStyle="1" w:styleId="ref-journal">
    <w:name w:val="ref-journal"/>
    <w:basedOn w:val="DefaultParagraphFont"/>
    <w:rsid w:val="001D06A2"/>
  </w:style>
  <w:style w:type="character" w:customStyle="1" w:styleId="ref-vol">
    <w:name w:val="ref-vol"/>
    <w:basedOn w:val="DefaultParagraphFont"/>
    <w:rsid w:val="001D06A2"/>
  </w:style>
  <w:style w:type="numbering" w:customStyle="1" w:styleId="CurrentList1">
    <w:name w:val="Current List1"/>
    <w:uiPriority w:val="99"/>
    <w:rsid w:val="00977724"/>
    <w:pPr>
      <w:numPr>
        <w:numId w:val="47"/>
      </w:numPr>
    </w:pPr>
  </w:style>
  <w:style w:type="paragraph" w:customStyle="1" w:styleId="BVIfnrChar">
    <w:name w:val="BVI fnr Char"/>
    <w:aliases w:val="BVI fnr Car Car Char,BVI fnr Car Char,BVI fnr Car Car Car Car Char Char,BVI fnr Car Car Car Car Char,BVI fnr Car Car Car Char,BVI fnr Car Car Car Car Car Char, BVI fnr Car Car Char, BVI fnr Car Car Car Car Char Char, BVI fnr Car Char"/>
    <w:basedOn w:val="Normal"/>
    <w:link w:val="FootnoteReference"/>
    <w:uiPriority w:val="99"/>
    <w:qFormat/>
    <w:rsid w:val="00D9180C"/>
    <w:pPr>
      <w:spacing w:before="0" w:after="160" w:line="240" w:lineRule="exact"/>
      <w:jc w:val="both"/>
    </w:pPr>
    <w:rPr>
      <w:rFonts w:asciiTheme="minorHAnsi" w:hAnsiTheme="minorHAnsi" w:cstheme="minorBidi"/>
      <w:vertAlign w:val="superscript"/>
      <w:lang w:val="en-AU" w:eastAsia="en-US"/>
    </w:rPr>
  </w:style>
  <w:style w:type="character" w:customStyle="1" w:styleId="a">
    <w:name w:val="なし"/>
    <w:rsid w:val="00D9180C"/>
  </w:style>
  <w:style w:type="paragraph" w:customStyle="1" w:styleId="11">
    <w:name w:val="本文1"/>
    <w:rsid w:val="00192C26"/>
    <w:pPr>
      <w:pBdr>
        <w:top w:val="nil"/>
        <w:left w:val="nil"/>
        <w:bottom w:val="nil"/>
        <w:right w:val="nil"/>
        <w:between w:val="nil"/>
        <w:bar w:val="nil"/>
      </w:pBdr>
      <w:jc w:val="both"/>
    </w:pPr>
    <w:rPr>
      <w:color w:val="000000"/>
      <w:sz w:val="22"/>
      <w:szCs w:val="22"/>
      <w:u w:color="000000"/>
      <w:bdr w:val="nil"/>
      <w:lang w:val="en-US"/>
    </w:rPr>
  </w:style>
  <w:style w:type="numbering" w:customStyle="1" w:styleId="CurrentList2">
    <w:name w:val="Current List2"/>
    <w:uiPriority w:val="99"/>
    <w:rsid w:val="00B86627"/>
    <w:pPr>
      <w:numPr>
        <w:numId w:val="67"/>
      </w:numPr>
    </w:pPr>
  </w:style>
  <w:style w:type="numbering" w:customStyle="1" w:styleId="CurrentList3">
    <w:name w:val="Current List3"/>
    <w:uiPriority w:val="99"/>
    <w:rsid w:val="00232779"/>
    <w:pPr>
      <w:numPr>
        <w:numId w:val="70"/>
      </w:numPr>
    </w:pPr>
  </w:style>
  <w:style w:type="character" w:customStyle="1" w:styleId="vernacular">
    <w:name w:val="vernacular"/>
    <w:basedOn w:val="DefaultParagraphFont"/>
    <w:rsid w:val="00825FDF"/>
  </w:style>
  <w:style w:type="numbering" w:customStyle="1" w:styleId="CurrentList4">
    <w:name w:val="Current List4"/>
    <w:uiPriority w:val="99"/>
    <w:rsid w:val="00962D0B"/>
    <w:pPr>
      <w:numPr>
        <w:numId w:val="75"/>
      </w:numPr>
    </w:pPr>
  </w:style>
  <w:style w:type="paragraph" w:customStyle="1" w:styleId="CH1">
    <w:name w:val="CH1"/>
    <w:basedOn w:val="Normal-pool"/>
    <w:next w:val="CH2"/>
    <w:qFormat/>
    <w:rsid w:val="00192C26"/>
    <w:pPr>
      <w:keepNext/>
      <w:keepLines/>
      <w:tabs>
        <w:tab w:val="clear" w:pos="624"/>
        <w:tab w:val="right" w:pos="851"/>
      </w:tabs>
      <w:suppressAutoHyphens/>
      <w:ind w:left="1247" w:right="284" w:hanging="1247"/>
    </w:pPr>
    <w:rPr>
      <w:b/>
      <w:sz w:val="28"/>
      <w:szCs w:val="28"/>
    </w:rPr>
  </w:style>
  <w:style w:type="paragraph" w:customStyle="1" w:styleId="CH2">
    <w:name w:val="CH2"/>
    <w:basedOn w:val="Normal-pool"/>
    <w:next w:val="Normalnumber"/>
    <w:link w:val="CH2Char"/>
    <w:qFormat/>
    <w:rsid w:val="00192C26"/>
    <w:pPr>
      <w:keepNext/>
      <w:keepLines/>
      <w:tabs>
        <w:tab w:val="clear" w:pos="624"/>
        <w:tab w:val="right" w:pos="851"/>
      </w:tabs>
      <w:suppressAutoHyphens/>
      <w:ind w:left="1247" w:right="284" w:hanging="1247"/>
    </w:pPr>
    <w:rPr>
      <w:b/>
      <w:sz w:val="24"/>
      <w:szCs w:val="24"/>
    </w:rPr>
  </w:style>
  <w:style w:type="paragraph" w:customStyle="1" w:styleId="Normal-pool">
    <w:name w:val="Normal-pool"/>
    <w:link w:val="Normal-poolChar"/>
    <w:qFormat/>
    <w:rsid w:val="00192C26"/>
    <w:pPr>
      <w:tabs>
        <w:tab w:val="left" w:pos="624"/>
        <w:tab w:val="left" w:pos="1247"/>
        <w:tab w:val="left" w:pos="1814"/>
        <w:tab w:val="left" w:pos="2381"/>
        <w:tab w:val="left" w:pos="2948"/>
        <w:tab w:val="left" w:pos="3515"/>
        <w:tab w:val="left" w:pos="4082"/>
      </w:tabs>
    </w:pPr>
    <w:rPr>
      <w:sz w:val="20"/>
      <w:szCs w:val="20"/>
      <w:lang w:val="en-US"/>
    </w:rPr>
  </w:style>
  <w:style w:type="paragraph" w:customStyle="1" w:styleId="AATitle">
    <w:name w:val="AA_Title"/>
    <w:basedOn w:val="Normal-pool"/>
    <w:qFormat/>
    <w:rsid w:val="007379CF"/>
    <w:pPr>
      <w:keepNext/>
      <w:keepLines/>
      <w:tabs>
        <w:tab w:val="clear" w:pos="1247"/>
        <w:tab w:val="clear" w:pos="1814"/>
        <w:tab w:val="clear" w:pos="2381"/>
        <w:tab w:val="clear" w:pos="2948"/>
        <w:tab w:val="clear" w:pos="3515"/>
        <w:tab w:val="clear" w:pos="4082"/>
        <w:tab w:val="right" w:pos="2920"/>
      </w:tabs>
      <w:suppressAutoHyphens/>
    </w:pPr>
    <w:rPr>
      <w:b/>
    </w:rPr>
  </w:style>
  <w:style w:type="paragraph" w:customStyle="1" w:styleId="AATitle2">
    <w:name w:val="AA_Title2"/>
    <w:basedOn w:val="AATitle"/>
    <w:qFormat/>
    <w:rsid w:val="00192C26"/>
    <w:pPr>
      <w:spacing w:before="120"/>
    </w:pPr>
  </w:style>
  <w:style w:type="paragraph" w:customStyle="1" w:styleId="BBTitle">
    <w:name w:val="BB_Title"/>
    <w:basedOn w:val="Normal-pool"/>
    <w:qFormat/>
    <w:rsid w:val="007379CF"/>
    <w:pPr>
      <w:keepNext/>
      <w:keepLines/>
      <w:suppressAutoHyphens/>
      <w:spacing w:before="320" w:after="240"/>
      <w:ind w:left="1247" w:right="567"/>
    </w:pPr>
    <w:rPr>
      <w:b/>
      <w:sz w:val="28"/>
      <w:szCs w:val="28"/>
    </w:rPr>
  </w:style>
  <w:style w:type="numbering" w:customStyle="1" w:styleId="Normallist">
    <w:name w:val="Normal_list"/>
    <w:basedOn w:val="NoList"/>
    <w:rsid w:val="007379CF"/>
    <w:pPr>
      <w:numPr>
        <w:numId w:val="76"/>
      </w:numPr>
    </w:pPr>
  </w:style>
  <w:style w:type="paragraph" w:customStyle="1" w:styleId="Normalnumber">
    <w:name w:val="Normal_number"/>
    <w:basedOn w:val="Normal"/>
    <w:link w:val="NormalnumberChar"/>
    <w:rsid w:val="00192C26"/>
    <w:pPr>
      <w:numPr>
        <w:numId w:val="27"/>
      </w:numPr>
      <w:tabs>
        <w:tab w:val="clear" w:pos="720"/>
        <w:tab w:val="left" w:pos="1247"/>
        <w:tab w:val="left" w:pos="1814"/>
        <w:tab w:val="left" w:pos="2381"/>
        <w:tab w:val="left" w:pos="2948"/>
        <w:tab w:val="left" w:pos="3515"/>
        <w:tab w:val="left" w:pos="4082"/>
      </w:tabs>
      <w:spacing w:before="0"/>
      <w:ind w:left="360" w:hanging="360"/>
    </w:pPr>
    <w:rPr>
      <w:sz w:val="20"/>
      <w:szCs w:val="20"/>
      <w:lang w:val="en-US" w:eastAsia="en-US"/>
    </w:rPr>
  </w:style>
  <w:style w:type="character" w:customStyle="1" w:styleId="Normal-poolChar">
    <w:name w:val="Normal-pool Char"/>
    <w:link w:val="Normal-pool"/>
    <w:locked/>
    <w:rsid w:val="007379CF"/>
    <w:rPr>
      <w:sz w:val="20"/>
      <w:szCs w:val="20"/>
      <w:lang w:val="en-US"/>
    </w:rPr>
  </w:style>
  <w:style w:type="paragraph" w:customStyle="1" w:styleId="AConvName">
    <w:name w:val="A_ConvName"/>
    <w:basedOn w:val="Normal-pool"/>
    <w:next w:val="Normal-pool"/>
    <w:rsid w:val="007379CF"/>
    <w:pPr>
      <w:tabs>
        <w:tab w:val="clear" w:pos="1247"/>
        <w:tab w:val="clear" w:pos="1814"/>
        <w:tab w:val="clear" w:pos="2381"/>
        <w:tab w:val="clear" w:pos="2948"/>
        <w:tab w:val="clear" w:pos="3515"/>
        <w:tab w:val="clear" w:pos="4082"/>
      </w:tabs>
      <w:spacing w:before="120" w:after="240"/>
    </w:pPr>
    <w:rPr>
      <w:rFonts w:ascii="Arial" w:hAnsi="Arial"/>
      <w:b/>
      <w:sz w:val="28"/>
    </w:rPr>
  </w:style>
  <w:style w:type="paragraph" w:customStyle="1" w:styleId="ASymbol">
    <w:name w:val="A_Symbol"/>
    <w:basedOn w:val="Normal-pool"/>
    <w:rsid w:val="007379CF"/>
    <w:pPr>
      <w:tabs>
        <w:tab w:val="clear" w:pos="1247"/>
        <w:tab w:val="clear" w:pos="1814"/>
        <w:tab w:val="clear" w:pos="2381"/>
        <w:tab w:val="clear" w:pos="2948"/>
        <w:tab w:val="clear" w:pos="3515"/>
        <w:tab w:val="clear" w:pos="4082"/>
        <w:tab w:val="right" w:pos="2920"/>
      </w:tabs>
    </w:pPr>
    <w:rPr>
      <w:rFonts w:eastAsia="SimSun"/>
    </w:rPr>
  </w:style>
  <w:style w:type="paragraph" w:customStyle="1" w:styleId="AText">
    <w:name w:val="A_Text"/>
    <w:basedOn w:val="Normal-pool"/>
    <w:rsid w:val="00192C26"/>
    <w:pPr>
      <w:spacing w:before="120"/>
    </w:pPr>
  </w:style>
  <w:style w:type="paragraph" w:customStyle="1" w:styleId="AUnitedNations">
    <w:name w:val="A_United_Nations"/>
    <w:basedOn w:val="Normal-pool"/>
    <w:next w:val="Normal-pool"/>
    <w:rsid w:val="007379CF"/>
    <w:pPr>
      <w:tabs>
        <w:tab w:val="clear" w:pos="1247"/>
        <w:tab w:val="clear" w:pos="1814"/>
        <w:tab w:val="clear" w:pos="2381"/>
        <w:tab w:val="clear" w:pos="2948"/>
        <w:tab w:val="clear" w:pos="3515"/>
        <w:tab w:val="clear" w:pos="4082"/>
      </w:tabs>
      <w:spacing w:before="20" w:after="20"/>
    </w:pPr>
    <w:rPr>
      <w:rFonts w:ascii="Arial" w:hAnsi="Arial" w:cs="Times New Roman Bold"/>
      <w:b/>
      <w:caps/>
      <w:color w:val="000000" w:themeColor="text1"/>
      <w:sz w:val="27"/>
    </w:rPr>
  </w:style>
  <w:style w:type="character" w:customStyle="1" w:styleId="NormalnumberChar">
    <w:name w:val="Normal_number Char"/>
    <w:link w:val="Normalnumber"/>
    <w:rsid w:val="007379CF"/>
    <w:rPr>
      <w:sz w:val="20"/>
      <w:szCs w:val="20"/>
      <w:lang w:val="en-US" w:eastAsia="en-US"/>
    </w:rPr>
  </w:style>
  <w:style w:type="paragraph" w:customStyle="1" w:styleId="ALogo">
    <w:name w:val="A_Logo"/>
    <w:basedOn w:val="Normal-pool"/>
    <w:link w:val="ALogoChar"/>
    <w:qFormat/>
    <w:rsid w:val="007379CF"/>
    <w:pPr>
      <w:spacing w:before="120" w:after="240"/>
    </w:pPr>
  </w:style>
  <w:style w:type="character" w:customStyle="1" w:styleId="ALogoChar">
    <w:name w:val="A_Logo Char"/>
    <w:basedOn w:val="Normal-poolChar"/>
    <w:link w:val="ALogo"/>
    <w:rsid w:val="007379CF"/>
    <w:rPr>
      <w:rFonts w:ascii="Times New Roman" w:eastAsia="Times New Roman" w:hAnsi="Times New Roman" w:cs="Times New Roman"/>
      <w:sz w:val="20"/>
      <w:szCs w:val="20"/>
      <w:lang w:val="en-US"/>
    </w:rPr>
  </w:style>
  <w:style w:type="paragraph" w:customStyle="1" w:styleId="ASpacer">
    <w:name w:val="A_Spacer"/>
    <w:basedOn w:val="Normal-pool"/>
    <w:link w:val="ASpacerChar"/>
    <w:qFormat/>
    <w:rsid w:val="007379CF"/>
    <w:rPr>
      <w:sz w:val="2"/>
    </w:rPr>
  </w:style>
  <w:style w:type="character" w:customStyle="1" w:styleId="ASpacerChar">
    <w:name w:val="A_Spacer Char"/>
    <w:basedOn w:val="Normal-poolChar"/>
    <w:link w:val="ASpacer"/>
    <w:rsid w:val="007379CF"/>
    <w:rPr>
      <w:rFonts w:ascii="Times New Roman" w:eastAsia="Times New Roman" w:hAnsi="Times New Roman" w:cs="Times New Roman"/>
      <w:sz w:val="2"/>
      <w:szCs w:val="20"/>
      <w:lang w:val="en-US"/>
    </w:rPr>
  </w:style>
  <w:style w:type="paragraph" w:customStyle="1" w:styleId="AATitle1">
    <w:name w:val="AA_Title1"/>
    <w:basedOn w:val="AATitle"/>
    <w:qFormat/>
    <w:rsid w:val="007379CF"/>
    <w:rPr>
      <w:b w:val="0"/>
    </w:rPr>
  </w:style>
  <w:style w:type="character" w:customStyle="1" w:styleId="CH2Char">
    <w:name w:val="CH2 Char"/>
    <w:link w:val="CH2"/>
    <w:locked/>
    <w:rsid w:val="007379CF"/>
    <w:rPr>
      <w:b/>
      <w:lang w:val="en-US"/>
    </w:rPr>
  </w:style>
  <w:style w:type="table" w:customStyle="1" w:styleId="a0">
    <w:basedOn w:val="TableNormal"/>
    <w:pPr>
      <w:jc w:val="both"/>
    </w:pPr>
    <w:rPr>
      <w:rFonts w:ascii="Calibri" w:eastAsia="Calibri" w:hAnsi="Calibri" w:cs="Calibri"/>
      <w:sz w:val="22"/>
      <w:szCs w:val="22"/>
    </w:rPr>
    <w:tblPr>
      <w:tblStyleRowBandSize w:val="1"/>
      <w:tblStyleColBandSize w:val="1"/>
    </w:tblPr>
  </w:style>
  <w:style w:type="table" w:customStyle="1" w:styleId="a1">
    <w:basedOn w:val="TableNormal"/>
    <w:pPr>
      <w:jc w:val="both"/>
    </w:pPr>
    <w:rPr>
      <w:rFonts w:ascii="Calibri" w:eastAsia="Calibri" w:hAnsi="Calibri" w:cs="Calibri"/>
      <w:sz w:val="22"/>
      <w:szCs w:val="22"/>
    </w:rPr>
    <w:tblPr>
      <w:tblStyleRowBandSize w:val="1"/>
      <w:tblStyleColBandSize w:val="1"/>
    </w:tbl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a2">
    <w:basedOn w:val="TableNormal"/>
    <w:pPr>
      <w:jc w:val="both"/>
    </w:pPr>
    <w:rPr>
      <w:rFonts w:ascii="Calibri" w:eastAsia="Calibri" w:hAnsi="Calibri" w:cs="Calibri"/>
      <w:sz w:val="22"/>
      <w:szCs w:val="22"/>
    </w:rPr>
    <w:tblPr>
      <w:tblStyleRowBandSize w:val="1"/>
      <w:tblStyleColBandSize w:val="1"/>
    </w:tblPr>
  </w:style>
  <w:style w:type="table" w:customStyle="1" w:styleId="a3">
    <w:basedOn w:val="TableNormal"/>
    <w:pPr>
      <w:jc w:val="both"/>
    </w:pPr>
    <w:rPr>
      <w:rFonts w:ascii="Calibri" w:eastAsia="Calibri" w:hAnsi="Calibri" w:cs="Calibri"/>
      <w:sz w:val="22"/>
      <w:szCs w:val="22"/>
    </w:rPr>
    <w:tblPr>
      <w:tblStyleRowBandSize w:val="1"/>
      <w:tblStyleColBandSize w:val="1"/>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4">
    <w:basedOn w:val="TableNormal"/>
    <w:pPr>
      <w:jc w:val="both"/>
    </w:pPr>
    <w:rPr>
      <w:rFonts w:ascii="Calibri" w:eastAsia="Calibri" w:hAnsi="Calibri" w:cs="Calibri"/>
      <w:sz w:val="22"/>
      <w:szCs w:val="22"/>
    </w:rPr>
    <w:tblPr>
      <w:tblStyleRowBandSize w:val="1"/>
      <w:tblStyleColBandSize w:val="1"/>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5">
    <w:basedOn w:val="TableNormal"/>
    <w:pPr>
      <w:jc w:val="both"/>
    </w:pPr>
    <w:rPr>
      <w:rFonts w:ascii="Calibri" w:eastAsia="Calibri" w:hAnsi="Calibri" w:cs="Calibri"/>
      <w:sz w:val="22"/>
      <w:szCs w:val="22"/>
    </w:rPr>
    <w:tblPr>
      <w:tblStyleRowBandSize w:val="1"/>
      <w:tblStyleColBandSize w:val="1"/>
    </w:tblPr>
  </w:style>
  <w:style w:type="table" w:customStyle="1" w:styleId="a6">
    <w:basedOn w:val="TableNormal"/>
    <w:pPr>
      <w:jc w:val="both"/>
    </w:pPr>
    <w:rPr>
      <w:rFonts w:ascii="Calibri" w:eastAsia="Calibri" w:hAnsi="Calibri" w:cs="Calibri"/>
      <w:sz w:val="22"/>
      <w:szCs w:val="22"/>
    </w:rPr>
    <w:tblPr>
      <w:tblStyleRowBandSize w:val="1"/>
      <w:tblStyleColBandSize w:val="1"/>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7">
    <w:basedOn w:val="TableNormal"/>
    <w:pPr>
      <w:jc w:val="both"/>
    </w:pPr>
    <w:rPr>
      <w:rFonts w:ascii="Calibri" w:eastAsia="Calibri" w:hAnsi="Calibri" w:cs="Calibri"/>
      <w:sz w:val="22"/>
      <w:szCs w:val="22"/>
    </w:rPr>
    <w:tblPr>
      <w:tblStyleRowBandSize w:val="1"/>
      <w:tblStyleColBandSize w:val="1"/>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8">
    <w:basedOn w:val="TableNormal"/>
    <w:pPr>
      <w:jc w:val="both"/>
    </w:pPr>
    <w:rPr>
      <w:rFonts w:ascii="Calibri" w:eastAsia="Calibri" w:hAnsi="Calibri" w:cs="Calibri"/>
      <w:sz w:val="22"/>
      <w:szCs w:val="22"/>
    </w:rPr>
    <w:tblPr>
      <w:tblStyleRowBandSize w:val="1"/>
      <w:tblStyleColBandSize w:val="1"/>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9">
    <w:basedOn w:val="TableNormal"/>
    <w:pPr>
      <w:jc w:val="both"/>
    </w:pPr>
    <w:rPr>
      <w:rFonts w:ascii="Calibri" w:eastAsia="Calibri" w:hAnsi="Calibri" w:cs="Calibri"/>
      <w:sz w:val="22"/>
      <w:szCs w:val="22"/>
    </w:rPr>
    <w:tblPr>
      <w:tblStyleRowBandSize w:val="1"/>
      <w:tblStyleColBandSize w:val="1"/>
    </w:tblPr>
  </w:style>
  <w:style w:type="table" w:customStyle="1" w:styleId="aa">
    <w:basedOn w:val="TableNormal"/>
    <w:pPr>
      <w:jc w:val="both"/>
    </w:pPr>
    <w:rPr>
      <w:rFonts w:ascii="Calibri" w:eastAsia="Calibri" w:hAnsi="Calibri" w:cs="Calibri"/>
      <w:sz w:val="22"/>
      <w:szCs w:val="22"/>
    </w:rPr>
    <w:tblPr>
      <w:tblStyleRowBandSize w:val="1"/>
      <w:tblStyleColBandSize w:val="1"/>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b">
    <w:basedOn w:val="TableNormal"/>
    <w:pPr>
      <w:jc w:val="both"/>
    </w:pPr>
    <w:rPr>
      <w:rFonts w:ascii="Calibri" w:eastAsia="Calibri" w:hAnsi="Calibri" w:cs="Calibri"/>
      <w:sz w:val="22"/>
      <w:szCs w:val="22"/>
    </w:rPr>
    <w:tblPr>
      <w:tblStyleRowBandSize w:val="1"/>
      <w:tblStyleColBandSize w:val="1"/>
    </w:tblPr>
  </w:style>
  <w:style w:type="table" w:customStyle="1" w:styleId="ac">
    <w:basedOn w:val="TableNormal"/>
    <w:pPr>
      <w:jc w:val="both"/>
    </w:pPr>
    <w:rPr>
      <w:rFonts w:ascii="Calibri" w:eastAsia="Calibri" w:hAnsi="Calibri" w:cs="Calibri"/>
      <w:sz w:val="22"/>
      <w:szCs w:val="22"/>
    </w:rPr>
    <w:tblPr>
      <w:tblStyleRowBandSize w:val="1"/>
      <w:tblStyleColBandSize w:val="1"/>
    </w:tblPr>
  </w:style>
  <w:style w:type="table" w:customStyle="1" w:styleId="ad">
    <w:basedOn w:val="TableNormal"/>
    <w:pPr>
      <w:jc w:val="both"/>
    </w:pPr>
    <w:rPr>
      <w:rFonts w:ascii="Calibri" w:eastAsia="Calibri" w:hAnsi="Calibri" w:cs="Calibri"/>
      <w:sz w:val="22"/>
      <w:szCs w:val="22"/>
    </w:rPr>
    <w:tblPr>
      <w:tblStyleRowBandSize w:val="1"/>
      <w:tblStyleColBandSize w:val="1"/>
    </w:tblPr>
  </w:style>
  <w:style w:type="table" w:customStyle="1" w:styleId="ae">
    <w:basedOn w:val="TableNormal"/>
    <w:pPr>
      <w:jc w:val="both"/>
    </w:pPr>
    <w:rPr>
      <w:rFonts w:ascii="Calibri" w:eastAsia="Calibri" w:hAnsi="Calibri" w:cs="Calibri"/>
      <w:sz w:val="22"/>
      <w:szCs w:val="22"/>
    </w:rPr>
    <w:tblPr>
      <w:tblStyleRowBandSize w:val="1"/>
      <w:tblStyleColBandSize w:val="1"/>
    </w:tblPr>
  </w:style>
  <w:style w:type="numbering" w:customStyle="1" w:styleId="CurrentList5">
    <w:name w:val="Current List5"/>
    <w:uiPriority w:val="99"/>
    <w:rsid w:val="00F43FF4"/>
    <w:pPr>
      <w:numPr>
        <w:numId w:val="28"/>
      </w:numPr>
    </w:pPr>
  </w:style>
  <w:style w:type="numbering" w:customStyle="1" w:styleId="CurrentList6">
    <w:name w:val="Current List6"/>
    <w:uiPriority w:val="99"/>
    <w:rsid w:val="00652BB6"/>
    <w:pPr>
      <w:numPr>
        <w:numId w:val="29"/>
      </w:numPr>
    </w:pPr>
  </w:style>
  <w:style w:type="numbering" w:customStyle="1" w:styleId="CurrentList7">
    <w:name w:val="Current List7"/>
    <w:uiPriority w:val="99"/>
    <w:rsid w:val="00652BB6"/>
    <w:pPr>
      <w:numPr>
        <w:numId w:val="30"/>
      </w:numPr>
    </w:pPr>
  </w:style>
  <w:style w:type="numbering" w:customStyle="1" w:styleId="CurrentList8">
    <w:name w:val="Current List8"/>
    <w:uiPriority w:val="99"/>
    <w:rsid w:val="00652BB6"/>
    <w:pPr>
      <w:numPr>
        <w:numId w:val="31"/>
      </w:numPr>
    </w:pPr>
  </w:style>
  <w:style w:type="numbering" w:customStyle="1" w:styleId="CurrentList9">
    <w:name w:val="Current List9"/>
    <w:uiPriority w:val="99"/>
    <w:rsid w:val="00192C26"/>
    <w:pPr>
      <w:numPr>
        <w:numId w:val="78"/>
      </w:numPr>
    </w:pPr>
  </w:style>
  <w:style w:type="numbering" w:customStyle="1" w:styleId="CurrentList10">
    <w:name w:val="Current List10"/>
    <w:uiPriority w:val="99"/>
    <w:rsid w:val="00C27DCE"/>
    <w:pPr>
      <w:numPr>
        <w:numId w:val="7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42521">
      <w:bodyDiv w:val="1"/>
      <w:marLeft w:val="0"/>
      <w:marRight w:val="0"/>
      <w:marTop w:val="0"/>
      <w:marBottom w:val="0"/>
      <w:divBdr>
        <w:top w:val="none" w:sz="0" w:space="0" w:color="auto"/>
        <w:left w:val="none" w:sz="0" w:space="0" w:color="auto"/>
        <w:bottom w:val="none" w:sz="0" w:space="0" w:color="auto"/>
        <w:right w:val="none" w:sz="0" w:space="0" w:color="auto"/>
      </w:divBdr>
    </w:div>
    <w:div w:id="29494468">
      <w:bodyDiv w:val="1"/>
      <w:marLeft w:val="0"/>
      <w:marRight w:val="0"/>
      <w:marTop w:val="0"/>
      <w:marBottom w:val="0"/>
      <w:divBdr>
        <w:top w:val="none" w:sz="0" w:space="0" w:color="auto"/>
        <w:left w:val="none" w:sz="0" w:space="0" w:color="auto"/>
        <w:bottom w:val="none" w:sz="0" w:space="0" w:color="auto"/>
        <w:right w:val="none" w:sz="0" w:space="0" w:color="auto"/>
      </w:divBdr>
    </w:div>
    <w:div w:id="31619510">
      <w:bodyDiv w:val="1"/>
      <w:marLeft w:val="0"/>
      <w:marRight w:val="0"/>
      <w:marTop w:val="0"/>
      <w:marBottom w:val="0"/>
      <w:divBdr>
        <w:top w:val="none" w:sz="0" w:space="0" w:color="auto"/>
        <w:left w:val="none" w:sz="0" w:space="0" w:color="auto"/>
        <w:bottom w:val="none" w:sz="0" w:space="0" w:color="auto"/>
        <w:right w:val="none" w:sz="0" w:space="0" w:color="auto"/>
      </w:divBdr>
    </w:div>
    <w:div w:id="32387434">
      <w:bodyDiv w:val="1"/>
      <w:marLeft w:val="0"/>
      <w:marRight w:val="0"/>
      <w:marTop w:val="0"/>
      <w:marBottom w:val="0"/>
      <w:divBdr>
        <w:top w:val="none" w:sz="0" w:space="0" w:color="auto"/>
        <w:left w:val="none" w:sz="0" w:space="0" w:color="auto"/>
        <w:bottom w:val="none" w:sz="0" w:space="0" w:color="auto"/>
        <w:right w:val="none" w:sz="0" w:space="0" w:color="auto"/>
      </w:divBdr>
    </w:div>
    <w:div w:id="37708933">
      <w:bodyDiv w:val="1"/>
      <w:marLeft w:val="0"/>
      <w:marRight w:val="0"/>
      <w:marTop w:val="0"/>
      <w:marBottom w:val="0"/>
      <w:divBdr>
        <w:top w:val="none" w:sz="0" w:space="0" w:color="auto"/>
        <w:left w:val="none" w:sz="0" w:space="0" w:color="auto"/>
        <w:bottom w:val="none" w:sz="0" w:space="0" w:color="auto"/>
        <w:right w:val="none" w:sz="0" w:space="0" w:color="auto"/>
      </w:divBdr>
      <w:divsChild>
        <w:div w:id="1432430628">
          <w:marLeft w:val="0"/>
          <w:marRight w:val="0"/>
          <w:marTop w:val="0"/>
          <w:marBottom w:val="0"/>
          <w:divBdr>
            <w:top w:val="none" w:sz="0" w:space="0" w:color="auto"/>
            <w:left w:val="none" w:sz="0" w:space="0" w:color="auto"/>
            <w:bottom w:val="none" w:sz="0" w:space="0" w:color="auto"/>
            <w:right w:val="none" w:sz="0" w:space="0" w:color="auto"/>
          </w:divBdr>
          <w:divsChild>
            <w:div w:id="1774352408">
              <w:marLeft w:val="0"/>
              <w:marRight w:val="0"/>
              <w:marTop w:val="0"/>
              <w:marBottom w:val="0"/>
              <w:divBdr>
                <w:top w:val="none" w:sz="0" w:space="0" w:color="auto"/>
                <w:left w:val="none" w:sz="0" w:space="0" w:color="auto"/>
                <w:bottom w:val="none" w:sz="0" w:space="0" w:color="auto"/>
                <w:right w:val="none" w:sz="0" w:space="0" w:color="auto"/>
              </w:divBdr>
              <w:divsChild>
                <w:div w:id="1814447298">
                  <w:marLeft w:val="0"/>
                  <w:marRight w:val="0"/>
                  <w:marTop w:val="0"/>
                  <w:marBottom w:val="0"/>
                  <w:divBdr>
                    <w:top w:val="none" w:sz="0" w:space="0" w:color="auto"/>
                    <w:left w:val="none" w:sz="0" w:space="0" w:color="auto"/>
                    <w:bottom w:val="none" w:sz="0" w:space="0" w:color="auto"/>
                    <w:right w:val="none" w:sz="0" w:space="0" w:color="auto"/>
                  </w:divBdr>
                  <w:divsChild>
                    <w:div w:id="106221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636436">
      <w:bodyDiv w:val="1"/>
      <w:marLeft w:val="0"/>
      <w:marRight w:val="0"/>
      <w:marTop w:val="0"/>
      <w:marBottom w:val="0"/>
      <w:divBdr>
        <w:top w:val="none" w:sz="0" w:space="0" w:color="auto"/>
        <w:left w:val="none" w:sz="0" w:space="0" w:color="auto"/>
        <w:bottom w:val="none" w:sz="0" w:space="0" w:color="auto"/>
        <w:right w:val="none" w:sz="0" w:space="0" w:color="auto"/>
      </w:divBdr>
      <w:divsChild>
        <w:div w:id="1138034712">
          <w:marLeft w:val="0"/>
          <w:marRight w:val="0"/>
          <w:marTop w:val="0"/>
          <w:marBottom w:val="0"/>
          <w:divBdr>
            <w:top w:val="none" w:sz="0" w:space="0" w:color="auto"/>
            <w:left w:val="none" w:sz="0" w:space="0" w:color="auto"/>
            <w:bottom w:val="none" w:sz="0" w:space="0" w:color="auto"/>
            <w:right w:val="none" w:sz="0" w:space="0" w:color="auto"/>
          </w:divBdr>
          <w:divsChild>
            <w:div w:id="1577518669">
              <w:marLeft w:val="0"/>
              <w:marRight w:val="0"/>
              <w:marTop w:val="0"/>
              <w:marBottom w:val="0"/>
              <w:divBdr>
                <w:top w:val="none" w:sz="0" w:space="0" w:color="auto"/>
                <w:left w:val="none" w:sz="0" w:space="0" w:color="auto"/>
                <w:bottom w:val="none" w:sz="0" w:space="0" w:color="auto"/>
                <w:right w:val="none" w:sz="0" w:space="0" w:color="auto"/>
              </w:divBdr>
              <w:divsChild>
                <w:div w:id="1365443210">
                  <w:marLeft w:val="0"/>
                  <w:marRight w:val="0"/>
                  <w:marTop w:val="0"/>
                  <w:marBottom w:val="0"/>
                  <w:divBdr>
                    <w:top w:val="none" w:sz="0" w:space="0" w:color="auto"/>
                    <w:left w:val="none" w:sz="0" w:space="0" w:color="auto"/>
                    <w:bottom w:val="none" w:sz="0" w:space="0" w:color="auto"/>
                    <w:right w:val="none" w:sz="0" w:space="0" w:color="auto"/>
                  </w:divBdr>
                  <w:divsChild>
                    <w:div w:id="22264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482689">
      <w:bodyDiv w:val="1"/>
      <w:marLeft w:val="0"/>
      <w:marRight w:val="0"/>
      <w:marTop w:val="0"/>
      <w:marBottom w:val="0"/>
      <w:divBdr>
        <w:top w:val="none" w:sz="0" w:space="0" w:color="auto"/>
        <w:left w:val="none" w:sz="0" w:space="0" w:color="auto"/>
        <w:bottom w:val="none" w:sz="0" w:space="0" w:color="auto"/>
        <w:right w:val="none" w:sz="0" w:space="0" w:color="auto"/>
      </w:divBdr>
    </w:div>
    <w:div w:id="60831682">
      <w:bodyDiv w:val="1"/>
      <w:marLeft w:val="0"/>
      <w:marRight w:val="0"/>
      <w:marTop w:val="0"/>
      <w:marBottom w:val="0"/>
      <w:divBdr>
        <w:top w:val="none" w:sz="0" w:space="0" w:color="auto"/>
        <w:left w:val="none" w:sz="0" w:space="0" w:color="auto"/>
        <w:bottom w:val="none" w:sz="0" w:space="0" w:color="auto"/>
        <w:right w:val="none" w:sz="0" w:space="0" w:color="auto"/>
      </w:divBdr>
    </w:div>
    <w:div w:id="60838623">
      <w:bodyDiv w:val="1"/>
      <w:marLeft w:val="0"/>
      <w:marRight w:val="0"/>
      <w:marTop w:val="0"/>
      <w:marBottom w:val="0"/>
      <w:divBdr>
        <w:top w:val="none" w:sz="0" w:space="0" w:color="auto"/>
        <w:left w:val="none" w:sz="0" w:space="0" w:color="auto"/>
        <w:bottom w:val="none" w:sz="0" w:space="0" w:color="auto"/>
        <w:right w:val="none" w:sz="0" w:space="0" w:color="auto"/>
      </w:divBdr>
    </w:div>
    <w:div w:id="65616845">
      <w:bodyDiv w:val="1"/>
      <w:marLeft w:val="0"/>
      <w:marRight w:val="0"/>
      <w:marTop w:val="0"/>
      <w:marBottom w:val="0"/>
      <w:divBdr>
        <w:top w:val="none" w:sz="0" w:space="0" w:color="auto"/>
        <w:left w:val="none" w:sz="0" w:space="0" w:color="auto"/>
        <w:bottom w:val="none" w:sz="0" w:space="0" w:color="auto"/>
        <w:right w:val="none" w:sz="0" w:space="0" w:color="auto"/>
      </w:divBdr>
      <w:divsChild>
        <w:div w:id="1305966487">
          <w:marLeft w:val="0"/>
          <w:marRight w:val="0"/>
          <w:marTop w:val="0"/>
          <w:marBottom w:val="0"/>
          <w:divBdr>
            <w:top w:val="none" w:sz="0" w:space="0" w:color="auto"/>
            <w:left w:val="none" w:sz="0" w:space="0" w:color="auto"/>
            <w:bottom w:val="none" w:sz="0" w:space="0" w:color="auto"/>
            <w:right w:val="none" w:sz="0" w:space="0" w:color="auto"/>
          </w:divBdr>
        </w:div>
      </w:divsChild>
    </w:div>
    <w:div w:id="70278217">
      <w:bodyDiv w:val="1"/>
      <w:marLeft w:val="0"/>
      <w:marRight w:val="0"/>
      <w:marTop w:val="0"/>
      <w:marBottom w:val="0"/>
      <w:divBdr>
        <w:top w:val="none" w:sz="0" w:space="0" w:color="auto"/>
        <w:left w:val="none" w:sz="0" w:space="0" w:color="auto"/>
        <w:bottom w:val="none" w:sz="0" w:space="0" w:color="auto"/>
        <w:right w:val="none" w:sz="0" w:space="0" w:color="auto"/>
      </w:divBdr>
    </w:div>
    <w:div w:id="81799016">
      <w:bodyDiv w:val="1"/>
      <w:marLeft w:val="0"/>
      <w:marRight w:val="0"/>
      <w:marTop w:val="0"/>
      <w:marBottom w:val="0"/>
      <w:divBdr>
        <w:top w:val="none" w:sz="0" w:space="0" w:color="auto"/>
        <w:left w:val="none" w:sz="0" w:space="0" w:color="auto"/>
        <w:bottom w:val="none" w:sz="0" w:space="0" w:color="auto"/>
        <w:right w:val="none" w:sz="0" w:space="0" w:color="auto"/>
      </w:divBdr>
    </w:div>
    <w:div w:id="101269730">
      <w:bodyDiv w:val="1"/>
      <w:marLeft w:val="0"/>
      <w:marRight w:val="0"/>
      <w:marTop w:val="0"/>
      <w:marBottom w:val="0"/>
      <w:divBdr>
        <w:top w:val="none" w:sz="0" w:space="0" w:color="auto"/>
        <w:left w:val="none" w:sz="0" w:space="0" w:color="auto"/>
        <w:bottom w:val="none" w:sz="0" w:space="0" w:color="auto"/>
        <w:right w:val="none" w:sz="0" w:space="0" w:color="auto"/>
      </w:divBdr>
    </w:div>
    <w:div w:id="104616607">
      <w:bodyDiv w:val="1"/>
      <w:marLeft w:val="0"/>
      <w:marRight w:val="0"/>
      <w:marTop w:val="0"/>
      <w:marBottom w:val="0"/>
      <w:divBdr>
        <w:top w:val="none" w:sz="0" w:space="0" w:color="auto"/>
        <w:left w:val="none" w:sz="0" w:space="0" w:color="auto"/>
        <w:bottom w:val="none" w:sz="0" w:space="0" w:color="auto"/>
        <w:right w:val="none" w:sz="0" w:space="0" w:color="auto"/>
      </w:divBdr>
    </w:div>
    <w:div w:id="104692116">
      <w:bodyDiv w:val="1"/>
      <w:marLeft w:val="0"/>
      <w:marRight w:val="0"/>
      <w:marTop w:val="0"/>
      <w:marBottom w:val="0"/>
      <w:divBdr>
        <w:top w:val="none" w:sz="0" w:space="0" w:color="auto"/>
        <w:left w:val="none" w:sz="0" w:space="0" w:color="auto"/>
        <w:bottom w:val="none" w:sz="0" w:space="0" w:color="auto"/>
        <w:right w:val="none" w:sz="0" w:space="0" w:color="auto"/>
      </w:divBdr>
      <w:divsChild>
        <w:div w:id="128717762">
          <w:marLeft w:val="0"/>
          <w:marRight w:val="0"/>
          <w:marTop w:val="0"/>
          <w:marBottom w:val="0"/>
          <w:divBdr>
            <w:top w:val="none" w:sz="0" w:space="0" w:color="auto"/>
            <w:left w:val="none" w:sz="0" w:space="0" w:color="auto"/>
            <w:bottom w:val="none" w:sz="0" w:space="0" w:color="auto"/>
            <w:right w:val="none" w:sz="0" w:space="0" w:color="auto"/>
          </w:divBdr>
        </w:div>
        <w:div w:id="265383328">
          <w:marLeft w:val="0"/>
          <w:marRight w:val="0"/>
          <w:marTop w:val="0"/>
          <w:marBottom w:val="0"/>
          <w:divBdr>
            <w:top w:val="none" w:sz="0" w:space="0" w:color="auto"/>
            <w:left w:val="none" w:sz="0" w:space="0" w:color="auto"/>
            <w:bottom w:val="none" w:sz="0" w:space="0" w:color="auto"/>
            <w:right w:val="none" w:sz="0" w:space="0" w:color="auto"/>
          </w:divBdr>
        </w:div>
        <w:div w:id="1047609390">
          <w:marLeft w:val="0"/>
          <w:marRight w:val="0"/>
          <w:marTop w:val="0"/>
          <w:marBottom w:val="0"/>
          <w:divBdr>
            <w:top w:val="none" w:sz="0" w:space="0" w:color="auto"/>
            <w:left w:val="none" w:sz="0" w:space="0" w:color="auto"/>
            <w:bottom w:val="none" w:sz="0" w:space="0" w:color="auto"/>
            <w:right w:val="none" w:sz="0" w:space="0" w:color="auto"/>
          </w:divBdr>
        </w:div>
        <w:div w:id="1089614464">
          <w:marLeft w:val="0"/>
          <w:marRight w:val="0"/>
          <w:marTop w:val="0"/>
          <w:marBottom w:val="0"/>
          <w:divBdr>
            <w:top w:val="none" w:sz="0" w:space="0" w:color="auto"/>
            <w:left w:val="none" w:sz="0" w:space="0" w:color="auto"/>
            <w:bottom w:val="none" w:sz="0" w:space="0" w:color="auto"/>
            <w:right w:val="none" w:sz="0" w:space="0" w:color="auto"/>
          </w:divBdr>
        </w:div>
        <w:div w:id="1862892446">
          <w:marLeft w:val="0"/>
          <w:marRight w:val="0"/>
          <w:marTop w:val="0"/>
          <w:marBottom w:val="0"/>
          <w:divBdr>
            <w:top w:val="none" w:sz="0" w:space="0" w:color="auto"/>
            <w:left w:val="none" w:sz="0" w:space="0" w:color="auto"/>
            <w:bottom w:val="none" w:sz="0" w:space="0" w:color="auto"/>
            <w:right w:val="none" w:sz="0" w:space="0" w:color="auto"/>
          </w:divBdr>
        </w:div>
      </w:divsChild>
    </w:div>
    <w:div w:id="107817992">
      <w:bodyDiv w:val="1"/>
      <w:marLeft w:val="0"/>
      <w:marRight w:val="0"/>
      <w:marTop w:val="0"/>
      <w:marBottom w:val="0"/>
      <w:divBdr>
        <w:top w:val="none" w:sz="0" w:space="0" w:color="auto"/>
        <w:left w:val="none" w:sz="0" w:space="0" w:color="auto"/>
        <w:bottom w:val="none" w:sz="0" w:space="0" w:color="auto"/>
        <w:right w:val="none" w:sz="0" w:space="0" w:color="auto"/>
      </w:divBdr>
    </w:div>
    <w:div w:id="112940430">
      <w:bodyDiv w:val="1"/>
      <w:marLeft w:val="0"/>
      <w:marRight w:val="0"/>
      <w:marTop w:val="0"/>
      <w:marBottom w:val="0"/>
      <w:divBdr>
        <w:top w:val="none" w:sz="0" w:space="0" w:color="auto"/>
        <w:left w:val="none" w:sz="0" w:space="0" w:color="auto"/>
        <w:bottom w:val="none" w:sz="0" w:space="0" w:color="auto"/>
        <w:right w:val="none" w:sz="0" w:space="0" w:color="auto"/>
      </w:divBdr>
    </w:div>
    <w:div w:id="113716237">
      <w:bodyDiv w:val="1"/>
      <w:marLeft w:val="0"/>
      <w:marRight w:val="0"/>
      <w:marTop w:val="0"/>
      <w:marBottom w:val="0"/>
      <w:divBdr>
        <w:top w:val="none" w:sz="0" w:space="0" w:color="auto"/>
        <w:left w:val="none" w:sz="0" w:space="0" w:color="auto"/>
        <w:bottom w:val="none" w:sz="0" w:space="0" w:color="auto"/>
        <w:right w:val="none" w:sz="0" w:space="0" w:color="auto"/>
      </w:divBdr>
    </w:div>
    <w:div w:id="113988114">
      <w:bodyDiv w:val="1"/>
      <w:marLeft w:val="0"/>
      <w:marRight w:val="0"/>
      <w:marTop w:val="0"/>
      <w:marBottom w:val="0"/>
      <w:divBdr>
        <w:top w:val="none" w:sz="0" w:space="0" w:color="auto"/>
        <w:left w:val="none" w:sz="0" w:space="0" w:color="auto"/>
        <w:bottom w:val="none" w:sz="0" w:space="0" w:color="auto"/>
        <w:right w:val="none" w:sz="0" w:space="0" w:color="auto"/>
      </w:divBdr>
      <w:divsChild>
        <w:div w:id="276060423">
          <w:marLeft w:val="0"/>
          <w:marRight w:val="0"/>
          <w:marTop w:val="0"/>
          <w:marBottom w:val="0"/>
          <w:divBdr>
            <w:top w:val="none" w:sz="0" w:space="0" w:color="auto"/>
            <w:left w:val="none" w:sz="0" w:space="0" w:color="auto"/>
            <w:bottom w:val="none" w:sz="0" w:space="0" w:color="auto"/>
            <w:right w:val="none" w:sz="0" w:space="0" w:color="auto"/>
          </w:divBdr>
          <w:divsChild>
            <w:div w:id="1449396472">
              <w:marLeft w:val="0"/>
              <w:marRight w:val="0"/>
              <w:marTop w:val="0"/>
              <w:marBottom w:val="0"/>
              <w:divBdr>
                <w:top w:val="none" w:sz="0" w:space="0" w:color="auto"/>
                <w:left w:val="none" w:sz="0" w:space="0" w:color="auto"/>
                <w:bottom w:val="none" w:sz="0" w:space="0" w:color="auto"/>
                <w:right w:val="none" w:sz="0" w:space="0" w:color="auto"/>
              </w:divBdr>
              <w:divsChild>
                <w:div w:id="36590600">
                  <w:marLeft w:val="0"/>
                  <w:marRight w:val="0"/>
                  <w:marTop w:val="0"/>
                  <w:marBottom w:val="0"/>
                  <w:divBdr>
                    <w:top w:val="none" w:sz="0" w:space="0" w:color="auto"/>
                    <w:left w:val="none" w:sz="0" w:space="0" w:color="auto"/>
                    <w:bottom w:val="none" w:sz="0" w:space="0" w:color="auto"/>
                    <w:right w:val="none" w:sz="0" w:space="0" w:color="auto"/>
                  </w:divBdr>
                  <w:divsChild>
                    <w:div w:id="1713268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16787">
      <w:bodyDiv w:val="1"/>
      <w:marLeft w:val="0"/>
      <w:marRight w:val="0"/>
      <w:marTop w:val="0"/>
      <w:marBottom w:val="0"/>
      <w:divBdr>
        <w:top w:val="none" w:sz="0" w:space="0" w:color="auto"/>
        <w:left w:val="none" w:sz="0" w:space="0" w:color="auto"/>
        <w:bottom w:val="none" w:sz="0" w:space="0" w:color="auto"/>
        <w:right w:val="none" w:sz="0" w:space="0" w:color="auto"/>
      </w:divBdr>
      <w:divsChild>
        <w:div w:id="79525247">
          <w:marLeft w:val="0"/>
          <w:marRight w:val="0"/>
          <w:marTop w:val="0"/>
          <w:marBottom w:val="0"/>
          <w:divBdr>
            <w:top w:val="none" w:sz="0" w:space="0" w:color="auto"/>
            <w:left w:val="none" w:sz="0" w:space="0" w:color="auto"/>
            <w:bottom w:val="none" w:sz="0" w:space="0" w:color="auto"/>
            <w:right w:val="none" w:sz="0" w:space="0" w:color="auto"/>
          </w:divBdr>
        </w:div>
        <w:div w:id="851797029">
          <w:marLeft w:val="0"/>
          <w:marRight w:val="0"/>
          <w:marTop w:val="0"/>
          <w:marBottom w:val="0"/>
          <w:divBdr>
            <w:top w:val="none" w:sz="0" w:space="0" w:color="auto"/>
            <w:left w:val="none" w:sz="0" w:space="0" w:color="auto"/>
            <w:bottom w:val="none" w:sz="0" w:space="0" w:color="auto"/>
            <w:right w:val="none" w:sz="0" w:space="0" w:color="auto"/>
          </w:divBdr>
        </w:div>
        <w:div w:id="865019930">
          <w:marLeft w:val="0"/>
          <w:marRight w:val="0"/>
          <w:marTop w:val="0"/>
          <w:marBottom w:val="0"/>
          <w:divBdr>
            <w:top w:val="none" w:sz="0" w:space="0" w:color="auto"/>
            <w:left w:val="none" w:sz="0" w:space="0" w:color="auto"/>
            <w:bottom w:val="none" w:sz="0" w:space="0" w:color="auto"/>
            <w:right w:val="none" w:sz="0" w:space="0" w:color="auto"/>
          </w:divBdr>
        </w:div>
        <w:div w:id="1821850576">
          <w:marLeft w:val="0"/>
          <w:marRight w:val="0"/>
          <w:marTop w:val="0"/>
          <w:marBottom w:val="0"/>
          <w:divBdr>
            <w:top w:val="none" w:sz="0" w:space="0" w:color="auto"/>
            <w:left w:val="none" w:sz="0" w:space="0" w:color="auto"/>
            <w:bottom w:val="none" w:sz="0" w:space="0" w:color="auto"/>
            <w:right w:val="none" w:sz="0" w:space="0" w:color="auto"/>
          </w:divBdr>
        </w:div>
      </w:divsChild>
    </w:div>
    <w:div w:id="117993331">
      <w:bodyDiv w:val="1"/>
      <w:marLeft w:val="0"/>
      <w:marRight w:val="0"/>
      <w:marTop w:val="0"/>
      <w:marBottom w:val="0"/>
      <w:divBdr>
        <w:top w:val="none" w:sz="0" w:space="0" w:color="auto"/>
        <w:left w:val="none" w:sz="0" w:space="0" w:color="auto"/>
        <w:bottom w:val="none" w:sz="0" w:space="0" w:color="auto"/>
        <w:right w:val="none" w:sz="0" w:space="0" w:color="auto"/>
      </w:divBdr>
      <w:divsChild>
        <w:div w:id="765998287">
          <w:marLeft w:val="547"/>
          <w:marRight w:val="0"/>
          <w:marTop w:val="0"/>
          <w:marBottom w:val="0"/>
          <w:divBdr>
            <w:top w:val="none" w:sz="0" w:space="0" w:color="auto"/>
            <w:left w:val="none" w:sz="0" w:space="0" w:color="auto"/>
            <w:bottom w:val="none" w:sz="0" w:space="0" w:color="auto"/>
            <w:right w:val="none" w:sz="0" w:space="0" w:color="auto"/>
          </w:divBdr>
        </w:div>
      </w:divsChild>
    </w:div>
    <w:div w:id="118306896">
      <w:bodyDiv w:val="1"/>
      <w:marLeft w:val="0"/>
      <w:marRight w:val="0"/>
      <w:marTop w:val="0"/>
      <w:marBottom w:val="0"/>
      <w:divBdr>
        <w:top w:val="none" w:sz="0" w:space="0" w:color="auto"/>
        <w:left w:val="none" w:sz="0" w:space="0" w:color="auto"/>
        <w:bottom w:val="none" w:sz="0" w:space="0" w:color="auto"/>
        <w:right w:val="none" w:sz="0" w:space="0" w:color="auto"/>
      </w:divBdr>
      <w:divsChild>
        <w:div w:id="341859307">
          <w:marLeft w:val="0"/>
          <w:marRight w:val="0"/>
          <w:marTop w:val="0"/>
          <w:marBottom w:val="0"/>
          <w:divBdr>
            <w:top w:val="none" w:sz="0" w:space="0" w:color="auto"/>
            <w:left w:val="none" w:sz="0" w:space="0" w:color="auto"/>
            <w:bottom w:val="none" w:sz="0" w:space="0" w:color="auto"/>
            <w:right w:val="none" w:sz="0" w:space="0" w:color="auto"/>
          </w:divBdr>
        </w:div>
        <w:div w:id="826212743">
          <w:marLeft w:val="0"/>
          <w:marRight w:val="0"/>
          <w:marTop w:val="0"/>
          <w:marBottom w:val="0"/>
          <w:divBdr>
            <w:top w:val="none" w:sz="0" w:space="0" w:color="auto"/>
            <w:left w:val="none" w:sz="0" w:space="0" w:color="auto"/>
            <w:bottom w:val="none" w:sz="0" w:space="0" w:color="auto"/>
            <w:right w:val="none" w:sz="0" w:space="0" w:color="auto"/>
          </w:divBdr>
        </w:div>
        <w:div w:id="941572598">
          <w:marLeft w:val="0"/>
          <w:marRight w:val="0"/>
          <w:marTop w:val="0"/>
          <w:marBottom w:val="0"/>
          <w:divBdr>
            <w:top w:val="none" w:sz="0" w:space="0" w:color="auto"/>
            <w:left w:val="none" w:sz="0" w:space="0" w:color="auto"/>
            <w:bottom w:val="none" w:sz="0" w:space="0" w:color="auto"/>
            <w:right w:val="none" w:sz="0" w:space="0" w:color="auto"/>
          </w:divBdr>
        </w:div>
        <w:div w:id="1502893795">
          <w:marLeft w:val="0"/>
          <w:marRight w:val="0"/>
          <w:marTop w:val="0"/>
          <w:marBottom w:val="0"/>
          <w:divBdr>
            <w:top w:val="none" w:sz="0" w:space="0" w:color="auto"/>
            <w:left w:val="none" w:sz="0" w:space="0" w:color="auto"/>
            <w:bottom w:val="none" w:sz="0" w:space="0" w:color="auto"/>
            <w:right w:val="none" w:sz="0" w:space="0" w:color="auto"/>
          </w:divBdr>
        </w:div>
        <w:div w:id="1588926010">
          <w:marLeft w:val="0"/>
          <w:marRight w:val="0"/>
          <w:marTop w:val="0"/>
          <w:marBottom w:val="0"/>
          <w:divBdr>
            <w:top w:val="none" w:sz="0" w:space="0" w:color="auto"/>
            <w:left w:val="none" w:sz="0" w:space="0" w:color="auto"/>
            <w:bottom w:val="none" w:sz="0" w:space="0" w:color="auto"/>
            <w:right w:val="none" w:sz="0" w:space="0" w:color="auto"/>
          </w:divBdr>
        </w:div>
      </w:divsChild>
    </w:div>
    <w:div w:id="124272362">
      <w:bodyDiv w:val="1"/>
      <w:marLeft w:val="0"/>
      <w:marRight w:val="0"/>
      <w:marTop w:val="0"/>
      <w:marBottom w:val="0"/>
      <w:divBdr>
        <w:top w:val="none" w:sz="0" w:space="0" w:color="auto"/>
        <w:left w:val="none" w:sz="0" w:space="0" w:color="auto"/>
        <w:bottom w:val="none" w:sz="0" w:space="0" w:color="auto"/>
        <w:right w:val="none" w:sz="0" w:space="0" w:color="auto"/>
      </w:divBdr>
    </w:div>
    <w:div w:id="126318513">
      <w:bodyDiv w:val="1"/>
      <w:marLeft w:val="0"/>
      <w:marRight w:val="0"/>
      <w:marTop w:val="0"/>
      <w:marBottom w:val="0"/>
      <w:divBdr>
        <w:top w:val="none" w:sz="0" w:space="0" w:color="auto"/>
        <w:left w:val="none" w:sz="0" w:space="0" w:color="auto"/>
        <w:bottom w:val="none" w:sz="0" w:space="0" w:color="auto"/>
        <w:right w:val="none" w:sz="0" w:space="0" w:color="auto"/>
      </w:divBdr>
    </w:div>
    <w:div w:id="127555173">
      <w:bodyDiv w:val="1"/>
      <w:marLeft w:val="0"/>
      <w:marRight w:val="0"/>
      <w:marTop w:val="0"/>
      <w:marBottom w:val="0"/>
      <w:divBdr>
        <w:top w:val="none" w:sz="0" w:space="0" w:color="auto"/>
        <w:left w:val="none" w:sz="0" w:space="0" w:color="auto"/>
        <w:bottom w:val="none" w:sz="0" w:space="0" w:color="auto"/>
        <w:right w:val="none" w:sz="0" w:space="0" w:color="auto"/>
      </w:divBdr>
    </w:div>
    <w:div w:id="152988175">
      <w:bodyDiv w:val="1"/>
      <w:marLeft w:val="0"/>
      <w:marRight w:val="0"/>
      <w:marTop w:val="0"/>
      <w:marBottom w:val="0"/>
      <w:divBdr>
        <w:top w:val="none" w:sz="0" w:space="0" w:color="auto"/>
        <w:left w:val="none" w:sz="0" w:space="0" w:color="auto"/>
        <w:bottom w:val="none" w:sz="0" w:space="0" w:color="auto"/>
        <w:right w:val="none" w:sz="0" w:space="0" w:color="auto"/>
      </w:divBdr>
    </w:div>
    <w:div w:id="158618478">
      <w:bodyDiv w:val="1"/>
      <w:marLeft w:val="0"/>
      <w:marRight w:val="0"/>
      <w:marTop w:val="0"/>
      <w:marBottom w:val="0"/>
      <w:divBdr>
        <w:top w:val="none" w:sz="0" w:space="0" w:color="auto"/>
        <w:left w:val="none" w:sz="0" w:space="0" w:color="auto"/>
        <w:bottom w:val="none" w:sz="0" w:space="0" w:color="auto"/>
        <w:right w:val="none" w:sz="0" w:space="0" w:color="auto"/>
      </w:divBdr>
    </w:div>
    <w:div w:id="160463286">
      <w:bodyDiv w:val="1"/>
      <w:marLeft w:val="0"/>
      <w:marRight w:val="0"/>
      <w:marTop w:val="0"/>
      <w:marBottom w:val="0"/>
      <w:divBdr>
        <w:top w:val="none" w:sz="0" w:space="0" w:color="auto"/>
        <w:left w:val="none" w:sz="0" w:space="0" w:color="auto"/>
        <w:bottom w:val="none" w:sz="0" w:space="0" w:color="auto"/>
        <w:right w:val="none" w:sz="0" w:space="0" w:color="auto"/>
      </w:divBdr>
    </w:div>
    <w:div w:id="170030244">
      <w:bodyDiv w:val="1"/>
      <w:marLeft w:val="0"/>
      <w:marRight w:val="0"/>
      <w:marTop w:val="0"/>
      <w:marBottom w:val="0"/>
      <w:divBdr>
        <w:top w:val="none" w:sz="0" w:space="0" w:color="auto"/>
        <w:left w:val="none" w:sz="0" w:space="0" w:color="auto"/>
        <w:bottom w:val="none" w:sz="0" w:space="0" w:color="auto"/>
        <w:right w:val="none" w:sz="0" w:space="0" w:color="auto"/>
      </w:divBdr>
    </w:div>
    <w:div w:id="178854187">
      <w:bodyDiv w:val="1"/>
      <w:marLeft w:val="0"/>
      <w:marRight w:val="0"/>
      <w:marTop w:val="0"/>
      <w:marBottom w:val="0"/>
      <w:divBdr>
        <w:top w:val="none" w:sz="0" w:space="0" w:color="auto"/>
        <w:left w:val="none" w:sz="0" w:space="0" w:color="auto"/>
        <w:bottom w:val="none" w:sz="0" w:space="0" w:color="auto"/>
        <w:right w:val="none" w:sz="0" w:space="0" w:color="auto"/>
      </w:divBdr>
    </w:div>
    <w:div w:id="200291762">
      <w:bodyDiv w:val="1"/>
      <w:marLeft w:val="0"/>
      <w:marRight w:val="0"/>
      <w:marTop w:val="0"/>
      <w:marBottom w:val="0"/>
      <w:divBdr>
        <w:top w:val="none" w:sz="0" w:space="0" w:color="auto"/>
        <w:left w:val="none" w:sz="0" w:space="0" w:color="auto"/>
        <w:bottom w:val="none" w:sz="0" w:space="0" w:color="auto"/>
        <w:right w:val="none" w:sz="0" w:space="0" w:color="auto"/>
      </w:divBdr>
      <w:divsChild>
        <w:div w:id="1236823545">
          <w:marLeft w:val="0"/>
          <w:marRight w:val="0"/>
          <w:marTop w:val="0"/>
          <w:marBottom w:val="0"/>
          <w:divBdr>
            <w:top w:val="none" w:sz="0" w:space="0" w:color="auto"/>
            <w:left w:val="none" w:sz="0" w:space="0" w:color="auto"/>
            <w:bottom w:val="none" w:sz="0" w:space="0" w:color="auto"/>
            <w:right w:val="none" w:sz="0" w:space="0" w:color="auto"/>
          </w:divBdr>
          <w:divsChild>
            <w:div w:id="250092431">
              <w:marLeft w:val="0"/>
              <w:marRight w:val="0"/>
              <w:marTop w:val="0"/>
              <w:marBottom w:val="0"/>
              <w:divBdr>
                <w:top w:val="none" w:sz="0" w:space="0" w:color="auto"/>
                <w:left w:val="none" w:sz="0" w:space="0" w:color="auto"/>
                <w:bottom w:val="none" w:sz="0" w:space="0" w:color="auto"/>
                <w:right w:val="none" w:sz="0" w:space="0" w:color="auto"/>
              </w:divBdr>
              <w:divsChild>
                <w:div w:id="86671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63273">
      <w:bodyDiv w:val="1"/>
      <w:marLeft w:val="0"/>
      <w:marRight w:val="0"/>
      <w:marTop w:val="0"/>
      <w:marBottom w:val="0"/>
      <w:divBdr>
        <w:top w:val="none" w:sz="0" w:space="0" w:color="auto"/>
        <w:left w:val="none" w:sz="0" w:space="0" w:color="auto"/>
        <w:bottom w:val="none" w:sz="0" w:space="0" w:color="auto"/>
        <w:right w:val="none" w:sz="0" w:space="0" w:color="auto"/>
      </w:divBdr>
      <w:divsChild>
        <w:div w:id="403070919">
          <w:marLeft w:val="0"/>
          <w:marRight w:val="0"/>
          <w:marTop w:val="0"/>
          <w:marBottom w:val="0"/>
          <w:divBdr>
            <w:top w:val="none" w:sz="0" w:space="0" w:color="auto"/>
            <w:left w:val="none" w:sz="0" w:space="0" w:color="auto"/>
            <w:bottom w:val="none" w:sz="0" w:space="0" w:color="auto"/>
            <w:right w:val="none" w:sz="0" w:space="0" w:color="auto"/>
          </w:divBdr>
        </w:div>
      </w:divsChild>
    </w:div>
    <w:div w:id="209727463">
      <w:bodyDiv w:val="1"/>
      <w:marLeft w:val="0"/>
      <w:marRight w:val="0"/>
      <w:marTop w:val="0"/>
      <w:marBottom w:val="0"/>
      <w:divBdr>
        <w:top w:val="none" w:sz="0" w:space="0" w:color="auto"/>
        <w:left w:val="none" w:sz="0" w:space="0" w:color="auto"/>
        <w:bottom w:val="none" w:sz="0" w:space="0" w:color="auto"/>
        <w:right w:val="none" w:sz="0" w:space="0" w:color="auto"/>
      </w:divBdr>
    </w:div>
    <w:div w:id="210652254">
      <w:bodyDiv w:val="1"/>
      <w:marLeft w:val="0"/>
      <w:marRight w:val="0"/>
      <w:marTop w:val="0"/>
      <w:marBottom w:val="0"/>
      <w:divBdr>
        <w:top w:val="none" w:sz="0" w:space="0" w:color="auto"/>
        <w:left w:val="none" w:sz="0" w:space="0" w:color="auto"/>
        <w:bottom w:val="none" w:sz="0" w:space="0" w:color="auto"/>
        <w:right w:val="none" w:sz="0" w:space="0" w:color="auto"/>
      </w:divBdr>
    </w:div>
    <w:div w:id="214122679">
      <w:bodyDiv w:val="1"/>
      <w:marLeft w:val="0"/>
      <w:marRight w:val="0"/>
      <w:marTop w:val="0"/>
      <w:marBottom w:val="0"/>
      <w:divBdr>
        <w:top w:val="none" w:sz="0" w:space="0" w:color="auto"/>
        <w:left w:val="none" w:sz="0" w:space="0" w:color="auto"/>
        <w:bottom w:val="none" w:sz="0" w:space="0" w:color="auto"/>
        <w:right w:val="none" w:sz="0" w:space="0" w:color="auto"/>
      </w:divBdr>
      <w:divsChild>
        <w:div w:id="667707019">
          <w:marLeft w:val="0"/>
          <w:marRight w:val="0"/>
          <w:marTop w:val="0"/>
          <w:marBottom w:val="0"/>
          <w:divBdr>
            <w:top w:val="none" w:sz="0" w:space="0" w:color="auto"/>
            <w:left w:val="none" w:sz="0" w:space="0" w:color="auto"/>
            <w:bottom w:val="none" w:sz="0" w:space="0" w:color="auto"/>
            <w:right w:val="none" w:sz="0" w:space="0" w:color="auto"/>
          </w:divBdr>
          <w:divsChild>
            <w:div w:id="2040737970">
              <w:marLeft w:val="0"/>
              <w:marRight w:val="0"/>
              <w:marTop w:val="0"/>
              <w:marBottom w:val="0"/>
              <w:divBdr>
                <w:top w:val="none" w:sz="0" w:space="0" w:color="auto"/>
                <w:left w:val="none" w:sz="0" w:space="0" w:color="auto"/>
                <w:bottom w:val="none" w:sz="0" w:space="0" w:color="auto"/>
                <w:right w:val="none" w:sz="0" w:space="0" w:color="auto"/>
              </w:divBdr>
              <w:divsChild>
                <w:div w:id="110171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697087">
      <w:bodyDiv w:val="1"/>
      <w:marLeft w:val="0"/>
      <w:marRight w:val="0"/>
      <w:marTop w:val="0"/>
      <w:marBottom w:val="0"/>
      <w:divBdr>
        <w:top w:val="none" w:sz="0" w:space="0" w:color="auto"/>
        <w:left w:val="none" w:sz="0" w:space="0" w:color="auto"/>
        <w:bottom w:val="none" w:sz="0" w:space="0" w:color="auto"/>
        <w:right w:val="none" w:sz="0" w:space="0" w:color="auto"/>
      </w:divBdr>
    </w:div>
    <w:div w:id="226843352">
      <w:bodyDiv w:val="1"/>
      <w:marLeft w:val="0"/>
      <w:marRight w:val="0"/>
      <w:marTop w:val="0"/>
      <w:marBottom w:val="0"/>
      <w:divBdr>
        <w:top w:val="none" w:sz="0" w:space="0" w:color="auto"/>
        <w:left w:val="none" w:sz="0" w:space="0" w:color="auto"/>
        <w:bottom w:val="none" w:sz="0" w:space="0" w:color="auto"/>
        <w:right w:val="none" w:sz="0" w:space="0" w:color="auto"/>
      </w:divBdr>
      <w:divsChild>
        <w:div w:id="2048947085">
          <w:marLeft w:val="0"/>
          <w:marRight w:val="0"/>
          <w:marTop w:val="0"/>
          <w:marBottom w:val="0"/>
          <w:divBdr>
            <w:top w:val="none" w:sz="0" w:space="0" w:color="auto"/>
            <w:left w:val="none" w:sz="0" w:space="0" w:color="auto"/>
            <w:bottom w:val="none" w:sz="0" w:space="0" w:color="auto"/>
            <w:right w:val="none" w:sz="0" w:space="0" w:color="auto"/>
          </w:divBdr>
          <w:divsChild>
            <w:div w:id="247009187">
              <w:marLeft w:val="0"/>
              <w:marRight w:val="0"/>
              <w:marTop w:val="0"/>
              <w:marBottom w:val="0"/>
              <w:divBdr>
                <w:top w:val="none" w:sz="0" w:space="0" w:color="auto"/>
                <w:left w:val="none" w:sz="0" w:space="0" w:color="auto"/>
                <w:bottom w:val="none" w:sz="0" w:space="0" w:color="auto"/>
                <w:right w:val="none" w:sz="0" w:space="0" w:color="auto"/>
              </w:divBdr>
              <w:divsChild>
                <w:div w:id="192715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8462016">
      <w:bodyDiv w:val="1"/>
      <w:marLeft w:val="0"/>
      <w:marRight w:val="0"/>
      <w:marTop w:val="0"/>
      <w:marBottom w:val="0"/>
      <w:divBdr>
        <w:top w:val="none" w:sz="0" w:space="0" w:color="auto"/>
        <w:left w:val="none" w:sz="0" w:space="0" w:color="auto"/>
        <w:bottom w:val="none" w:sz="0" w:space="0" w:color="auto"/>
        <w:right w:val="none" w:sz="0" w:space="0" w:color="auto"/>
      </w:divBdr>
    </w:div>
    <w:div w:id="240413919">
      <w:bodyDiv w:val="1"/>
      <w:marLeft w:val="0"/>
      <w:marRight w:val="0"/>
      <w:marTop w:val="0"/>
      <w:marBottom w:val="0"/>
      <w:divBdr>
        <w:top w:val="none" w:sz="0" w:space="0" w:color="auto"/>
        <w:left w:val="none" w:sz="0" w:space="0" w:color="auto"/>
        <w:bottom w:val="none" w:sz="0" w:space="0" w:color="auto"/>
        <w:right w:val="none" w:sz="0" w:space="0" w:color="auto"/>
      </w:divBdr>
    </w:div>
    <w:div w:id="252398414">
      <w:bodyDiv w:val="1"/>
      <w:marLeft w:val="0"/>
      <w:marRight w:val="0"/>
      <w:marTop w:val="0"/>
      <w:marBottom w:val="0"/>
      <w:divBdr>
        <w:top w:val="none" w:sz="0" w:space="0" w:color="auto"/>
        <w:left w:val="none" w:sz="0" w:space="0" w:color="auto"/>
        <w:bottom w:val="none" w:sz="0" w:space="0" w:color="auto"/>
        <w:right w:val="none" w:sz="0" w:space="0" w:color="auto"/>
      </w:divBdr>
      <w:divsChild>
        <w:div w:id="155000361">
          <w:marLeft w:val="0"/>
          <w:marRight w:val="0"/>
          <w:marTop w:val="0"/>
          <w:marBottom w:val="0"/>
          <w:divBdr>
            <w:top w:val="none" w:sz="0" w:space="0" w:color="auto"/>
            <w:left w:val="none" w:sz="0" w:space="0" w:color="auto"/>
            <w:bottom w:val="none" w:sz="0" w:space="0" w:color="auto"/>
            <w:right w:val="none" w:sz="0" w:space="0" w:color="auto"/>
          </w:divBdr>
        </w:div>
        <w:div w:id="1272206374">
          <w:marLeft w:val="0"/>
          <w:marRight w:val="0"/>
          <w:marTop w:val="0"/>
          <w:marBottom w:val="0"/>
          <w:divBdr>
            <w:top w:val="none" w:sz="0" w:space="0" w:color="auto"/>
            <w:left w:val="none" w:sz="0" w:space="0" w:color="auto"/>
            <w:bottom w:val="none" w:sz="0" w:space="0" w:color="auto"/>
            <w:right w:val="none" w:sz="0" w:space="0" w:color="auto"/>
          </w:divBdr>
        </w:div>
        <w:div w:id="1762333954">
          <w:marLeft w:val="0"/>
          <w:marRight w:val="0"/>
          <w:marTop w:val="0"/>
          <w:marBottom w:val="0"/>
          <w:divBdr>
            <w:top w:val="none" w:sz="0" w:space="0" w:color="auto"/>
            <w:left w:val="none" w:sz="0" w:space="0" w:color="auto"/>
            <w:bottom w:val="none" w:sz="0" w:space="0" w:color="auto"/>
            <w:right w:val="none" w:sz="0" w:space="0" w:color="auto"/>
          </w:divBdr>
        </w:div>
      </w:divsChild>
    </w:div>
    <w:div w:id="261036211">
      <w:bodyDiv w:val="1"/>
      <w:marLeft w:val="0"/>
      <w:marRight w:val="0"/>
      <w:marTop w:val="0"/>
      <w:marBottom w:val="0"/>
      <w:divBdr>
        <w:top w:val="none" w:sz="0" w:space="0" w:color="auto"/>
        <w:left w:val="none" w:sz="0" w:space="0" w:color="auto"/>
        <w:bottom w:val="none" w:sz="0" w:space="0" w:color="auto"/>
        <w:right w:val="none" w:sz="0" w:space="0" w:color="auto"/>
      </w:divBdr>
    </w:div>
    <w:div w:id="269557431">
      <w:bodyDiv w:val="1"/>
      <w:marLeft w:val="0"/>
      <w:marRight w:val="0"/>
      <w:marTop w:val="0"/>
      <w:marBottom w:val="0"/>
      <w:divBdr>
        <w:top w:val="none" w:sz="0" w:space="0" w:color="auto"/>
        <w:left w:val="none" w:sz="0" w:space="0" w:color="auto"/>
        <w:bottom w:val="none" w:sz="0" w:space="0" w:color="auto"/>
        <w:right w:val="none" w:sz="0" w:space="0" w:color="auto"/>
      </w:divBdr>
      <w:divsChild>
        <w:div w:id="2067726943">
          <w:marLeft w:val="0"/>
          <w:marRight w:val="0"/>
          <w:marTop w:val="0"/>
          <w:marBottom w:val="0"/>
          <w:divBdr>
            <w:top w:val="none" w:sz="0" w:space="0" w:color="auto"/>
            <w:left w:val="none" w:sz="0" w:space="0" w:color="auto"/>
            <w:bottom w:val="none" w:sz="0" w:space="0" w:color="auto"/>
            <w:right w:val="none" w:sz="0" w:space="0" w:color="auto"/>
          </w:divBdr>
          <w:divsChild>
            <w:div w:id="1769229684">
              <w:marLeft w:val="0"/>
              <w:marRight w:val="0"/>
              <w:marTop w:val="0"/>
              <w:marBottom w:val="0"/>
              <w:divBdr>
                <w:top w:val="none" w:sz="0" w:space="0" w:color="auto"/>
                <w:left w:val="none" w:sz="0" w:space="0" w:color="auto"/>
                <w:bottom w:val="none" w:sz="0" w:space="0" w:color="auto"/>
                <w:right w:val="none" w:sz="0" w:space="0" w:color="auto"/>
              </w:divBdr>
              <w:divsChild>
                <w:div w:id="141381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386860">
      <w:bodyDiv w:val="1"/>
      <w:marLeft w:val="0"/>
      <w:marRight w:val="0"/>
      <w:marTop w:val="0"/>
      <w:marBottom w:val="0"/>
      <w:divBdr>
        <w:top w:val="none" w:sz="0" w:space="0" w:color="auto"/>
        <w:left w:val="none" w:sz="0" w:space="0" w:color="auto"/>
        <w:bottom w:val="none" w:sz="0" w:space="0" w:color="auto"/>
        <w:right w:val="none" w:sz="0" w:space="0" w:color="auto"/>
      </w:divBdr>
      <w:divsChild>
        <w:div w:id="1050492819">
          <w:marLeft w:val="547"/>
          <w:marRight w:val="0"/>
          <w:marTop w:val="0"/>
          <w:marBottom w:val="0"/>
          <w:divBdr>
            <w:top w:val="none" w:sz="0" w:space="0" w:color="auto"/>
            <w:left w:val="none" w:sz="0" w:space="0" w:color="auto"/>
            <w:bottom w:val="none" w:sz="0" w:space="0" w:color="auto"/>
            <w:right w:val="none" w:sz="0" w:space="0" w:color="auto"/>
          </w:divBdr>
        </w:div>
      </w:divsChild>
    </w:div>
    <w:div w:id="282464565">
      <w:bodyDiv w:val="1"/>
      <w:marLeft w:val="0"/>
      <w:marRight w:val="0"/>
      <w:marTop w:val="0"/>
      <w:marBottom w:val="0"/>
      <w:divBdr>
        <w:top w:val="none" w:sz="0" w:space="0" w:color="auto"/>
        <w:left w:val="none" w:sz="0" w:space="0" w:color="auto"/>
        <w:bottom w:val="none" w:sz="0" w:space="0" w:color="auto"/>
        <w:right w:val="none" w:sz="0" w:space="0" w:color="auto"/>
      </w:divBdr>
      <w:divsChild>
        <w:div w:id="318458902">
          <w:marLeft w:val="0"/>
          <w:marRight w:val="0"/>
          <w:marTop w:val="0"/>
          <w:marBottom w:val="0"/>
          <w:divBdr>
            <w:top w:val="none" w:sz="0" w:space="0" w:color="auto"/>
            <w:left w:val="none" w:sz="0" w:space="0" w:color="auto"/>
            <w:bottom w:val="none" w:sz="0" w:space="0" w:color="auto"/>
            <w:right w:val="none" w:sz="0" w:space="0" w:color="auto"/>
          </w:divBdr>
        </w:div>
        <w:div w:id="380910308">
          <w:marLeft w:val="0"/>
          <w:marRight w:val="0"/>
          <w:marTop w:val="0"/>
          <w:marBottom w:val="0"/>
          <w:divBdr>
            <w:top w:val="none" w:sz="0" w:space="0" w:color="auto"/>
            <w:left w:val="none" w:sz="0" w:space="0" w:color="auto"/>
            <w:bottom w:val="none" w:sz="0" w:space="0" w:color="auto"/>
            <w:right w:val="none" w:sz="0" w:space="0" w:color="auto"/>
          </w:divBdr>
        </w:div>
        <w:div w:id="1550065490">
          <w:marLeft w:val="0"/>
          <w:marRight w:val="0"/>
          <w:marTop w:val="0"/>
          <w:marBottom w:val="0"/>
          <w:divBdr>
            <w:top w:val="none" w:sz="0" w:space="0" w:color="auto"/>
            <w:left w:val="none" w:sz="0" w:space="0" w:color="auto"/>
            <w:bottom w:val="none" w:sz="0" w:space="0" w:color="auto"/>
            <w:right w:val="none" w:sz="0" w:space="0" w:color="auto"/>
          </w:divBdr>
        </w:div>
      </w:divsChild>
    </w:div>
    <w:div w:id="286015000">
      <w:bodyDiv w:val="1"/>
      <w:marLeft w:val="0"/>
      <w:marRight w:val="0"/>
      <w:marTop w:val="0"/>
      <w:marBottom w:val="0"/>
      <w:divBdr>
        <w:top w:val="none" w:sz="0" w:space="0" w:color="auto"/>
        <w:left w:val="none" w:sz="0" w:space="0" w:color="auto"/>
        <w:bottom w:val="none" w:sz="0" w:space="0" w:color="auto"/>
        <w:right w:val="none" w:sz="0" w:space="0" w:color="auto"/>
      </w:divBdr>
    </w:div>
    <w:div w:id="286930995">
      <w:bodyDiv w:val="1"/>
      <w:marLeft w:val="0"/>
      <w:marRight w:val="0"/>
      <w:marTop w:val="0"/>
      <w:marBottom w:val="0"/>
      <w:divBdr>
        <w:top w:val="none" w:sz="0" w:space="0" w:color="auto"/>
        <w:left w:val="none" w:sz="0" w:space="0" w:color="auto"/>
        <w:bottom w:val="none" w:sz="0" w:space="0" w:color="auto"/>
        <w:right w:val="none" w:sz="0" w:space="0" w:color="auto"/>
      </w:divBdr>
      <w:divsChild>
        <w:div w:id="1772699068">
          <w:marLeft w:val="0"/>
          <w:marRight w:val="0"/>
          <w:marTop w:val="0"/>
          <w:marBottom w:val="0"/>
          <w:divBdr>
            <w:top w:val="none" w:sz="0" w:space="0" w:color="auto"/>
            <w:left w:val="none" w:sz="0" w:space="0" w:color="auto"/>
            <w:bottom w:val="none" w:sz="0" w:space="0" w:color="auto"/>
            <w:right w:val="none" w:sz="0" w:space="0" w:color="auto"/>
          </w:divBdr>
        </w:div>
      </w:divsChild>
    </w:div>
    <w:div w:id="291402846">
      <w:bodyDiv w:val="1"/>
      <w:marLeft w:val="0"/>
      <w:marRight w:val="0"/>
      <w:marTop w:val="0"/>
      <w:marBottom w:val="0"/>
      <w:divBdr>
        <w:top w:val="none" w:sz="0" w:space="0" w:color="auto"/>
        <w:left w:val="none" w:sz="0" w:space="0" w:color="auto"/>
        <w:bottom w:val="none" w:sz="0" w:space="0" w:color="auto"/>
        <w:right w:val="none" w:sz="0" w:space="0" w:color="auto"/>
      </w:divBdr>
    </w:div>
    <w:div w:id="303975984">
      <w:bodyDiv w:val="1"/>
      <w:marLeft w:val="0"/>
      <w:marRight w:val="0"/>
      <w:marTop w:val="0"/>
      <w:marBottom w:val="0"/>
      <w:divBdr>
        <w:top w:val="none" w:sz="0" w:space="0" w:color="auto"/>
        <w:left w:val="none" w:sz="0" w:space="0" w:color="auto"/>
        <w:bottom w:val="none" w:sz="0" w:space="0" w:color="auto"/>
        <w:right w:val="none" w:sz="0" w:space="0" w:color="auto"/>
      </w:divBdr>
    </w:div>
    <w:div w:id="306588938">
      <w:bodyDiv w:val="1"/>
      <w:marLeft w:val="0"/>
      <w:marRight w:val="0"/>
      <w:marTop w:val="0"/>
      <w:marBottom w:val="0"/>
      <w:divBdr>
        <w:top w:val="none" w:sz="0" w:space="0" w:color="auto"/>
        <w:left w:val="none" w:sz="0" w:space="0" w:color="auto"/>
        <w:bottom w:val="none" w:sz="0" w:space="0" w:color="auto"/>
        <w:right w:val="none" w:sz="0" w:space="0" w:color="auto"/>
      </w:divBdr>
    </w:div>
    <w:div w:id="314844865">
      <w:bodyDiv w:val="1"/>
      <w:marLeft w:val="0"/>
      <w:marRight w:val="0"/>
      <w:marTop w:val="0"/>
      <w:marBottom w:val="0"/>
      <w:divBdr>
        <w:top w:val="none" w:sz="0" w:space="0" w:color="auto"/>
        <w:left w:val="none" w:sz="0" w:space="0" w:color="auto"/>
        <w:bottom w:val="none" w:sz="0" w:space="0" w:color="auto"/>
        <w:right w:val="none" w:sz="0" w:space="0" w:color="auto"/>
      </w:divBdr>
    </w:div>
    <w:div w:id="315188345">
      <w:bodyDiv w:val="1"/>
      <w:marLeft w:val="0"/>
      <w:marRight w:val="0"/>
      <w:marTop w:val="0"/>
      <w:marBottom w:val="0"/>
      <w:divBdr>
        <w:top w:val="none" w:sz="0" w:space="0" w:color="auto"/>
        <w:left w:val="none" w:sz="0" w:space="0" w:color="auto"/>
        <w:bottom w:val="none" w:sz="0" w:space="0" w:color="auto"/>
        <w:right w:val="none" w:sz="0" w:space="0" w:color="auto"/>
      </w:divBdr>
      <w:divsChild>
        <w:div w:id="998115879">
          <w:marLeft w:val="0"/>
          <w:marRight w:val="0"/>
          <w:marTop w:val="0"/>
          <w:marBottom w:val="0"/>
          <w:divBdr>
            <w:top w:val="none" w:sz="0" w:space="0" w:color="auto"/>
            <w:left w:val="none" w:sz="0" w:space="0" w:color="auto"/>
            <w:bottom w:val="none" w:sz="0" w:space="0" w:color="auto"/>
            <w:right w:val="none" w:sz="0" w:space="0" w:color="auto"/>
          </w:divBdr>
          <w:divsChild>
            <w:div w:id="372462906">
              <w:marLeft w:val="0"/>
              <w:marRight w:val="0"/>
              <w:marTop w:val="0"/>
              <w:marBottom w:val="0"/>
              <w:divBdr>
                <w:top w:val="none" w:sz="0" w:space="0" w:color="auto"/>
                <w:left w:val="none" w:sz="0" w:space="0" w:color="auto"/>
                <w:bottom w:val="none" w:sz="0" w:space="0" w:color="auto"/>
                <w:right w:val="none" w:sz="0" w:space="0" w:color="auto"/>
              </w:divBdr>
              <w:divsChild>
                <w:div w:id="32744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602999">
      <w:bodyDiv w:val="1"/>
      <w:marLeft w:val="0"/>
      <w:marRight w:val="0"/>
      <w:marTop w:val="0"/>
      <w:marBottom w:val="0"/>
      <w:divBdr>
        <w:top w:val="none" w:sz="0" w:space="0" w:color="auto"/>
        <w:left w:val="none" w:sz="0" w:space="0" w:color="auto"/>
        <w:bottom w:val="none" w:sz="0" w:space="0" w:color="auto"/>
        <w:right w:val="none" w:sz="0" w:space="0" w:color="auto"/>
      </w:divBdr>
    </w:div>
    <w:div w:id="337729564">
      <w:bodyDiv w:val="1"/>
      <w:marLeft w:val="0"/>
      <w:marRight w:val="0"/>
      <w:marTop w:val="0"/>
      <w:marBottom w:val="0"/>
      <w:divBdr>
        <w:top w:val="none" w:sz="0" w:space="0" w:color="auto"/>
        <w:left w:val="none" w:sz="0" w:space="0" w:color="auto"/>
        <w:bottom w:val="none" w:sz="0" w:space="0" w:color="auto"/>
        <w:right w:val="none" w:sz="0" w:space="0" w:color="auto"/>
      </w:divBdr>
    </w:div>
    <w:div w:id="338434211">
      <w:bodyDiv w:val="1"/>
      <w:marLeft w:val="0"/>
      <w:marRight w:val="0"/>
      <w:marTop w:val="0"/>
      <w:marBottom w:val="0"/>
      <w:divBdr>
        <w:top w:val="none" w:sz="0" w:space="0" w:color="auto"/>
        <w:left w:val="none" w:sz="0" w:space="0" w:color="auto"/>
        <w:bottom w:val="none" w:sz="0" w:space="0" w:color="auto"/>
        <w:right w:val="none" w:sz="0" w:space="0" w:color="auto"/>
      </w:divBdr>
      <w:divsChild>
        <w:div w:id="686174889">
          <w:marLeft w:val="0"/>
          <w:marRight w:val="0"/>
          <w:marTop w:val="0"/>
          <w:marBottom w:val="0"/>
          <w:divBdr>
            <w:top w:val="none" w:sz="0" w:space="0" w:color="auto"/>
            <w:left w:val="none" w:sz="0" w:space="0" w:color="auto"/>
            <w:bottom w:val="none" w:sz="0" w:space="0" w:color="auto"/>
            <w:right w:val="none" w:sz="0" w:space="0" w:color="auto"/>
          </w:divBdr>
          <w:divsChild>
            <w:div w:id="194199441">
              <w:marLeft w:val="0"/>
              <w:marRight w:val="0"/>
              <w:marTop w:val="0"/>
              <w:marBottom w:val="0"/>
              <w:divBdr>
                <w:top w:val="none" w:sz="0" w:space="0" w:color="auto"/>
                <w:left w:val="none" w:sz="0" w:space="0" w:color="auto"/>
                <w:bottom w:val="none" w:sz="0" w:space="0" w:color="auto"/>
                <w:right w:val="none" w:sz="0" w:space="0" w:color="auto"/>
              </w:divBdr>
              <w:divsChild>
                <w:div w:id="676427845">
                  <w:marLeft w:val="0"/>
                  <w:marRight w:val="0"/>
                  <w:marTop w:val="0"/>
                  <w:marBottom w:val="0"/>
                  <w:divBdr>
                    <w:top w:val="none" w:sz="0" w:space="0" w:color="auto"/>
                    <w:left w:val="none" w:sz="0" w:space="0" w:color="auto"/>
                    <w:bottom w:val="none" w:sz="0" w:space="0" w:color="auto"/>
                    <w:right w:val="none" w:sz="0" w:space="0" w:color="auto"/>
                  </w:divBdr>
                  <w:divsChild>
                    <w:div w:id="1373726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408893">
      <w:bodyDiv w:val="1"/>
      <w:marLeft w:val="0"/>
      <w:marRight w:val="0"/>
      <w:marTop w:val="0"/>
      <w:marBottom w:val="0"/>
      <w:divBdr>
        <w:top w:val="none" w:sz="0" w:space="0" w:color="auto"/>
        <w:left w:val="none" w:sz="0" w:space="0" w:color="auto"/>
        <w:bottom w:val="none" w:sz="0" w:space="0" w:color="auto"/>
        <w:right w:val="none" w:sz="0" w:space="0" w:color="auto"/>
      </w:divBdr>
      <w:divsChild>
        <w:div w:id="1720669891">
          <w:marLeft w:val="0"/>
          <w:marRight w:val="0"/>
          <w:marTop w:val="0"/>
          <w:marBottom w:val="0"/>
          <w:divBdr>
            <w:top w:val="none" w:sz="0" w:space="0" w:color="auto"/>
            <w:left w:val="none" w:sz="0" w:space="0" w:color="auto"/>
            <w:bottom w:val="none" w:sz="0" w:space="0" w:color="auto"/>
            <w:right w:val="none" w:sz="0" w:space="0" w:color="auto"/>
          </w:divBdr>
          <w:divsChild>
            <w:div w:id="319844339">
              <w:marLeft w:val="0"/>
              <w:marRight w:val="0"/>
              <w:marTop w:val="0"/>
              <w:marBottom w:val="0"/>
              <w:divBdr>
                <w:top w:val="none" w:sz="0" w:space="0" w:color="auto"/>
                <w:left w:val="none" w:sz="0" w:space="0" w:color="auto"/>
                <w:bottom w:val="none" w:sz="0" w:space="0" w:color="auto"/>
                <w:right w:val="none" w:sz="0" w:space="0" w:color="auto"/>
              </w:divBdr>
              <w:divsChild>
                <w:div w:id="82412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957466">
      <w:bodyDiv w:val="1"/>
      <w:marLeft w:val="0"/>
      <w:marRight w:val="0"/>
      <w:marTop w:val="0"/>
      <w:marBottom w:val="0"/>
      <w:divBdr>
        <w:top w:val="none" w:sz="0" w:space="0" w:color="auto"/>
        <w:left w:val="none" w:sz="0" w:space="0" w:color="auto"/>
        <w:bottom w:val="none" w:sz="0" w:space="0" w:color="auto"/>
        <w:right w:val="none" w:sz="0" w:space="0" w:color="auto"/>
      </w:divBdr>
    </w:div>
    <w:div w:id="353117223">
      <w:bodyDiv w:val="1"/>
      <w:marLeft w:val="0"/>
      <w:marRight w:val="0"/>
      <w:marTop w:val="0"/>
      <w:marBottom w:val="0"/>
      <w:divBdr>
        <w:top w:val="none" w:sz="0" w:space="0" w:color="auto"/>
        <w:left w:val="none" w:sz="0" w:space="0" w:color="auto"/>
        <w:bottom w:val="none" w:sz="0" w:space="0" w:color="auto"/>
        <w:right w:val="none" w:sz="0" w:space="0" w:color="auto"/>
      </w:divBdr>
    </w:div>
    <w:div w:id="357587260">
      <w:bodyDiv w:val="1"/>
      <w:marLeft w:val="0"/>
      <w:marRight w:val="0"/>
      <w:marTop w:val="0"/>
      <w:marBottom w:val="0"/>
      <w:divBdr>
        <w:top w:val="none" w:sz="0" w:space="0" w:color="auto"/>
        <w:left w:val="none" w:sz="0" w:space="0" w:color="auto"/>
        <w:bottom w:val="none" w:sz="0" w:space="0" w:color="auto"/>
        <w:right w:val="none" w:sz="0" w:space="0" w:color="auto"/>
      </w:divBdr>
    </w:div>
    <w:div w:id="358823335">
      <w:bodyDiv w:val="1"/>
      <w:marLeft w:val="0"/>
      <w:marRight w:val="0"/>
      <w:marTop w:val="0"/>
      <w:marBottom w:val="0"/>
      <w:divBdr>
        <w:top w:val="none" w:sz="0" w:space="0" w:color="auto"/>
        <w:left w:val="none" w:sz="0" w:space="0" w:color="auto"/>
        <w:bottom w:val="none" w:sz="0" w:space="0" w:color="auto"/>
        <w:right w:val="none" w:sz="0" w:space="0" w:color="auto"/>
      </w:divBdr>
    </w:div>
    <w:div w:id="360977820">
      <w:bodyDiv w:val="1"/>
      <w:marLeft w:val="0"/>
      <w:marRight w:val="0"/>
      <w:marTop w:val="0"/>
      <w:marBottom w:val="0"/>
      <w:divBdr>
        <w:top w:val="none" w:sz="0" w:space="0" w:color="auto"/>
        <w:left w:val="none" w:sz="0" w:space="0" w:color="auto"/>
        <w:bottom w:val="none" w:sz="0" w:space="0" w:color="auto"/>
        <w:right w:val="none" w:sz="0" w:space="0" w:color="auto"/>
      </w:divBdr>
      <w:divsChild>
        <w:div w:id="1787312636">
          <w:marLeft w:val="0"/>
          <w:marRight w:val="0"/>
          <w:marTop w:val="0"/>
          <w:marBottom w:val="0"/>
          <w:divBdr>
            <w:top w:val="none" w:sz="0" w:space="0" w:color="auto"/>
            <w:left w:val="none" w:sz="0" w:space="0" w:color="auto"/>
            <w:bottom w:val="none" w:sz="0" w:space="0" w:color="auto"/>
            <w:right w:val="none" w:sz="0" w:space="0" w:color="auto"/>
          </w:divBdr>
          <w:divsChild>
            <w:div w:id="2021661564">
              <w:marLeft w:val="0"/>
              <w:marRight w:val="0"/>
              <w:marTop w:val="0"/>
              <w:marBottom w:val="0"/>
              <w:divBdr>
                <w:top w:val="none" w:sz="0" w:space="0" w:color="auto"/>
                <w:left w:val="none" w:sz="0" w:space="0" w:color="auto"/>
                <w:bottom w:val="none" w:sz="0" w:space="0" w:color="auto"/>
                <w:right w:val="none" w:sz="0" w:space="0" w:color="auto"/>
              </w:divBdr>
              <w:divsChild>
                <w:div w:id="518666907">
                  <w:marLeft w:val="0"/>
                  <w:marRight w:val="0"/>
                  <w:marTop w:val="0"/>
                  <w:marBottom w:val="0"/>
                  <w:divBdr>
                    <w:top w:val="none" w:sz="0" w:space="0" w:color="auto"/>
                    <w:left w:val="none" w:sz="0" w:space="0" w:color="auto"/>
                    <w:bottom w:val="none" w:sz="0" w:space="0" w:color="auto"/>
                    <w:right w:val="none" w:sz="0" w:space="0" w:color="auto"/>
                  </w:divBdr>
                  <w:divsChild>
                    <w:div w:id="1737849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1825265">
      <w:bodyDiv w:val="1"/>
      <w:marLeft w:val="0"/>
      <w:marRight w:val="0"/>
      <w:marTop w:val="0"/>
      <w:marBottom w:val="0"/>
      <w:divBdr>
        <w:top w:val="none" w:sz="0" w:space="0" w:color="auto"/>
        <w:left w:val="none" w:sz="0" w:space="0" w:color="auto"/>
        <w:bottom w:val="none" w:sz="0" w:space="0" w:color="auto"/>
        <w:right w:val="none" w:sz="0" w:space="0" w:color="auto"/>
      </w:divBdr>
    </w:div>
    <w:div w:id="370570168">
      <w:bodyDiv w:val="1"/>
      <w:marLeft w:val="0"/>
      <w:marRight w:val="0"/>
      <w:marTop w:val="0"/>
      <w:marBottom w:val="0"/>
      <w:divBdr>
        <w:top w:val="none" w:sz="0" w:space="0" w:color="auto"/>
        <w:left w:val="none" w:sz="0" w:space="0" w:color="auto"/>
        <w:bottom w:val="none" w:sz="0" w:space="0" w:color="auto"/>
        <w:right w:val="none" w:sz="0" w:space="0" w:color="auto"/>
      </w:divBdr>
    </w:div>
    <w:div w:id="370610786">
      <w:bodyDiv w:val="1"/>
      <w:marLeft w:val="0"/>
      <w:marRight w:val="0"/>
      <w:marTop w:val="0"/>
      <w:marBottom w:val="0"/>
      <w:divBdr>
        <w:top w:val="none" w:sz="0" w:space="0" w:color="auto"/>
        <w:left w:val="none" w:sz="0" w:space="0" w:color="auto"/>
        <w:bottom w:val="none" w:sz="0" w:space="0" w:color="auto"/>
        <w:right w:val="none" w:sz="0" w:space="0" w:color="auto"/>
      </w:divBdr>
    </w:div>
    <w:div w:id="371393671">
      <w:bodyDiv w:val="1"/>
      <w:marLeft w:val="0"/>
      <w:marRight w:val="0"/>
      <w:marTop w:val="0"/>
      <w:marBottom w:val="0"/>
      <w:divBdr>
        <w:top w:val="none" w:sz="0" w:space="0" w:color="auto"/>
        <w:left w:val="none" w:sz="0" w:space="0" w:color="auto"/>
        <w:bottom w:val="none" w:sz="0" w:space="0" w:color="auto"/>
        <w:right w:val="none" w:sz="0" w:space="0" w:color="auto"/>
      </w:divBdr>
    </w:div>
    <w:div w:id="374042906">
      <w:bodyDiv w:val="1"/>
      <w:marLeft w:val="0"/>
      <w:marRight w:val="0"/>
      <w:marTop w:val="0"/>
      <w:marBottom w:val="0"/>
      <w:divBdr>
        <w:top w:val="none" w:sz="0" w:space="0" w:color="auto"/>
        <w:left w:val="none" w:sz="0" w:space="0" w:color="auto"/>
        <w:bottom w:val="none" w:sz="0" w:space="0" w:color="auto"/>
        <w:right w:val="none" w:sz="0" w:space="0" w:color="auto"/>
      </w:divBdr>
      <w:divsChild>
        <w:div w:id="272321625">
          <w:marLeft w:val="0"/>
          <w:marRight w:val="0"/>
          <w:marTop w:val="0"/>
          <w:marBottom w:val="0"/>
          <w:divBdr>
            <w:top w:val="none" w:sz="0" w:space="0" w:color="auto"/>
            <w:left w:val="none" w:sz="0" w:space="0" w:color="auto"/>
            <w:bottom w:val="none" w:sz="0" w:space="0" w:color="auto"/>
            <w:right w:val="none" w:sz="0" w:space="0" w:color="auto"/>
          </w:divBdr>
          <w:divsChild>
            <w:div w:id="2102291093">
              <w:marLeft w:val="0"/>
              <w:marRight w:val="0"/>
              <w:marTop w:val="0"/>
              <w:marBottom w:val="0"/>
              <w:divBdr>
                <w:top w:val="none" w:sz="0" w:space="0" w:color="auto"/>
                <w:left w:val="none" w:sz="0" w:space="0" w:color="auto"/>
                <w:bottom w:val="none" w:sz="0" w:space="0" w:color="auto"/>
                <w:right w:val="none" w:sz="0" w:space="0" w:color="auto"/>
              </w:divBdr>
              <w:divsChild>
                <w:div w:id="115664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085130">
      <w:bodyDiv w:val="1"/>
      <w:marLeft w:val="0"/>
      <w:marRight w:val="0"/>
      <w:marTop w:val="0"/>
      <w:marBottom w:val="0"/>
      <w:divBdr>
        <w:top w:val="none" w:sz="0" w:space="0" w:color="auto"/>
        <w:left w:val="none" w:sz="0" w:space="0" w:color="auto"/>
        <w:bottom w:val="none" w:sz="0" w:space="0" w:color="auto"/>
        <w:right w:val="none" w:sz="0" w:space="0" w:color="auto"/>
      </w:divBdr>
      <w:divsChild>
        <w:div w:id="832529889">
          <w:marLeft w:val="0"/>
          <w:marRight w:val="0"/>
          <w:marTop w:val="0"/>
          <w:marBottom w:val="0"/>
          <w:divBdr>
            <w:top w:val="none" w:sz="0" w:space="0" w:color="auto"/>
            <w:left w:val="none" w:sz="0" w:space="0" w:color="auto"/>
            <w:bottom w:val="none" w:sz="0" w:space="0" w:color="auto"/>
            <w:right w:val="none" w:sz="0" w:space="0" w:color="auto"/>
          </w:divBdr>
          <w:divsChild>
            <w:div w:id="1393236658">
              <w:marLeft w:val="0"/>
              <w:marRight w:val="0"/>
              <w:marTop w:val="0"/>
              <w:marBottom w:val="0"/>
              <w:divBdr>
                <w:top w:val="none" w:sz="0" w:space="0" w:color="auto"/>
                <w:left w:val="none" w:sz="0" w:space="0" w:color="auto"/>
                <w:bottom w:val="none" w:sz="0" w:space="0" w:color="auto"/>
                <w:right w:val="none" w:sz="0" w:space="0" w:color="auto"/>
              </w:divBdr>
              <w:divsChild>
                <w:div w:id="1344550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3912163">
      <w:bodyDiv w:val="1"/>
      <w:marLeft w:val="0"/>
      <w:marRight w:val="0"/>
      <w:marTop w:val="0"/>
      <w:marBottom w:val="0"/>
      <w:divBdr>
        <w:top w:val="none" w:sz="0" w:space="0" w:color="auto"/>
        <w:left w:val="none" w:sz="0" w:space="0" w:color="auto"/>
        <w:bottom w:val="none" w:sz="0" w:space="0" w:color="auto"/>
        <w:right w:val="none" w:sz="0" w:space="0" w:color="auto"/>
      </w:divBdr>
    </w:div>
    <w:div w:id="388648846">
      <w:bodyDiv w:val="1"/>
      <w:marLeft w:val="0"/>
      <w:marRight w:val="0"/>
      <w:marTop w:val="0"/>
      <w:marBottom w:val="0"/>
      <w:divBdr>
        <w:top w:val="none" w:sz="0" w:space="0" w:color="auto"/>
        <w:left w:val="none" w:sz="0" w:space="0" w:color="auto"/>
        <w:bottom w:val="none" w:sz="0" w:space="0" w:color="auto"/>
        <w:right w:val="none" w:sz="0" w:space="0" w:color="auto"/>
      </w:divBdr>
    </w:div>
    <w:div w:id="409543315">
      <w:bodyDiv w:val="1"/>
      <w:marLeft w:val="0"/>
      <w:marRight w:val="0"/>
      <w:marTop w:val="0"/>
      <w:marBottom w:val="0"/>
      <w:divBdr>
        <w:top w:val="none" w:sz="0" w:space="0" w:color="auto"/>
        <w:left w:val="none" w:sz="0" w:space="0" w:color="auto"/>
        <w:bottom w:val="none" w:sz="0" w:space="0" w:color="auto"/>
        <w:right w:val="none" w:sz="0" w:space="0" w:color="auto"/>
      </w:divBdr>
    </w:div>
    <w:div w:id="426661482">
      <w:bodyDiv w:val="1"/>
      <w:marLeft w:val="0"/>
      <w:marRight w:val="0"/>
      <w:marTop w:val="0"/>
      <w:marBottom w:val="0"/>
      <w:divBdr>
        <w:top w:val="none" w:sz="0" w:space="0" w:color="auto"/>
        <w:left w:val="none" w:sz="0" w:space="0" w:color="auto"/>
        <w:bottom w:val="none" w:sz="0" w:space="0" w:color="auto"/>
        <w:right w:val="none" w:sz="0" w:space="0" w:color="auto"/>
      </w:divBdr>
      <w:divsChild>
        <w:div w:id="579752896">
          <w:marLeft w:val="0"/>
          <w:marRight w:val="0"/>
          <w:marTop w:val="0"/>
          <w:marBottom w:val="0"/>
          <w:divBdr>
            <w:top w:val="none" w:sz="0" w:space="0" w:color="auto"/>
            <w:left w:val="none" w:sz="0" w:space="0" w:color="auto"/>
            <w:bottom w:val="none" w:sz="0" w:space="0" w:color="auto"/>
            <w:right w:val="none" w:sz="0" w:space="0" w:color="auto"/>
          </w:divBdr>
          <w:divsChild>
            <w:div w:id="683434766">
              <w:marLeft w:val="0"/>
              <w:marRight w:val="0"/>
              <w:marTop w:val="0"/>
              <w:marBottom w:val="0"/>
              <w:divBdr>
                <w:top w:val="none" w:sz="0" w:space="0" w:color="auto"/>
                <w:left w:val="none" w:sz="0" w:space="0" w:color="auto"/>
                <w:bottom w:val="none" w:sz="0" w:space="0" w:color="auto"/>
                <w:right w:val="none" w:sz="0" w:space="0" w:color="auto"/>
              </w:divBdr>
              <w:divsChild>
                <w:div w:id="141042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7238419">
      <w:bodyDiv w:val="1"/>
      <w:marLeft w:val="0"/>
      <w:marRight w:val="0"/>
      <w:marTop w:val="0"/>
      <w:marBottom w:val="0"/>
      <w:divBdr>
        <w:top w:val="none" w:sz="0" w:space="0" w:color="auto"/>
        <w:left w:val="none" w:sz="0" w:space="0" w:color="auto"/>
        <w:bottom w:val="none" w:sz="0" w:space="0" w:color="auto"/>
        <w:right w:val="none" w:sz="0" w:space="0" w:color="auto"/>
      </w:divBdr>
      <w:divsChild>
        <w:div w:id="1247575883">
          <w:marLeft w:val="0"/>
          <w:marRight w:val="0"/>
          <w:marTop w:val="0"/>
          <w:marBottom w:val="0"/>
          <w:divBdr>
            <w:top w:val="none" w:sz="0" w:space="0" w:color="auto"/>
            <w:left w:val="none" w:sz="0" w:space="0" w:color="auto"/>
            <w:bottom w:val="none" w:sz="0" w:space="0" w:color="auto"/>
            <w:right w:val="none" w:sz="0" w:space="0" w:color="auto"/>
          </w:divBdr>
          <w:divsChild>
            <w:div w:id="2077237879">
              <w:marLeft w:val="0"/>
              <w:marRight w:val="0"/>
              <w:marTop w:val="0"/>
              <w:marBottom w:val="0"/>
              <w:divBdr>
                <w:top w:val="none" w:sz="0" w:space="0" w:color="auto"/>
                <w:left w:val="none" w:sz="0" w:space="0" w:color="auto"/>
                <w:bottom w:val="none" w:sz="0" w:space="0" w:color="auto"/>
                <w:right w:val="none" w:sz="0" w:space="0" w:color="auto"/>
              </w:divBdr>
              <w:divsChild>
                <w:div w:id="287394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3987387">
      <w:bodyDiv w:val="1"/>
      <w:marLeft w:val="0"/>
      <w:marRight w:val="0"/>
      <w:marTop w:val="0"/>
      <w:marBottom w:val="0"/>
      <w:divBdr>
        <w:top w:val="none" w:sz="0" w:space="0" w:color="auto"/>
        <w:left w:val="none" w:sz="0" w:space="0" w:color="auto"/>
        <w:bottom w:val="none" w:sz="0" w:space="0" w:color="auto"/>
        <w:right w:val="none" w:sz="0" w:space="0" w:color="auto"/>
      </w:divBdr>
    </w:div>
    <w:div w:id="444345187">
      <w:bodyDiv w:val="1"/>
      <w:marLeft w:val="0"/>
      <w:marRight w:val="0"/>
      <w:marTop w:val="0"/>
      <w:marBottom w:val="0"/>
      <w:divBdr>
        <w:top w:val="none" w:sz="0" w:space="0" w:color="auto"/>
        <w:left w:val="none" w:sz="0" w:space="0" w:color="auto"/>
        <w:bottom w:val="none" w:sz="0" w:space="0" w:color="auto"/>
        <w:right w:val="none" w:sz="0" w:space="0" w:color="auto"/>
      </w:divBdr>
      <w:divsChild>
        <w:div w:id="385418961">
          <w:marLeft w:val="0"/>
          <w:marRight w:val="0"/>
          <w:marTop w:val="0"/>
          <w:marBottom w:val="0"/>
          <w:divBdr>
            <w:top w:val="none" w:sz="0" w:space="0" w:color="auto"/>
            <w:left w:val="none" w:sz="0" w:space="0" w:color="auto"/>
            <w:bottom w:val="none" w:sz="0" w:space="0" w:color="auto"/>
            <w:right w:val="none" w:sz="0" w:space="0" w:color="auto"/>
          </w:divBdr>
        </w:div>
        <w:div w:id="435295534">
          <w:marLeft w:val="0"/>
          <w:marRight w:val="0"/>
          <w:marTop w:val="0"/>
          <w:marBottom w:val="0"/>
          <w:divBdr>
            <w:top w:val="none" w:sz="0" w:space="0" w:color="auto"/>
            <w:left w:val="none" w:sz="0" w:space="0" w:color="auto"/>
            <w:bottom w:val="none" w:sz="0" w:space="0" w:color="auto"/>
            <w:right w:val="none" w:sz="0" w:space="0" w:color="auto"/>
          </w:divBdr>
        </w:div>
        <w:div w:id="602343001">
          <w:marLeft w:val="0"/>
          <w:marRight w:val="0"/>
          <w:marTop w:val="0"/>
          <w:marBottom w:val="0"/>
          <w:divBdr>
            <w:top w:val="none" w:sz="0" w:space="0" w:color="auto"/>
            <w:left w:val="none" w:sz="0" w:space="0" w:color="auto"/>
            <w:bottom w:val="none" w:sz="0" w:space="0" w:color="auto"/>
            <w:right w:val="none" w:sz="0" w:space="0" w:color="auto"/>
          </w:divBdr>
        </w:div>
      </w:divsChild>
    </w:div>
    <w:div w:id="457645732">
      <w:bodyDiv w:val="1"/>
      <w:marLeft w:val="0"/>
      <w:marRight w:val="0"/>
      <w:marTop w:val="0"/>
      <w:marBottom w:val="0"/>
      <w:divBdr>
        <w:top w:val="none" w:sz="0" w:space="0" w:color="auto"/>
        <w:left w:val="none" w:sz="0" w:space="0" w:color="auto"/>
        <w:bottom w:val="none" w:sz="0" w:space="0" w:color="auto"/>
        <w:right w:val="none" w:sz="0" w:space="0" w:color="auto"/>
      </w:divBdr>
    </w:div>
    <w:div w:id="464543777">
      <w:bodyDiv w:val="1"/>
      <w:marLeft w:val="0"/>
      <w:marRight w:val="0"/>
      <w:marTop w:val="0"/>
      <w:marBottom w:val="0"/>
      <w:divBdr>
        <w:top w:val="none" w:sz="0" w:space="0" w:color="auto"/>
        <w:left w:val="none" w:sz="0" w:space="0" w:color="auto"/>
        <w:bottom w:val="none" w:sz="0" w:space="0" w:color="auto"/>
        <w:right w:val="none" w:sz="0" w:space="0" w:color="auto"/>
      </w:divBdr>
      <w:divsChild>
        <w:div w:id="1231497780">
          <w:marLeft w:val="0"/>
          <w:marRight w:val="0"/>
          <w:marTop w:val="0"/>
          <w:marBottom w:val="0"/>
          <w:divBdr>
            <w:top w:val="none" w:sz="0" w:space="0" w:color="auto"/>
            <w:left w:val="none" w:sz="0" w:space="0" w:color="auto"/>
            <w:bottom w:val="none" w:sz="0" w:space="0" w:color="auto"/>
            <w:right w:val="none" w:sz="0" w:space="0" w:color="auto"/>
          </w:divBdr>
          <w:divsChild>
            <w:div w:id="1791969133">
              <w:marLeft w:val="0"/>
              <w:marRight w:val="0"/>
              <w:marTop w:val="0"/>
              <w:marBottom w:val="0"/>
              <w:divBdr>
                <w:top w:val="none" w:sz="0" w:space="0" w:color="auto"/>
                <w:left w:val="none" w:sz="0" w:space="0" w:color="auto"/>
                <w:bottom w:val="none" w:sz="0" w:space="0" w:color="auto"/>
                <w:right w:val="none" w:sz="0" w:space="0" w:color="auto"/>
              </w:divBdr>
              <w:divsChild>
                <w:div w:id="104355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5779418">
      <w:bodyDiv w:val="1"/>
      <w:marLeft w:val="0"/>
      <w:marRight w:val="0"/>
      <w:marTop w:val="0"/>
      <w:marBottom w:val="0"/>
      <w:divBdr>
        <w:top w:val="none" w:sz="0" w:space="0" w:color="auto"/>
        <w:left w:val="none" w:sz="0" w:space="0" w:color="auto"/>
        <w:bottom w:val="none" w:sz="0" w:space="0" w:color="auto"/>
        <w:right w:val="none" w:sz="0" w:space="0" w:color="auto"/>
      </w:divBdr>
    </w:div>
    <w:div w:id="468206445">
      <w:bodyDiv w:val="1"/>
      <w:marLeft w:val="0"/>
      <w:marRight w:val="0"/>
      <w:marTop w:val="0"/>
      <w:marBottom w:val="0"/>
      <w:divBdr>
        <w:top w:val="none" w:sz="0" w:space="0" w:color="auto"/>
        <w:left w:val="none" w:sz="0" w:space="0" w:color="auto"/>
        <w:bottom w:val="none" w:sz="0" w:space="0" w:color="auto"/>
        <w:right w:val="none" w:sz="0" w:space="0" w:color="auto"/>
      </w:divBdr>
    </w:div>
    <w:div w:id="481967716">
      <w:bodyDiv w:val="1"/>
      <w:marLeft w:val="0"/>
      <w:marRight w:val="0"/>
      <w:marTop w:val="0"/>
      <w:marBottom w:val="0"/>
      <w:divBdr>
        <w:top w:val="none" w:sz="0" w:space="0" w:color="auto"/>
        <w:left w:val="none" w:sz="0" w:space="0" w:color="auto"/>
        <w:bottom w:val="none" w:sz="0" w:space="0" w:color="auto"/>
        <w:right w:val="none" w:sz="0" w:space="0" w:color="auto"/>
      </w:divBdr>
      <w:divsChild>
        <w:div w:id="1331568797">
          <w:marLeft w:val="0"/>
          <w:marRight w:val="0"/>
          <w:marTop w:val="0"/>
          <w:marBottom w:val="0"/>
          <w:divBdr>
            <w:top w:val="none" w:sz="0" w:space="0" w:color="auto"/>
            <w:left w:val="none" w:sz="0" w:space="0" w:color="auto"/>
            <w:bottom w:val="none" w:sz="0" w:space="0" w:color="auto"/>
            <w:right w:val="none" w:sz="0" w:space="0" w:color="auto"/>
          </w:divBdr>
        </w:div>
      </w:divsChild>
    </w:div>
    <w:div w:id="509951208">
      <w:bodyDiv w:val="1"/>
      <w:marLeft w:val="0"/>
      <w:marRight w:val="0"/>
      <w:marTop w:val="0"/>
      <w:marBottom w:val="0"/>
      <w:divBdr>
        <w:top w:val="none" w:sz="0" w:space="0" w:color="auto"/>
        <w:left w:val="none" w:sz="0" w:space="0" w:color="auto"/>
        <w:bottom w:val="none" w:sz="0" w:space="0" w:color="auto"/>
        <w:right w:val="none" w:sz="0" w:space="0" w:color="auto"/>
      </w:divBdr>
      <w:divsChild>
        <w:div w:id="665481068">
          <w:marLeft w:val="0"/>
          <w:marRight w:val="0"/>
          <w:marTop w:val="0"/>
          <w:marBottom w:val="0"/>
          <w:divBdr>
            <w:top w:val="none" w:sz="0" w:space="0" w:color="auto"/>
            <w:left w:val="none" w:sz="0" w:space="0" w:color="auto"/>
            <w:bottom w:val="none" w:sz="0" w:space="0" w:color="auto"/>
            <w:right w:val="none" w:sz="0" w:space="0" w:color="auto"/>
          </w:divBdr>
        </w:div>
      </w:divsChild>
    </w:div>
    <w:div w:id="515509414">
      <w:bodyDiv w:val="1"/>
      <w:marLeft w:val="0"/>
      <w:marRight w:val="0"/>
      <w:marTop w:val="0"/>
      <w:marBottom w:val="0"/>
      <w:divBdr>
        <w:top w:val="none" w:sz="0" w:space="0" w:color="auto"/>
        <w:left w:val="none" w:sz="0" w:space="0" w:color="auto"/>
        <w:bottom w:val="none" w:sz="0" w:space="0" w:color="auto"/>
        <w:right w:val="none" w:sz="0" w:space="0" w:color="auto"/>
      </w:divBdr>
    </w:div>
    <w:div w:id="571737017">
      <w:bodyDiv w:val="1"/>
      <w:marLeft w:val="0"/>
      <w:marRight w:val="0"/>
      <w:marTop w:val="0"/>
      <w:marBottom w:val="0"/>
      <w:divBdr>
        <w:top w:val="none" w:sz="0" w:space="0" w:color="auto"/>
        <w:left w:val="none" w:sz="0" w:space="0" w:color="auto"/>
        <w:bottom w:val="none" w:sz="0" w:space="0" w:color="auto"/>
        <w:right w:val="none" w:sz="0" w:space="0" w:color="auto"/>
      </w:divBdr>
      <w:divsChild>
        <w:div w:id="652104020">
          <w:marLeft w:val="0"/>
          <w:marRight w:val="0"/>
          <w:marTop w:val="0"/>
          <w:marBottom w:val="0"/>
          <w:divBdr>
            <w:top w:val="none" w:sz="0" w:space="0" w:color="auto"/>
            <w:left w:val="none" w:sz="0" w:space="0" w:color="auto"/>
            <w:bottom w:val="none" w:sz="0" w:space="0" w:color="auto"/>
            <w:right w:val="none" w:sz="0" w:space="0" w:color="auto"/>
          </w:divBdr>
          <w:divsChild>
            <w:div w:id="2063626529">
              <w:marLeft w:val="0"/>
              <w:marRight w:val="0"/>
              <w:marTop w:val="0"/>
              <w:marBottom w:val="0"/>
              <w:divBdr>
                <w:top w:val="none" w:sz="0" w:space="0" w:color="auto"/>
                <w:left w:val="none" w:sz="0" w:space="0" w:color="auto"/>
                <w:bottom w:val="none" w:sz="0" w:space="0" w:color="auto"/>
                <w:right w:val="none" w:sz="0" w:space="0" w:color="auto"/>
              </w:divBdr>
              <w:divsChild>
                <w:div w:id="418526852">
                  <w:marLeft w:val="0"/>
                  <w:marRight w:val="0"/>
                  <w:marTop w:val="0"/>
                  <w:marBottom w:val="0"/>
                  <w:divBdr>
                    <w:top w:val="none" w:sz="0" w:space="0" w:color="auto"/>
                    <w:left w:val="none" w:sz="0" w:space="0" w:color="auto"/>
                    <w:bottom w:val="none" w:sz="0" w:space="0" w:color="auto"/>
                    <w:right w:val="none" w:sz="0" w:space="0" w:color="auto"/>
                  </w:divBdr>
                  <w:divsChild>
                    <w:div w:id="634025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887174">
      <w:bodyDiv w:val="1"/>
      <w:marLeft w:val="0"/>
      <w:marRight w:val="0"/>
      <w:marTop w:val="0"/>
      <w:marBottom w:val="0"/>
      <w:divBdr>
        <w:top w:val="none" w:sz="0" w:space="0" w:color="auto"/>
        <w:left w:val="none" w:sz="0" w:space="0" w:color="auto"/>
        <w:bottom w:val="none" w:sz="0" w:space="0" w:color="auto"/>
        <w:right w:val="none" w:sz="0" w:space="0" w:color="auto"/>
      </w:divBdr>
      <w:divsChild>
        <w:div w:id="1165048750">
          <w:marLeft w:val="547"/>
          <w:marRight w:val="0"/>
          <w:marTop w:val="0"/>
          <w:marBottom w:val="0"/>
          <w:divBdr>
            <w:top w:val="none" w:sz="0" w:space="0" w:color="auto"/>
            <w:left w:val="none" w:sz="0" w:space="0" w:color="auto"/>
            <w:bottom w:val="none" w:sz="0" w:space="0" w:color="auto"/>
            <w:right w:val="none" w:sz="0" w:space="0" w:color="auto"/>
          </w:divBdr>
        </w:div>
      </w:divsChild>
    </w:div>
    <w:div w:id="580720183">
      <w:bodyDiv w:val="1"/>
      <w:marLeft w:val="0"/>
      <w:marRight w:val="0"/>
      <w:marTop w:val="0"/>
      <w:marBottom w:val="0"/>
      <w:divBdr>
        <w:top w:val="none" w:sz="0" w:space="0" w:color="auto"/>
        <w:left w:val="none" w:sz="0" w:space="0" w:color="auto"/>
        <w:bottom w:val="none" w:sz="0" w:space="0" w:color="auto"/>
        <w:right w:val="none" w:sz="0" w:space="0" w:color="auto"/>
      </w:divBdr>
    </w:div>
    <w:div w:id="585920184">
      <w:bodyDiv w:val="1"/>
      <w:marLeft w:val="0"/>
      <w:marRight w:val="0"/>
      <w:marTop w:val="0"/>
      <w:marBottom w:val="0"/>
      <w:divBdr>
        <w:top w:val="none" w:sz="0" w:space="0" w:color="auto"/>
        <w:left w:val="none" w:sz="0" w:space="0" w:color="auto"/>
        <w:bottom w:val="none" w:sz="0" w:space="0" w:color="auto"/>
        <w:right w:val="none" w:sz="0" w:space="0" w:color="auto"/>
      </w:divBdr>
    </w:div>
    <w:div w:id="593319107">
      <w:bodyDiv w:val="1"/>
      <w:marLeft w:val="0"/>
      <w:marRight w:val="0"/>
      <w:marTop w:val="0"/>
      <w:marBottom w:val="0"/>
      <w:divBdr>
        <w:top w:val="none" w:sz="0" w:space="0" w:color="auto"/>
        <w:left w:val="none" w:sz="0" w:space="0" w:color="auto"/>
        <w:bottom w:val="none" w:sz="0" w:space="0" w:color="auto"/>
        <w:right w:val="none" w:sz="0" w:space="0" w:color="auto"/>
      </w:divBdr>
      <w:divsChild>
        <w:div w:id="665862179">
          <w:marLeft w:val="0"/>
          <w:marRight w:val="0"/>
          <w:marTop w:val="0"/>
          <w:marBottom w:val="0"/>
          <w:divBdr>
            <w:top w:val="none" w:sz="0" w:space="0" w:color="auto"/>
            <w:left w:val="none" w:sz="0" w:space="0" w:color="auto"/>
            <w:bottom w:val="none" w:sz="0" w:space="0" w:color="auto"/>
            <w:right w:val="none" w:sz="0" w:space="0" w:color="auto"/>
          </w:divBdr>
          <w:divsChild>
            <w:div w:id="1602444425">
              <w:marLeft w:val="0"/>
              <w:marRight w:val="0"/>
              <w:marTop w:val="0"/>
              <w:marBottom w:val="0"/>
              <w:divBdr>
                <w:top w:val="none" w:sz="0" w:space="0" w:color="auto"/>
                <w:left w:val="none" w:sz="0" w:space="0" w:color="auto"/>
                <w:bottom w:val="none" w:sz="0" w:space="0" w:color="auto"/>
                <w:right w:val="none" w:sz="0" w:space="0" w:color="auto"/>
              </w:divBdr>
              <w:divsChild>
                <w:div w:id="93624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981522">
      <w:bodyDiv w:val="1"/>
      <w:marLeft w:val="0"/>
      <w:marRight w:val="0"/>
      <w:marTop w:val="0"/>
      <w:marBottom w:val="0"/>
      <w:divBdr>
        <w:top w:val="none" w:sz="0" w:space="0" w:color="auto"/>
        <w:left w:val="none" w:sz="0" w:space="0" w:color="auto"/>
        <w:bottom w:val="none" w:sz="0" w:space="0" w:color="auto"/>
        <w:right w:val="none" w:sz="0" w:space="0" w:color="auto"/>
      </w:divBdr>
    </w:div>
    <w:div w:id="598686692">
      <w:bodyDiv w:val="1"/>
      <w:marLeft w:val="0"/>
      <w:marRight w:val="0"/>
      <w:marTop w:val="0"/>
      <w:marBottom w:val="0"/>
      <w:divBdr>
        <w:top w:val="none" w:sz="0" w:space="0" w:color="auto"/>
        <w:left w:val="none" w:sz="0" w:space="0" w:color="auto"/>
        <w:bottom w:val="none" w:sz="0" w:space="0" w:color="auto"/>
        <w:right w:val="none" w:sz="0" w:space="0" w:color="auto"/>
      </w:divBdr>
    </w:div>
    <w:div w:id="600187315">
      <w:bodyDiv w:val="1"/>
      <w:marLeft w:val="0"/>
      <w:marRight w:val="0"/>
      <w:marTop w:val="0"/>
      <w:marBottom w:val="0"/>
      <w:divBdr>
        <w:top w:val="none" w:sz="0" w:space="0" w:color="auto"/>
        <w:left w:val="none" w:sz="0" w:space="0" w:color="auto"/>
        <w:bottom w:val="none" w:sz="0" w:space="0" w:color="auto"/>
        <w:right w:val="none" w:sz="0" w:space="0" w:color="auto"/>
      </w:divBdr>
    </w:div>
    <w:div w:id="600531348">
      <w:bodyDiv w:val="1"/>
      <w:marLeft w:val="0"/>
      <w:marRight w:val="0"/>
      <w:marTop w:val="0"/>
      <w:marBottom w:val="0"/>
      <w:divBdr>
        <w:top w:val="none" w:sz="0" w:space="0" w:color="auto"/>
        <w:left w:val="none" w:sz="0" w:space="0" w:color="auto"/>
        <w:bottom w:val="none" w:sz="0" w:space="0" w:color="auto"/>
        <w:right w:val="none" w:sz="0" w:space="0" w:color="auto"/>
      </w:divBdr>
      <w:divsChild>
        <w:div w:id="1897473725">
          <w:marLeft w:val="0"/>
          <w:marRight w:val="0"/>
          <w:marTop w:val="0"/>
          <w:marBottom w:val="0"/>
          <w:divBdr>
            <w:top w:val="none" w:sz="0" w:space="0" w:color="auto"/>
            <w:left w:val="none" w:sz="0" w:space="0" w:color="auto"/>
            <w:bottom w:val="none" w:sz="0" w:space="0" w:color="auto"/>
            <w:right w:val="none" w:sz="0" w:space="0" w:color="auto"/>
          </w:divBdr>
          <w:divsChild>
            <w:div w:id="1306007006">
              <w:marLeft w:val="0"/>
              <w:marRight w:val="0"/>
              <w:marTop w:val="0"/>
              <w:marBottom w:val="0"/>
              <w:divBdr>
                <w:top w:val="none" w:sz="0" w:space="0" w:color="auto"/>
                <w:left w:val="none" w:sz="0" w:space="0" w:color="auto"/>
                <w:bottom w:val="none" w:sz="0" w:space="0" w:color="auto"/>
                <w:right w:val="none" w:sz="0" w:space="0" w:color="auto"/>
              </w:divBdr>
              <w:divsChild>
                <w:div w:id="1056660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1499211">
      <w:bodyDiv w:val="1"/>
      <w:marLeft w:val="0"/>
      <w:marRight w:val="0"/>
      <w:marTop w:val="0"/>
      <w:marBottom w:val="0"/>
      <w:divBdr>
        <w:top w:val="none" w:sz="0" w:space="0" w:color="auto"/>
        <w:left w:val="none" w:sz="0" w:space="0" w:color="auto"/>
        <w:bottom w:val="none" w:sz="0" w:space="0" w:color="auto"/>
        <w:right w:val="none" w:sz="0" w:space="0" w:color="auto"/>
      </w:divBdr>
    </w:div>
    <w:div w:id="606154136">
      <w:bodyDiv w:val="1"/>
      <w:marLeft w:val="0"/>
      <w:marRight w:val="0"/>
      <w:marTop w:val="0"/>
      <w:marBottom w:val="0"/>
      <w:divBdr>
        <w:top w:val="none" w:sz="0" w:space="0" w:color="auto"/>
        <w:left w:val="none" w:sz="0" w:space="0" w:color="auto"/>
        <w:bottom w:val="none" w:sz="0" w:space="0" w:color="auto"/>
        <w:right w:val="none" w:sz="0" w:space="0" w:color="auto"/>
      </w:divBdr>
    </w:div>
    <w:div w:id="629481156">
      <w:bodyDiv w:val="1"/>
      <w:marLeft w:val="0"/>
      <w:marRight w:val="0"/>
      <w:marTop w:val="0"/>
      <w:marBottom w:val="0"/>
      <w:divBdr>
        <w:top w:val="none" w:sz="0" w:space="0" w:color="auto"/>
        <w:left w:val="none" w:sz="0" w:space="0" w:color="auto"/>
        <w:bottom w:val="none" w:sz="0" w:space="0" w:color="auto"/>
        <w:right w:val="none" w:sz="0" w:space="0" w:color="auto"/>
      </w:divBdr>
    </w:div>
    <w:div w:id="655648899">
      <w:bodyDiv w:val="1"/>
      <w:marLeft w:val="0"/>
      <w:marRight w:val="0"/>
      <w:marTop w:val="0"/>
      <w:marBottom w:val="0"/>
      <w:divBdr>
        <w:top w:val="none" w:sz="0" w:space="0" w:color="auto"/>
        <w:left w:val="none" w:sz="0" w:space="0" w:color="auto"/>
        <w:bottom w:val="none" w:sz="0" w:space="0" w:color="auto"/>
        <w:right w:val="none" w:sz="0" w:space="0" w:color="auto"/>
      </w:divBdr>
      <w:divsChild>
        <w:div w:id="1028481709">
          <w:marLeft w:val="0"/>
          <w:marRight w:val="0"/>
          <w:marTop w:val="0"/>
          <w:marBottom w:val="0"/>
          <w:divBdr>
            <w:top w:val="none" w:sz="0" w:space="0" w:color="auto"/>
            <w:left w:val="none" w:sz="0" w:space="0" w:color="auto"/>
            <w:bottom w:val="none" w:sz="0" w:space="0" w:color="auto"/>
            <w:right w:val="none" w:sz="0" w:space="0" w:color="auto"/>
          </w:divBdr>
          <w:divsChild>
            <w:div w:id="397945180">
              <w:marLeft w:val="0"/>
              <w:marRight w:val="0"/>
              <w:marTop w:val="0"/>
              <w:marBottom w:val="0"/>
              <w:divBdr>
                <w:top w:val="none" w:sz="0" w:space="0" w:color="auto"/>
                <w:left w:val="none" w:sz="0" w:space="0" w:color="auto"/>
                <w:bottom w:val="none" w:sz="0" w:space="0" w:color="auto"/>
                <w:right w:val="none" w:sz="0" w:space="0" w:color="auto"/>
              </w:divBdr>
              <w:divsChild>
                <w:div w:id="2037386028">
                  <w:marLeft w:val="0"/>
                  <w:marRight w:val="0"/>
                  <w:marTop w:val="0"/>
                  <w:marBottom w:val="0"/>
                  <w:divBdr>
                    <w:top w:val="none" w:sz="0" w:space="0" w:color="auto"/>
                    <w:left w:val="none" w:sz="0" w:space="0" w:color="auto"/>
                    <w:bottom w:val="none" w:sz="0" w:space="0" w:color="auto"/>
                    <w:right w:val="none" w:sz="0" w:space="0" w:color="auto"/>
                  </w:divBdr>
                  <w:divsChild>
                    <w:div w:id="66494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5692293">
      <w:bodyDiv w:val="1"/>
      <w:marLeft w:val="0"/>
      <w:marRight w:val="0"/>
      <w:marTop w:val="0"/>
      <w:marBottom w:val="0"/>
      <w:divBdr>
        <w:top w:val="none" w:sz="0" w:space="0" w:color="auto"/>
        <w:left w:val="none" w:sz="0" w:space="0" w:color="auto"/>
        <w:bottom w:val="none" w:sz="0" w:space="0" w:color="auto"/>
        <w:right w:val="none" w:sz="0" w:space="0" w:color="auto"/>
      </w:divBdr>
    </w:div>
    <w:div w:id="668292739">
      <w:bodyDiv w:val="1"/>
      <w:marLeft w:val="0"/>
      <w:marRight w:val="0"/>
      <w:marTop w:val="0"/>
      <w:marBottom w:val="0"/>
      <w:divBdr>
        <w:top w:val="none" w:sz="0" w:space="0" w:color="auto"/>
        <w:left w:val="none" w:sz="0" w:space="0" w:color="auto"/>
        <w:bottom w:val="none" w:sz="0" w:space="0" w:color="auto"/>
        <w:right w:val="none" w:sz="0" w:space="0" w:color="auto"/>
      </w:divBdr>
    </w:div>
    <w:div w:id="672419988">
      <w:bodyDiv w:val="1"/>
      <w:marLeft w:val="0"/>
      <w:marRight w:val="0"/>
      <w:marTop w:val="0"/>
      <w:marBottom w:val="0"/>
      <w:divBdr>
        <w:top w:val="none" w:sz="0" w:space="0" w:color="auto"/>
        <w:left w:val="none" w:sz="0" w:space="0" w:color="auto"/>
        <w:bottom w:val="none" w:sz="0" w:space="0" w:color="auto"/>
        <w:right w:val="none" w:sz="0" w:space="0" w:color="auto"/>
      </w:divBdr>
      <w:divsChild>
        <w:div w:id="433667251">
          <w:marLeft w:val="0"/>
          <w:marRight w:val="0"/>
          <w:marTop w:val="0"/>
          <w:marBottom w:val="0"/>
          <w:divBdr>
            <w:top w:val="none" w:sz="0" w:space="0" w:color="auto"/>
            <w:left w:val="none" w:sz="0" w:space="0" w:color="auto"/>
            <w:bottom w:val="none" w:sz="0" w:space="0" w:color="auto"/>
            <w:right w:val="none" w:sz="0" w:space="0" w:color="auto"/>
          </w:divBdr>
        </w:div>
        <w:div w:id="667057479">
          <w:marLeft w:val="0"/>
          <w:marRight w:val="0"/>
          <w:marTop w:val="0"/>
          <w:marBottom w:val="0"/>
          <w:divBdr>
            <w:top w:val="none" w:sz="0" w:space="0" w:color="auto"/>
            <w:left w:val="none" w:sz="0" w:space="0" w:color="auto"/>
            <w:bottom w:val="none" w:sz="0" w:space="0" w:color="auto"/>
            <w:right w:val="none" w:sz="0" w:space="0" w:color="auto"/>
          </w:divBdr>
        </w:div>
        <w:div w:id="721095760">
          <w:marLeft w:val="0"/>
          <w:marRight w:val="0"/>
          <w:marTop w:val="0"/>
          <w:marBottom w:val="0"/>
          <w:divBdr>
            <w:top w:val="none" w:sz="0" w:space="0" w:color="auto"/>
            <w:left w:val="none" w:sz="0" w:space="0" w:color="auto"/>
            <w:bottom w:val="none" w:sz="0" w:space="0" w:color="auto"/>
            <w:right w:val="none" w:sz="0" w:space="0" w:color="auto"/>
          </w:divBdr>
        </w:div>
        <w:div w:id="1203136073">
          <w:marLeft w:val="0"/>
          <w:marRight w:val="0"/>
          <w:marTop w:val="0"/>
          <w:marBottom w:val="0"/>
          <w:divBdr>
            <w:top w:val="none" w:sz="0" w:space="0" w:color="auto"/>
            <w:left w:val="none" w:sz="0" w:space="0" w:color="auto"/>
            <w:bottom w:val="none" w:sz="0" w:space="0" w:color="auto"/>
            <w:right w:val="none" w:sz="0" w:space="0" w:color="auto"/>
          </w:divBdr>
        </w:div>
        <w:div w:id="1224831892">
          <w:marLeft w:val="0"/>
          <w:marRight w:val="0"/>
          <w:marTop w:val="0"/>
          <w:marBottom w:val="0"/>
          <w:divBdr>
            <w:top w:val="none" w:sz="0" w:space="0" w:color="auto"/>
            <w:left w:val="none" w:sz="0" w:space="0" w:color="auto"/>
            <w:bottom w:val="none" w:sz="0" w:space="0" w:color="auto"/>
            <w:right w:val="none" w:sz="0" w:space="0" w:color="auto"/>
          </w:divBdr>
        </w:div>
        <w:div w:id="1424107251">
          <w:marLeft w:val="0"/>
          <w:marRight w:val="0"/>
          <w:marTop w:val="0"/>
          <w:marBottom w:val="0"/>
          <w:divBdr>
            <w:top w:val="none" w:sz="0" w:space="0" w:color="auto"/>
            <w:left w:val="none" w:sz="0" w:space="0" w:color="auto"/>
            <w:bottom w:val="none" w:sz="0" w:space="0" w:color="auto"/>
            <w:right w:val="none" w:sz="0" w:space="0" w:color="auto"/>
          </w:divBdr>
        </w:div>
        <w:div w:id="1731416672">
          <w:marLeft w:val="0"/>
          <w:marRight w:val="0"/>
          <w:marTop w:val="0"/>
          <w:marBottom w:val="0"/>
          <w:divBdr>
            <w:top w:val="none" w:sz="0" w:space="0" w:color="auto"/>
            <w:left w:val="none" w:sz="0" w:space="0" w:color="auto"/>
            <w:bottom w:val="none" w:sz="0" w:space="0" w:color="auto"/>
            <w:right w:val="none" w:sz="0" w:space="0" w:color="auto"/>
          </w:divBdr>
        </w:div>
      </w:divsChild>
    </w:div>
    <w:div w:id="673918554">
      <w:bodyDiv w:val="1"/>
      <w:marLeft w:val="0"/>
      <w:marRight w:val="0"/>
      <w:marTop w:val="0"/>
      <w:marBottom w:val="0"/>
      <w:divBdr>
        <w:top w:val="none" w:sz="0" w:space="0" w:color="auto"/>
        <w:left w:val="none" w:sz="0" w:space="0" w:color="auto"/>
        <w:bottom w:val="none" w:sz="0" w:space="0" w:color="auto"/>
        <w:right w:val="none" w:sz="0" w:space="0" w:color="auto"/>
      </w:divBdr>
    </w:div>
    <w:div w:id="688680982">
      <w:bodyDiv w:val="1"/>
      <w:marLeft w:val="0"/>
      <w:marRight w:val="0"/>
      <w:marTop w:val="0"/>
      <w:marBottom w:val="0"/>
      <w:divBdr>
        <w:top w:val="none" w:sz="0" w:space="0" w:color="auto"/>
        <w:left w:val="none" w:sz="0" w:space="0" w:color="auto"/>
        <w:bottom w:val="none" w:sz="0" w:space="0" w:color="auto"/>
        <w:right w:val="none" w:sz="0" w:space="0" w:color="auto"/>
      </w:divBdr>
    </w:div>
    <w:div w:id="696390068">
      <w:bodyDiv w:val="1"/>
      <w:marLeft w:val="0"/>
      <w:marRight w:val="0"/>
      <w:marTop w:val="0"/>
      <w:marBottom w:val="0"/>
      <w:divBdr>
        <w:top w:val="none" w:sz="0" w:space="0" w:color="auto"/>
        <w:left w:val="none" w:sz="0" w:space="0" w:color="auto"/>
        <w:bottom w:val="none" w:sz="0" w:space="0" w:color="auto"/>
        <w:right w:val="none" w:sz="0" w:space="0" w:color="auto"/>
      </w:divBdr>
      <w:divsChild>
        <w:div w:id="545145416">
          <w:marLeft w:val="0"/>
          <w:marRight w:val="0"/>
          <w:marTop w:val="0"/>
          <w:marBottom w:val="0"/>
          <w:divBdr>
            <w:top w:val="none" w:sz="0" w:space="0" w:color="auto"/>
            <w:left w:val="none" w:sz="0" w:space="0" w:color="auto"/>
            <w:bottom w:val="none" w:sz="0" w:space="0" w:color="auto"/>
            <w:right w:val="none" w:sz="0" w:space="0" w:color="auto"/>
          </w:divBdr>
        </w:div>
        <w:div w:id="794980071">
          <w:marLeft w:val="0"/>
          <w:marRight w:val="0"/>
          <w:marTop w:val="0"/>
          <w:marBottom w:val="0"/>
          <w:divBdr>
            <w:top w:val="none" w:sz="0" w:space="0" w:color="auto"/>
            <w:left w:val="none" w:sz="0" w:space="0" w:color="auto"/>
            <w:bottom w:val="none" w:sz="0" w:space="0" w:color="auto"/>
            <w:right w:val="none" w:sz="0" w:space="0" w:color="auto"/>
          </w:divBdr>
        </w:div>
        <w:div w:id="1106391356">
          <w:marLeft w:val="0"/>
          <w:marRight w:val="0"/>
          <w:marTop w:val="0"/>
          <w:marBottom w:val="0"/>
          <w:divBdr>
            <w:top w:val="none" w:sz="0" w:space="0" w:color="auto"/>
            <w:left w:val="none" w:sz="0" w:space="0" w:color="auto"/>
            <w:bottom w:val="none" w:sz="0" w:space="0" w:color="auto"/>
            <w:right w:val="none" w:sz="0" w:space="0" w:color="auto"/>
          </w:divBdr>
        </w:div>
        <w:div w:id="1760981818">
          <w:marLeft w:val="0"/>
          <w:marRight w:val="0"/>
          <w:marTop w:val="0"/>
          <w:marBottom w:val="0"/>
          <w:divBdr>
            <w:top w:val="none" w:sz="0" w:space="0" w:color="auto"/>
            <w:left w:val="none" w:sz="0" w:space="0" w:color="auto"/>
            <w:bottom w:val="none" w:sz="0" w:space="0" w:color="auto"/>
            <w:right w:val="none" w:sz="0" w:space="0" w:color="auto"/>
          </w:divBdr>
        </w:div>
        <w:div w:id="1799756052">
          <w:marLeft w:val="0"/>
          <w:marRight w:val="0"/>
          <w:marTop w:val="0"/>
          <w:marBottom w:val="0"/>
          <w:divBdr>
            <w:top w:val="none" w:sz="0" w:space="0" w:color="auto"/>
            <w:left w:val="none" w:sz="0" w:space="0" w:color="auto"/>
            <w:bottom w:val="none" w:sz="0" w:space="0" w:color="auto"/>
            <w:right w:val="none" w:sz="0" w:space="0" w:color="auto"/>
          </w:divBdr>
        </w:div>
      </w:divsChild>
    </w:div>
    <w:div w:id="703141269">
      <w:bodyDiv w:val="1"/>
      <w:marLeft w:val="0"/>
      <w:marRight w:val="0"/>
      <w:marTop w:val="0"/>
      <w:marBottom w:val="0"/>
      <w:divBdr>
        <w:top w:val="none" w:sz="0" w:space="0" w:color="auto"/>
        <w:left w:val="none" w:sz="0" w:space="0" w:color="auto"/>
        <w:bottom w:val="none" w:sz="0" w:space="0" w:color="auto"/>
        <w:right w:val="none" w:sz="0" w:space="0" w:color="auto"/>
      </w:divBdr>
    </w:div>
    <w:div w:id="705563408">
      <w:bodyDiv w:val="1"/>
      <w:marLeft w:val="0"/>
      <w:marRight w:val="0"/>
      <w:marTop w:val="0"/>
      <w:marBottom w:val="0"/>
      <w:divBdr>
        <w:top w:val="none" w:sz="0" w:space="0" w:color="auto"/>
        <w:left w:val="none" w:sz="0" w:space="0" w:color="auto"/>
        <w:bottom w:val="none" w:sz="0" w:space="0" w:color="auto"/>
        <w:right w:val="none" w:sz="0" w:space="0" w:color="auto"/>
      </w:divBdr>
      <w:divsChild>
        <w:div w:id="614756915">
          <w:marLeft w:val="0"/>
          <w:marRight w:val="0"/>
          <w:marTop w:val="0"/>
          <w:marBottom w:val="0"/>
          <w:divBdr>
            <w:top w:val="none" w:sz="0" w:space="0" w:color="auto"/>
            <w:left w:val="none" w:sz="0" w:space="0" w:color="auto"/>
            <w:bottom w:val="none" w:sz="0" w:space="0" w:color="auto"/>
            <w:right w:val="none" w:sz="0" w:space="0" w:color="auto"/>
          </w:divBdr>
          <w:divsChild>
            <w:div w:id="255748321">
              <w:marLeft w:val="0"/>
              <w:marRight w:val="0"/>
              <w:marTop w:val="0"/>
              <w:marBottom w:val="0"/>
              <w:divBdr>
                <w:top w:val="none" w:sz="0" w:space="0" w:color="auto"/>
                <w:left w:val="none" w:sz="0" w:space="0" w:color="auto"/>
                <w:bottom w:val="none" w:sz="0" w:space="0" w:color="auto"/>
                <w:right w:val="none" w:sz="0" w:space="0" w:color="auto"/>
              </w:divBdr>
              <w:divsChild>
                <w:div w:id="124276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6640976">
      <w:bodyDiv w:val="1"/>
      <w:marLeft w:val="0"/>
      <w:marRight w:val="0"/>
      <w:marTop w:val="0"/>
      <w:marBottom w:val="0"/>
      <w:divBdr>
        <w:top w:val="none" w:sz="0" w:space="0" w:color="auto"/>
        <w:left w:val="none" w:sz="0" w:space="0" w:color="auto"/>
        <w:bottom w:val="none" w:sz="0" w:space="0" w:color="auto"/>
        <w:right w:val="none" w:sz="0" w:space="0" w:color="auto"/>
      </w:divBdr>
    </w:div>
    <w:div w:id="725222780">
      <w:bodyDiv w:val="1"/>
      <w:marLeft w:val="0"/>
      <w:marRight w:val="0"/>
      <w:marTop w:val="0"/>
      <w:marBottom w:val="0"/>
      <w:divBdr>
        <w:top w:val="none" w:sz="0" w:space="0" w:color="auto"/>
        <w:left w:val="none" w:sz="0" w:space="0" w:color="auto"/>
        <w:bottom w:val="none" w:sz="0" w:space="0" w:color="auto"/>
        <w:right w:val="none" w:sz="0" w:space="0" w:color="auto"/>
      </w:divBdr>
    </w:div>
    <w:div w:id="729184673">
      <w:bodyDiv w:val="1"/>
      <w:marLeft w:val="0"/>
      <w:marRight w:val="0"/>
      <w:marTop w:val="0"/>
      <w:marBottom w:val="0"/>
      <w:divBdr>
        <w:top w:val="none" w:sz="0" w:space="0" w:color="auto"/>
        <w:left w:val="none" w:sz="0" w:space="0" w:color="auto"/>
        <w:bottom w:val="none" w:sz="0" w:space="0" w:color="auto"/>
        <w:right w:val="none" w:sz="0" w:space="0" w:color="auto"/>
      </w:divBdr>
    </w:div>
    <w:div w:id="731662464">
      <w:bodyDiv w:val="1"/>
      <w:marLeft w:val="0"/>
      <w:marRight w:val="0"/>
      <w:marTop w:val="0"/>
      <w:marBottom w:val="0"/>
      <w:divBdr>
        <w:top w:val="none" w:sz="0" w:space="0" w:color="auto"/>
        <w:left w:val="none" w:sz="0" w:space="0" w:color="auto"/>
        <w:bottom w:val="none" w:sz="0" w:space="0" w:color="auto"/>
        <w:right w:val="none" w:sz="0" w:space="0" w:color="auto"/>
      </w:divBdr>
    </w:div>
    <w:div w:id="735006693">
      <w:bodyDiv w:val="1"/>
      <w:marLeft w:val="0"/>
      <w:marRight w:val="0"/>
      <w:marTop w:val="0"/>
      <w:marBottom w:val="0"/>
      <w:divBdr>
        <w:top w:val="none" w:sz="0" w:space="0" w:color="auto"/>
        <w:left w:val="none" w:sz="0" w:space="0" w:color="auto"/>
        <w:bottom w:val="none" w:sz="0" w:space="0" w:color="auto"/>
        <w:right w:val="none" w:sz="0" w:space="0" w:color="auto"/>
      </w:divBdr>
      <w:divsChild>
        <w:div w:id="223489785">
          <w:marLeft w:val="547"/>
          <w:marRight w:val="0"/>
          <w:marTop w:val="0"/>
          <w:marBottom w:val="0"/>
          <w:divBdr>
            <w:top w:val="none" w:sz="0" w:space="0" w:color="auto"/>
            <w:left w:val="none" w:sz="0" w:space="0" w:color="auto"/>
            <w:bottom w:val="none" w:sz="0" w:space="0" w:color="auto"/>
            <w:right w:val="none" w:sz="0" w:space="0" w:color="auto"/>
          </w:divBdr>
        </w:div>
      </w:divsChild>
    </w:div>
    <w:div w:id="745036656">
      <w:bodyDiv w:val="1"/>
      <w:marLeft w:val="0"/>
      <w:marRight w:val="0"/>
      <w:marTop w:val="0"/>
      <w:marBottom w:val="0"/>
      <w:divBdr>
        <w:top w:val="none" w:sz="0" w:space="0" w:color="auto"/>
        <w:left w:val="none" w:sz="0" w:space="0" w:color="auto"/>
        <w:bottom w:val="none" w:sz="0" w:space="0" w:color="auto"/>
        <w:right w:val="none" w:sz="0" w:space="0" w:color="auto"/>
      </w:divBdr>
    </w:div>
    <w:div w:id="745882581">
      <w:bodyDiv w:val="1"/>
      <w:marLeft w:val="0"/>
      <w:marRight w:val="0"/>
      <w:marTop w:val="0"/>
      <w:marBottom w:val="0"/>
      <w:divBdr>
        <w:top w:val="none" w:sz="0" w:space="0" w:color="auto"/>
        <w:left w:val="none" w:sz="0" w:space="0" w:color="auto"/>
        <w:bottom w:val="none" w:sz="0" w:space="0" w:color="auto"/>
        <w:right w:val="none" w:sz="0" w:space="0" w:color="auto"/>
      </w:divBdr>
      <w:divsChild>
        <w:div w:id="77599870">
          <w:marLeft w:val="0"/>
          <w:marRight w:val="0"/>
          <w:marTop w:val="0"/>
          <w:marBottom w:val="0"/>
          <w:divBdr>
            <w:top w:val="none" w:sz="0" w:space="0" w:color="auto"/>
            <w:left w:val="none" w:sz="0" w:space="0" w:color="auto"/>
            <w:bottom w:val="none" w:sz="0" w:space="0" w:color="auto"/>
            <w:right w:val="none" w:sz="0" w:space="0" w:color="auto"/>
          </w:divBdr>
          <w:divsChild>
            <w:div w:id="2008508487">
              <w:marLeft w:val="0"/>
              <w:marRight w:val="0"/>
              <w:marTop w:val="0"/>
              <w:marBottom w:val="0"/>
              <w:divBdr>
                <w:top w:val="none" w:sz="0" w:space="0" w:color="auto"/>
                <w:left w:val="none" w:sz="0" w:space="0" w:color="auto"/>
                <w:bottom w:val="none" w:sz="0" w:space="0" w:color="auto"/>
                <w:right w:val="none" w:sz="0" w:space="0" w:color="auto"/>
              </w:divBdr>
              <w:divsChild>
                <w:div w:id="141912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150571">
          <w:marLeft w:val="0"/>
          <w:marRight w:val="0"/>
          <w:marTop w:val="0"/>
          <w:marBottom w:val="0"/>
          <w:divBdr>
            <w:top w:val="none" w:sz="0" w:space="0" w:color="auto"/>
            <w:left w:val="none" w:sz="0" w:space="0" w:color="auto"/>
            <w:bottom w:val="none" w:sz="0" w:space="0" w:color="auto"/>
            <w:right w:val="none" w:sz="0" w:space="0" w:color="auto"/>
          </w:divBdr>
          <w:divsChild>
            <w:div w:id="408162365">
              <w:marLeft w:val="0"/>
              <w:marRight w:val="0"/>
              <w:marTop w:val="0"/>
              <w:marBottom w:val="0"/>
              <w:divBdr>
                <w:top w:val="none" w:sz="0" w:space="0" w:color="auto"/>
                <w:left w:val="none" w:sz="0" w:space="0" w:color="auto"/>
                <w:bottom w:val="none" w:sz="0" w:space="0" w:color="auto"/>
                <w:right w:val="none" w:sz="0" w:space="0" w:color="auto"/>
              </w:divBdr>
              <w:divsChild>
                <w:div w:id="312805764">
                  <w:marLeft w:val="0"/>
                  <w:marRight w:val="0"/>
                  <w:marTop w:val="0"/>
                  <w:marBottom w:val="0"/>
                  <w:divBdr>
                    <w:top w:val="none" w:sz="0" w:space="0" w:color="auto"/>
                    <w:left w:val="none" w:sz="0" w:space="0" w:color="auto"/>
                    <w:bottom w:val="none" w:sz="0" w:space="0" w:color="auto"/>
                    <w:right w:val="none" w:sz="0" w:space="0" w:color="auto"/>
                  </w:divBdr>
                </w:div>
              </w:divsChild>
            </w:div>
            <w:div w:id="1102647681">
              <w:marLeft w:val="0"/>
              <w:marRight w:val="0"/>
              <w:marTop w:val="0"/>
              <w:marBottom w:val="0"/>
              <w:divBdr>
                <w:top w:val="none" w:sz="0" w:space="0" w:color="auto"/>
                <w:left w:val="none" w:sz="0" w:space="0" w:color="auto"/>
                <w:bottom w:val="none" w:sz="0" w:space="0" w:color="auto"/>
                <w:right w:val="none" w:sz="0" w:space="0" w:color="auto"/>
              </w:divBdr>
              <w:divsChild>
                <w:div w:id="2063015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230841">
      <w:bodyDiv w:val="1"/>
      <w:marLeft w:val="0"/>
      <w:marRight w:val="0"/>
      <w:marTop w:val="0"/>
      <w:marBottom w:val="0"/>
      <w:divBdr>
        <w:top w:val="none" w:sz="0" w:space="0" w:color="auto"/>
        <w:left w:val="none" w:sz="0" w:space="0" w:color="auto"/>
        <w:bottom w:val="none" w:sz="0" w:space="0" w:color="auto"/>
        <w:right w:val="none" w:sz="0" w:space="0" w:color="auto"/>
      </w:divBdr>
    </w:div>
    <w:div w:id="751243496">
      <w:bodyDiv w:val="1"/>
      <w:marLeft w:val="0"/>
      <w:marRight w:val="0"/>
      <w:marTop w:val="0"/>
      <w:marBottom w:val="0"/>
      <w:divBdr>
        <w:top w:val="none" w:sz="0" w:space="0" w:color="auto"/>
        <w:left w:val="none" w:sz="0" w:space="0" w:color="auto"/>
        <w:bottom w:val="none" w:sz="0" w:space="0" w:color="auto"/>
        <w:right w:val="none" w:sz="0" w:space="0" w:color="auto"/>
      </w:divBdr>
    </w:div>
    <w:div w:id="759983317">
      <w:bodyDiv w:val="1"/>
      <w:marLeft w:val="0"/>
      <w:marRight w:val="0"/>
      <w:marTop w:val="0"/>
      <w:marBottom w:val="0"/>
      <w:divBdr>
        <w:top w:val="none" w:sz="0" w:space="0" w:color="auto"/>
        <w:left w:val="none" w:sz="0" w:space="0" w:color="auto"/>
        <w:bottom w:val="none" w:sz="0" w:space="0" w:color="auto"/>
        <w:right w:val="none" w:sz="0" w:space="0" w:color="auto"/>
      </w:divBdr>
      <w:divsChild>
        <w:div w:id="349258744">
          <w:marLeft w:val="0"/>
          <w:marRight w:val="0"/>
          <w:marTop w:val="0"/>
          <w:marBottom w:val="0"/>
          <w:divBdr>
            <w:top w:val="none" w:sz="0" w:space="0" w:color="auto"/>
            <w:left w:val="none" w:sz="0" w:space="0" w:color="auto"/>
            <w:bottom w:val="none" w:sz="0" w:space="0" w:color="auto"/>
            <w:right w:val="none" w:sz="0" w:space="0" w:color="auto"/>
          </w:divBdr>
          <w:divsChild>
            <w:div w:id="1282498657">
              <w:marLeft w:val="0"/>
              <w:marRight w:val="0"/>
              <w:marTop w:val="0"/>
              <w:marBottom w:val="0"/>
              <w:divBdr>
                <w:top w:val="none" w:sz="0" w:space="0" w:color="auto"/>
                <w:left w:val="none" w:sz="0" w:space="0" w:color="auto"/>
                <w:bottom w:val="none" w:sz="0" w:space="0" w:color="auto"/>
                <w:right w:val="none" w:sz="0" w:space="0" w:color="auto"/>
              </w:divBdr>
              <w:divsChild>
                <w:div w:id="1418016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1874452">
      <w:bodyDiv w:val="1"/>
      <w:marLeft w:val="0"/>
      <w:marRight w:val="0"/>
      <w:marTop w:val="0"/>
      <w:marBottom w:val="0"/>
      <w:divBdr>
        <w:top w:val="none" w:sz="0" w:space="0" w:color="auto"/>
        <w:left w:val="none" w:sz="0" w:space="0" w:color="auto"/>
        <w:bottom w:val="none" w:sz="0" w:space="0" w:color="auto"/>
        <w:right w:val="none" w:sz="0" w:space="0" w:color="auto"/>
      </w:divBdr>
    </w:div>
    <w:div w:id="796338139">
      <w:bodyDiv w:val="1"/>
      <w:marLeft w:val="0"/>
      <w:marRight w:val="0"/>
      <w:marTop w:val="0"/>
      <w:marBottom w:val="0"/>
      <w:divBdr>
        <w:top w:val="none" w:sz="0" w:space="0" w:color="auto"/>
        <w:left w:val="none" w:sz="0" w:space="0" w:color="auto"/>
        <w:bottom w:val="none" w:sz="0" w:space="0" w:color="auto"/>
        <w:right w:val="none" w:sz="0" w:space="0" w:color="auto"/>
      </w:divBdr>
    </w:div>
    <w:div w:id="803229767">
      <w:bodyDiv w:val="1"/>
      <w:marLeft w:val="0"/>
      <w:marRight w:val="0"/>
      <w:marTop w:val="0"/>
      <w:marBottom w:val="0"/>
      <w:divBdr>
        <w:top w:val="none" w:sz="0" w:space="0" w:color="auto"/>
        <w:left w:val="none" w:sz="0" w:space="0" w:color="auto"/>
        <w:bottom w:val="none" w:sz="0" w:space="0" w:color="auto"/>
        <w:right w:val="none" w:sz="0" w:space="0" w:color="auto"/>
      </w:divBdr>
    </w:div>
    <w:div w:id="812988994">
      <w:bodyDiv w:val="1"/>
      <w:marLeft w:val="0"/>
      <w:marRight w:val="0"/>
      <w:marTop w:val="0"/>
      <w:marBottom w:val="0"/>
      <w:divBdr>
        <w:top w:val="none" w:sz="0" w:space="0" w:color="auto"/>
        <w:left w:val="none" w:sz="0" w:space="0" w:color="auto"/>
        <w:bottom w:val="none" w:sz="0" w:space="0" w:color="auto"/>
        <w:right w:val="none" w:sz="0" w:space="0" w:color="auto"/>
      </w:divBdr>
    </w:div>
    <w:div w:id="825828682">
      <w:bodyDiv w:val="1"/>
      <w:marLeft w:val="0"/>
      <w:marRight w:val="0"/>
      <w:marTop w:val="0"/>
      <w:marBottom w:val="0"/>
      <w:divBdr>
        <w:top w:val="none" w:sz="0" w:space="0" w:color="auto"/>
        <w:left w:val="none" w:sz="0" w:space="0" w:color="auto"/>
        <w:bottom w:val="none" w:sz="0" w:space="0" w:color="auto"/>
        <w:right w:val="none" w:sz="0" w:space="0" w:color="auto"/>
      </w:divBdr>
    </w:div>
    <w:div w:id="842863314">
      <w:bodyDiv w:val="1"/>
      <w:marLeft w:val="0"/>
      <w:marRight w:val="0"/>
      <w:marTop w:val="0"/>
      <w:marBottom w:val="0"/>
      <w:divBdr>
        <w:top w:val="none" w:sz="0" w:space="0" w:color="auto"/>
        <w:left w:val="none" w:sz="0" w:space="0" w:color="auto"/>
        <w:bottom w:val="none" w:sz="0" w:space="0" w:color="auto"/>
        <w:right w:val="none" w:sz="0" w:space="0" w:color="auto"/>
      </w:divBdr>
    </w:div>
    <w:div w:id="872426081">
      <w:bodyDiv w:val="1"/>
      <w:marLeft w:val="0"/>
      <w:marRight w:val="0"/>
      <w:marTop w:val="0"/>
      <w:marBottom w:val="0"/>
      <w:divBdr>
        <w:top w:val="none" w:sz="0" w:space="0" w:color="auto"/>
        <w:left w:val="none" w:sz="0" w:space="0" w:color="auto"/>
        <w:bottom w:val="none" w:sz="0" w:space="0" w:color="auto"/>
        <w:right w:val="none" w:sz="0" w:space="0" w:color="auto"/>
      </w:divBdr>
    </w:div>
    <w:div w:id="887453727">
      <w:bodyDiv w:val="1"/>
      <w:marLeft w:val="0"/>
      <w:marRight w:val="0"/>
      <w:marTop w:val="0"/>
      <w:marBottom w:val="0"/>
      <w:divBdr>
        <w:top w:val="none" w:sz="0" w:space="0" w:color="auto"/>
        <w:left w:val="none" w:sz="0" w:space="0" w:color="auto"/>
        <w:bottom w:val="none" w:sz="0" w:space="0" w:color="auto"/>
        <w:right w:val="none" w:sz="0" w:space="0" w:color="auto"/>
      </w:divBdr>
      <w:divsChild>
        <w:div w:id="499740027">
          <w:marLeft w:val="0"/>
          <w:marRight w:val="0"/>
          <w:marTop w:val="0"/>
          <w:marBottom w:val="0"/>
          <w:divBdr>
            <w:top w:val="none" w:sz="0" w:space="0" w:color="auto"/>
            <w:left w:val="none" w:sz="0" w:space="0" w:color="auto"/>
            <w:bottom w:val="none" w:sz="0" w:space="0" w:color="auto"/>
            <w:right w:val="none" w:sz="0" w:space="0" w:color="auto"/>
          </w:divBdr>
          <w:divsChild>
            <w:div w:id="1729300451">
              <w:marLeft w:val="0"/>
              <w:marRight w:val="0"/>
              <w:marTop w:val="0"/>
              <w:marBottom w:val="0"/>
              <w:divBdr>
                <w:top w:val="none" w:sz="0" w:space="0" w:color="auto"/>
                <w:left w:val="none" w:sz="0" w:space="0" w:color="auto"/>
                <w:bottom w:val="none" w:sz="0" w:space="0" w:color="auto"/>
                <w:right w:val="none" w:sz="0" w:space="0" w:color="auto"/>
              </w:divBdr>
              <w:divsChild>
                <w:div w:id="7753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6982">
      <w:bodyDiv w:val="1"/>
      <w:marLeft w:val="0"/>
      <w:marRight w:val="0"/>
      <w:marTop w:val="0"/>
      <w:marBottom w:val="0"/>
      <w:divBdr>
        <w:top w:val="none" w:sz="0" w:space="0" w:color="auto"/>
        <w:left w:val="none" w:sz="0" w:space="0" w:color="auto"/>
        <w:bottom w:val="none" w:sz="0" w:space="0" w:color="auto"/>
        <w:right w:val="none" w:sz="0" w:space="0" w:color="auto"/>
      </w:divBdr>
      <w:divsChild>
        <w:div w:id="1722631394">
          <w:marLeft w:val="0"/>
          <w:marRight w:val="0"/>
          <w:marTop w:val="0"/>
          <w:marBottom w:val="0"/>
          <w:divBdr>
            <w:top w:val="none" w:sz="0" w:space="0" w:color="auto"/>
            <w:left w:val="none" w:sz="0" w:space="0" w:color="auto"/>
            <w:bottom w:val="none" w:sz="0" w:space="0" w:color="auto"/>
            <w:right w:val="none" w:sz="0" w:space="0" w:color="auto"/>
          </w:divBdr>
          <w:divsChild>
            <w:div w:id="2010256808">
              <w:marLeft w:val="0"/>
              <w:marRight w:val="0"/>
              <w:marTop w:val="0"/>
              <w:marBottom w:val="0"/>
              <w:divBdr>
                <w:top w:val="none" w:sz="0" w:space="0" w:color="auto"/>
                <w:left w:val="none" w:sz="0" w:space="0" w:color="auto"/>
                <w:bottom w:val="none" w:sz="0" w:space="0" w:color="auto"/>
                <w:right w:val="none" w:sz="0" w:space="0" w:color="auto"/>
              </w:divBdr>
              <w:divsChild>
                <w:div w:id="877350490">
                  <w:marLeft w:val="0"/>
                  <w:marRight w:val="0"/>
                  <w:marTop w:val="0"/>
                  <w:marBottom w:val="0"/>
                  <w:divBdr>
                    <w:top w:val="none" w:sz="0" w:space="0" w:color="auto"/>
                    <w:left w:val="none" w:sz="0" w:space="0" w:color="auto"/>
                    <w:bottom w:val="none" w:sz="0" w:space="0" w:color="auto"/>
                    <w:right w:val="none" w:sz="0" w:space="0" w:color="auto"/>
                  </w:divBdr>
                  <w:divsChild>
                    <w:div w:id="116872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6213089">
      <w:bodyDiv w:val="1"/>
      <w:marLeft w:val="0"/>
      <w:marRight w:val="0"/>
      <w:marTop w:val="0"/>
      <w:marBottom w:val="0"/>
      <w:divBdr>
        <w:top w:val="none" w:sz="0" w:space="0" w:color="auto"/>
        <w:left w:val="none" w:sz="0" w:space="0" w:color="auto"/>
        <w:bottom w:val="none" w:sz="0" w:space="0" w:color="auto"/>
        <w:right w:val="none" w:sz="0" w:space="0" w:color="auto"/>
      </w:divBdr>
    </w:div>
    <w:div w:id="918322714">
      <w:bodyDiv w:val="1"/>
      <w:marLeft w:val="0"/>
      <w:marRight w:val="0"/>
      <w:marTop w:val="0"/>
      <w:marBottom w:val="0"/>
      <w:divBdr>
        <w:top w:val="none" w:sz="0" w:space="0" w:color="auto"/>
        <w:left w:val="none" w:sz="0" w:space="0" w:color="auto"/>
        <w:bottom w:val="none" w:sz="0" w:space="0" w:color="auto"/>
        <w:right w:val="none" w:sz="0" w:space="0" w:color="auto"/>
      </w:divBdr>
    </w:div>
    <w:div w:id="921060633">
      <w:bodyDiv w:val="1"/>
      <w:marLeft w:val="0"/>
      <w:marRight w:val="0"/>
      <w:marTop w:val="0"/>
      <w:marBottom w:val="0"/>
      <w:divBdr>
        <w:top w:val="none" w:sz="0" w:space="0" w:color="auto"/>
        <w:left w:val="none" w:sz="0" w:space="0" w:color="auto"/>
        <w:bottom w:val="none" w:sz="0" w:space="0" w:color="auto"/>
        <w:right w:val="none" w:sz="0" w:space="0" w:color="auto"/>
      </w:divBdr>
    </w:div>
    <w:div w:id="930312680">
      <w:bodyDiv w:val="1"/>
      <w:marLeft w:val="0"/>
      <w:marRight w:val="0"/>
      <w:marTop w:val="0"/>
      <w:marBottom w:val="0"/>
      <w:divBdr>
        <w:top w:val="none" w:sz="0" w:space="0" w:color="auto"/>
        <w:left w:val="none" w:sz="0" w:space="0" w:color="auto"/>
        <w:bottom w:val="none" w:sz="0" w:space="0" w:color="auto"/>
        <w:right w:val="none" w:sz="0" w:space="0" w:color="auto"/>
      </w:divBdr>
    </w:div>
    <w:div w:id="932858222">
      <w:bodyDiv w:val="1"/>
      <w:marLeft w:val="0"/>
      <w:marRight w:val="0"/>
      <w:marTop w:val="0"/>
      <w:marBottom w:val="0"/>
      <w:divBdr>
        <w:top w:val="none" w:sz="0" w:space="0" w:color="auto"/>
        <w:left w:val="none" w:sz="0" w:space="0" w:color="auto"/>
        <w:bottom w:val="none" w:sz="0" w:space="0" w:color="auto"/>
        <w:right w:val="none" w:sz="0" w:space="0" w:color="auto"/>
      </w:divBdr>
    </w:div>
    <w:div w:id="937105097">
      <w:bodyDiv w:val="1"/>
      <w:marLeft w:val="0"/>
      <w:marRight w:val="0"/>
      <w:marTop w:val="0"/>
      <w:marBottom w:val="0"/>
      <w:divBdr>
        <w:top w:val="none" w:sz="0" w:space="0" w:color="auto"/>
        <w:left w:val="none" w:sz="0" w:space="0" w:color="auto"/>
        <w:bottom w:val="none" w:sz="0" w:space="0" w:color="auto"/>
        <w:right w:val="none" w:sz="0" w:space="0" w:color="auto"/>
      </w:divBdr>
    </w:div>
    <w:div w:id="939602192">
      <w:bodyDiv w:val="1"/>
      <w:marLeft w:val="0"/>
      <w:marRight w:val="0"/>
      <w:marTop w:val="0"/>
      <w:marBottom w:val="0"/>
      <w:divBdr>
        <w:top w:val="none" w:sz="0" w:space="0" w:color="auto"/>
        <w:left w:val="none" w:sz="0" w:space="0" w:color="auto"/>
        <w:bottom w:val="none" w:sz="0" w:space="0" w:color="auto"/>
        <w:right w:val="none" w:sz="0" w:space="0" w:color="auto"/>
      </w:divBdr>
    </w:div>
    <w:div w:id="956181365">
      <w:bodyDiv w:val="1"/>
      <w:marLeft w:val="0"/>
      <w:marRight w:val="0"/>
      <w:marTop w:val="0"/>
      <w:marBottom w:val="0"/>
      <w:divBdr>
        <w:top w:val="none" w:sz="0" w:space="0" w:color="auto"/>
        <w:left w:val="none" w:sz="0" w:space="0" w:color="auto"/>
        <w:bottom w:val="none" w:sz="0" w:space="0" w:color="auto"/>
        <w:right w:val="none" w:sz="0" w:space="0" w:color="auto"/>
      </w:divBdr>
    </w:div>
    <w:div w:id="963659634">
      <w:bodyDiv w:val="1"/>
      <w:marLeft w:val="0"/>
      <w:marRight w:val="0"/>
      <w:marTop w:val="0"/>
      <w:marBottom w:val="0"/>
      <w:divBdr>
        <w:top w:val="none" w:sz="0" w:space="0" w:color="auto"/>
        <w:left w:val="none" w:sz="0" w:space="0" w:color="auto"/>
        <w:bottom w:val="none" w:sz="0" w:space="0" w:color="auto"/>
        <w:right w:val="none" w:sz="0" w:space="0" w:color="auto"/>
      </w:divBdr>
    </w:div>
    <w:div w:id="978266496">
      <w:bodyDiv w:val="1"/>
      <w:marLeft w:val="0"/>
      <w:marRight w:val="0"/>
      <w:marTop w:val="0"/>
      <w:marBottom w:val="0"/>
      <w:divBdr>
        <w:top w:val="none" w:sz="0" w:space="0" w:color="auto"/>
        <w:left w:val="none" w:sz="0" w:space="0" w:color="auto"/>
        <w:bottom w:val="none" w:sz="0" w:space="0" w:color="auto"/>
        <w:right w:val="none" w:sz="0" w:space="0" w:color="auto"/>
      </w:divBdr>
    </w:div>
    <w:div w:id="980383418">
      <w:bodyDiv w:val="1"/>
      <w:marLeft w:val="0"/>
      <w:marRight w:val="0"/>
      <w:marTop w:val="0"/>
      <w:marBottom w:val="0"/>
      <w:divBdr>
        <w:top w:val="none" w:sz="0" w:space="0" w:color="auto"/>
        <w:left w:val="none" w:sz="0" w:space="0" w:color="auto"/>
        <w:bottom w:val="none" w:sz="0" w:space="0" w:color="auto"/>
        <w:right w:val="none" w:sz="0" w:space="0" w:color="auto"/>
      </w:divBdr>
    </w:div>
    <w:div w:id="994796468">
      <w:bodyDiv w:val="1"/>
      <w:marLeft w:val="0"/>
      <w:marRight w:val="0"/>
      <w:marTop w:val="0"/>
      <w:marBottom w:val="0"/>
      <w:divBdr>
        <w:top w:val="none" w:sz="0" w:space="0" w:color="auto"/>
        <w:left w:val="none" w:sz="0" w:space="0" w:color="auto"/>
        <w:bottom w:val="none" w:sz="0" w:space="0" w:color="auto"/>
        <w:right w:val="none" w:sz="0" w:space="0" w:color="auto"/>
      </w:divBdr>
    </w:div>
    <w:div w:id="996231361">
      <w:bodyDiv w:val="1"/>
      <w:marLeft w:val="0"/>
      <w:marRight w:val="0"/>
      <w:marTop w:val="0"/>
      <w:marBottom w:val="0"/>
      <w:divBdr>
        <w:top w:val="none" w:sz="0" w:space="0" w:color="auto"/>
        <w:left w:val="none" w:sz="0" w:space="0" w:color="auto"/>
        <w:bottom w:val="none" w:sz="0" w:space="0" w:color="auto"/>
        <w:right w:val="none" w:sz="0" w:space="0" w:color="auto"/>
      </w:divBdr>
    </w:div>
    <w:div w:id="999966583">
      <w:bodyDiv w:val="1"/>
      <w:marLeft w:val="0"/>
      <w:marRight w:val="0"/>
      <w:marTop w:val="0"/>
      <w:marBottom w:val="0"/>
      <w:divBdr>
        <w:top w:val="none" w:sz="0" w:space="0" w:color="auto"/>
        <w:left w:val="none" w:sz="0" w:space="0" w:color="auto"/>
        <w:bottom w:val="none" w:sz="0" w:space="0" w:color="auto"/>
        <w:right w:val="none" w:sz="0" w:space="0" w:color="auto"/>
      </w:divBdr>
    </w:div>
    <w:div w:id="1005715616">
      <w:bodyDiv w:val="1"/>
      <w:marLeft w:val="0"/>
      <w:marRight w:val="0"/>
      <w:marTop w:val="0"/>
      <w:marBottom w:val="0"/>
      <w:divBdr>
        <w:top w:val="none" w:sz="0" w:space="0" w:color="auto"/>
        <w:left w:val="none" w:sz="0" w:space="0" w:color="auto"/>
        <w:bottom w:val="none" w:sz="0" w:space="0" w:color="auto"/>
        <w:right w:val="none" w:sz="0" w:space="0" w:color="auto"/>
      </w:divBdr>
      <w:divsChild>
        <w:div w:id="933317309">
          <w:marLeft w:val="0"/>
          <w:marRight w:val="0"/>
          <w:marTop w:val="0"/>
          <w:marBottom w:val="0"/>
          <w:divBdr>
            <w:top w:val="none" w:sz="0" w:space="0" w:color="auto"/>
            <w:left w:val="none" w:sz="0" w:space="0" w:color="auto"/>
            <w:bottom w:val="none" w:sz="0" w:space="0" w:color="auto"/>
            <w:right w:val="none" w:sz="0" w:space="0" w:color="auto"/>
          </w:divBdr>
        </w:div>
      </w:divsChild>
    </w:div>
    <w:div w:id="1010373269">
      <w:bodyDiv w:val="1"/>
      <w:marLeft w:val="0"/>
      <w:marRight w:val="0"/>
      <w:marTop w:val="0"/>
      <w:marBottom w:val="0"/>
      <w:divBdr>
        <w:top w:val="none" w:sz="0" w:space="0" w:color="auto"/>
        <w:left w:val="none" w:sz="0" w:space="0" w:color="auto"/>
        <w:bottom w:val="none" w:sz="0" w:space="0" w:color="auto"/>
        <w:right w:val="none" w:sz="0" w:space="0" w:color="auto"/>
      </w:divBdr>
      <w:divsChild>
        <w:div w:id="2087993657">
          <w:marLeft w:val="0"/>
          <w:marRight w:val="0"/>
          <w:marTop w:val="0"/>
          <w:marBottom w:val="0"/>
          <w:divBdr>
            <w:top w:val="none" w:sz="0" w:space="0" w:color="auto"/>
            <w:left w:val="none" w:sz="0" w:space="0" w:color="auto"/>
            <w:bottom w:val="none" w:sz="0" w:space="0" w:color="auto"/>
            <w:right w:val="none" w:sz="0" w:space="0" w:color="auto"/>
          </w:divBdr>
          <w:divsChild>
            <w:div w:id="1145125965">
              <w:marLeft w:val="0"/>
              <w:marRight w:val="0"/>
              <w:marTop w:val="0"/>
              <w:marBottom w:val="0"/>
              <w:divBdr>
                <w:top w:val="none" w:sz="0" w:space="0" w:color="auto"/>
                <w:left w:val="none" w:sz="0" w:space="0" w:color="auto"/>
                <w:bottom w:val="none" w:sz="0" w:space="0" w:color="auto"/>
                <w:right w:val="none" w:sz="0" w:space="0" w:color="auto"/>
              </w:divBdr>
              <w:divsChild>
                <w:div w:id="58322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488569">
      <w:bodyDiv w:val="1"/>
      <w:marLeft w:val="0"/>
      <w:marRight w:val="0"/>
      <w:marTop w:val="0"/>
      <w:marBottom w:val="0"/>
      <w:divBdr>
        <w:top w:val="none" w:sz="0" w:space="0" w:color="auto"/>
        <w:left w:val="none" w:sz="0" w:space="0" w:color="auto"/>
        <w:bottom w:val="none" w:sz="0" w:space="0" w:color="auto"/>
        <w:right w:val="none" w:sz="0" w:space="0" w:color="auto"/>
      </w:divBdr>
      <w:divsChild>
        <w:div w:id="423652393">
          <w:marLeft w:val="0"/>
          <w:marRight w:val="0"/>
          <w:marTop w:val="0"/>
          <w:marBottom w:val="0"/>
          <w:divBdr>
            <w:top w:val="none" w:sz="0" w:space="0" w:color="auto"/>
            <w:left w:val="none" w:sz="0" w:space="0" w:color="auto"/>
            <w:bottom w:val="none" w:sz="0" w:space="0" w:color="auto"/>
            <w:right w:val="none" w:sz="0" w:space="0" w:color="auto"/>
          </w:divBdr>
        </w:div>
        <w:div w:id="1094084551">
          <w:marLeft w:val="0"/>
          <w:marRight w:val="0"/>
          <w:marTop w:val="0"/>
          <w:marBottom w:val="0"/>
          <w:divBdr>
            <w:top w:val="none" w:sz="0" w:space="0" w:color="auto"/>
            <w:left w:val="none" w:sz="0" w:space="0" w:color="auto"/>
            <w:bottom w:val="none" w:sz="0" w:space="0" w:color="auto"/>
            <w:right w:val="none" w:sz="0" w:space="0" w:color="auto"/>
          </w:divBdr>
        </w:div>
        <w:div w:id="1431663511">
          <w:marLeft w:val="0"/>
          <w:marRight w:val="0"/>
          <w:marTop w:val="0"/>
          <w:marBottom w:val="0"/>
          <w:divBdr>
            <w:top w:val="none" w:sz="0" w:space="0" w:color="auto"/>
            <w:left w:val="none" w:sz="0" w:space="0" w:color="auto"/>
            <w:bottom w:val="none" w:sz="0" w:space="0" w:color="auto"/>
            <w:right w:val="none" w:sz="0" w:space="0" w:color="auto"/>
          </w:divBdr>
        </w:div>
        <w:div w:id="1846624218">
          <w:marLeft w:val="0"/>
          <w:marRight w:val="0"/>
          <w:marTop w:val="0"/>
          <w:marBottom w:val="0"/>
          <w:divBdr>
            <w:top w:val="none" w:sz="0" w:space="0" w:color="auto"/>
            <w:left w:val="none" w:sz="0" w:space="0" w:color="auto"/>
            <w:bottom w:val="none" w:sz="0" w:space="0" w:color="auto"/>
            <w:right w:val="none" w:sz="0" w:space="0" w:color="auto"/>
          </w:divBdr>
        </w:div>
        <w:div w:id="1912806941">
          <w:marLeft w:val="0"/>
          <w:marRight w:val="0"/>
          <w:marTop w:val="0"/>
          <w:marBottom w:val="0"/>
          <w:divBdr>
            <w:top w:val="none" w:sz="0" w:space="0" w:color="auto"/>
            <w:left w:val="none" w:sz="0" w:space="0" w:color="auto"/>
            <w:bottom w:val="none" w:sz="0" w:space="0" w:color="auto"/>
            <w:right w:val="none" w:sz="0" w:space="0" w:color="auto"/>
          </w:divBdr>
        </w:div>
        <w:div w:id="2086875352">
          <w:marLeft w:val="0"/>
          <w:marRight w:val="0"/>
          <w:marTop w:val="0"/>
          <w:marBottom w:val="0"/>
          <w:divBdr>
            <w:top w:val="none" w:sz="0" w:space="0" w:color="auto"/>
            <w:left w:val="none" w:sz="0" w:space="0" w:color="auto"/>
            <w:bottom w:val="none" w:sz="0" w:space="0" w:color="auto"/>
            <w:right w:val="none" w:sz="0" w:space="0" w:color="auto"/>
          </w:divBdr>
        </w:div>
      </w:divsChild>
    </w:div>
    <w:div w:id="1017848159">
      <w:bodyDiv w:val="1"/>
      <w:marLeft w:val="0"/>
      <w:marRight w:val="0"/>
      <w:marTop w:val="0"/>
      <w:marBottom w:val="0"/>
      <w:divBdr>
        <w:top w:val="none" w:sz="0" w:space="0" w:color="auto"/>
        <w:left w:val="none" w:sz="0" w:space="0" w:color="auto"/>
        <w:bottom w:val="none" w:sz="0" w:space="0" w:color="auto"/>
        <w:right w:val="none" w:sz="0" w:space="0" w:color="auto"/>
      </w:divBdr>
      <w:divsChild>
        <w:div w:id="166746770">
          <w:marLeft w:val="0"/>
          <w:marRight w:val="0"/>
          <w:marTop w:val="0"/>
          <w:marBottom w:val="0"/>
          <w:divBdr>
            <w:top w:val="none" w:sz="0" w:space="0" w:color="auto"/>
            <w:left w:val="none" w:sz="0" w:space="0" w:color="auto"/>
            <w:bottom w:val="none" w:sz="0" w:space="0" w:color="auto"/>
            <w:right w:val="none" w:sz="0" w:space="0" w:color="auto"/>
          </w:divBdr>
        </w:div>
        <w:div w:id="818764277">
          <w:marLeft w:val="0"/>
          <w:marRight w:val="0"/>
          <w:marTop w:val="0"/>
          <w:marBottom w:val="0"/>
          <w:divBdr>
            <w:top w:val="none" w:sz="0" w:space="0" w:color="auto"/>
            <w:left w:val="none" w:sz="0" w:space="0" w:color="auto"/>
            <w:bottom w:val="none" w:sz="0" w:space="0" w:color="auto"/>
            <w:right w:val="none" w:sz="0" w:space="0" w:color="auto"/>
          </w:divBdr>
        </w:div>
        <w:div w:id="831526608">
          <w:marLeft w:val="0"/>
          <w:marRight w:val="0"/>
          <w:marTop w:val="0"/>
          <w:marBottom w:val="0"/>
          <w:divBdr>
            <w:top w:val="none" w:sz="0" w:space="0" w:color="auto"/>
            <w:left w:val="none" w:sz="0" w:space="0" w:color="auto"/>
            <w:bottom w:val="none" w:sz="0" w:space="0" w:color="auto"/>
            <w:right w:val="none" w:sz="0" w:space="0" w:color="auto"/>
          </w:divBdr>
        </w:div>
        <w:div w:id="1002274164">
          <w:marLeft w:val="0"/>
          <w:marRight w:val="0"/>
          <w:marTop w:val="0"/>
          <w:marBottom w:val="0"/>
          <w:divBdr>
            <w:top w:val="none" w:sz="0" w:space="0" w:color="auto"/>
            <w:left w:val="none" w:sz="0" w:space="0" w:color="auto"/>
            <w:bottom w:val="none" w:sz="0" w:space="0" w:color="auto"/>
            <w:right w:val="none" w:sz="0" w:space="0" w:color="auto"/>
          </w:divBdr>
        </w:div>
      </w:divsChild>
    </w:div>
    <w:div w:id="1024595744">
      <w:bodyDiv w:val="1"/>
      <w:marLeft w:val="0"/>
      <w:marRight w:val="0"/>
      <w:marTop w:val="0"/>
      <w:marBottom w:val="0"/>
      <w:divBdr>
        <w:top w:val="none" w:sz="0" w:space="0" w:color="auto"/>
        <w:left w:val="none" w:sz="0" w:space="0" w:color="auto"/>
        <w:bottom w:val="none" w:sz="0" w:space="0" w:color="auto"/>
        <w:right w:val="none" w:sz="0" w:space="0" w:color="auto"/>
      </w:divBdr>
    </w:div>
    <w:div w:id="1031957207">
      <w:bodyDiv w:val="1"/>
      <w:marLeft w:val="0"/>
      <w:marRight w:val="0"/>
      <w:marTop w:val="0"/>
      <w:marBottom w:val="0"/>
      <w:divBdr>
        <w:top w:val="none" w:sz="0" w:space="0" w:color="auto"/>
        <w:left w:val="none" w:sz="0" w:space="0" w:color="auto"/>
        <w:bottom w:val="none" w:sz="0" w:space="0" w:color="auto"/>
        <w:right w:val="none" w:sz="0" w:space="0" w:color="auto"/>
      </w:divBdr>
      <w:divsChild>
        <w:div w:id="1238518888">
          <w:marLeft w:val="0"/>
          <w:marRight w:val="0"/>
          <w:marTop w:val="0"/>
          <w:marBottom w:val="0"/>
          <w:divBdr>
            <w:top w:val="none" w:sz="0" w:space="0" w:color="auto"/>
            <w:left w:val="none" w:sz="0" w:space="0" w:color="auto"/>
            <w:bottom w:val="none" w:sz="0" w:space="0" w:color="auto"/>
            <w:right w:val="none" w:sz="0" w:space="0" w:color="auto"/>
          </w:divBdr>
          <w:divsChild>
            <w:div w:id="897323585">
              <w:marLeft w:val="0"/>
              <w:marRight w:val="0"/>
              <w:marTop w:val="0"/>
              <w:marBottom w:val="0"/>
              <w:divBdr>
                <w:top w:val="none" w:sz="0" w:space="0" w:color="auto"/>
                <w:left w:val="none" w:sz="0" w:space="0" w:color="auto"/>
                <w:bottom w:val="none" w:sz="0" w:space="0" w:color="auto"/>
                <w:right w:val="none" w:sz="0" w:space="0" w:color="auto"/>
              </w:divBdr>
              <w:divsChild>
                <w:div w:id="357389503">
                  <w:marLeft w:val="0"/>
                  <w:marRight w:val="0"/>
                  <w:marTop w:val="0"/>
                  <w:marBottom w:val="0"/>
                  <w:divBdr>
                    <w:top w:val="none" w:sz="0" w:space="0" w:color="auto"/>
                    <w:left w:val="none" w:sz="0" w:space="0" w:color="auto"/>
                    <w:bottom w:val="none" w:sz="0" w:space="0" w:color="auto"/>
                    <w:right w:val="none" w:sz="0" w:space="0" w:color="auto"/>
                  </w:divBdr>
                  <w:divsChild>
                    <w:div w:id="183456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4112827">
      <w:bodyDiv w:val="1"/>
      <w:marLeft w:val="0"/>
      <w:marRight w:val="0"/>
      <w:marTop w:val="0"/>
      <w:marBottom w:val="0"/>
      <w:divBdr>
        <w:top w:val="none" w:sz="0" w:space="0" w:color="auto"/>
        <w:left w:val="none" w:sz="0" w:space="0" w:color="auto"/>
        <w:bottom w:val="none" w:sz="0" w:space="0" w:color="auto"/>
        <w:right w:val="none" w:sz="0" w:space="0" w:color="auto"/>
      </w:divBdr>
    </w:div>
    <w:div w:id="1053504309">
      <w:bodyDiv w:val="1"/>
      <w:marLeft w:val="0"/>
      <w:marRight w:val="0"/>
      <w:marTop w:val="0"/>
      <w:marBottom w:val="0"/>
      <w:divBdr>
        <w:top w:val="none" w:sz="0" w:space="0" w:color="auto"/>
        <w:left w:val="none" w:sz="0" w:space="0" w:color="auto"/>
        <w:bottom w:val="none" w:sz="0" w:space="0" w:color="auto"/>
        <w:right w:val="none" w:sz="0" w:space="0" w:color="auto"/>
      </w:divBdr>
    </w:div>
    <w:div w:id="1054819218">
      <w:bodyDiv w:val="1"/>
      <w:marLeft w:val="0"/>
      <w:marRight w:val="0"/>
      <w:marTop w:val="0"/>
      <w:marBottom w:val="0"/>
      <w:divBdr>
        <w:top w:val="none" w:sz="0" w:space="0" w:color="auto"/>
        <w:left w:val="none" w:sz="0" w:space="0" w:color="auto"/>
        <w:bottom w:val="none" w:sz="0" w:space="0" w:color="auto"/>
        <w:right w:val="none" w:sz="0" w:space="0" w:color="auto"/>
      </w:divBdr>
    </w:div>
    <w:div w:id="1074353762">
      <w:bodyDiv w:val="1"/>
      <w:marLeft w:val="0"/>
      <w:marRight w:val="0"/>
      <w:marTop w:val="0"/>
      <w:marBottom w:val="0"/>
      <w:divBdr>
        <w:top w:val="none" w:sz="0" w:space="0" w:color="auto"/>
        <w:left w:val="none" w:sz="0" w:space="0" w:color="auto"/>
        <w:bottom w:val="none" w:sz="0" w:space="0" w:color="auto"/>
        <w:right w:val="none" w:sz="0" w:space="0" w:color="auto"/>
      </w:divBdr>
    </w:div>
    <w:div w:id="1086073273">
      <w:bodyDiv w:val="1"/>
      <w:marLeft w:val="0"/>
      <w:marRight w:val="0"/>
      <w:marTop w:val="0"/>
      <w:marBottom w:val="0"/>
      <w:divBdr>
        <w:top w:val="none" w:sz="0" w:space="0" w:color="auto"/>
        <w:left w:val="none" w:sz="0" w:space="0" w:color="auto"/>
        <w:bottom w:val="none" w:sz="0" w:space="0" w:color="auto"/>
        <w:right w:val="none" w:sz="0" w:space="0" w:color="auto"/>
      </w:divBdr>
    </w:div>
    <w:div w:id="1089354084">
      <w:bodyDiv w:val="1"/>
      <w:marLeft w:val="0"/>
      <w:marRight w:val="0"/>
      <w:marTop w:val="0"/>
      <w:marBottom w:val="0"/>
      <w:divBdr>
        <w:top w:val="none" w:sz="0" w:space="0" w:color="auto"/>
        <w:left w:val="none" w:sz="0" w:space="0" w:color="auto"/>
        <w:bottom w:val="none" w:sz="0" w:space="0" w:color="auto"/>
        <w:right w:val="none" w:sz="0" w:space="0" w:color="auto"/>
      </w:divBdr>
    </w:div>
    <w:div w:id="1096247564">
      <w:bodyDiv w:val="1"/>
      <w:marLeft w:val="0"/>
      <w:marRight w:val="0"/>
      <w:marTop w:val="0"/>
      <w:marBottom w:val="0"/>
      <w:divBdr>
        <w:top w:val="none" w:sz="0" w:space="0" w:color="auto"/>
        <w:left w:val="none" w:sz="0" w:space="0" w:color="auto"/>
        <w:bottom w:val="none" w:sz="0" w:space="0" w:color="auto"/>
        <w:right w:val="none" w:sz="0" w:space="0" w:color="auto"/>
      </w:divBdr>
    </w:div>
    <w:div w:id="1098062173">
      <w:bodyDiv w:val="1"/>
      <w:marLeft w:val="0"/>
      <w:marRight w:val="0"/>
      <w:marTop w:val="0"/>
      <w:marBottom w:val="0"/>
      <w:divBdr>
        <w:top w:val="none" w:sz="0" w:space="0" w:color="auto"/>
        <w:left w:val="none" w:sz="0" w:space="0" w:color="auto"/>
        <w:bottom w:val="none" w:sz="0" w:space="0" w:color="auto"/>
        <w:right w:val="none" w:sz="0" w:space="0" w:color="auto"/>
      </w:divBdr>
      <w:divsChild>
        <w:div w:id="1247812581">
          <w:marLeft w:val="0"/>
          <w:marRight w:val="0"/>
          <w:marTop w:val="0"/>
          <w:marBottom w:val="0"/>
          <w:divBdr>
            <w:top w:val="none" w:sz="0" w:space="0" w:color="auto"/>
            <w:left w:val="none" w:sz="0" w:space="0" w:color="auto"/>
            <w:bottom w:val="none" w:sz="0" w:space="0" w:color="auto"/>
            <w:right w:val="none" w:sz="0" w:space="0" w:color="auto"/>
          </w:divBdr>
          <w:divsChild>
            <w:div w:id="92286367">
              <w:marLeft w:val="0"/>
              <w:marRight w:val="0"/>
              <w:marTop w:val="0"/>
              <w:marBottom w:val="0"/>
              <w:divBdr>
                <w:top w:val="none" w:sz="0" w:space="0" w:color="auto"/>
                <w:left w:val="none" w:sz="0" w:space="0" w:color="auto"/>
                <w:bottom w:val="none" w:sz="0" w:space="0" w:color="auto"/>
                <w:right w:val="none" w:sz="0" w:space="0" w:color="auto"/>
              </w:divBdr>
              <w:divsChild>
                <w:div w:id="247815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21099">
      <w:bodyDiv w:val="1"/>
      <w:marLeft w:val="0"/>
      <w:marRight w:val="0"/>
      <w:marTop w:val="0"/>
      <w:marBottom w:val="0"/>
      <w:divBdr>
        <w:top w:val="none" w:sz="0" w:space="0" w:color="auto"/>
        <w:left w:val="none" w:sz="0" w:space="0" w:color="auto"/>
        <w:bottom w:val="none" w:sz="0" w:space="0" w:color="auto"/>
        <w:right w:val="none" w:sz="0" w:space="0" w:color="auto"/>
      </w:divBdr>
      <w:divsChild>
        <w:div w:id="2110999455">
          <w:marLeft w:val="547"/>
          <w:marRight w:val="0"/>
          <w:marTop w:val="0"/>
          <w:marBottom w:val="0"/>
          <w:divBdr>
            <w:top w:val="none" w:sz="0" w:space="0" w:color="auto"/>
            <w:left w:val="none" w:sz="0" w:space="0" w:color="auto"/>
            <w:bottom w:val="none" w:sz="0" w:space="0" w:color="auto"/>
            <w:right w:val="none" w:sz="0" w:space="0" w:color="auto"/>
          </w:divBdr>
        </w:div>
      </w:divsChild>
    </w:div>
    <w:div w:id="1100906495">
      <w:bodyDiv w:val="1"/>
      <w:marLeft w:val="0"/>
      <w:marRight w:val="0"/>
      <w:marTop w:val="0"/>
      <w:marBottom w:val="0"/>
      <w:divBdr>
        <w:top w:val="none" w:sz="0" w:space="0" w:color="auto"/>
        <w:left w:val="none" w:sz="0" w:space="0" w:color="auto"/>
        <w:bottom w:val="none" w:sz="0" w:space="0" w:color="auto"/>
        <w:right w:val="none" w:sz="0" w:space="0" w:color="auto"/>
      </w:divBdr>
    </w:div>
    <w:div w:id="1103837546">
      <w:bodyDiv w:val="1"/>
      <w:marLeft w:val="0"/>
      <w:marRight w:val="0"/>
      <w:marTop w:val="0"/>
      <w:marBottom w:val="0"/>
      <w:divBdr>
        <w:top w:val="none" w:sz="0" w:space="0" w:color="auto"/>
        <w:left w:val="none" w:sz="0" w:space="0" w:color="auto"/>
        <w:bottom w:val="none" w:sz="0" w:space="0" w:color="auto"/>
        <w:right w:val="none" w:sz="0" w:space="0" w:color="auto"/>
      </w:divBdr>
    </w:div>
    <w:div w:id="1105270182">
      <w:bodyDiv w:val="1"/>
      <w:marLeft w:val="0"/>
      <w:marRight w:val="0"/>
      <w:marTop w:val="0"/>
      <w:marBottom w:val="0"/>
      <w:divBdr>
        <w:top w:val="none" w:sz="0" w:space="0" w:color="auto"/>
        <w:left w:val="none" w:sz="0" w:space="0" w:color="auto"/>
        <w:bottom w:val="none" w:sz="0" w:space="0" w:color="auto"/>
        <w:right w:val="none" w:sz="0" w:space="0" w:color="auto"/>
      </w:divBdr>
    </w:div>
    <w:div w:id="1106343139">
      <w:bodyDiv w:val="1"/>
      <w:marLeft w:val="0"/>
      <w:marRight w:val="0"/>
      <w:marTop w:val="0"/>
      <w:marBottom w:val="0"/>
      <w:divBdr>
        <w:top w:val="none" w:sz="0" w:space="0" w:color="auto"/>
        <w:left w:val="none" w:sz="0" w:space="0" w:color="auto"/>
        <w:bottom w:val="none" w:sz="0" w:space="0" w:color="auto"/>
        <w:right w:val="none" w:sz="0" w:space="0" w:color="auto"/>
      </w:divBdr>
    </w:div>
    <w:div w:id="1121386811">
      <w:bodyDiv w:val="1"/>
      <w:marLeft w:val="0"/>
      <w:marRight w:val="0"/>
      <w:marTop w:val="0"/>
      <w:marBottom w:val="0"/>
      <w:divBdr>
        <w:top w:val="none" w:sz="0" w:space="0" w:color="auto"/>
        <w:left w:val="none" w:sz="0" w:space="0" w:color="auto"/>
        <w:bottom w:val="none" w:sz="0" w:space="0" w:color="auto"/>
        <w:right w:val="none" w:sz="0" w:space="0" w:color="auto"/>
      </w:divBdr>
      <w:divsChild>
        <w:div w:id="354113317">
          <w:marLeft w:val="0"/>
          <w:marRight w:val="0"/>
          <w:marTop w:val="0"/>
          <w:marBottom w:val="0"/>
          <w:divBdr>
            <w:top w:val="none" w:sz="0" w:space="0" w:color="auto"/>
            <w:left w:val="none" w:sz="0" w:space="0" w:color="auto"/>
            <w:bottom w:val="none" w:sz="0" w:space="0" w:color="auto"/>
            <w:right w:val="none" w:sz="0" w:space="0" w:color="auto"/>
          </w:divBdr>
        </w:div>
        <w:div w:id="414283427">
          <w:marLeft w:val="0"/>
          <w:marRight w:val="0"/>
          <w:marTop w:val="0"/>
          <w:marBottom w:val="0"/>
          <w:divBdr>
            <w:top w:val="none" w:sz="0" w:space="0" w:color="auto"/>
            <w:left w:val="none" w:sz="0" w:space="0" w:color="auto"/>
            <w:bottom w:val="none" w:sz="0" w:space="0" w:color="auto"/>
            <w:right w:val="none" w:sz="0" w:space="0" w:color="auto"/>
          </w:divBdr>
        </w:div>
        <w:div w:id="2068261988">
          <w:marLeft w:val="0"/>
          <w:marRight w:val="0"/>
          <w:marTop w:val="0"/>
          <w:marBottom w:val="0"/>
          <w:divBdr>
            <w:top w:val="none" w:sz="0" w:space="0" w:color="auto"/>
            <w:left w:val="none" w:sz="0" w:space="0" w:color="auto"/>
            <w:bottom w:val="none" w:sz="0" w:space="0" w:color="auto"/>
            <w:right w:val="none" w:sz="0" w:space="0" w:color="auto"/>
          </w:divBdr>
        </w:div>
      </w:divsChild>
    </w:div>
    <w:div w:id="1145195663">
      <w:bodyDiv w:val="1"/>
      <w:marLeft w:val="0"/>
      <w:marRight w:val="0"/>
      <w:marTop w:val="0"/>
      <w:marBottom w:val="0"/>
      <w:divBdr>
        <w:top w:val="none" w:sz="0" w:space="0" w:color="auto"/>
        <w:left w:val="none" w:sz="0" w:space="0" w:color="auto"/>
        <w:bottom w:val="none" w:sz="0" w:space="0" w:color="auto"/>
        <w:right w:val="none" w:sz="0" w:space="0" w:color="auto"/>
      </w:divBdr>
    </w:div>
    <w:div w:id="1147667523">
      <w:bodyDiv w:val="1"/>
      <w:marLeft w:val="0"/>
      <w:marRight w:val="0"/>
      <w:marTop w:val="0"/>
      <w:marBottom w:val="0"/>
      <w:divBdr>
        <w:top w:val="none" w:sz="0" w:space="0" w:color="auto"/>
        <w:left w:val="none" w:sz="0" w:space="0" w:color="auto"/>
        <w:bottom w:val="none" w:sz="0" w:space="0" w:color="auto"/>
        <w:right w:val="none" w:sz="0" w:space="0" w:color="auto"/>
      </w:divBdr>
    </w:div>
    <w:div w:id="1150944078">
      <w:bodyDiv w:val="1"/>
      <w:marLeft w:val="0"/>
      <w:marRight w:val="0"/>
      <w:marTop w:val="0"/>
      <w:marBottom w:val="0"/>
      <w:divBdr>
        <w:top w:val="none" w:sz="0" w:space="0" w:color="auto"/>
        <w:left w:val="none" w:sz="0" w:space="0" w:color="auto"/>
        <w:bottom w:val="none" w:sz="0" w:space="0" w:color="auto"/>
        <w:right w:val="none" w:sz="0" w:space="0" w:color="auto"/>
      </w:divBdr>
    </w:div>
    <w:div w:id="1151213309">
      <w:bodyDiv w:val="1"/>
      <w:marLeft w:val="0"/>
      <w:marRight w:val="0"/>
      <w:marTop w:val="0"/>
      <w:marBottom w:val="0"/>
      <w:divBdr>
        <w:top w:val="none" w:sz="0" w:space="0" w:color="auto"/>
        <w:left w:val="none" w:sz="0" w:space="0" w:color="auto"/>
        <w:bottom w:val="none" w:sz="0" w:space="0" w:color="auto"/>
        <w:right w:val="none" w:sz="0" w:space="0" w:color="auto"/>
      </w:divBdr>
    </w:div>
    <w:div w:id="1173883191">
      <w:bodyDiv w:val="1"/>
      <w:marLeft w:val="0"/>
      <w:marRight w:val="0"/>
      <w:marTop w:val="0"/>
      <w:marBottom w:val="0"/>
      <w:divBdr>
        <w:top w:val="none" w:sz="0" w:space="0" w:color="auto"/>
        <w:left w:val="none" w:sz="0" w:space="0" w:color="auto"/>
        <w:bottom w:val="none" w:sz="0" w:space="0" w:color="auto"/>
        <w:right w:val="none" w:sz="0" w:space="0" w:color="auto"/>
      </w:divBdr>
    </w:div>
    <w:div w:id="1183713533">
      <w:bodyDiv w:val="1"/>
      <w:marLeft w:val="0"/>
      <w:marRight w:val="0"/>
      <w:marTop w:val="0"/>
      <w:marBottom w:val="0"/>
      <w:divBdr>
        <w:top w:val="none" w:sz="0" w:space="0" w:color="auto"/>
        <w:left w:val="none" w:sz="0" w:space="0" w:color="auto"/>
        <w:bottom w:val="none" w:sz="0" w:space="0" w:color="auto"/>
        <w:right w:val="none" w:sz="0" w:space="0" w:color="auto"/>
      </w:divBdr>
      <w:divsChild>
        <w:div w:id="54593692">
          <w:marLeft w:val="0"/>
          <w:marRight w:val="0"/>
          <w:marTop w:val="0"/>
          <w:marBottom w:val="0"/>
          <w:divBdr>
            <w:top w:val="none" w:sz="0" w:space="0" w:color="auto"/>
            <w:left w:val="none" w:sz="0" w:space="0" w:color="auto"/>
            <w:bottom w:val="none" w:sz="0" w:space="0" w:color="auto"/>
            <w:right w:val="none" w:sz="0" w:space="0" w:color="auto"/>
          </w:divBdr>
          <w:divsChild>
            <w:div w:id="402989972">
              <w:marLeft w:val="0"/>
              <w:marRight w:val="0"/>
              <w:marTop w:val="0"/>
              <w:marBottom w:val="0"/>
              <w:divBdr>
                <w:top w:val="none" w:sz="0" w:space="0" w:color="auto"/>
                <w:left w:val="none" w:sz="0" w:space="0" w:color="auto"/>
                <w:bottom w:val="none" w:sz="0" w:space="0" w:color="auto"/>
                <w:right w:val="none" w:sz="0" w:space="0" w:color="auto"/>
              </w:divBdr>
              <w:divsChild>
                <w:div w:id="27344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1262592">
      <w:bodyDiv w:val="1"/>
      <w:marLeft w:val="0"/>
      <w:marRight w:val="0"/>
      <w:marTop w:val="0"/>
      <w:marBottom w:val="0"/>
      <w:divBdr>
        <w:top w:val="none" w:sz="0" w:space="0" w:color="auto"/>
        <w:left w:val="none" w:sz="0" w:space="0" w:color="auto"/>
        <w:bottom w:val="none" w:sz="0" w:space="0" w:color="auto"/>
        <w:right w:val="none" w:sz="0" w:space="0" w:color="auto"/>
      </w:divBdr>
      <w:divsChild>
        <w:div w:id="1822577365">
          <w:marLeft w:val="0"/>
          <w:marRight w:val="0"/>
          <w:marTop w:val="0"/>
          <w:marBottom w:val="0"/>
          <w:divBdr>
            <w:top w:val="none" w:sz="0" w:space="0" w:color="auto"/>
            <w:left w:val="none" w:sz="0" w:space="0" w:color="auto"/>
            <w:bottom w:val="none" w:sz="0" w:space="0" w:color="auto"/>
            <w:right w:val="none" w:sz="0" w:space="0" w:color="auto"/>
          </w:divBdr>
          <w:divsChild>
            <w:div w:id="2147115071">
              <w:marLeft w:val="0"/>
              <w:marRight w:val="0"/>
              <w:marTop w:val="0"/>
              <w:marBottom w:val="0"/>
              <w:divBdr>
                <w:top w:val="none" w:sz="0" w:space="0" w:color="auto"/>
                <w:left w:val="none" w:sz="0" w:space="0" w:color="auto"/>
                <w:bottom w:val="none" w:sz="0" w:space="0" w:color="auto"/>
                <w:right w:val="none" w:sz="0" w:space="0" w:color="auto"/>
              </w:divBdr>
              <w:divsChild>
                <w:div w:id="169569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8176703">
      <w:bodyDiv w:val="1"/>
      <w:marLeft w:val="0"/>
      <w:marRight w:val="0"/>
      <w:marTop w:val="0"/>
      <w:marBottom w:val="0"/>
      <w:divBdr>
        <w:top w:val="none" w:sz="0" w:space="0" w:color="auto"/>
        <w:left w:val="none" w:sz="0" w:space="0" w:color="auto"/>
        <w:bottom w:val="none" w:sz="0" w:space="0" w:color="auto"/>
        <w:right w:val="none" w:sz="0" w:space="0" w:color="auto"/>
      </w:divBdr>
      <w:divsChild>
        <w:div w:id="153184956">
          <w:marLeft w:val="0"/>
          <w:marRight w:val="0"/>
          <w:marTop w:val="0"/>
          <w:marBottom w:val="0"/>
          <w:divBdr>
            <w:top w:val="none" w:sz="0" w:space="0" w:color="auto"/>
            <w:left w:val="none" w:sz="0" w:space="0" w:color="auto"/>
            <w:bottom w:val="none" w:sz="0" w:space="0" w:color="auto"/>
            <w:right w:val="none" w:sz="0" w:space="0" w:color="auto"/>
          </w:divBdr>
          <w:divsChild>
            <w:div w:id="970481911">
              <w:marLeft w:val="0"/>
              <w:marRight w:val="0"/>
              <w:marTop w:val="0"/>
              <w:marBottom w:val="0"/>
              <w:divBdr>
                <w:top w:val="none" w:sz="0" w:space="0" w:color="auto"/>
                <w:left w:val="none" w:sz="0" w:space="0" w:color="auto"/>
                <w:bottom w:val="none" w:sz="0" w:space="0" w:color="auto"/>
                <w:right w:val="none" w:sz="0" w:space="0" w:color="auto"/>
              </w:divBdr>
              <w:divsChild>
                <w:div w:id="14208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074834">
      <w:bodyDiv w:val="1"/>
      <w:marLeft w:val="0"/>
      <w:marRight w:val="0"/>
      <w:marTop w:val="0"/>
      <w:marBottom w:val="0"/>
      <w:divBdr>
        <w:top w:val="none" w:sz="0" w:space="0" w:color="auto"/>
        <w:left w:val="none" w:sz="0" w:space="0" w:color="auto"/>
        <w:bottom w:val="none" w:sz="0" w:space="0" w:color="auto"/>
        <w:right w:val="none" w:sz="0" w:space="0" w:color="auto"/>
      </w:divBdr>
    </w:div>
    <w:div w:id="1229268916">
      <w:bodyDiv w:val="1"/>
      <w:marLeft w:val="0"/>
      <w:marRight w:val="0"/>
      <w:marTop w:val="0"/>
      <w:marBottom w:val="0"/>
      <w:divBdr>
        <w:top w:val="none" w:sz="0" w:space="0" w:color="auto"/>
        <w:left w:val="none" w:sz="0" w:space="0" w:color="auto"/>
        <w:bottom w:val="none" w:sz="0" w:space="0" w:color="auto"/>
        <w:right w:val="none" w:sz="0" w:space="0" w:color="auto"/>
      </w:divBdr>
      <w:divsChild>
        <w:div w:id="1551377132">
          <w:marLeft w:val="0"/>
          <w:marRight w:val="0"/>
          <w:marTop w:val="0"/>
          <w:marBottom w:val="0"/>
          <w:divBdr>
            <w:top w:val="none" w:sz="0" w:space="0" w:color="auto"/>
            <w:left w:val="none" w:sz="0" w:space="0" w:color="auto"/>
            <w:bottom w:val="none" w:sz="0" w:space="0" w:color="auto"/>
            <w:right w:val="none" w:sz="0" w:space="0" w:color="auto"/>
          </w:divBdr>
        </w:div>
        <w:div w:id="1867594161">
          <w:marLeft w:val="0"/>
          <w:marRight w:val="0"/>
          <w:marTop w:val="0"/>
          <w:marBottom w:val="0"/>
          <w:divBdr>
            <w:top w:val="none" w:sz="0" w:space="0" w:color="auto"/>
            <w:left w:val="none" w:sz="0" w:space="0" w:color="auto"/>
            <w:bottom w:val="none" w:sz="0" w:space="0" w:color="auto"/>
            <w:right w:val="none" w:sz="0" w:space="0" w:color="auto"/>
          </w:divBdr>
        </w:div>
      </w:divsChild>
    </w:div>
    <w:div w:id="1231500684">
      <w:bodyDiv w:val="1"/>
      <w:marLeft w:val="0"/>
      <w:marRight w:val="0"/>
      <w:marTop w:val="0"/>
      <w:marBottom w:val="0"/>
      <w:divBdr>
        <w:top w:val="none" w:sz="0" w:space="0" w:color="auto"/>
        <w:left w:val="none" w:sz="0" w:space="0" w:color="auto"/>
        <w:bottom w:val="none" w:sz="0" w:space="0" w:color="auto"/>
        <w:right w:val="none" w:sz="0" w:space="0" w:color="auto"/>
      </w:divBdr>
    </w:div>
    <w:div w:id="1232156026">
      <w:bodyDiv w:val="1"/>
      <w:marLeft w:val="0"/>
      <w:marRight w:val="0"/>
      <w:marTop w:val="0"/>
      <w:marBottom w:val="0"/>
      <w:divBdr>
        <w:top w:val="none" w:sz="0" w:space="0" w:color="auto"/>
        <w:left w:val="none" w:sz="0" w:space="0" w:color="auto"/>
        <w:bottom w:val="none" w:sz="0" w:space="0" w:color="auto"/>
        <w:right w:val="none" w:sz="0" w:space="0" w:color="auto"/>
      </w:divBdr>
    </w:div>
    <w:div w:id="1238242915">
      <w:bodyDiv w:val="1"/>
      <w:marLeft w:val="0"/>
      <w:marRight w:val="0"/>
      <w:marTop w:val="0"/>
      <w:marBottom w:val="0"/>
      <w:divBdr>
        <w:top w:val="none" w:sz="0" w:space="0" w:color="auto"/>
        <w:left w:val="none" w:sz="0" w:space="0" w:color="auto"/>
        <w:bottom w:val="none" w:sz="0" w:space="0" w:color="auto"/>
        <w:right w:val="none" w:sz="0" w:space="0" w:color="auto"/>
      </w:divBdr>
    </w:div>
    <w:div w:id="1245846251">
      <w:bodyDiv w:val="1"/>
      <w:marLeft w:val="0"/>
      <w:marRight w:val="0"/>
      <w:marTop w:val="0"/>
      <w:marBottom w:val="0"/>
      <w:divBdr>
        <w:top w:val="none" w:sz="0" w:space="0" w:color="auto"/>
        <w:left w:val="none" w:sz="0" w:space="0" w:color="auto"/>
        <w:bottom w:val="none" w:sz="0" w:space="0" w:color="auto"/>
        <w:right w:val="none" w:sz="0" w:space="0" w:color="auto"/>
      </w:divBdr>
    </w:div>
    <w:div w:id="1257905042">
      <w:bodyDiv w:val="1"/>
      <w:marLeft w:val="0"/>
      <w:marRight w:val="0"/>
      <w:marTop w:val="0"/>
      <w:marBottom w:val="0"/>
      <w:divBdr>
        <w:top w:val="none" w:sz="0" w:space="0" w:color="auto"/>
        <w:left w:val="none" w:sz="0" w:space="0" w:color="auto"/>
        <w:bottom w:val="none" w:sz="0" w:space="0" w:color="auto"/>
        <w:right w:val="none" w:sz="0" w:space="0" w:color="auto"/>
      </w:divBdr>
    </w:div>
    <w:div w:id="1275021633">
      <w:bodyDiv w:val="1"/>
      <w:marLeft w:val="0"/>
      <w:marRight w:val="0"/>
      <w:marTop w:val="0"/>
      <w:marBottom w:val="0"/>
      <w:divBdr>
        <w:top w:val="none" w:sz="0" w:space="0" w:color="auto"/>
        <w:left w:val="none" w:sz="0" w:space="0" w:color="auto"/>
        <w:bottom w:val="none" w:sz="0" w:space="0" w:color="auto"/>
        <w:right w:val="none" w:sz="0" w:space="0" w:color="auto"/>
      </w:divBdr>
      <w:divsChild>
        <w:div w:id="1886018582">
          <w:marLeft w:val="0"/>
          <w:marRight w:val="0"/>
          <w:marTop w:val="0"/>
          <w:marBottom w:val="0"/>
          <w:divBdr>
            <w:top w:val="none" w:sz="0" w:space="0" w:color="auto"/>
            <w:left w:val="none" w:sz="0" w:space="0" w:color="auto"/>
            <w:bottom w:val="none" w:sz="0" w:space="0" w:color="auto"/>
            <w:right w:val="none" w:sz="0" w:space="0" w:color="auto"/>
          </w:divBdr>
          <w:divsChild>
            <w:div w:id="418991683">
              <w:marLeft w:val="0"/>
              <w:marRight w:val="0"/>
              <w:marTop w:val="0"/>
              <w:marBottom w:val="0"/>
              <w:divBdr>
                <w:top w:val="none" w:sz="0" w:space="0" w:color="auto"/>
                <w:left w:val="none" w:sz="0" w:space="0" w:color="auto"/>
                <w:bottom w:val="none" w:sz="0" w:space="0" w:color="auto"/>
                <w:right w:val="none" w:sz="0" w:space="0" w:color="auto"/>
              </w:divBdr>
              <w:divsChild>
                <w:div w:id="147405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872863">
      <w:bodyDiv w:val="1"/>
      <w:marLeft w:val="0"/>
      <w:marRight w:val="0"/>
      <w:marTop w:val="0"/>
      <w:marBottom w:val="0"/>
      <w:divBdr>
        <w:top w:val="none" w:sz="0" w:space="0" w:color="auto"/>
        <w:left w:val="none" w:sz="0" w:space="0" w:color="auto"/>
        <w:bottom w:val="none" w:sz="0" w:space="0" w:color="auto"/>
        <w:right w:val="none" w:sz="0" w:space="0" w:color="auto"/>
      </w:divBdr>
      <w:divsChild>
        <w:div w:id="1383602290">
          <w:marLeft w:val="547"/>
          <w:marRight w:val="0"/>
          <w:marTop w:val="0"/>
          <w:marBottom w:val="0"/>
          <w:divBdr>
            <w:top w:val="none" w:sz="0" w:space="0" w:color="auto"/>
            <w:left w:val="none" w:sz="0" w:space="0" w:color="auto"/>
            <w:bottom w:val="none" w:sz="0" w:space="0" w:color="auto"/>
            <w:right w:val="none" w:sz="0" w:space="0" w:color="auto"/>
          </w:divBdr>
        </w:div>
      </w:divsChild>
    </w:div>
    <w:div w:id="1288396735">
      <w:bodyDiv w:val="1"/>
      <w:marLeft w:val="0"/>
      <w:marRight w:val="0"/>
      <w:marTop w:val="0"/>
      <w:marBottom w:val="0"/>
      <w:divBdr>
        <w:top w:val="none" w:sz="0" w:space="0" w:color="auto"/>
        <w:left w:val="none" w:sz="0" w:space="0" w:color="auto"/>
        <w:bottom w:val="none" w:sz="0" w:space="0" w:color="auto"/>
        <w:right w:val="none" w:sz="0" w:space="0" w:color="auto"/>
      </w:divBdr>
      <w:divsChild>
        <w:div w:id="1083331688">
          <w:marLeft w:val="0"/>
          <w:marRight w:val="0"/>
          <w:marTop w:val="0"/>
          <w:marBottom w:val="0"/>
          <w:divBdr>
            <w:top w:val="none" w:sz="0" w:space="0" w:color="auto"/>
            <w:left w:val="none" w:sz="0" w:space="0" w:color="auto"/>
            <w:bottom w:val="none" w:sz="0" w:space="0" w:color="auto"/>
            <w:right w:val="none" w:sz="0" w:space="0" w:color="auto"/>
          </w:divBdr>
        </w:div>
        <w:div w:id="1473249757">
          <w:marLeft w:val="0"/>
          <w:marRight w:val="0"/>
          <w:marTop w:val="0"/>
          <w:marBottom w:val="0"/>
          <w:divBdr>
            <w:top w:val="none" w:sz="0" w:space="0" w:color="auto"/>
            <w:left w:val="none" w:sz="0" w:space="0" w:color="auto"/>
            <w:bottom w:val="none" w:sz="0" w:space="0" w:color="auto"/>
            <w:right w:val="none" w:sz="0" w:space="0" w:color="auto"/>
          </w:divBdr>
        </w:div>
        <w:div w:id="1967613814">
          <w:marLeft w:val="0"/>
          <w:marRight w:val="0"/>
          <w:marTop w:val="0"/>
          <w:marBottom w:val="0"/>
          <w:divBdr>
            <w:top w:val="none" w:sz="0" w:space="0" w:color="auto"/>
            <w:left w:val="none" w:sz="0" w:space="0" w:color="auto"/>
            <w:bottom w:val="none" w:sz="0" w:space="0" w:color="auto"/>
            <w:right w:val="none" w:sz="0" w:space="0" w:color="auto"/>
          </w:divBdr>
        </w:div>
      </w:divsChild>
    </w:div>
    <w:div w:id="1299650591">
      <w:bodyDiv w:val="1"/>
      <w:marLeft w:val="0"/>
      <w:marRight w:val="0"/>
      <w:marTop w:val="0"/>
      <w:marBottom w:val="0"/>
      <w:divBdr>
        <w:top w:val="none" w:sz="0" w:space="0" w:color="auto"/>
        <w:left w:val="none" w:sz="0" w:space="0" w:color="auto"/>
        <w:bottom w:val="none" w:sz="0" w:space="0" w:color="auto"/>
        <w:right w:val="none" w:sz="0" w:space="0" w:color="auto"/>
      </w:divBdr>
    </w:div>
    <w:div w:id="1305697827">
      <w:bodyDiv w:val="1"/>
      <w:marLeft w:val="0"/>
      <w:marRight w:val="0"/>
      <w:marTop w:val="0"/>
      <w:marBottom w:val="0"/>
      <w:divBdr>
        <w:top w:val="none" w:sz="0" w:space="0" w:color="auto"/>
        <w:left w:val="none" w:sz="0" w:space="0" w:color="auto"/>
        <w:bottom w:val="none" w:sz="0" w:space="0" w:color="auto"/>
        <w:right w:val="none" w:sz="0" w:space="0" w:color="auto"/>
      </w:divBdr>
    </w:div>
    <w:div w:id="1307466800">
      <w:bodyDiv w:val="1"/>
      <w:marLeft w:val="0"/>
      <w:marRight w:val="0"/>
      <w:marTop w:val="0"/>
      <w:marBottom w:val="0"/>
      <w:divBdr>
        <w:top w:val="none" w:sz="0" w:space="0" w:color="auto"/>
        <w:left w:val="none" w:sz="0" w:space="0" w:color="auto"/>
        <w:bottom w:val="none" w:sz="0" w:space="0" w:color="auto"/>
        <w:right w:val="none" w:sz="0" w:space="0" w:color="auto"/>
      </w:divBdr>
      <w:divsChild>
        <w:div w:id="307132827">
          <w:marLeft w:val="547"/>
          <w:marRight w:val="0"/>
          <w:marTop w:val="0"/>
          <w:marBottom w:val="0"/>
          <w:divBdr>
            <w:top w:val="none" w:sz="0" w:space="0" w:color="auto"/>
            <w:left w:val="none" w:sz="0" w:space="0" w:color="auto"/>
            <w:bottom w:val="none" w:sz="0" w:space="0" w:color="auto"/>
            <w:right w:val="none" w:sz="0" w:space="0" w:color="auto"/>
          </w:divBdr>
        </w:div>
      </w:divsChild>
    </w:div>
    <w:div w:id="1310817434">
      <w:bodyDiv w:val="1"/>
      <w:marLeft w:val="0"/>
      <w:marRight w:val="0"/>
      <w:marTop w:val="0"/>
      <w:marBottom w:val="0"/>
      <w:divBdr>
        <w:top w:val="none" w:sz="0" w:space="0" w:color="auto"/>
        <w:left w:val="none" w:sz="0" w:space="0" w:color="auto"/>
        <w:bottom w:val="none" w:sz="0" w:space="0" w:color="auto"/>
        <w:right w:val="none" w:sz="0" w:space="0" w:color="auto"/>
      </w:divBdr>
    </w:div>
    <w:div w:id="1319457206">
      <w:bodyDiv w:val="1"/>
      <w:marLeft w:val="0"/>
      <w:marRight w:val="0"/>
      <w:marTop w:val="0"/>
      <w:marBottom w:val="0"/>
      <w:divBdr>
        <w:top w:val="none" w:sz="0" w:space="0" w:color="auto"/>
        <w:left w:val="none" w:sz="0" w:space="0" w:color="auto"/>
        <w:bottom w:val="none" w:sz="0" w:space="0" w:color="auto"/>
        <w:right w:val="none" w:sz="0" w:space="0" w:color="auto"/>
      </w:divBdr>
      <w:divsChild>
        <w:div w:id="246888541">
          <w:marLeft w:val="0"/>
          <w:marRight w:val="0"/>
          <w:marTop w:val="0"/>
          <w:marBottom w:val="0"/>
          <w:divBdr>
            <w:top w:val="none" w:sz="0" w:space="0" w:color="auto"/>
            <w:left w:val="none" w:sz="0" w:space="0" w:color="auto"/>
            <w:bottom w:val="none" w:sz="0" w:space="0" w:color="auto"/>
            <w:right w:val="none" w:sz="0" w:space="0" w:color="auto"/>
          </w:divBdr>
        </w:div>
        <w:div w:id="420301756">
          <w:marLeft w:val="0"/>
          <w:marRight w:val="0"/>
          <w:marTop w:val="0"/>
          <w:marBottom w:val="0"/>
          <w:divBdr>
            <w:top w:val="none" w:sz="0" w:space="0" w:color="auto"/>
            <w:left w:val="none" w:sz="0" w:space="0" w:color="auto"/>
            <w:bottom w:val="none" w:sz="0" w:space="0" w:color="auto"/>
            <w:right w:val="none" w:sz="0" w:space="0" w:color="auto"/>
          </w:divBdr>
        </w:div>
        <w:div w:id="573973660">
          <w:marLeft w:val="0"/>
          <w:marRight w:val="0"/>
          <w:marTop w:val="0"/>
          <w:marBottom w:val="0"/>
          <w:divBdr>
            <w:top w:val="none" w:sz="0" w:space="0" w:color="auto"/>
            <w:left w:val="none" w:sz="0" w:space="0" w:color="auto"/>
            <w:bottom w:val="none" w:sz="0" w:space="0" w:color="auto"/>
            <w:right w:val="none" w:sz="0" w:space="0" w:color="auto"/>
          </w:divBdr>
        </w:div>
        <w:div w:id="1786000694">
          <w:marLeft w:val="0"/>
          <w:marRight w:val="0"/>
          <w:marTop w:val="0"/>
          <w:marBottom w:val="0"/>
          <w:divBdr>
            <w:top w:val="none" w:sz="0" w:space="0" w:color="auto"/>
            <w:left w:val="none" w:sz="0" w:space="0" w:color="auto"/>
            <w:bottom w:val="none" w:sz="0" w:space="0" w:color="auto"/>
            <w:right w:val="none" w:sz="0" w:space="0" w:color="auto"/>
          </w:divBdr>
        </w:div>
        <w:div w:id="1802074538">
          <w:marLeft w:val="0"/>
          <w:marRight w:val="0"/>
          <w:marTop w:val="0"/>
          <w:marBottom w:val="0"/>
          <w:divBdr>
            <w:top w:val="none" w:sz="0" w:space="0" w:color="auto"/>
            <w:left w:val="none" w:sz="0" w:space="0" w:color="auto"/>
            <w:bottom w:val="none" w:sz="0" w:space="0" w:color="auto"/>
            <w:right w:val="none" w:sz="0" w:space="0" w:color="auto"/>
          </w:divBdr>
        </w:div>
        <w:div w:id="2015569514">
          <w:marLeft w:val="0"/>
          <w:marRight w:val="0"/>
          <w:marTop w:val="0"/>
          <w:marBottom w:val="0"/>
          <w:divBdr>
            <w:top w:val="none" w:sz="0" w:space="0" w:color="auto"/>
            <w:left w:val="none" w:sz="0" w:space="0" w:color="auto"/>
            <w:bottom w:val="none" w:sz="0" w:space="0" w:color="auto"/>
            <w:right w:val="none" w:sz="0" w:space="0" w:color="auto"/>
          </w:divBdr>
        </w:div>
      </w:divsChild>
    </w:div>
    <w:div w:id="1335306203">
      <w:bodyDiv w:val="1"/>
      <w:marLeft w:val="0"/>
      <w:marRight w:val="0"/>
      <w:marTop w:val="0"/>
      <w:marBottom w:val="0"/>
      <w:divBdr>
        <w:top w:val="none" w:sz="0" w:space="0" w:color="auto"/>
        <w:left w:val="none" w:sz="0" w:space="0" w:color="auto"/>
        <w:bottom w:val="none" w:sz="0" w:space="0" w:color="auto"/>
        <w:right w:val="none" w:sz="0" w:space="0" w:color="auto"/>
      </w:divBdr>
      <w:divsChild>
        <w:div w:id="1207983836">
          <w:marLeft w:val="0"/>
          <w:marRight w:val="0"/>
          <w:marTop w:val="0"/>
          <w:marBottom w:val="0"/>
          <w:divBdr>
            <w:top w:val="none" w:sz="0" w:space="0" w:color="auto"/>
            <w:left w:val="none" w:sz="0" w:space="0" w:color="auto"/>
            <w:bottom w:val="none" w:sz="0" w:space="0" w:color="auto"/>
            <w:right w:val="none" w:sz="0" w:space="0" w:color="auto"/>
          </w:divBdr>
          <w:divsChild>
            <w:div w:id="1335958041">
              <w:marLeft w:val="0"/>
              <w:marRight w:val="0"/>
              <w:marTop w:val="0"/>
              <w:marBottom w:val="0"/>
              <w:divBdr>
                <w:top w:val="none" w:sz="0" w:space="0" w:color="auto"/>
                <w:left w:val="none" w:sz="0" w:space="0" w:color="auto"/>
                <w:bottom w:val="none" w:sz="0" w:space="0" w:color="auto"/>
                <w:right w:val="none" w:sz="0" w:space="0" w:color="auto"/>
              </w:divBdr>
              <w:divsChild>
                <w:div w:id="102875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475844">
      <w:bodyDiv w:val="1"/>
      <w:marLeft w:val="0"/>
      <w:marRight w:val="0"/>
      <w:marTop w:val="0"/>
      <w:marBottom w:val="0"/>
      <w:divBdr>
        <w:top w:val="none" w:sz="0" w:space="0" w:color="auto"/>
        <w:left w:val="none" w:sz="0" w:space="0" w:color="auto"/>
        <w:bottom w:val="none" w:sz="0" w:space="0" w:color="auto"/>
        <w:right w:val="none" w:sz="0" w:space="0" w:color="auto"/>
      </w:divBdr>
      <w:divsChild>
        <w:div w:id="164976988">
          <w:marLeft w:val="547"/>
          <w:marRight w:val="0"/>
          <w:marTop w:val="0"/>
          <w:marBottom w:val="0"/>
          <w:divBdr>
            <w:top w:val="none" w:sz="0" w:space="0" w:color="auto"/>
            <w:left w:val="none" w:sz="0" w:space="0" w:color="auto"/>
            <w:bottom w:val="none" w:sz="0" w:space="0" w:color="auto"/>
            <w:right w:val="none" w:sz="0" w:space="0" w:color="auto"/>
          </w:divBdr>
        </w:div>
      </w:divsChild>
    </w:div>
    <w:div w:id="1355499649">
      <w:bodyDiv w:val="1"/>
      <w:marLeft w:val="0"/>
      <w:marRight w:val="0"/>
      <w:marTop w:val="0"/>
      <w:marBottom w:val="0"/>
      <w:divBdr>
        <w:top w:val="none" w:sz="0" w:space="0" w:color="auto"/>
        <w:left w:val="none" w:sz="0" w:space="0" w:color="auto"/>
        <w:bottom w:val="none" w:sz="0" w:space="0" w:color="auto"/>
        <w:right w:val="none" w:sz="0" w:space="0" w:color="auto"/>
      </w:divBdr>
    </w:div>
    <w:div w:id="1358778696">
      <w:bodyDiv w:val="1"/>
      <w:marLeft w:val="0"/>
      <w:marRight w:val="0"/>
      <w:marTop w:val="0"/>
      <w:marBottom w:val="0"/>
      <w:divBdr>
        <w:top w:val="none" w:sz="0" w:space="0" w:color="auto"/>
        <w:left w:val="none" w:sz="0" w:space="0" w:color="auto"/>
        <w:bottom w:val="none" w:sz="0" w:space="0" w:color="auto"/>
        <w:right w:val="none" w:sz="0" w:space="0" w:color="auto"/>
      </w:divBdr>
    </w:div>
    <w:div w:id="1371103772">
      <w:bodyDiv w:val="1"/>
      <w:marLeft w:val="0"/>
      <w:marRight w:val="0"/>
      <w:marTop w:val="0"/>
      <w:marBottom w:val="0"/>
      <w:divBdr>
        <w:top w:val="none" w:sz="0" w:space="0" w:color="auto"/>
        <w:left w:val="none" w:sz="0" w:space="0" w:color="auto"/>
        <w:bottom w:val="none" w:sz="0" w:space="0" w:color="auto"/>
        <w:right w:val="none" w:sz="0" w:space="0" w:color="auto"/>
      </w:divBdr>
    </w:div>
    <w:div w:id="1374695047">
      <w:bodyDiv w:val="1"/>
      <w:marLeft w:val="0"/>
      <w:marRight w:val="0"/>
      <w:marTop w:val="0"/>
      <w:marBottom w:val="0"/>
      <w:divBdr>
        <w:top w:val="none" w:sz="0" w:space="0" w:color="auto"/>
        <w:left w:val="none" w:sz="0" w:space="0" w:color="auto"/>
        <w:bottom w:val="none" w:sz="0" w:space="0" w:color="auto"/>
        <w:right w:val="none" w:sz="0" w:space="0" w:color="auto"/>
      </w:divBdr>
    </w:div>
    <w:div w:id="1376001534">
      <w:bodyDiv w:val="1"/>
      <w:marLeft w:val="0"/>
      <w:marRight w:val="0"/>
      <w:marTop w:val="0"/>
      <w:marBottom w:val="0"/>
      <w:divBdr>
        <w:top w:val="none" w:sz="0" w:space="0" w:color="auto"/>
        <w:left w:val="none" w:sz="0" w:space="0" w:color="auto"/>
        <w:bottom w:val="none" w:sz="0" w:space="0" w:color="auto"/>
        <w:right w:val="none" w:sz="0" w:space="0" w:color="auto"/>
      </w:divBdr>
      <w:divsChild>
        <w:div w:id="1231843792">
          <w:marLeft w:val="0"/>
          <w:marRight w:val="0"/>
          <w:marTop w:val="0"/>
          <w:marBottom w:val="0"/>
          <w:divBdr>
            <w:top w:val="none" w:sz="0" w:space="0" w:color="auto"/>
            <w:left w:val="none" w:sz="0" w:space="0" w:color="auto"/>
            <w:bottom w:val="none" w:sz="0" w:space="0" w:color="auto"/>
            <w:right w:val="none" w:sz="0" w:space="0" w:color="auto"/>
          </w:divBdr>
        </w:div>
        <w:div w:id="1540632358">
          <w:marLeft w:val="0"/>
          <w:marRight w:val="0"/>
          <w:marTop w:val="0"/>
          <w:marBottom w:val="0"/>
          <w:divBdr>
            <w:top w:val="none" w:sz="0" w:space="0" w:color="auto"/>
            <w:left w:val="none" w:sz="0" w:space="0" w:color="auto"/>
            <w:bottom w:val="none" w:sz="0" w:space="0" w:color="auto"/>
            <w:right w:val="none" w:sz="0" w:space="0" w:color="auto"/>
          </w:divBdr>
        </w:div>
        <w:div w:id="1664240157">
          <w:marLeft w:val="0"/>
          <w:marRight w:val="0"/>
          <w:marTop w:val="0"/>
          <w:marBottom w:val="0"/>
          <w:divBdr>
            <w:top w:val="none" w:sz="0" w:space="0" w:color="auto"/>
            <w:left w:val="none" w:sz="0" w:space="0" w:color="auto"/>
            <w:bottom w:val="none" w:sz="0" w:space="0" w:color="auto"/>
            <w:right w:val="none" w:sz="0" w:space="0" w:color="auto"/>
          </w:divBdr>
        </w:div>
      </w:divsChild>
    </w:div>
    <w:div w:id="1376084663">
      <w:bodyDiv w:val="1"/>
      <w:marLeft w:val="0"/>
      <w:marRight w:val="0"/>
      <w:marTop w:val="0"/>
      <w:marBottom w:val="0"/>
      <w:divBdr>
        <w:top w:val="none" w:sz="0" w:space="0" w:color="auto"/>
        <w:left w:val="none" w:sz="0" w:space="0" w:color="auto"/>
        <w:bottom w:val="none" w:sz="0" w:space="0" w:color="auto"/>
        <w:right w:val="none" w:sz="0" w:space="0" w:color="auto"/>
      </w:divBdr>
    </w:div>
    <w:div w:id="1377781554">
      <w:bodyDiv w:val="1"/>
      <w:marLeft w:val="0"/>
      <w:marRight w:val="0"/>
      <w:marTop w:val="0"/>
      <w:marBottom w:val="0"/>
      <w:divBdr>
        <w:top w:val="none" w:sz="0" w:space="0" w:color="auto"/>
        <w:left w:val="none" w:sz="0" w:space="0" w:color="auto"/>
        <w:bottom w:val="none" w:sz="0" w:space="0" w:color="auto"/>
        <w:right w:val="none" w:sz="0" w:space="0" w:color="auto"/>
      </w:divBdr>
      <w:divsChild>
        <w:div w:id="943348514">
          <w:marLeft w:val="0"/>
          <w:marRight w:val="0"/>
          <w:marTop w:val="0"/>
          <w:marBottom w:val="0"/>
          <w:divBdr>
            <w:top w:val="none" w:sz="0" w:space="0" w:color="auto"/>
            <w:left w:val="none" w:sz="0" w:space="0" w:color="auto"/>
            <w:bottom w:val="none" w:sz="0" w:space="0" w:color="auto"/>
            <w:right w:val="none" w:sz="0" w:space="0" w:color="auto"/>
          </w:divBdr>
        </w:div>
        <w:div w:id="1285582337">
          <w:marLeft w:val="0"/>
          <w:marRight w:val="0"/>
          <w:marTop w:val="0"/>
          <w:marBottom w:val="0"/>
          <w:divBdr>
            <w:top w:val="none" w:sz="0" w:space="0" w:color="auto"/>
            <w:left w:val="none" w:sz="0" w:space="0" w:color="auto"/>
            <w:bottom w:val="none" w:sz="0" w:space="0" w:color="auto"/>
            <w:right w:val="none" w:sz="0" w:space="0" w:color="auto"/>
          </w:divBdr>
        </w:div>
      </w:divsChild>
    </w:div>
    <w:div w:id="1379234388">
      <w:bodyDiv w:val="1"/>
      <w:marLeft w:val="0"/>
      <w:marRight w:val="0"/>
      <w:marTop w:val="0"/>
      <w:marBottom w:val="0"/>
      <w:divBdr>
        <w:top w:val="none" w:sz="0" w:space="0" w:color="auto"/>
        <w:left w:val="none" w:sz="0" w:space="0" w:color="auto"/>
        <w:bottom w:val="none" w:sz="0" w:space="0" w:color="auto"/>
        <w:right w:val="none" w:sz="0" w:space="0" w:color="auto"/>
      </w:divBdr>
    </w:div>
    <w:div w:id="1407655680">
      <w:bodyDiv w:val="1"/>
      <w:marLeft w:val="0"/>
      <w:marRight w:val="0"/>
      <w:marTop w:val="0"/>
      <w:marBottom w:val="0"/>
      <w:divBdr>
        <w:top w:val="none" w:sz="0" w:space="0" w:color="auto"/>
        <w:left w:val="none" w:sz="0" w:space="0" w:color="auto"/>
        <w:bottom w:val="none" w:sz="0" w:space="0" w:color="auto"/>
        <w:right w:val="none" w:sz="0" w:space="0" w:color="auto"/>
      </w:divBdr>
    </w:div>
    <w:div w:id="1408072154">
      <w:bodyDiv w:val="1"/>
      <w:marLeft w:val="0"/>
      <w:marRight w:val="0"/>
      <w:marTop w:val="0"/>
      <w:marBottom w:val="0"/>
      <w:divBdr>
        <w:top w:val="none" w:sz="0" w:space="0" w:color="auto"/>
        <w:left w:val="none" w:sz="0" w:space="0" w:color="auto"/>
        <w:bottom w:val="none" w:sz="0" w:space="0" w:color="auto"/>
        <w:right w:val="none" w:sz="0" w:space="0" w:color="auto"/>
      </w:divBdr>
    </w:div>
    <w:div w:id="1412897780">
      <w:bodyDiv w:val="1"/>
      <w:marLeft w:val="0"/>
      <w:marRight w:val="0"/>
      <w:marTop w:val="0"/>
      <w:marBottom w:val="0"/>
      <w:divBdr>
        <w:top w:val="none" w:sz="0" w:space="0" w:color="auto"/>
        <w:left w:val="none" w:sz="0" w:space="0" w:color="auto"/>
        <w:bottom w:val="none" w:sz="0" w:space="0" w:color="auto"/>
        <w:right w:val="none" w:sz="0" w:space="0" w:color="auto"/>
      </w:divBdr>
    </w:div>
    <w:div w:id="1414207211">
      <w:bodyDiv w:val="1"/>
      <w:marLeft w:val="0"/>
      <w:marRight w:val="0"/>
      <w:marTop w:val="0"/>
      <w:marBottom w:val="0"/>
      <w:divBdr>
        <w:top w:val="none" w:sz="0" w:space="0" w:color="auto"/>
        <w:left w:val="none" w:sz="0" w:space="0" w:color="auto"/>
        <w:bottom w:val="none" w:sz="0" w:space="0" w:color="auto"/>
        <w:right w:val="none" w:sz="0" w:space="0" w:color="auto"/>
      </w:divBdr>
      <w:divsChild>
        <w:div w:id="211767290">
          <w:marLeft w:val="0"/>
          <w:marRight w:val="0"/>
          <w:marTop w:val="0"/>
          <w:marBottom w:val="0"/>
          <w:divBdr>
            <w:top w:val="none" w:sz="0" w:space="0" w:color="auto"/>
            <w:left w:val="none" w:sz="0" w:space="0" w:color="auto"/>
            <w:bottom w:val="none" w:sz="0" w:space="0" w:color="auto"/>
            <w:right w:val="none" w:sz="0" w:space="0" w:color="auto"/>
          </w:divBdr>
        </w:div>
      </w:divsChild>
    </w:div>
    <w:div w:id="1420787673">
      <w:bodyDiv w:val="1"/>
      <w:marLeft w:val="0"/>
      <w:marRight w:val="0"/>
      <w:marTop w:val="0"/>
      <w:marBottom w:val="0"/>
      <w:divBdr>
        <w:top w:val="none" w:sz="0" w:space="0" w:color="auto"/>
        <w:left w:val="none" w:sz="0" w:space="0" w:color="auto"/>
        <w:bottom w:val="none" w:sz="0" w:space="0" w:color="auto"/>
        <w:right w:val="none" w:sz="0" w:space="0" w:color="auto"/>
      </w:divBdr>
      <w:divsChild>
        <w:div w:id="310453353">
          <w:marLeft w:val="0"/>
          <w:marRight w:val="0"/>
          <w:marTop w:val="0"/>
          <w:marBottom w:val="0"/>
          <w:divBdr>
            <w:top w:val="none" w:sz="0" w:space="0" w:color="auto"/>
            <w:left w:val="none" w:sz="0" w:space="0" w:color="auto"/>
            <w:bottom w:val="none" w:sz="0" w:space="0" w:color="auto"/>
            <w:right w:val="none" w:sz="0" w:space="0" w:color="auto"/>
          </w:divBdr>
          <w:divsChild>
            <w:div w:id="1864007396">
              <w:marLeft w:val="0"/>
              <w:marRight w:val="0"/>
              <w:marTop w:val="0"/>
              <w:marBottom w:val="0"/>
              <w:divBdr>
                <w:top w:val="none" w:sz="0" w:space="0" w:color="auto"/>
                <w:left w:val="none" w:sz="0" w:space="0" w:color="auto"/>
                <w:bottom w:val="none" w:sz="0" w:space="0" w:color="auto"/>
                <w:right w:val="none" w:sz="0" w:space="0" w:color="auto"/>
              </w:divBdr>
              <w:divsChild>
                <w:div w:id="867646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540673">
      <w:bodyDiv w:val="1"/>
      <w:marLeft w:val="0"/>
      <w:marRight w:val="0"/>
      <w:marTop w:val="0"/>
      <w:marBottom w:val="0"/>
      <w:divBdr>
        <w:top w:val="none" w:sz="0" w:space="0" w:color="auto"/>
        <w:left w:val="none" w:sz="0" w:space="0" w:color="auto"/>
        <w:bottom w:val="none" w:sz="0" w:space="0" w:color="auto"/>
        <w:right w:val="none" w:sz="0" w:space="0" w:color="auto"/>
      </w:divBdr>
    </w:div>
    <w:div w:id="1448155657">
      <w:bodyDiv w:val="1"/>
      <w:marLeft w:val="0"/>
      <w:marRight w:val="0"/>
      <w:marTop w:val="0"/>
      <w:marBottom w:val="0"/>
      <w:divBdr>
        <w:top w:val="none" w:sz="0" w:space="0" w:color="auto"/>
        <w:left w:val="none" w:sz="0" w:space="0" w:color="auto"/>
        <w:bottom w:val="none" w:sz="0" w:space="0" w:color="auto"/>
        <w:right w:val="none" w:sz="0" w:space="0" w:color="auto"/>
      </w:divBdr>
    </w:div>
    <w:div w:id="1448768151">
      <w:bodyDiv w:val="1"/>
      <w:marLeft w:val="0"/>
      <w:marRight w:val="0"/>
      <w:marTop w:val="0"/>
      <w:marBottom w:val="0"/>
      <w:divBdr>
        <w:top w:val="none" w:sz="0" w:space="0" w:color="auto"/>
        <w:left w:val="none" w:sz="0" w:space="0" w:color="auto"/>
        <w:bottom w:val="none" w:sz="0" w:space="0" w:color="auto"/>
        <w:right w:val="none" w:sz="0" w:space="0" w:color="auto"/>
      </w:divBdr>
    </w:div>
    <w:div w:id="1449659954">
      <w:bodyDiv w:val="1"/>
      <w:marLeft w:val="0"/>
      <w:marRight w:val="0"/>
      <w:marTop w:val="0"/>
      <w:marBottom w:val="0"/>
      <w:divBdr>
        <w:top w:val="none" w:sz="0" w:space="0" w:color="auto"/>
        <w:left w:val="none" w:sz="0" w:space="0" w:color="auto"/>
        <w:bottom w:val="none" w:sz="0" w:space="0" w:color="auto"/>
        <w:right w:val="none" w:sz="0" w:space="0" w:color="auto"/>
      </w:divBdr>
    </w:div>
    <w:div w:id="1460536035">
      <w:bodyDiv w:val="1"/>
      <w:marLeft w:val="0"/>
      <w:marRight w:val="0"/>
      <w:marTop w:val="0"/>
      <w:marBottom w:val="0"/>
      <w:divBdr>
        <w:top w:val="none" w:sz="0" w:space="0" w:color="auto"/>
        <w:left w:val="none" w:sz="0" w:space="0" w:color="auto"/>
        <w:bottom w:val="none" w:sz="0" w:space="0" w:color="auto"/>
        <w:right w:val="none" w:sz="0" w:space="0" w:color="auto"/>
      </w:divBdr>
    </w:div>
    <w:div w:id="1479876694">
      <w:bodyDiv w:val="1"/>
      <w:marLeft w:val="0"/>
      <w:marRight w:val="0"/>
      <w:marTop w:val="0"/>
      <w:marBottom w:val="0"/>
      <w:divBdr>
        <w:top w:val="none" w:sz="0" w:space="0" w:color="auto"/>
        <w:left w:val="none" w:sz="0" w:space="0" w:color="auto"/>
        <w:bottom w:val="none" w:sz="0" w:space="0" w:color="auto"/>
        <w:right w:val="none" w:sz="0" w:space="0" w:color="auto"/>
      </w:divBdr>
    </w:div>
    <w:div w:id="1481849809">
      <w:bodyDiv w:val="1"/>
      <w:marLeft w:val="0"/>
      <w:marRight w:val="0"/>
      <w:marTop w:val="0"/>
      <w:marBottom w:val="0"/>
      <w:divBdr>
        <w:top w:val="none" w:sz="0" w:space="0" w:color="auto"/>
        <w:left w:val="none" w:sz="0" w:space="0" w:color="auto"/>
        <w:bottom w:val="none" w:sz="0" w:space="0" w:color="auto"/>
        <w:right w:val="none" w:sz="0" w:space="0" w:color="auto"/>
      </w:divBdr>
      <w:divsChild>
        <w:div w:id="578295051">
          <w:marLeft w:val="0"/>
          <w:marRight w:val="0"/>
          <w:marTop w:val="0"/>
          <w:marBottom w:val="0"/>
          <w:divBdr>
            <w:top w:val="none" w:sz="0" w:space="0" w:color="auto"/>
            <w:left w:val="none" w:sz="0" w:space="0" w:color="auto"/>
            <w:bottom w:val="none" w:sz="0" w:space="0" w:color="auto"/>
            <w:right w:val="none" w:sz="0" w:space="0" w:color="auto"/>
          </w:divBdr>
          <w:divsChild>
            <w:div w:id="501287551">
              <w:marLeft w:val="0"/>
              <w:marRight w:val="0"/>
              <w:marTop w:val="0"/>
              <w:marBottom w:val="0"/>
              <w:divBdr>
                <w:top w:val="none" w:sz="0" w:space="0" w:color="auto"/>
                <w:left w:val="none" w:sz="0" w:space="0" w:color="auto"/>
                <w:bottom w:val="none" w:sz="0" w:space="0" w:color="auto"/>
                <w:right w:val="none" w:sz="0" w:space="0" w:color="auto"/>
              </w:divBdr>
              <w:divsChild>
                <w:div w:id="1361399267">
                  <w:marLeft w:val="0"/>
                  <w:marRight w:val="0"/>
                  <w:marTop w:val="0"/>
                  <w:marBottom w:val="0"/>
                  <w:divBdr>
                    <w:top w:val="none" w:sz="0" w:space="0" w:color="auto"/>
                    <w:left w:val="none" w:sz="0" w:space="0" w:color="auto"/>
                    <w:bottom w:val="none" w:sz="0" w:space="0" w:color="auto"/>
                    <w:right w:val="none" w:sz="0" w:space="0" w:color="auto"/>
                  </w:divBdr>
                  <w:divsChild>
                    <w:div w:id="192344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4681659">
      <w:bodyDiv w:val="1"/>
      <w:marLeft w:val="0"/>
      <w:marRight w:val="0"/>
      <w:marTop w:val="0"/>
      <w:marBottom w:val="0"/>
      <w:divBdr>
        <w:top w:val="none" w:sz="0" w:space="0" w:color="auto"/>
        <w:left w:val="none" w:sz="0" w:space="0" w:color="auto"/>
        <w:bottom w:val="none" w:sz="0" w:space="0" w:color="auto"/>
        <w:right w:val="none" w:sz="0" w:space="0" w:color="auto"/>
      </w:divBdr>
      <w:divsChild>
        <w:div w:id="1537542867">
          <w:marLeft w:val="0"/>
          <w:marRight w:val="0"/>
          <w:marTop w:val="0"/>
          <w:marBottom w:val="0"/>
          <w:divBdr>
            <w:top w:val="none" w:sz="0" w:space="0" w:color="auto"/>
            <w:left w:val="none" w:sz="0" w:space="0" w:color="auto"/>
            <w:bottom w:val="none" w:sz="0" w:space="0" w:color="auto"/>
            <w:right w:val="none" w:sz="0" w:space="0" w:color="auto"/>
          </w:divBdr>
          <w:divsChild>
            <w:div w:id="2026396888">
              <w:marLeft w:val="0"/>
              <w:marRight w:val="0"/>
              <w:marTop w:val="0"/>
              <w:marBottom w:val="0"/>
              <w:divBdr>
                <w:top w:val="none" w:sz="0" w:space="0" w:color="auto"/>
                <w:left w:val="none" w:sz="0" w:space="0" w:color="auto"/>
                <w:bottom w:val="none" w:sz="0" w:space="0" w:color="auto"/>
                <w:right w:val="none" w:sz="0" w:space="0" w:color="auto"/>
              </w:divBdr>
              <w:divsChild>
                <w:div w:id="901981513">
                  <w:marLeft w:val="0"/>
                  <w:marRight w:val="0"/>
                  <w:marTop w:val="0"/>
                  <w:marBottom w:val="0"/>
                  <w:divBdr>
                    <w:top w:val="none" w:sz="0" w:space="0" w:color="auto"/>
                    <w:left w:val="none" w:sz="0" w:space="0" w:color="auto"/>
                    <w:bottom w:val="none" w:sz="0" w:space="0" w:color="auto"/>
                    <w:right w:val="none" w:sz="0" w:space="0" w:color="auto"/>
                  </w:divBdr>
                  <w:divsChild>
                    <w:div w:id="122822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3474929">
      <w:bodyDiv w:val="1"/>
      <w:marLeft w:val="0"/>
      <w:marRight w:val="0"/>
      <w:marTop w:val="0"/>
      <w:marBottom w:val="0"/>
      <w:divBdr>
        <w:top w:val="none" w:sz="0" w:space="0" w:color="auto"/>
        <w:left w:val="none" w:sz="0" w:space="0" w:color="auto"/>
        <w:bottom w:val="none" w:sz="0" w:space="0" w:color="auto"/>
        <w:right w:val="none" w:sz="0" w:space="0" w:color="auto"/>
      </w:divBdr>
    </w:div>
    <w:div w:id="1509641848">
      <w:bodyDiv w:val="1"/>
      <w:marLeft w:val="0"/>
      <w:marRight w:val="0"/>
      <w:marTop w:val="0"/>
      <w:marBottom w:val="0"/>
      <w:divBdr>
        <w:top w:val="none" w:sz="0" w:space="0" w:color="auto"/>
        <w:left w:val="none" w:sz="0" w:space="0" w:color="auto"/>
        <w:bottom w:val="none" w:sz="0" w:space="0" w:color="auto"/>
        <w:right w:val="none" w:sz="0" w:space="0" w:color="auto"/>
      </w:divBdr>
    </w:div>
    <w:div w:id="1511487825">
      <w:bodyDiv w:val="1"/>
      <w:marLeft w:val="0"/>
      <w:marRight w:val="0"/>
      <w:marTop w:val="0"/>
      <w:marBottom w:val="0"/>
      <w:divBdr>
        <w:top w:val="none" w:sz="0" w:space="0" w:color="auto"/>
        <w:left w:val="none" w:sz="0" w:space="0" w:color="auto"/>
        <w:bottom w:val="none" w:sz="0" w:space="0" w:color="auto"/>
        <w:right w:val="none" w:sz="0" w:space="0" w:color="auto"/>
      </w:divBdr>
    </w:div>
    <w:div w:id="1522864939">
      <w:bodyDiv w:val="1"/>
      <w:marLeft w:val="0"/>
      <w:marRight w:val="0"/>
      <w:marTop w:val="0"/>
      <w:marBottom w:val="0"/>
      <w:divBdr>
        <w:top w:val="none" w:sz="0" w:space="0" w:color="auto"/>
        <w:left w:val="none" w:sz="0" w:space="0" w:color="auto"/>
        <w:bottom w:val="none" w:sz="0" w:space="0" w:color="auto"/>
        <w:right w:val="none" w:sz="0" w:space="0" w:color="auto"/>
      </w:divBdr>
    </w:div>
    <w:div w:id="1529561194">
      <w:bodyDiv w:val="1"/>
      <w:marLeft w:val="0"/>
      <w:marRight w:val="0"/>
      <w:marTop w:val="0"/>
      <w:marBottom w:val="0"/>
      <w:divBdr>
        <w:top w:val="none" w:sz="0" w:space="0" w:color="auto"/>
        <w:left w:val="none" w:sz="0" w:space="0" w:color="auto"/>
        <w:bottom w:val="none" w:sz="0" w:space="0" w:color="auto"/>
        <w:right w:val="none" w:sz="0" w:space="0" w:color="auto"/>
      </w:divBdr>
    </w:div>
    <w:div w:id="1532497026">
      <w:bodyDiv w:val="1"/>
      <w:marLeft w:val="0"/>
      <w:marRight w:val="0"/>
      <w:marTop w:val="0"/>
      <w:marBottom w:val="0"/>
      <w:divBdr>
        <w:top w:val="none" w:sz="0" w:space="0" w:color="auto"/>
        <w:left w:val="none" w:sz="0" w:space="0" w:color="auto"/>
        <w:bottom w:val="none" w:sz="0" w:space="0" w:color="auto"/>
        <w:right w:val="none" w:sz="0" w:space="0" w:color="auto"/>
      </w:divBdr>
    </w:div>
    <w:div w:id="1536845223">
      <w:bodyDiv w:val="1"/>
      <w:marLeft w:val="0"/>
      <w:marRight w:val="0"/>
      <w:marTop w:val="0"/>
      <w:marBottom w:val="0"/>
      <w:divBdr>
        <w:top w:val="none" w:sz="0" w:space="0" w:color="auto"/>
        <w:left w:val="none" w:sz="0" w:space="0" w:color="auto"/>
        <w:bottom w:val="none" w:sz="0" w:space="0" w:color="auto"/>
        <w:right w:val="none" w:sz="0" w:space="0" w:color="auto"/>
      </w:divBdr>
    </w:div>
    <w:div w:id="1538275764">
      <w:bodyDiv w:val="1"/>
      <w:marLeft w:val="0"/>
      <w:marRight w:val="0"/>
      <w:marTop w:val="0"/>
      <w:marBottom w:val="0"/>
      <w:divBdr>
        <w:top w:val="none" w:sz="0" w:space="0" w:color="auto"/>
        <w:left w:val="none" w:sz="0" w:space="0" w:color="auto"/>
        <w:bottom w:val="none" w:sz="0" w:space="0" w:color="auto"/>
        <w:right w:val="none" w:sz="0" w:space="0" w:color="auto"/>
      </w:divBdr>
    </w:div>
    <w:div w:id="1557812543">
      <w:bodyDiv w:val="1"/>
      <w:marLeft w:val="0"/>
      <w:marRight w:val="0"/>
      <w:marTop w:val="0"/>
      <w:marBottom w:val="0"/>
      <w:divBdr>
        <w:top w:val="none" w:sz="0" w:space="0" w:color="auto"/>
        <w:left w:val="none" w:sz="0" w:space="0" w:color="auto"/>
        <w:bottom w:val="none" w:sz="0" w:space="0" w:color="auto"/>
        <w:right w:val="none" w:sz="0" w:space="0" w:color="auto"/>
      </w:divBdr>
    </w:div>
    <w:div w:id="1560168381">
      <w:bodyDiv w:val="1"/>
      <w:marLeft w:val="0"/>
      <w:marRight w:val="0"/>
      <w:marTop w:val="0"/>
      <w:marBottom w:val="0"/>
      <w:divBdr>
        <w:top w:val="none" w:sz="0" w:space="0" w:color="auto"/>
        <w:left w:val="none" w:sz="0" w:space="0" w:color="auto"/>
        <w:bottom w:val="none" w:sz="0" w:space="0" w:color="auto"/>
        <w:right w:val="none" w:sz="0" w:space="0" w:color="auto"/>
      </w:divBdr>
      <w:divsChild>
        <w:div w:id="2060785875">
          <w:marLeft w:val="0"/>
          <w:marRight w:val="0"/>
          <w:marTop w:val="0"/>
          <w:marBottom w:val="0"/>
          <w:divBdr>
            <w:top w:val="none" w:sz="0" w:space="0" w:color="auto"/>
            <w:left w:val="none" w:sz="0" w:space="0" w:color="auto"/>
            <w:bottom w:val="none" w:sz="0" w:space="0" w:color="auto"/>
            <w:right w:val="none" w:sz="0" w:space="0" w:color="auto"/>
          </w:divBdr>
        </w:div>
      </w:divsChild>
    </w:div>
    <w:div w:id="1565792243">
      <w:bodyDiv w:val="1"/>
      <w:marLeft w:val="0"/>
      <w:marRight w:val="0"/>
      <w:marTop w:val="0"/>
      <w:marBottom w:val="0"/>
      <w:divBdr>
        <w:top w:val="none" w:sz="0" w:space="0" w:color="auto"/>
        <w:left w:val="none" w:sz="0" w:space="0" w:color="auto"/>
        <w:bottom w:val="none" w:sz="0" w:space="0" w:color="auto"/>
        <w:right w:val="none" w:sz="0" w:space="0" w:color="auto"/>
      </w:divBdr>
    </w:div>
    <w:div w:id="1586262199">
      <w:bodyDiv w:val="1"/>
      <w:marLeft w:val="0"/>
      <w:marRight w:val="0"/>
      <w:marTop w:val="0"/>
      <w:marBottom w:val="0"/>
      <w:divBdr>
        <w:top w:val="none" w:sz="0" w:space="0" w:color="auto"/>
        <w:left w:val="none" w:sz="0" w:space="0" w:color="auto"/>
        <w:bottom w:val="none" w:sz="0" w:space="0" w:color="auto"/>
        <w:right w:val="none" w:sz="0" w:space="0" w:color="auto"/>
      </w:divBdr>
    </w:div>
    <w:div w:id="1592159565">
      <w:bodyDiv w:val="1"/>
      <w:marLeft w:val="0"/>
      <w:marRight w:val="0"/>
      <w:marTop w:val="0"/>
      <w:marBottom w:val="0"/>
      <w:divBdr>
        <w:top w:val="none" w:sz="0" w:space="0" w:color="auto"/>
        <w:left w:val="none" w:sz="0" w:space="0" w:color="auto"/>
        <w:bottom w:val="none" w:sz="0" w:space="0" w:color="auto"/>
        <w:right w:val="none" w:sz="0" w:space="0" w:color="auto"/>
      </w:divBdr>
    </w:div>
    <w:div w:id="1602295333">
      <w:bodyDiv w:val="1"/>
      <w:marLeft w:val="0"/>
      <w:marRight w:val="0"/>
      <w:marTop w:val="0"/>
      <w:marBottom w:val="0"/>
      <w:divBdr>
        <w:top w:val="none" w:sz="0" w:space="0" w:color="auto"/>
        <w:left w:val="none" w:sz="0" w:space="0" w:color="auto"/>
        <w:bottom w:val="none" w:sz="0" w:space="0" w:color="auto"/>
        <w:right w:val="none" w:sz="0" w:space="0" w:color="auto"/>
      </w:divBdr>
    </w:div>
    <w:div w:id="1602372646">
      <w:bodyDiv w:val="1"/>
      <w:marLeft w:val="0"/>
      <w:marRight w:val="0"/>
      <w:marTop w:val="0"/>
      <w:marBottom w:val="0"/>
      <w:divBdr>
        <w:top w:val="none" w:sz="0" w:space="0" w:color="auto"/>
        <w:left w:val="none" w:sz="0" w:space="0" w:color="auto"/>
        <w:bottom w:val="none" w:sz="0" w:space="0" w:color="auto"/>
        <w:right w:val="none" w:sz="0" w:space="0" w:color="auto"/>
      </w:divBdr>
      <w:divsChild>
        <w:div w:id="82382927">
          <w:marLeft w:val="0"/>
          <w:marRight w:val="0"/>
          <w:marTop w:val="0"/>
          <w:marBottom w:val="0"/>
          <w:divBdr>
            <w:top w:val="none" w:sz="0" w:space="0" w:color="auto"/>
            <w:left w:val="none" w:sz="0" w:space="0" w:color="auto"/>
            <w:bottom w:val="none" w:sz="0" w:space="0" w:color="auto"/>
            <w:right w:val="none" w:sz="0" w:space="0" w:color="auto"/>
          </w:divBdr>
        </w:div>
        <w:div w:id="298345963">
          <w:marLeft w:val="0"/>
          <w:marRight w:val="0"/>
          <w:marTop w:val="0"/>
          <w:marBottom w:val="0"/>
          <w:divBdr>
            <w:top w:val="none" w:sz="0" w:space="0" w:color="auto"/>
            <w:left w:val="none" w:sz="0" w:space="0" w:color="auto"/>
            <w:bottom w:val="none" w:sz="0" w:space="0" w:color="auto"/>
            <w:right w:val="none" w:sz="0" w:space="0" w:color="auto"/>
          </w:divBdr>
        </w:div>
        <w:div w:id="1097411696">
          <w:marLeft w:val="0"/>
          <w:marRight w:val="0"/>
          <w:marTop w:val="0"/>
          <w:marBottom w:val="0"/>
          <w:divBdr>
            <w:top w:val="none" w:sz="0" w:space="0" w:color="auto"/>
            <w:left w:val="none" w:sz="0" w:space="0" w:color="auto"/>
            <w:bottom w:val="none" w:sz="0" w:space="0" w:color="auto"/>
            <w:right w:val="none" w:sz="0" w:space="0" w:color="auto"/>
          </w:divBdr>
        </w:div>
        <w:div w:id="1268390577">
          <w:marLeft w:val="0"/>
          <w:marRight w:val="0"/>
          <w:marTop w:val="0"/>
          <w:marBottom w:val="0"/>
          <w:divBdr>
            <w:top w:val="none" w:sz="0" w:space="0" w:color="auto"/>
            <w:left w:val="none" w:sz="0" w:space="0" w:color="auto"/>
            <w:bottom w:val="none" w:sz="0" w:space="0" w:color="auto"/>
            <w:right w:val="none" w:sz="0" w:space="0" w:color="auto"/>
          </w:divBdr>
        </w:div>
      </w:divsChild>
    </w:div>
    <w:div w:id="1605726721">
      <w:bodyDiv w:val="1"/>
      <w:marLeft w:val="0"/>
      <w:marRight w:val="0"/>
      <w:marTop w:val="0"/>
      <w:marBottom w:val="0"/>
      <w:divBdr>
        <w:top w:val="none" w:sz="0" w:space="0" w:color="auto"/>
        <w:left w:val="none" w:sz="0" w:space="0" w:color="auto"/>
        <w:bottom w:val="none" w:sz="0" w:space="0" w:color="auto"/>
        <w:right w:val="none" w:sz="0" w:space="0" w:color="auto"/>
      </w:divBdr>
    </w:div>
    <w:div w:id="1612980246">
      <w:bodyDiv w:val="1"/>
      <w:marLeft w:val="0"/>
      <w:marRight w:val="0"/>
      <w:marTop w:val="0"/>
      <w:marBottom w:val="0"/>
      <w:divBdr>
        <w:top w:val="none" w:sz="0" w:space="0" w:color="auto"/>
        <w:left w:val="none" w:sz="0" w:space="0" w:color="auto"/>
        <w:bottom w:val="none" w:sz="0" w:space="0" w:color="auto"/>
        <w:right w:val="none" w:sz="0" w:space="0" w:color="auto"/>
      </w:divBdr>
      <w:divsChild>
        <w:div w:id="429739810">
          <w:marLeft w:val="0"/>
          <w:marRight w:val="0"/>
          <w:marTop w:val="0"/>
          <w:marBottom w:val="0"/>
          <w:divBdr>
            <w:top w:val="none" w:sz="0" w:space="0" w:color="auto"/>
            <w:left w:val="none" w:sz="0" w:space="0" w:color="auto"/>
            <w:bottom w:val="none" w:sz="0" w:space="0" w:color="auto"/>
            <w:right w:val="none" w:sz="0" w:space="0" w:color="auto"/>
          </w:divBdr>
        </w:div>
        <w:div w:id="805975868">
          <w:marLeft w:val="0"/>
          <w:marRight w:val="0"/>
          <w:marTop w:val="0"/>
          <w:marBottom w:val="0"/>
          <w:divBdr>
            <w:top w:val="none" w:sz="0" w:space="0" w:color="auto"/>
            <w:left w:val="none" w:sz="0" w:space="0" w:color="auto"/>
            <w:bottom w:val="none" w:sz="0" w:space="0" w:color="auto"/>
            <w:right w:val="none" w:sz="0" w:space="0" w:color="auto"/>
          </w:divBdr>
        </w:div>
        <w:div w:id="1010911875">
          <w:marLeft w:val="0"/>
          <w:marRight w:val="0"/>
          <w:marTop w:val="0"/>
          <w:marBottom w:val="0"/>
          <w:divBdr>
            <w:top w:val="none" w:sz="0" w:space="0" w:color="auto"/>
            <w:left w:val="none" w:sz="0" w:space="0" w:color="auto"/>
            <w:bottom w:val="none" w:sz="0" w:space="0" w:color="auto"/>
            <w:right w:val="none" w:sz="0" w:space="0" w:color="auto"/>
          </w:divBdr>
        </w:div>
      </w:divsChild>
    </w:div>
    <w:div w:id="1614895244">
      <w:bodyDiv w:val="1"/>
      <w:marLeft w:val="0"/>
      <w:marRight w:val="0"/>
      <w:marTop w:val="0"/>
      <w:marBottom w:val="0"/>
      <w:divBdr>
        <w:top w:val="none" w:sz="0" w:space="0" w:color="auto"/>
        <w:left w:val="none" w:sz="0" w:space="0" w:color="auto"/>
        <w:bottom w:val="none" w:sz="0" w:space="0" w:color="auto"/>
        <w:right w:val="none" w:sz="0" w:space="0" w:color="auto"/>
      </w:divBdr>
    </w:div>
    <w:div w:id="1620338138">
      <w:bodyDiv w:val="1"/>
      <w:marLeft w:val="0"/>
      <w:marRight w:val="0"/>
      <w:marTop w:val="0"/>
      <w:marBottom w:val="0"/>
      <w:divBdr>
        <w:top w:val="none" w:sz="0" w:space="0" w:color="auto"/>
        <w:left w:val="none" w:sz="0" w:space="0" w:color="auto"/>
        <w:bottom w:val="none" w:sz="0" w:space="0" w:color="auto"/>
        <w:right w:val="none" w:sz="0" w:space="0" w:color="auto"/>
      </w:divBdr>
      <w:divsChild>
        <w:div w:id="1044132770">
          <w:marLeft w:val="547"/>
          <w:marRight w:val="0"/>
          <w:marTop w:val="0"/>
          <w:marBottom w:val="0"/>
          <w:divBdr>
            <w:top w:val="none" w:sz="0" w:space="0" w:color="auto"/>
            <w:left w:val="none" w:sz="0" w:space="0" w:color="auto"/>
            <w:bottom w:val="none" w:sz="0" w:space="0" w:color="auto"/>
            <w:right w:val="none" w:sz="0" w:space="0" w:color="auto"/>
          </w:divBdr>
        </w:div>
      </w:divsChild>
    </w:div>
    <w:div w:id="1635328067">
      <w:bodyDiv w:val="1"/>
      <w:marLeft w:val="0"/>
      <w:marRight w:val="0"/>
      <w:marTop w:val="0"/>
      <w:marBottom w:val="0"/>
      <w:divBdr>
        <w:top w:val="none" w:sz="0" w:space="0" w:color="auto"/>
        <w:left w:val="none" w:sz="0" w:space="0" w:color="auto"/>
        <w:bottom w:val="none" w:sz="0" w:space="0" w:color="auto"/>
        <w:right w:val="none" w:sz="0" w:space="0" w:color="auto"/>
      </w:divBdr>
    </w:div>
    <w:div w:id="1644698907">
      <w:bodyDiv w:val="1"/>
      <w:marLeft w:val="0"/>
      <w:marRight w:val="0"/>
      <w:marTop w:val="0"/>
      <w:marBottom w:val="0"/>
      <w:divBdr>
        <w:top w:val="none" w:sz="0" w:space="0" w:color="auto"/>
        <w:left w:val="none" w:sz="0" w:space="0" w:color="auto"/>
        <w:bottom w:val="none" w:sz="0" w:space="0" w:color="auto"/>
        <w:right w:val="none" w:sz="0" w:space="0" w:color="auto"/>
      </w:divBdr>
    </w:div>
    <w:div w:id="1646205749">
      <w:bodyDiv w:val="1"/>
      <w:marLeft w:val="0"/>
      <w:marRight w:val="0"/>
      <w:marTop w:val="0"/>
      <w:marBottom w:val="0"/>
      <w:divBdr>
        <w:top w:val="none" w:sz="0" w:space="0" w:color="auto"/>
        <w:left w:val="none" w:sz="0" w:space="0" w:color="auto"/>
        <w:bottom w:val="none" w:sz="0" w:space="0" w:color="auto"/>
        <w:right w:val="none" w:sz="0" w:space="0" w:color="auto"/>
      </w:divBdr>
    </w:div>
    <w:div w:id="1648969591">
      <w:bodyDiv w:val="1"/>
      <w:marLeft w:val="0"/>
      <w:marRight w:val="0"/>
      <w:marTop w:val="0"/>
      <w:marBottom w:val="0"/>
      <w:divBdr>
        <w:top w:val="none" w:sz="0" w:space="0" w:color="auto"/>
        <w:left w:val="none" w:sz="0" w:space="0" w:color="auto"/>
        <w:bottom w:val="none" w:sz="0" w:space="0" w:color="auto"/>
        <w:right w:val="none" w:sz="0" w:space="0" w:color="auto"/>
      </w:divBdr>
    </w:div>
    <w:div w:id="1651405664">
      <w:bodyDiv w:val="1"/>
      <w:marLeft w:val="0"/>
      <w:marRight w:val="0"/>
      <w:marTop w:val="0"/>
      <w:marBottom w:val="0"/>
      <w:divBdr>
        <w:top w:val="none" w:sz="0" w:space="0" w:color="auto"/>
        <w:left w:val="none" w:sz="0" w:space="0" w:color="auto"/>
        <w:bottom w:val="none" w:sz="0" w:space="0" w:color="auto"/>
        <w:right w:val="none" w:sz="0" w:space="0" w:color="auto"/>
      </w:divBdr>
    </w:div>
    <w:div w:id="1653831251">
      <w:bodyDiv w:val="1"/>
      <w:marLeft w:val="0"/>
      <w:marRight w:val="0"/>
      <w:marTop w:val="0"/>
      <w:marBottom w:val="0"/>
      <w:divBdr>
        <w:top w:val="none" w:sz="0" w:space="0" w:color="auto"/>
        <w:left w:val="none" w:sz="0" w:space="0" w:color="auto"/>
        <w:bottom w:val="none" w:sz="0" w:space="0" w:color="auto"/>
        <w:right w:val="none" w:sz="0" w:space="0" w:color="auto"/>
      </w:divBdr>
      <w:divsChild>
        <w:div w:id="16129087">
          <w:marLeft w:val="0"/>
          <w:marRight w:val="0"/>
          <w:marTop w:val="0"/>
          <w:marBottom w:val="0"/>
          <w:divBdr>
            <w:top w:val="none" w:sz="0" w:space="0" w:color="auto"/>
            <w:left w:val="none" w:sz="0" w:space="0" w:color="auto"/>
            <w:bottom w:val="none" w:sz="0" w:space="0" w:color="auto"/>
            <w:right w:val="none" w:sz="0" w:space="0" w:color="auto"/>
          </w:divBdr>
        </w:div>
        <w:div w:id="762725550">
          <w:marLeft w:val="0"/>
          <w:marRight w:val="0"/>
          <w:marTop w:val="0"/>
          <w:marBottom w:val="0"/>
          <w:divBdr>
            <w:top w:val="none" w:sz="0" w:space="0" w:color="auto"/>
            <w:left w:val="none" w:sz="0" w:space="0" w:color="auto"/>
            <w:bottom w:val="none" w:sz="0" w:space="0" w:color="auto"/>
            <w:right w:val="none" w:sz="0" w:space="0" w:color="auto"/>
          </w:divBdr>
        </w:div>
      </w:divsChild>
    </w:div>
    <w:div w:id="1654334792">
      <w:bodyDiv w:val="1"/>
      <w:marLeft w:val="0"/>
      <w:marRight w:val="0"/>
      <w:marTop w:val="0"/>
      <w:marBottom w:val="0"/>
      <w:divBdr>
        <w:top w:val="none" w:sz="0" w:space="0" w:color="auto"/>
        <w:left w:val="none" w:sz="0" w:space="0" w:color="auto"/>
        <w:bottom w:val="none" w:sz="0" w:space="0" w:color="auto"/>
        <w:right w:val="none" w:sz="0" w:space="0" w:color="auto"/>
      </w:divBdr>
      <w:divsChild>
        <w:div w:id="714742725">
          <w:marLeft w:val="0"/>
          <w:marRight w:val="0"/>
          <w:marTop w:val="0"/>
          <w:marBottom w:val="0"/>
          <w:divBdr>
            <w:top w:val="none" w:sz="0" w:space="0" w:color="auto"/>
            <w:left w:val="none" w:sz="0" w:space="0" w:color="auto"/>
            <w:bottom w:val="none" w:sz="0" w:space="0" w:color="auto"/>
            <w:right w:val="none" w:sz="0" w:space="0" w:color="auto"/>
          </w:divBdr>
        </w:div>
        <w:div w:id="1218202909">
          <w:marLeft w:val="0"/>
          <w:marRight w:val="0"/>
          <w:marTop w:val="0"/>
          <w:marBottom w:val="0"/>
          <w:divBdr>
            <w:top w:val="none" w:sz="0" w:space="0" w:color="auto"/>
            <w:left w:val="none" w:sz="0" w:space="0" w:color="auto"/>
            <w:bottom w:val="none" w:sz="0" w:space="0" w:color="auto"/>
            <w:right w:val="none" w:sz="0" w:space="0" w:color="auto"/>
          </w:divBdr>
        </w:div>
        <w:div w:id="1966041921">
          <w:marLeft w:val="0"/>
          <w:marRight w:val="0"/>
          <w:marTop w:val="0"/>
          <w:marBottom w:val="0"/>
          <w:divBdr>
            <w:top w:val="none" w:sz="0" w:space="0" w:color="auto"/>
            <w:left w:val="none" w:sz="0" w:space="0" w:color="auto"/>
            <w:bottom w:val="none" w:sz="0" w:space="0" w:color="auto"/>
            <w:right w:val="none" w:sz="0" w:space="0" w:color="auto"/>
          </w:divBdr>
        </w:div>
        <w:div w:id="2068339060">
          <w:marLeft w:val="0"/>
          <w:marRight w:val="0"/>
          <w:marTop w:val="0"/>
          <w:marBottom w:val="0"/>
          <w:divBdr>
            <w:top w:val="none" w:sz="0" w:space="0" w:color="auto"/>
            <w:left w:val="none" w:sz="0" w:space="0" w:color="auto"/>
            <w:bottom w:val="none" w:sz="0" w:space="0" w:color="auto"/>
            <w:right w:val="none" w:sz="0" w:space="0" w:color="auto"/>
          </w:divBdr>
        </w:div>
      </w:divsChild>
    </w:div>
    <w:div w:id="1655452823">
      <w:bodyDiv w:val="1"/>
      <w:marLeft w:val="0"/>
      <w:marRight w:val="0"/>
      <w:marTop w:val="0"/>
      <w:marBottom w:val="0"/>
      <w:divBdr>
        <w:top w:val="none" w:sz="0" w:space="0" w:color="auto"/>
        <w:left w:val="none" w:sz="0" w:space="0" w:color="auto"/>
        <w:bottom w:val="none" w:sz="0" w:space="0" w:color="auto"/>
        <w:right w:val="none" w:sz="0" w:space="0" w:color="auto"/>
      </w:divBdr>
      <w:divsChild>
        <w:div w:id="1700931506">
          <w:marLeft w:val="0"/>
          <w:marRight w:val="0"/>
          <w:marTop w:val="0"/>
          <w:marBottom w:val="0"/>
          <w:divBdr>
            <w:top w:val="none" w:sz="0" w:space="0" w:color="auto"/>
            <w:left w:val="none" w:sz="0" w:space="0" w:color="auto"/>
            <w:bottom w:val="none" w:sz="0" w:space="0" w:color="auto"/>
            <w:right w:val="none" w:sz="0" w:space="0" w:color="auto"/>
          </w:divBdr>
          <w:divsChild>
            <w:div w:id="212932098">
              <w:marLeft w:val="0"/>
              <w:marRight w:val="0"/>
              <w:marTop w:val="0"/>
              <w:marBottom w:val="0"/>
              <w:divBdr>
                <w:top w:val="none" w:sz="0" w:space="0" w:color="auto"/>
                <w:left w:val="none" w:sz="0" w:space="0" w:color="auto"/>
                <w:bottom w:val="none" w:sz="0" w:space="0" w:color="auto"/>
                <w:right w:val="none" w:sz="0" w:space="0" w:color="auto"/>
              </w:divBdr>
              <w:divsChild>
                <w:div w:id="858858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303123">
      <w:bodyDiv w:val="1"/>
      <w:marLeft w:val="0"/>
      <w:marRight w:val="0"/>
      <w:marTop w:val="0"/>
      <w:marBottom w:val="0"/>
      <w:divBdr>
        <w:top w:val="none" w:sz="0" w:space="0" w:color="auto"/>
        <w:left w:val="none" w:sz="0" w:space="0" w:color="auto"/>
        <w:bottom w:val="none" w:sz="0" w:space="0" w:color="auto"/>
        <w:right w:val="none" w:sz="0" w:space="0" w:color="auto"/>
      </w:divBdr>
      <w:divsChild>
        <w:div w:id="840049272">
          <w:marLeft w:val="0"/>
          <w:marRight w:val="0"/>
          <w:marTop w:val="0"/>
          <w:marBottom w:val="0"/>
          <w:divBdr>
            <w:top w:val="none" w:sz="0" w:space="0" w:color="auto"/>
            <w:left w:val="none" w:sz="0" w:space="0" w:color="auto"/>
            <w:bottom w:val="none" w:sz="0" w:space="0" w:color="auto"/>
            <w:right w:val="none" w:sz="0" w:space="0" w:color="auto"/>
          </w:divBdr>
        </w:div>
        <w:div w:id="1727752602">
          <w:marLeft w:val="0"/>
          <w:marRight w:val="0"/>
          <w:marTop w:val="0"/>
          <w:marBottom w:val="0"/>
          <w:divBdr>
            <w:top w:val="none" w:sz="0" w:space="0" w:color="auto"/>
            <w:left w:val="none" w:sz="0" w:space="0" w:color="auto"/>
            <w:bottom w:val="none" w:sz="0" w:space="0" w:color="auto"/>
            <w:right w:val="none" w:sz="0" w:space="0" w:color="auto"/>
          </w:divBdr>
        </w:div>
      </w:divsChild>
    </w:div>
    <w:div w:id="1662931311">
      <w:bodyDiv w:val="1"/>
      <w:marLeft w:val="0"/>
      <w:marRight w:val="0"/>
      <w:marTop w:val="0"/>
      <w:marBottom w:val="0"/>
      <w:divBdr>
        <w:top w:val="none" w:sz="0" w:space="0" w:color="auto"/>
        <w:left w:val="none" w:sz="0" w:space="0" w:color="auto"/>
        <w:bottom w:val="none" w:sz="0" w:space="0" w:color="auto"/>
        <w:right w:val="none" w:sz="0" w:space="0" w:color="auto"/>
      </w:divBdr>
    </w:div>
    <w:div w:id="1667633577">
      <w:bodyDiv w:val="1"/>
      <w:marLeft w:val="0"/>
      <w:marRight w:val="0"/>
      <w:marTop w:val="0"/>
      <w:marBottom w:val="0"/>
      <w:divBdr>
        <w:top w:val="none" w:sz="0" w:space="0" w:color="auto"/>
        <w:left w:val="none" w:sz="0" w:space="0" w:color="auto"/>
        <w:bottom w:val="none" w:sz="0" w:space="0" w:color="auto"/>
        <w:right w:val="none" w:sz="0" w:space="0" w:color="auto"/>
      </w:divBdr>
      <w:divsChild>
        <w:div w:id="150296661">
          <w:marLeft w:val="0"/>
          <w:marRight w:val="0"/>
          <w:marTop w:val="0"/>
          <w:marBottom w:val="0"/>
          <w:divBdr>
            <w:top w:val="none" w:sz="0" w:space="0" w:color="auto"/>
            <w:left w:val="none" w:sz="0" w:space="0" w:color="auto"/>
            <w:bottom w:val="none" w:sz="0" w:space="0" w:color="auto"/>
            <w:right w:val="none" w:sz="0" w:space="0" w:color="auto"/>
          </w:divBdr>
          <w:divsChild>
            <w:div w:id="1304773367">
              <w:marLeft w:val="0"/>
              <w:marRight w:val="0"/>
              <w:marTop w:val="0"/>
              <w:marBottom w:val="0"/>
              <w:divBdr>
                <w:top w:val="none" w:sz="0" w:space="0" w:color="auto"/>
                <w:left w:val="none" w:sz="0" w:space="0" w:color="auto"/>
                <w:bottom w:val="none" w:sz="0" w:space="0" w:color="auto"/>
                <w:right w:val="none" w:sz="0" w:space="0" w:color="auto"/>
              </w:divBdr>
              <w:divsChild>
                <w:div w:id="1801728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2704997">
      <w:bodyDiv w:val="1"/>
      <w:marLeft w:val="0"/>
      <w:marRight w:val="0"/>
      <w:marTop w:val="0"/>
      <w:marBottom w:val="0"/>
      <w:divBdr>
        <w:top w:val="none" w:sz="0" w:space="0" w:color="auto"/>
        <w:left w:val="none" w:sz="0" w:space="0" w:color="auto"/>
        <w:bottom w:val="none" w:sz="0" w:space="0" w:color="auto"/>
        <w:right w:val="none" w:sz="0" w:space="0" w:color="auto"/>
      </w:divBdr>
    </w:div>
    <w:div w:id="1690402699">
      <w:bodyDiv w:val="1"/>
      <w:marLeft w:val="0"/>
      <w:marRight w:val="0"/>
      <w:marTop w:val="0"/>
      <w:marBottom w:val="0"/>
      <w:divBdr>
        <w:top w:val="none" w:sz="0" w:space="0" w:color="auto"/>
        <w:left w:val="none" w:sz="0" w:space="0" w:color="auto"/>
        <w:bottom w:val="none" w:sz="0" w:space="0" w:color="auto"/>
        <w:right w:val="none" w:sz="0" w:space="0" w:color="auto"/>
      </w:divBdr>
    </w:div>
    <w:div w:id="1703552597">
      <w:bodyDiv w:val="1"/>
      <w:marLeft w:val="0"/>
      <w:marRight w:val="0"/>
      <w:marTop w:val="0"/>
      <w:marBottom w:val="0"/>
      <w:divBdr>
        <w:top w:val="none" w:sz="0" w:space="0" w:color="auto"/>
        <w:left w:val="none" w:sz="0" w:space="0" w:color="auto"/>
        <w:bottom w:val="none" w:sz="0" w:space="0" w:color="auto"/>
        <w:right w:val="none" w:sz="0" w:space="0" w:color="auto"/>
      </w:divBdr>
    </w:div>
    <w:div w:id="1706178366">
      <w:bodyDiv w:val="1"/>
      <w:marLeft w:val="0"/>
      <w:marRight w:val="0"/>
      <w:marTop w:val="0"/>
      <w:marBottom w:val="0"/>
      <w:divBdr>
        <w:top w:val="none" w:sz="0" w:space="0" w:color="auto"/>
        <w:left w:val="none" w:sz="0" w:space="0" w:color="auto"/>
        <w:bottom w:val="none" w:sz="0" w:space="0" w:color="auto"/>
        <w:right w:val="none" w:sz="0" w:space="0" w:color="auto"/>
      </w:divBdr>
    </w:div>
    <w:div w:id="1713069123">
      <w:bodyDiv w:val="1"/>
      <w:marLeft w:val="0"/>
      <w:marRight w:val="0"/>
      <w:marTop w:val="0"/>
      <w:marBottom w:val="0"/>
      <w:divBdr>
        <w:top w:val="none" w:sz="0" w:space="0" w:color="auto"/>
        <w:left w:val="none" w:sz="0" w:space="0" w:color="auto"/>
        <w:bottom w:val="none" w:sz="0" w:space="0" w:color="auto"/>
        <w:right w:val="none" w:sz="0" w:space="0" w:color="auto"/>
      </w:divBdr>
    </w:div>
    <w:div w:id="1716269213">
      <w:bodyDiv w:val="1"/>
      <w:marLeft w:val="0"/>
      <w:marRight w:val="0"/>
      <w:marTop w:val="0"/>
      <w:marBottom w:val="0"/>
      <w:divBdr>
        <w:top w:val="none" w:sz="0" w:space="0" w:color="auto"/>
        <w:left w:val="none" w:sz="0" w:space="0" w:color="auto"/>
        <w:bottom w:val="none" w:sz="0" w:space="0" w:color="auto"/>
        <w:right w:val="none" w:sz="0" w:space="0" w:color="auto"/>
      </w:divBdr>
    </w:div>
    <w:div w:id="1725759739">
      <w:bodyDiv w:val="1"/>
      <w:marLeft w:val="0"/>
      <w:marRight w:val="0"/>
      <w:marTop w:val="0"/>
      <w:marBottom w:val="0"/>
      <w:divBdr>
        <w:top w:val="none" w:sz="0" w:space="0" w:color="auto"/>
        <w:left w:val="none" w:sz="0" w:space="0" w:color="auto"/>
        <w:bottom w:val="none" w:sz="0" w:space="0" w:color="auto"/>
        <w:right w:val="none" w:sz="0" w:space="0" w:color="auto"/>
      </w:divBdr>
    </w:div>
    <w:div w:id="1737587348">
      <w:bodyDiv w:val="1"/>
      <w:marLeft w:val="0"/>
      <w:marRight w:val="0"/>
      <w:marTop w:val="0"/>
      <w:marBottom w:val="0"/>
      <w:divBdr>
        <w:top w:val="none" w:sz="0" w:space="0" w:color="auto"/>
        <w:left w:val="none" w:sz="0" w:space="0" w:color="auto"/>
        <w:bottom w:val="none" w:sz="0" w:space="0" w:color="auto"/>
        <w:right w:val="none" w:sz="0" w:space="0" w:color="auto"/>
      </w:divBdr>
    </w:div>
    <w:div w:id="1739740782">
      <w:bodyDiv w:val="1"/>
      <w:marLeft w:val="0"/>
      <w:marRight w:val="0"/>
      <w:marTop w:val="0"/>
      <w:marBottom w:val="0"/>
      <w:divBdr>
        <w:top w:val="none" w:sz="0" w:space="0" w:color="auto"/>
        <w:left w:val="none" w:sz="0" w:space="0" w:color="auto"/>
        <w:bottom w:val="none" w:sz="0" w:space="0" w:color="auto"/>
        <w:right w:val="none" w:sz="0" w:space="0" w:color="auto"/>
      </w:divBdr>
    </w:div>
    <w:div w:id="1754468599">
      <w:bodyDiv w:val="1"/>
      <w:marLeft w:val="0"/>
      <w:marRight w:val="0"/>
      <w:marTop w:val="0"/>
      <w:marBottom w:val="0"/>
      <w:divBdr>
        <w:top w:val="none" w:sz="0" w:space="0" w:color="auto"/>
        <w:left w:val="none" w:sz="0" w:space="0" w:color="auto"/>
        <w:bottom w:val="none" w:sz="0" w:space="0" w:color="auto"/>
        <w:right w:val="none" w:sz="0" w:space="0" w:color="auto"/>
      </w:divBdr>
    </w:div>
    <w:div w:id="1764720049">
      <w:bodyDiv w:val="1"/>
      <w:marLeft w:val="0"/>
      <w:marRight w:val="0"/>
      <w:marTop w:val="0"/>
      <w:marBottom w:val="0"/>
      <w:divBdr>
        <w:top w:val="none" w:sz="0" w:space="0" w:color="auto"/>
        <w:left w:val="none" w:sz="0" w:space="0" w:color="auto"/>
        <w:bottom w:val="none" w:sz="0" w:space="0" w:color="auto"/>
        <w:right w:val="none" w:sz="0" w:space="0" w:color="auto"/>
      </w:divBdr>
      <w:divsChild>
        <w:div w:id="961418237">
          <w:marLeft w:val="0"/>
          <w:marRight w:val="0"/>
          <w:marTop w:val="0"/>
          <w:marBottom w:val="0"/>
          <w:divBdr>
            <w:top w:val="none" w:sz="0" w:space="0" w:color="auto"/>
            <w:left w:val="none" w:sz="0" w:space="0" w:color="auto"/>
            <w:bottom w:val="none" w:sz="0" w:space="0" w:color="auto"/>
            <w:right w:val="none" w:sz="0" w:space="0" w:color="auto"/>
          </w:divBdr>
          <w:divsChild>
            <w:div w:id="2110732377">
              <w:marLeft w:val="0"/>
              <w:marRight w:val="0"/>
              <w:marTop w:val="0"/>
              <w:marBottom w:val="0"/>
              <w:divBdr>
                <w:top w:val="none" w:sz="0" w:space="0" w:color="auto"/>
                <w:left w:val="none" w:sz="0" w:space="0" w:color="auto"/>
                <w:bottom w:val="none" w:sz="0" w:space="0" w:color="auto"/>
                <w:right w:val="none" w:sz="0" w:space="0" w:color="auto"/>
              </w:divBdr>
              <w:divsChild>
                <w:div w:id="2001038977">
                  <w:marLeft w:val="0"/>
                  <w:marRight w:val="0"/>
                  <w:marTop w:val="0"/>
                  <w:marBottom w:val="0"/>
                  <w:divBdr>
                    <w:top w:val="none" w:sz="0" w:space="0" w:color="auto"/>
                    <w:left w:val="none" w:sz="0" w:space="0" w:color="auto"/>
                    <w:bottom w:val="none" w:sz="0" w:space="0" w:color="auto"/>
                    <w:right w:val="none" w:sz="0" w:space="0" w:color="auto"/>
                  </w:divBdr>
                  <w:divsChild>
                    <w:div w:id="113456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2776238">
      <w:bodyDiv w:val="1"/>
      <w:marLeft w:val="0"/>
      <w:marRight w:val="0"/>
      <w:marTop w:val="0"/>
      <w:marBottom w:val="0"/>
      <w:divBdr>
        <w:top w:val="none" w:sz="0" w:space="0" w:color="auto"/>
        <w:left w:val="none" w:sz="0" w:space="0" w:color="auto"/>
        <w:bottom w:val="none" w:sz="0" w:space="0" w:color="auto"/>
        <w:right w:val="none" w:sz="0" w:space="0" w:color="auto"/>
      </w:divBdr>
    </w:div>
    <w:div w:id="1775436423">
      <w:bodyDiv w:val="1"/>
      <w:marLeft w:val="0"/>
      <w:marRight w:val="0"/>
      <w:marTop w:val="0"/>
      <w:marBottom w:val="0"/>
      <w:divBdr>
        <w:top w:val="none" w:sz="0" w:space="0" w:color="auto"/>
        <w:left w:val="none" w:sz="0" w:space="0" w:color="auto"/>
        <w:bottom w:val="none" w:sz="0" w:space="0" w:color="auto"/>
        <w:right w:val="none" w:sz="0" w:space="0" w:color="auto"/>
      </w:divBdr>
    </w:div>
    <w:div w:id="1790195805">
      <w:bodyDiv w:val="1"/>
      <w:marLeft w:val="0"/>
      <w:marRight w:val="0"/>
      <w:marTop w:val="0"/>
      <w:marBottom w:val="0"/>
      <w:divBdr>
        <w:top w:val="none" w:sz="0" w:space="0" w:color="auto"/>
        <w:left w:val="none" w:sz="0" w:space="0" w:color="auto"/>
        <w:bottom w:val="none" w:sz="0" w:space="0" w:color="auto"/>
        <w:right w:val="none" w:sz="0" w:space="0" w:color="auto"/>
      </w:divBdr>
    </w:div>
    <w:div w:id="1790665029">
      <w:bodyDiv w:val="1"/>
      <w:marLeft w:val="0"/>
      <w:marRight w:val="0"/>
      <w:marTop w:val="0"/>
      <w:marBottom w:val="0"/>
      <w:divBdr>
        <w:top w:val="none" w:sz="0" w:space="0" w:color="auto"/>
        <w:left w:val="none" w:sz="0" w:space="0" w:color="auto"/>
        <w:bottom w:val="none" w:sz="0" w:space="0" w:color="auto"/>
        <w:right w:val="none" w:sz="0" w:space="0" w:color="auto"/>
      </w:divBdr>
    </w:div>
    <w:div w:id="1814519279">
      <w:bodyDiv w:val="1"/>
      <w:marLeft w:val="0"/>
      <w:marRight w:val="0"/>
      <w:marTop w:val="0"/>
      <w:marBottom w:val="0"/>
      <w:divBdr>
        <w:top w:val="none" w:sz="0" w:space="0" w:color="auto"/>
        <w:left w:val="none" w:sz="0" w:space="0" w:color="auto"/>
        <w:bottom w:val="none" w:sz="0" w:space="0" w:color="auto"/>
        <w:right w:val="none" w:sz="0" w:space="0" w:color="auto"/>
      </w:divBdr>
      <w:divsChild>
        <w:div w:id="1213427245">
          <w:marLeft w:val="0"/>
          <w:marRight w:val="0"/>
          <w:marTop w:val="0"/>
          <w:marBottom w:val="0"/>
          <w:divBdr>
            <w:top w:val="none" w:sz="0" w:space="0" w:color="auto"/>
            <w:left w:val="none" w:sz="0" w:space="0" w:color="auto"/>
            <w:bottom w:val="none" w:sz="0" w:space="0" w:color="auto"/>
            <w:right w:val="none" w:sz="0" w:space="0" w:color="auto"/>
          </w:divBdr>
          <w:divsChild>
            <w:div w:id="1400789961">
              <w:marLeft w:val="0"/>
              <w:marRight w:val="0"/>
              <w:marTop w:val="0"/>
              <w:marBottom w:val="0"/>
              <w:divBdr>
                <w:top w:val="none" w:sz="0" w:space="0" w:color="auto"/>
                <w:left w:val="none" w:sz="0" w:space="0" w:color="auto"/>
                <w:bottom w:val="none" w:sz="0" w:space="0" w:color="auto"/>
                <w:right w:val="none" w:sz="0" w:space="0" w:color="auto"/>
              </w:divBdr>
              <w:divsChild>
                <w:div w:id="1427381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1798112">
      <w:bodyDiv w:val="1"/>
      <w:marLeft w:val="0"/>
      <w:marRight w:val="0"/>
      <w:marTop w:val="0"/>
      <w:marBottom w:val="0"/>
      <w:divBdr>
        <w:top w:val="none" w:sz="0" w:space="0" w:color="auto"/>
        <w:left w:val="none" w:sz="0" w:space="0" w:color="auto"/>
        <w:bottom w:val="none" w:sz="0" w:space="0" w:color="auto"/>
        <w:right w:val="none" w:sz="0" w:space="0" w:color="auto"/>
      </w:divBdr>
    </w:div>
    <w:div w:id="1843010623">
      <w:bodyDiv w:val="1"/>
      <w:marLeft w:val="0"/>
      <w:marRight w:val="0"/>
      <w:marTop w:val="0"/>
      <w:marBottom w:val="0"/>
      <w:divBdr>
        <w:top w:val="none" w:sz="0" w:space="0" w:color="auto"/>
        <w:left w:val="none" w:sz="0" w:space="0" w:color="auto"/>
        <w:bottom w:val="none" w:sz="0" w:space="0" w:color="auto"/>
        <w:right w:val="none" w:sz="0" w:space="0" w:color="auto"/>
      </w:divBdr>
    </w:div>
    <w:div w:id="1843885362">
      <w:bodyDiv w:val="1"/>
      <w:marLeft w:val="0"/>
      <w:marRight w:val="0"/>
      <w:marTop w:val="0"/>
      <w:marBottom w:val="0"/>
      <w:divBdr>
        <w:top w:val="none" w:sz="0" w:space="0" w:color="auto"/>
        <w:left w:val="none" w:sz="0" w:space="0" w:color="auto"/>
        <w:bottom w:val="none" w:sz="0" w:space="0" w:color="auto"/>
        <w:right w:val="none" w:sz="0" w:space="0" w:color="auto"/>
      </w:divBdr>
    </w:div>
    <w:div w:id="1850290938">
      <w:bodyDiv w:val="1"/>
      <w:marLeft w:val="0"/>
      <w:marRight w:val="0"/>
      <w:marTop w:val="0"/>
      <w:marBottom w:val="0"/>
      <w:divBdr>
        <w:top w:val="none" w:sz="0" w:space="0" w:color="auto"/>
        <w:left w:val="none" w:sz="0" w:space="0" w:color="auto"/>
        <w:bottom w:val="none" w:sz="0" w:space="0" w:color="auto"/>
        <w:right w:val="none" w:sz="0" w:space="0" w:color="auto"/>
      </w:divBdr>
      <w:divsChild>
        <w:div w:id="716901539">
          <w:marLeft w:val="0"/>
          <w:marRight w:val="0"/>
          <w:marTop w:val="0"/>
          <w:marBottom w:val="0"/>
          <w:divBdr>
            <w:top w:val="none" w:sz="0" w:space="0" w:color="auto"/>
            <w:left w:val="none" w:sz="0" w:space="0" w:color="auto"/>
            <w:bottom w:val="none" w:sz="0" w:space="0" w:color="auto"/>
            <w:right w:val="none" w:sz="0" w:space="0" w:color="auto"/>
          </w:divBdr>
        </w:div>
        <w:div w:id="901332607">
          <w:marLeft w:val="0"/>
          <w:marRight w:val="0"/>
          <w:marTop w:val="0"/>
          <w:marBottom w:val="0"/>
          <w:divBdr>
            <w:top w:val="none" w:sz="0" w:space="0" w:color="auto"/>
            <w:left w:val="none" w:sz="0" w:space="0" w:color="auto"/>
            <w:bottom w:val="none" w:sz="0" w:space="0" w:color="auto"/>
            <w:right w:val="none" w:sz="0" w:space="0" w:color="auto"/>
          </w:divBdr>
        </w:div>
        <w:div w:id="1663311233">
          <w:marLeft w:val="0"/>
          <w:marRight w:val="0"/>
          <w:marTop w:val="0"/>
          <w:marBottom w:val="0"/>
          <w:divBdr>
            <w:top w:val="none" w:sz="0" w:space="0" w:color="auto"/>
            <w:left w:val="none" w:sz="0" w:space="0" w:color="auto"/>
            <w:bottom w:val="none" w:sz="0" w:space="0" w:color="auto"/>
            <w:right w:val="none" w:sz="0" w:space="0" w:color="auto"/>
          </w:divBdr>
        </w:div>
      </w:divsChild>
    </w:div>
    <w:div w:id="1854882786">
      <w:bodyDiv w:val="1"/>
      <w:marLeft w:val="0"/>
      <w:marRight w:val="0"/>
      <w:marTop w:val="0"/>
      <w:marBottom w:val="0"/>
      <w:divBdr>
        <w:top w:val="none" w:sz="0" w:space="0" w:color="auto"/>
        <w:left w:val="none" w:sz="0" w:space="0" w:color="auto"/>
        <w:bottom w:val="none" w:sz="0" w:space="0" w:color="auto"/>
        <w:right w:val="none" w:sz="0" w:space="0" w:color="auto"/>
      </w:divBdr>
    </w:div>
    <w:div w:id="1859125351">
      <w:bodyDiv w:val="1"/>
      <w:marLeft w:val="0"/>
      <w:marRight w:val="0"/>
      <w:marTop w:val="0"/>
      <w:marBottom w:val="0"/>
      <w:divBdr>
        <w:top w:val="none" w:sz="0" w:space="0" w:color="auto"/>
        <w:left w:val="none" w:sz="0" w:space="0" w:color="auto"/>
        <w:bottom w:val="none" w:sz="0" w:space="0" w:color="auto"/>
        <w:right w:val="none" w:sz="0" w:space="0" w:color="auto"/>
      </w:divBdr>
    </w:div>
    <w:div w:id="1859196266">
      <w:bodyDiv w:val="1"/>
      <w:marLeft w:val="0"/>
      <w:marRight w:val="0"/>
      <w:marTop w:val="0"/>
      <w:marBottom w:val="0"/>
      <w:divBdr>
        <w:top w:val="none" w:sz="0" w:space="0" w:color="auto"/>
        <w:left w:val="none" w:sz="0" w:space="0" w:color="auto"/>
        <w:bottom w:val="none" w:sz="0" w:space="0" w:color="auto"/>
        <w:right w:val="none" w:sz="0" w:space="0" w:color="auto"/>
      </w:divBdr>
      <w:divsChild>
        <w:div w:id="570895436">
          <w:marLeft w:val="0"/>
          <w:marRight w:val="0"/>
          <w:marTop w:val="0"/>
          <w:marBottom w:val="0"/>
          <w:divBdr>
            <w:top w:val="none" w:sz="0" w:space="0" w:color="auto"/>
            <w:left w:val="none" w:sz="0" w:space="0" w:color="auto"/>
            <w:bottom w:val="none" w:sz="0" w:space="0" w:color="auto"/>
            <w:right w:val="none" w:sz="0" w:space="0" w:color="auto"/>
          </w:divBdr>
          <w:divsChild>
            <w:div w:id="2107338901">
              <w:marLeft w:val="0"/>
              <w:marRight w:val="0"/>
              <w:marTop w:val="0"/>
              <w:marBottom w:val="0"/>
              <w:divBdr>
                <w:top w:val="none" w:sz="0" w:space="0" w:color="auto"/>
                <w:left w:val="none" w:sz="0" w:space="0" w:color="auto"/>
                <w:bottom w:val="none" w:sz="0" w:space="0" w:color="auto"/>
                <w:right w:val="none" w:sz="0" w:space="0" w:color="auto"/>
              </w:divBdr>
              <w:divsChild>
                <w:div w:id="1736469121">
                  <w:marLeft w:val="0"/>
                  <w:marRight w:val="0"/>
                  <w:marTop w:val="0"/>
                  <w:marBottom w:val="0"/>
                  <w:divBdr>
                    <w:top w:val="none" w:sz="0" w:space="0" w:color="auto"/>
                    <w:left w:val="none" w:sz="0" w:space="0" w:color="auto"/>
                    <w:bottom w:val="none" w:sz="0" w:space="0" w:color="auto"/>
                    <w:right w:val="none" w:sz="0" w:space="0" w:color="auto"/>
                  </w:divBdr>
                  <w:divsChild>
                    <w:div w:id="1837039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0291320">
      <w:bodyDiv w:val="1"/>
      <w:marLeft w:val="0"/>
      <w:marRight w:val="0"/>
      <w:marTop w:val="0"/>
      <w:marBottom w:val="0"/>
      <w:divBdr>
        <w:top w:val="none" w:sz="0" w:space="0" w:color="auto"/>
        <w:left w:val="none" w:sz="0" w:space="0" w:color="auto"/>
        <w:bottom w:val="none" w:sz="0" w:space="0" w:color="auto"/>
        <w:right w:val="none" w:sz="0" w:space="0" w:color="auto"/>
      </w:divBdr>
      <w:divsChild>
        <w:div w:id="789251579">
          <w:marLeft w:val="547"/>
          <w:marRight w:val="0"/>
          <w:marTop w:val="0"/>
          <w:marBottom w:val="0"/>
          <w:divBdr>
            <w:top w:val="none" w:sz="0" w:space="0" w:color="auto"/>
            <w:left w:val="none" w:sz="0" w:space="0" w:color="auto"/>
            <w:bottom w:val="none" w:sz="0" w:space="0" w:color="auto"/>
            <w:right w:val="none" w:sz="0" w:space="0" w:color="auto"/>
          </w:divBdr>
        </w:div>
      </w:divsChild>
    </w:div>
    <w:div w:id="1878467829">
      <w:bodyDiv w:val="1"/>
      <w:marLeft w:val="0"/>
      <w:marRight w:val="0"/>
      <w:marTop w:val="0"/>
      <w:marBottom w:val="0"/>
      <w:divBdr>
        <w:top w:val="none" w:sz="0" w:space="0" w:color="auto"/>
        <w:left w:val="none" w:sz="0" w:space="0" w:color="auto"/>
        <w:bottom w:val="none" w:sz="0" w:space="0" w:color="auto"/>
        <w:right w:val="none" w:sz="0" w:space="0" w:color="auto"/>
      </w:divBdr>
    </w:div>
    <w:div w:id="1902866001">
      <w:bodyDiv w:val="1"/>
      <w:marLeft w:val="0"/>
      <w:marRight w:val="0"/>
      <w:marTop w:val="0"/>
      <w:marBottom w:val="0"/>
      <w:divBdr>
        <w:top w:val="none" w:sz="0" w:space="0" w:color="auto"/>
        <w:left w:val="none" w:sz="0" w:space="0" w:color="auto"/>
        <w:bottom w:val="none" w:sz="0" w:space="0" w:color="auto"/>
        <w:right w:val="none" w:sz="0" w:space="0" w:color="auto"/>
      </w:divBdr>
    </w:div>
    <w:div w:id="1905873242">
      <w:bodyDiv w:val="1"/>
      <w:marLeft w:val="0"/>
      <w:marRight w:val="0"/>
      <w:marTop w:val="0"/>
      <w:marBottom w:val="0"/>
      <w:divBdr>
        <w:top w:val="none" w:sz="0" w:space="0" w:color="auto"/>
        <w:left w:val="none" w:sz="0" w:space="0" w:color="auto"/>
        <w:bottom w:val="none" w:sz="0" w:space="0" w:color="auto"/>
        <w:right w:val="none" w:sz="0" w:space="0" w:color="auto"/>
      </w:divBdr>
    </w:div>
    <w:div w:id="1931350813">
      <w:bodyDiv w:val="1"/>
      <w:marLeft w:val="0"/>
      <w:marRight w:val="0"/>
      <w:marTop w:val="0"/>
      <w:marBottom w:val="0"/>
      <w:divBdr>
        <w:top w:val="none" w:sz="0" w:space="0" w:color="auto"/>
        <w:left w:val="none" w:sz="0" w:space="0" w:color="auto"/>
        <w:bottom w:val="none" w:sz="0" w:space="0" w:color="auto"/>
        <w:right w:val="none" w:sz="0" w:space="0" w:color="auto"/>
      </w:divBdr>
    </w:div>
    <w:div w:id="1956014653">
      <w:bodyDiv w:val="1"/>
      <w:marLeft w:val="0"/>
      <w:marRight w:val="0"/>
      <w:marTop w:val="0"/>
      <w:marBottom w:val="0"/>
      <w:divBdr>
        <w:top w:val="none" w:sz="0" w:space="0" w:color="auto"/>
        <w:left w:val="none" w:sz="0" w:space="0" w:color="auto"/>
        <w:bottom w:val="none" w:sz="0" w:space="0" w:color="auto"/>
        <w:right w:val="none" w:sz="0" w:space="0" w:color="auto"/>
      </w:divBdr>
      <w:divsChild>
        <w:div w:id="1771201166">
          <w:marLeft w:val="0"/>
          <w:marRight w:val="0"/>
          <w:marTop w:val="0"/>
          <w:marBottom w:val="0"/>
          <w:divBdr>
            <w:top w:val="none" w:sz="0" w:space="0" w:color="auto"/>
            <w:left w:val="none" w:sz="0" w:space="0" w:color="auto"/>
            <w:bottom w:val="none" w:sz="0" w:space="0" w:color="auto"/>
            <w:right w:val="none" w:sz="0" w:space="0" w:color="auto"/>
          </w:divBdr>
          <w:divsChild>
            <w:div w:id="678310004">
              <w:marLeft w:val="0"/>
              <w:marRight w:val="0"/>
              <w:marTop w:val="0"/>
              <w:marBottom w:val="0"/>
              <w:divBdr>
                <w:top w:val="none" w:sz="0" w:space="0" w:color="auto"/>
                <w:left w:val="none" w:sz="0" w:space="0" w:color="auto"/>
                <w:bottom w:val="none" w:sz="0" w:space="0" w:color="auto"/>
                <w:right w:val="none" w:sz="0" w:space="0" w:color="auto"/>
              </w:divBdr>
              <w:divsChild>
                <w:div w:id="2022928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6250124">
      <w:bodyDiv w:val="1"/>
      <w:marLeft w:val="0"/>
      <w:marRight w:val="0"/>
      <w:marTop w:val="0"/>
      <w:marBottom w:val="0"/>
      <w:divBdr>
        <w:top w:val="none" w:sz="0" w:space="0" w:color="auto"/>
        <w:left w:val="none" w:sz="0" w:space="0" w:color="auto"/>
        <w:bottom w:val="none" w:sz="0" w:space="0" w:color="auto"/>
        <w:right w:val="none" w:sz="0" w:space="0" w:color="auto"/>
      </w:divBdr>
    </w:div>
    <w:div w:id="1964337558">
      <w:bodyDiv w:val="1"/>
      <w:marLeft w:val="0"/>
      <w:marRight w:val="0"/>
      <w:marTop w:val="0"/>
      <w:marBottom w:val="0"/>
      <w:divBdr>
        <w:top w:val="none" w:sz="0" w:space="0" w:color="auto"/>
        <w:left w:val="none" w:sz="0" w:space="0" w:color="auto"/>
        <w:bottom w:val="none" w:sz="0" w:space="0" w:color="auto"/>
        <w:right w:val="none" w:sz="0" w:space="0" w:color="auto"/>
      </w:divBdr>
    </w:div>
    <w:div w:id="1967658684">
      <w:bodyDiv w:val="1"/>
      <w:marLeft w:val="0"/>
      <w:marRight w:val="0"/>
      <w:marTop w:val="0"/>
      <w:marBottom w:val="0"/>
      <w:divBdr>
        <w:top w:val="none" w:sz="0" w:space="0" w:color="auto"/>
        <w:left w:val="none" w:sz="0" w:space="0" w:color="auto"/>
        <w:bottom w:val="none" w:sz="0" w:space="0" w:color="auto"/>
        <w:right w:val="none" w:sz="0" w:space="0" w:color="auto"/>
      </w:divBdr>
      <w:divsChild>
        <w:div w:id="1388845825">
          <w:marLeft w:val="0"/>
          <w:marRight w:val="0"/>
          <w:marTop w:val="0"/>
          <w:marBottom w:val="0"/>
          <w:divBdr>
            <w:top w:val="none" w:sz="0" w:space="0" w:color="auto"/>
            <w:left w:val="none" w:sz="0" w:space="0" w:color="auto"/>
            <w:bottom w:val="none" w:sz="0" w:space="0" w:color="auto"/>
            <w:right w:val="none" w:sz="0" w:space="0" w:color="auto"/>
          </w:divBdr>
          <w:divsChild>
            <w:div w:id="1024138981">
              <w:marLeft w:val="0"/>
              <w:marRight w:val="0"/>
              <w:marTop w:val="0"/>
              <w:marBottom w:val="0"/>
              <w:divBdr>
                <w:top w:val="none" w:sz="0" w:space="0" w:color="auto"/>
                <w:left w:val="none" w:sz="0" w:space="0" w:color="auto"/>
                <w:bottom w:val="none" w:sz="0" w:space="0" w:color="auto"/>
                <w:right w:val="none" w:sz="0" w:space="0" w:color="auto"/>
              </w:divBdr>
              <w:divsChild>
                <w:div w:id="2082829882">
                  <w:marLeft w:val="0"/>
                  <w:marRight w:val="0"/>
                  <w:marTop w:val="0"/>
                  <w:marBottom w:val="0"/>
                  <w:divBdr>
                    <w:top w:val="none" w:sz="0" w:space="0" w:color="auto"/>
                    <w:left w:val="none" w:sz="0" w:space="0" w:color="auto"/>
                    <w:bottom w:val="none" w:sz="0" w:space="0" w:color="auto"/>
                    <w:right w:val="none" w:sz="0" w:space="0" w:color="auto"/>
                  </w:divBdr>
                  <w:divsChild>
                    <w:div w:id="61918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6983483">
      <w:bodyDiv w:val="1"/>
      <w:marLeft w:val="0"/>
      <w:marRight w:val="0"/>
      <w:marTop w:val="0"/>
      <w:marBottom w:val="0"/>
      <w:divBdr>
        <w:top w:val="none" w:sz="0" w:space="0" w:color="auto"/>
        <w:left w:val="none" w:sz="0" w:space="0" w:color="auto"/>
        <w:bottom w:val="none" w:sz="0" w:space="0" w:color="auto"/>
        <w:right w:val="none" w:sz="0" w:space="0" w:color="auto"/>
      </w:divBdr>
    </w:div>
    <w:div w:id="1979262309">
      <w:bodyDiv w:val="1"/>
      <w:marLeft w:val="0"/>
      <w:marRight w:val="0"/>
      <w:marTop w:val="0"/>
      <w:marBottom w:val="0"/>
      <w:divBdr>
        <w:top w:val="none" w:sz="0" w:space="0" w:color="auto"/>
        <w:left w:val="none" w:sz="0" w:space="0" w:color="auto"/>
        <w:bottom w:val="none" w:sz="0" w:space="0" w:color="auto"/>
        <w:right w:val="none" w:sz="0" w:space="0" w:color="auto"/>
      </w:divBdr>
      <w:divsChild>
        <w:div w:id="1674603821">
          <w:marLeft w:val="0"/>
          <w:marRight w:val="0"/>
          <w:marTop w:val="0"/>
          <w:marBottom w:val="0"/>
          <w:divBdr>
            <w:top w:val="none" w:sz="0" w:space="0" w:color="auto"/>
            <w:left w:val="none" w:sz="0" w:space="0" w:color="auto"/>
            <w:bottom w:val="none" w:sz="0" w:space="0" w:color="auto"/>
            <w:right w:val="none" w:sz="0" w:space="0" w:color="auto"/>
          </w:divBdr>
        </w:div>
      </w:divsChild>
    </w:div>
    <w:div w:id="1979332916">
      <w:bodyDiv w:val="1"/>
      <w:marLeft w:val="0"/>
      <w:marRight w:val="0"/>
      <w:marTop w:val="0"/>
      <w:marBottom w:val="0"/>
      <w:divBdr>
        <w:top w:val="none" w:sz="0" w:space="0" w:color="auto"/>
        <w:left w:val="none" w:sz="0" w:space="0" w:color="auto"/>
        <w:bottom w:val="none" w:sz="0" w:space="0" w:color="auto"/>
        <w:right w:val="none" w:sz="0" w:space="0" w:color="auto"/>
      </w:divBdr>
      <w:divsChild>
        <w:div w:id="777070738">
          <w:marLeft w:val="0"/>
          <w:marRight w:val="0"/>
          <w:marTop w:val="0"/>
          <w:marBottom w:val="0"/>
          <w:divBdr>
            <w:top w:val="none" w:sz="0" w:space="0" w:color="auto"/>
            <w:left w:val="none" w:sz="0" w:space="0" w:color="auto"/>
            <w:bottom w:val="none" w:sz="0" w:space="0" w:color="auto"/>
            <w:right w:val="none" w:sz="0" w:space="0" w:color="auto"/>
          </w:divBdr>
          <w:divsChild>
            <w:div w:id="132598453">
              <w:marLeft w:val="0"/>
              <w:marRight w:val="0"/>
              <w:marTop w:val="0"/>
              <w:marBottom w:val="0"/>
              <w:divBdr>
                <w:top w:val="none" w:sz="0" w:space="0" w:color="auto"/>
                <w:left w:val="none" w:sz="0" w:space="0" w:color="auto"/>
                <w:bottom w:val="none" w:sz="0" w:space="0" w:color="auto"/>
                <w:right w:val="none" w:sz="0" w:space="0" w:color="auto"/>
              </w:divBdr>
              <w:divsChild>
                <w:div w:id="1008946512">
                  <w:marLeft w:val="0"/>
                  <w:marRight w:val="0"/>
                  <w:marTop w:val="0"/>
                  <w:marBottom w:val="0"/>
                  <w:divBdr>
                    <w:top w:val="none" w:sz="0" w:space="0" w:color="auto"/>
                    <w:left w:val="none" w:sz="0" w:space="0" w:color="auto"/>
                    <w:bottom w:val="none" w:sz="0" w:space="0" w:color="auto"/>
                    <w:right w:val="none" w:sz="0" w:space="0" w:color="auto"/>
                  </w:divBdr>
                  <w:divsChild>
                    <w:div w:id="800267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6355651">
      <w:bodyDiv w:val="1"/>
      <w:marLeft w:val="0"/>
      <w:marRight w:val="0"/>
      <w:marTop w:val="0"/>
      <w:marBottom w:val="0"/>
      <w:divBdr>
        <w:top w:val="none" w:sz="0" w:space="0" w:color="auto"/>
        <w:left w:val="none" w:sz="0" w:space="0" w:color="auto"/>
        <w:bottom w:val="none" w:sz="0" w:space="0" w:color="auto"/>
        <w:right w:val="none" w:sz="0" w:space="0" w:color="auto"/>
      </w:divBdr>
    </w:div>
    <w:div w:id="1995986854">
      <w:bodyDiv w:val="1"/>
      <w:marLeft w:val="0"/>
      <w:marRight w:val="0"/>
      <w:marTop w:val="0"/>
      <w:marBottom w:val="0"/>
      <w:divBdr>
        <w:top w:val="none" w:sz="0" w:space="0" w:color="auto"/>
        <w:left w:val="none" w:sz="0" w:space="0" w:color="auto"/>
        <w:bottom w:val="none" w:sz="0" w:space="0" w:color="auto"/>
        <w:right w:val="none" w:sz="0" w:space="0" w:color="auto"/>
      </w:divBdr>
    </w:div>
    <w:div w:id="2003435877">
      <w:bodyDiv w:val="1"/>
      <w:marLeft w:val="0"/>
      <w:marRight w:val="0"/>
      <w:marTop w:val="0"/>
      <w:marBottom w:val="0"/>
      <w:divBdr>
        <w:top w:val="none" w:sz="0" w:space="0" w:color="auto"/>
        <w:left w:val="none" w:sz="0" w:space="0" w:color="auto"/>
        <w:bottom w:val="none" w:sz="0" w:space="0" w:color="auto"/>
        <w:right w:val="none" w:sz="0" w:space="0" w:color="auto"/>
      </w:divBdr>
      <w:divsChild>
        <w:div w:id="81294538">
          <w:marLeft w:val="0"/>
          <w:marRight w:val="0"/>
          <w:marTop w:val="0"/>
          <w:marBottom w:val="0"/>
          <w:divBdr>
            <w:top w:val="none" w:sz="0" w:space="0" w:color="auto"/>
            <w:left w:val="none" w:sz="0" w:space="0" w:color="auto"/>
            <w:bottom w:val="none" w:sz="0" w:space="0" w:color="auto"/>
            <w:right w:val="none" w:sz="0" w:space="0" w:color="auto"/>
          </w:divBdr>
        </w:div>
        <w:div w:id="284236869">
          <w:marLeft w:val="0"/>
          <w:marRight w:val="0"/>
          <w:marTop w:val="0"/>
          <w:marBottom w:val="0"/>
          <w:divBdr>
            <w:top w:val="none" w:sz="0" w:space="0" w:color="auto"/>
            <w:left w:val="none" w:sz="0" w:space="0" w:color="auto"/>
            <w:bottom w:val="none" w:sz="0" w:space="0" w:color="auto"/>
            <w:right w:val="none" w:sz="0" w:space="0" w:color="auto"/>
          </w:divBdr>
        </w:div>
        <w:div w:id="291637512">
          <w:marLeft w:val="0"/>
          <w:marRight w:val="0"/>
          <w:marTop w:val="0"/>
          <w:marBottom w:val="0"/>
          <w:divBdr>
            <w:top w:val="none" w:sz="0" w:space="0" w:color="auto"/>
            <w:left w:val="none" w:sz="0" w:space="0" w:color="auto"/>
            <w:bottom w:val="none" w:sz="0" w:space="0" w:color="auto"/>
            <w:right w:val="none" w:sz="0" w:space="0" w:color="auto"/>
          </w:divBdr>
        </w:div>
        <w:div w:id="315694273">
          <w:marLeft w:val="0"/>
          <w:marRight w:val="0"/>
          <w:marTop w:val="0"/>
          <w:marBottom w:val="0"/>
          <w:divBdr>
            <w:top w:val="none" w:sz="0" w:space="0" w:color="auto"/>
            <w:left w:val="none" w:sz="0" w:space="0" w:color="auto"/>
            <w:bottom w:val="none" w:sz="0" w:space="0" w:color="auto"/>
            <w:right w:val="none" w:sz="0" w:space="0" w:color="auto"/>
          </w:divBdr>
        </w:div>
        <w:div w:id="917985640">
          <w:marLeft w:val="0"/>
          <w:marRight w:val="0"/>
          <w:marTop w:val="0"/>
          <w:marBottom w:val="0"/>
          <w:divBdr>
            <w:top w:val="none" w:sz="0" w:space="0" w:color="auto"/>
            <w:left w:val="none" w:sz="0" w:space="0" w:color="auto"/>
            <w:bottom w:val="none" w:sz="0" w:space="0" w:color="auto"/>
            <w:right w:val="none" w:sz="0" w:space="0" w:color="auto"/>
          </w:divBdr>
        </w:div>
        <w:div w:id="1413315470">
          <w:marLeft w:val="0"/>
          <w:marRight w:val="0"/>
          <w:marTop w:val="0"/>
          <w:marBottom w:val="0"/>
          <w:divBdr>
            <w:top w:val="none" w:sz="0" w:space="0" w:color="auto"/>
            <w:left w:val="none" w:sz="0" w:space="0" w:color="auto"/>
            <w:bottom w:val="none" w:sz="0" w:space="0" w:color="auto"/>
            <w:right w:val="none" w:sz="0" w:space="0" w:color="auto"/>
          </w:divBdr>
        </w:div>
      </w:divsChild>
    </w:div>
    <w:div w:id="2018463279">
      <w:bodyDiv w:val="1"/>
      <w:marLeft w:val="0"/>
      <w:marRight w:val="0"/>
      <w:marTop w:val="0"/>
      <w:marBottom w:val="0"/>
      <w:divBdr>
        <w:top w:val="none" w:sz="0" w:space="0" w:color="auto"/>
        <w:left w:val="none" w:sz="0" w:space="0" w:color="auto"/>
        <w:bottom w:val="none" w:sz="0" w:space="0" w:color="auto"/>
        <w:right w:val="none" w:sz="0" w:space="0" w:color="auto"/>
      </w:divBdr>
    </w:div>
    <w:div w:id="2026056353">
      <w:bodyDiv w:val="1"/>
      <w:marLeft w:val="0"/>
      <w:marRight w:val="0"/>
      <w:marTop w:val="0"/>
      <w:marBottom w:val="0"/>
      <w:divBdr>
        <w:top w:val="none" w:sz="0" w:space="0" w:color="auto"/>
        <w:left w:val="none" w:sz="0" w:space="0" w:color="auto"/>
        <w:bottom w:val="none" w:sz="0" w:space="0" w:color="auto"/>
        <w:right w:val="none" w:sz="0" w:space="0" w:color="auto"/>
      </w:divBdr>
    </w:div>
    <w:div w:id="2031445156">
      <w:bodyDiv w:val="1"/>
      <w:marLeft w:val="0"/>
      <w:marRight w:val="0"/>
      <w:marTop w:val="0"/>
      <w:marBottom w:val="0"/>
      <w:divBdr>
        <w:top w:val="none" w:sz="0" w:space="0" w:color="auto"/>
        <w:left w:val="none" w:sz="0" w:space="0" w:color="auto"/>
        <w:bottom w:val="none" w:sz="0" w:space="0" w:color="auto"/>
        <w:right w:val="none" w:sz="0" w:space="0" w:color="auto"/>
      </w:divBdr>
    </w:div>
    <w:div w:id="2042316305">
      <w:bodyDiv w:val="1"/>
      <w:marLeft w:val="0"/>
      <w:marRight w:val="0"/>
      <w:marTop w:val="0"/>
      <w:marBottom w:val="0"/>
      <w:divBdr>
        <w:top w:val="none" w:sz="0" w:space="0" w:color="auto"/>
        <w:left w:val="none" w:sz="0" w:space="0" w:color="auto"/>
        <w:bottom w:val="none" w:sz="0" w:space="0" w:color="auto"/>
        <w:right w:val="none" w:sz="0" w:space="0" w:color="auto"/>
      </w:divBdr>
    </w:div>
    <w:div w:id="2045590434">
      <w:bodyDiv w:val="1"/>
      <w:marLeft w:val="0"/>
      <w:marRight w:val="0"/>
      <w:marTop w:val="0"/>
      <w:marBottom w:val="0"/>
      <w:divBdr>
        <w:top w:val="none" w:sz="0" w:space="0" w:color="auto"/>
        <w:left w:val="none" w:sz="0" w:space="0" w:color="auto"/>
        <w:bottom w:val="none" w:sz="0" w:space="0" w:color="auto"/>
        <w:right w:val="none" w:sz="0" w:space="0" w:color="auto"/>
      </w:divBdr>
    </w:div>
    <w:div w:id="2064593310">
      <w:bodyDiv w:val="1"/>
      <w:marLeft w:val="0"/>
      <w:marRight w:val="0"/>
      <w:marTop w:val="0"/>
      <w:marBottom w:val="0"/>
      <w:divBdr>
        <w:top w:val="none" w:sz="0" w:space="0" w:color="auto"/>
        <w:left w:val="none" w:sz="0" w:space="0" w:color="auto"/>
        <w:bottom w:val="none" w:sz="0" w:space="0" w:color="auto"/>
        <w:right w:val="none" w:sz="0" w:space="0" w:color="auto"/>
      </w:divBdr>
    </w:div>
    <w:div w:id="2069112029">
      <w:bodyDiv w:val="1"/>
      <w:marLeft w:val="0"/>
      <w:marRight w:val="0"/>
      <w:marTop w:val="0"/>
      <w:marBottom w:val="0"/>
      <w:divBdr>
        <w:top w:val="none" w:sz="0" w:space="0" w:color="auto"/>
        <w:left w:val="none" w:sz="0" w:space="0" w:color="auto"/>
        <w:bottom w:val="none" w:sz="0" w:space="0" w:color="auto"/>
        <w:right w:val="none" w:sz="0" w:space="0" w:color="auto"/>
      </w:divBdr>
      <w:divsChild>
        <w:div w:id="114758320">
          <w:marLeft w:val="0"/>
          <w:marRight w:val="0"/>
          <w:marTop w:val="0"/>
          <w:marBottom w:val="0"/>
          <w:divBdr>
            <w:top w:val="none" w:sz="0" w:space="0" w:color="auto"/>
            <w:left w:val="none" w:sz="0" w:space="0" w:color="auto"/>
            <w:bottom w:val="none" w:sz="0" w:space="0" w:color="auto"/>
            <w:right w:val="none" w:sz="0" w:space="0" w:color="auto"/>
          </w:divBdr>
          <w:divsChild>
            <w:div w:id="297760029">
              <w:marLeft w:val="0"/>
              <w:marRight w:val="0"/>
              <w:marTop w:val="0"/>
              <w:marBottom w:val="0"/>
              <w:divBdr>
                <w:top w:val="none" w:sz="0" w:space="0" w:color="auto"/>
                <w:left w:val="none" w:sz="0" w:space="0" w:color="auto"/>
                <w:bottom w:val="none" w:sz="0" w:space="0" w:color="auto"/>
                <w:right w:val="none" w:sz="0" w:space="0" w:color="auto"/>
              </w:divBdr>
              <w:divsChild>
                <w:div w:id="711148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161061">
      <w:bodyDiv w:val="1"/>
      <w:marLeft w:val="0"/>
      <w:marRight w:val="0"/>
      <w:marTop w:val="0"/>
      <w:marBottom w:val="0"/>
      <w:divBdr>
        <w:top w:val="none" w:sz="0" w:space="0" w:color="auto"/>
        <w:left w:val="none" w:sz="0" w:space="0" w:color="auto"/>
        <w:bottom w:val="none" w:sz="0" w:space="0" w:color="auto"/>
        <w:right w:val="none" w:sz="0" w:space="0" w:color="auto"/>
      </w:divBdr>
    </w:div>
    <w:div w:id="2083717507">
      <w:bodyDiv w:val="1"/>
      <w:marLeft w:val="0"/>
      <w:marRight w:val="0"/>
      <w:marTop w:val="0"/>
      <w:marBottom w:val="0"/>
      <w:divBdr>
        <w:top w:val="none" w:sz="0" w:space="0" w:color="auto"/>
        <w:left w:val="none" w:sz="0" w:space="0" w:color="auto"/>
        <w:bottom w:val="none" w:sz="0" w:space="0" w:color="auto"/>
        <w:right w:val="none" w:sz="0" w:space="0" w:color="auto"/>
      </w:divBdr>
    </w:div>
    <w:div w:id="2091778605">
      <w:bodyDiv w:val="1"/>
      <w:marLeft w:val="0"/>
      <w:marRight w:val="0"/>
      <w:marTop w:val="0"/>
      <w:marBottom w:val="0"/>
      <w:divBdr>
        <w:top w:val="none" w:sz="0" w:space="0" w:color="auto"/>
        <w:left w:val="none" w:sz="0" w:space="0" w:color="auto"/>
        <w:bottom w:val="none" w:sz="0" w:space="0" w:color="auto"/>
        <w:right w:val="none" w:sz="0" w:space="0" w:color="auto"/>
      </w:divBdr>
      <w:divsChild>
        <w:div w:id="917250253">
          <w:marLeft w:val="0"/>
          <w:marRight w:val="0"/>
          <w:marTop w:val="0"/>
          <w:marBottom w:val="0"/>
          <w:divBdr>
            <w:top w:val="none" w:sz="0" w:space="0" w:color="auto"/>
            <w:left w:val="none" w:sz="0" w:space="0" w:color="auto"/>
            <w:bottom w:val="none" w:sz="0" w:space="0" w:color="auto"/>
            <w:right w:val="none" w:sz="0" w:space="0" w:color="auto"/>
          </w:divBdr>
          <w:divsChild>
            <w:div w:id="1215578064">
              <w:marLeft w:val="0"/>
              <w:marRight w:val="0"/>
              <w:marTop w:val="0"/>
              <w:marBottom w:val="0"/>
              <w:divBdr>
                <w:top w:val="none" w:sz="0" w:space="0" w:color="auto"/>
                <w:left w:val="none" w:sz="0" w:space="0" w:color="auto"/>
                <w:bottom w:val="none" w:sz="0" w:space="0" w:color="auto"/>
                <w:right w:val="none" w:sz="0" w:space="0" w:color="auto"/>
              </w:divBdr>
              <w:divsChild>
                <w:div w:id="162584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696449">
      <w:bodyDiv w:val="1"/>
      <w:marLeft w:val="0"/>
      <w:marRight w:val="0"/>
      <w:marTop w:val="0"/>
      <w:marBottom w:val="0"/>
      <w:divBdr>
        <w:top w:val="none" w:sz="0" w:space="0" w:color="auto"/>
        <w:left w:val="none" w:sz="0" w:space="0" w:color="auto"/>
        <w:bottom w:val="none" w:sz="0" w:space="0" w:color="auto"/>
        <w:right w:val="none" w:sz="0" w:space="0" w:color="auto"/>
      </w:divBdr>
      <w:divsChild>
        <w:div w:id="1954705696">
          <w:marLeft w:val="0"/>
          <w:marRight w:val="0"/>
          <w:marTop w:val="0"/>
          <w:marBottom w:val="0"/>
          <w:divBdr>
            <w:top w:val="none" w:sz="0" w:space="0" w:color="auto"/>
            <w:left w:val="none" w:sz="0" w:space="0" w:color="auto"/>
            <w:bottom w:val="none" w:sz="0" w:space="0" w:color="auto"/>
            <w:right w:val="none" w:sz="0" w:space="0" w:color="auto"/>
          </w:divBdr>
          <w:divsChild>
            <w:div w:id="1570186199">
              <w:marLeft w:val="0"/>
              <w:marRight w:val="0"/>
              <w:marTop w:val="0"/>
              <w:marBottom w:val="0"/>
              <w:divBdr>
                <w:top w:val="none" w:sz="0" w:space="0" w:color="auto"/>
                <w:left w:val="none" w:sz="0" w:space="0" w:color="auto"/>
                <w:bottom w:val="none" w:sz="0" w:space="0" w:color="auto"/>
                <w:right w:val="none" w:sz="0" w:space="0" w:color="auto"/>
              </w:divBdr>
              <w:divsChild>
                <w:div w:id="697270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7919769">
      <w:bodyDiv w:val="1"/>
      <w:marLeft w:val="0"/>
      <w:marRight w:val="0"/>
      <w:marTop w:val="0"/>
      <w:marBottom w:val="0"/>
      <w:divBdr>
        <w:top w:val="none" w:sz="0" w:space="0" w:color="auto"/>
        <w:left w:val="none" w:sz="0" w:space="0" w:color="auto"/>
        <w:bottom w:val="none" w:sz="0" w:space="0" w:color="auto"/>
        <w:right w:val="none" w:sz="0" w:space="0" w:color="auto"/>
      </w:divBdr>
    </w:div>
    <w:div w:id="2113360072">
      <w:bodyDiv w:val="1"/>
      <w:marLeft w:val="0"/>
      <w:marRight w:val="0"/>
      <w:marTop w:val="0"/>
      <w:marBottom w:val="0"/>
      <w:divBdr>
        <w:top w:val="none" w:sz="0" w:space="0" w:color="auto"/>
        <w:left w:val="none" w:sz="0" w:space="0" w:color="auto"/>
        <w:bottom w:val="none" w:sz="0" w:space="0" w:color="auto"/>
        <w:right w:val="none" w:sz="0" w:space="0" w:color="auto"/>
      </w:divBdr>
      <w:divsChild>
        <w:div w:id="117913484">
          <w:marLeft w:val="0"/>
          <w:marRight w:val="0"/>
          <w:marTop w:val="0"/>
          <w:marBottom w:val="0"/>
          <w:divBdr>
            <w:top w:val="none" w:sz="0" w:space="0" w:color="auto"/>
            <w:left w:val="none" w:sz="0" w:space="0" w:color="auto"/>
            <w:bottom w:val="none" w:sz="0" w:space="0" w:color="auto"/>
            <w:right w:val="none" w:sz="0" w:space="0" w:color="auto"/>
          </w:divBdr>
          <w:divsChild>
            <w:div w:id="2088335071">
              <w:marLeft w:val="0"/>
              <w:marRight w:val="0"/>
              <w:marTop w:val="0"/>
              <w:marBottom w:val="0"/>
              <w:divBdr>
                <w:top w:val="none" w:sz="0" w:space="0" w:color="auto"/>
                <w:left w:val="none" w:sz="0" w:space="0" w:color="auto"/>
                <w:bottom w:val="none" w:sz="0" w:space="0" w:color="auto"/>
                <w:right w:val="none" w:sz="0" w:space="0" w:color="auto"/>
              </w:divBdr>
              <w:divsChild>
                <w:div w:id="710881263">
                  <w:marLeft w:val="0"/>
                  <w:marRight w:val="0"/>
                  <w:marTop w:val="0"/>
                  <w:marBottom w:val="0"/>
                  <w:divBdr>
                    <w:top w:val="none" w:sz="0" w:space="0" w:color="auto"/>
                    <w:left w:val="none" w:sz="0" w:space="0" w:color="auto"/>
                    <w:bottom w:val="none" w:sz="0" w:space="0" w:color="auto"/>
                    <w:right w:val="none" w:sz="0" w:space="0" w:color="auto"/>
                  </w:divBdr>
                  <w:divsChild>
                    <w:div w:id="119985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8745165">
      <w:bodyDiv w:val="1"/>
      <w:marLeft w:val="0"/>
      <w:marRight w:val="0"/>
      <w:marTop w:val="0"/>
      <w:marBottom w:val="0"/>
      <w:divBdr>
        <w:top w:val="none" w:sz="0" w:space="0" w:color="auto"/>
        <w:left w:val="none" w:sz="0" w:space="0" w:color="auto"/>
        <w:bottom w:val="none" w:sz="0" w:space="0" w:color="auto"/>
        <w:right w:val="none" w:sz="0" w:space="0" w:color="auto"/>
      </w:divBdr>
    </w:div>
    <w:div w:id="2140495052">
      <w:bodyDiv w:val="1"/>
      <w:marLeft w:val="0"/>
      <w:marRight w:val="0"/>
      <w:marTop w:val="0"/>
      <w:marBottom w:val="0"/>
      <w:divBdr>
        <w:top w:val="none" w:sz="0" w:space="0" w:color="auto"/>
        <w:left w:val="none" w:sz="0" w:space="0" w:color="auto"/>
        <w:bottom w:val="none" w:sz="0" w:space="0" w:color="auto"/>
        <w:right w:val="none" w:sz="0" w:space="0" w:color="auto"/>
      </w:divBdr>
    </w:div>
    <w:div w:id="21406835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footer" Target="footer1.xml"/><Relationship Id="rId26" Type="http://schemas.openxmlformats.org/officeDocument/2006/relationships/hyperlink" Target="https://opal.latrobe.edu.au/articles/report/International_Adoption_of_Invasive_Alien_Species_Policy/13065158" TargetMode="External"/><Relationship Id="rId39" Type="http://schemas.openxmlformats.org/officeDocument/2006/relationships/image" Target="media/image9.png"/><Relationship Id="rId21" Type="http://schemas.openxmlformats.org/officeDocument/2006/relationships/header" Target="header5.xml"/><Relationship Id="rId34" Type="http://schemas.openxmlformats.org/officeDocument/2006/relationships/hyperlink" Target="https://doi.org/10.1111/j.1472-4642.2009.00633.x" TargetMode="External"/><Relationship Id="rId42" Type="http://schemas.openxmlformats.org/officeDocument/2006/relationships/image" Target="media/image12.png"/><Relationship Id="rId47" Type="http://schemas.openxmlformats.org/officeDocument/2006/relationships/hyperlink" Target="https://doi.org/10.1111/rec.12541" TargetMode="External"/><Relationship Id="rId50" Type="http://schemas.openxmlformats.org/officeDocument/2006/relationships/hyperlink" Target="https://doi.org/10.1016/j.biocon.2010.10.013" TargetMode="External"/><Relationship Id="rId55" Type="http://schemas.openxmlformats.org/officeDocument/2006/relationships/image" Target="media/image20.png"/><Relationship Id="rId63" Type="http://schemas.openxmlformats.org/officeDocument/2006/relationships/header" Target="header8.xml"/><Relationship Id="rId68"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hyperlink" Target="https://doi.org/10.1016/j.cosust.2014.11.002" TargetMode="External"/><Relationship Id="rId32" Type="http://schemas.openxmlformats.org/officeDocument/2006/relationships/hyperlink" Target="https://opal.latrobe.edu.au/articles/report/International_Adoption_of_Invasive_Alien_Species_Policy/13065158" TargetMode="External"/><Relationship Id="rId37" Type="http://schemas.openxmlformats.org/officeDocument/2006/relationships/image" Target="media/image8.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hyperlink" Target="https://doi.org/10.1038/4681029a" TargetMode="External"/><Relationship Id="rId58" Type="http://schemas.openxmlformats.org/officeDocument/2006/relationships/image" Target="media/image22.png"/><Relationship Id="rId66" Type="http://schemas.openxmlformats.org/officeDocument/2006/relationships/header" Target="header9.xml"/><Relationship Id="rId5" Type="http://schemas.openxmlformats.org/officeDocument/2006/relationships/customXml" Target="../customXml/item5.xml"/><Relationship Id="rId15" Type="http://schemas.openxmlformats.org/officeDocument/2006/relationships/hyperlink" Target="https://doi.org/10.5281/zenodo.7430747" TargetMode="External"/><Relationship Id="rId23" Type="http://schemas.openxmlformats.org/officeDocument/2006/relationships/image" Target="media/image1.png"/><Relationship Id="rId28" Type="http://schemas.openxmlformats.org/officeDocument/2006/relationships/hyperlink" Target="https://opal.latrobe.edu.au/articles/report/International_Adoption_of_Invasive_Alien_Species_Policy/13065158" TargetMode="External"/><Relationship Id="rId36" Type="http://schemas.openxmlformats.org/officeDocument/2006/relationships/image" Target="media/image7.png"/><Relationship Id="rId49" Type="http://schemas.openxmlformats.org/officeDocument/2006/relationships/image" Target="media/image17.png"/><Relationship Id="rId57" Type="http://schemas.openxmlformats.org/officeDocument/2006/relationships/image" Target="media/image21.png"/><Relationship Id="rId61" Type="http://schemas.openxmlformats.org/officeDocument/2006/relationships/hyperlink" Target="https://doi.org/10.1111/conl.12600" TargetMode="External"/><Relationship Id="rId10" Type="http://schemas.openxmlformats.org/officeDocument/2006/relationships/styles" Target="styles.xml"/><Relationship Id="rId19" Type="http://schemas.openxmlformats.org/officeDocument/2006/relationships/header" Target="header3.xml"/><Relationship Id="rId31" Type="http://schemas.openxmlformats.org/officeDocument/2006/relationships/image" Target="media/image5.png"/><Relationship Id="rId44" Type="http://schemas.openxmlformats.org/officeDocument/2006/relationships/image" Target="media/image14.png"/><Relationship Id="rId52" Type="http://schemas.openxmlformats.org/officeDocument/2006/relationships/hyperlink" Target="https://doi.org/10.1007/978-3-319-27006-7_8" TargetMode="External"/><Relationship Id="rId60" Type="http://schemas.openxmlformats.org/officeDocument/2006/relationships/image" Target="media/image24.png"/><Relationship Id="rId65"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header" Target="header6.xml"/><Relationship Id="rId27" Type="http://schemas.openxmlformats.org/officeDocument/2006/relationships/image" Target="media/image3.png"/><Relationship Id="rId30" Type="http://schemas.openxmlformats.org/officeDocument/2006/relationships/hyperlink" Target="https://opal.latrobe.edu.au/articles/report/International_Adoption_of_Invasive_Alien_Species_Policy/13065158" TargetMode="External"/><Relationship Id="rId35" Type="http://schemas.openxmlformats.org/officeDocument/2006/relationships/hyperlink" Target="https://doi.org/10.1016/j.gloenvcha.2014.12.012" TargetMode="External"/><Relationship Id="rId43" Type="http://schemas.openxmlformats.org/officeDocument/2006/relationships/image" Target="media/image13.png"/><Relationship Id="rId48" Type="http://schemas.openxmlformats.org/officeDocument/2006/relationships/hyperlink" Target="https://doi.org/10.1093/cdj/bsab018" TargetMode="External"/><Relationship Id="rId56" Type="http://schemas.openxmlformats.org/officeDocument/2006/relationships/hyperlink" Target="https://doi.org/10.1016/j.oneear.2019.10.003" TargetMode="External"/><Relationship Id="rId64" Type="http://schemas.openxmlformats.org/officeDocument/2006/relationships/footer" Target="footer2.xml"/><Relationship Id="rId8" Type="http://schemas.openxmlformats.org/officeDocument/2006/relationships/customXml" Target="../customXml/item8.xml"/><Relationship Id="rId51" Type="http://schemas.openxmlformats.org/officeDocument/2006/relationships/image" Target="media/image18.png"/><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header" Target="header2.xml"/><Relationship Id="rId25" Type="http://schemas.openxmlformats.org/officeDocument/2006/relationships/image" Target="media/image2.png"/><Relationship Id="rId33" Type="http://schemas.openxmlformats.org/officeDocument/2006/relationships/image" Target="media/image6.png"/><Relationship Id="rId38" Type="http://schemas.openxmlformats.org/officeDocument/2006/relationships/hyperlink" Target="https://doi.org/10.1016/j.ecolecon.2009.08.022" TargetMode="External"/><Relationship Id="rId46" Type="http://schemas.openxmlformats.org/officeDocument/2006/relationships/image" Target="media/image16.png"/><Relationship Id="rId59" Type="http://schemas.openxmlformats.org/officeDocument/2006/relationships/image" Target="media/image23.png"/><Relationship Id="rId67" Type="http://schemas.openxmlformats.org/officeDocument/2006/relationships/fontTable" Target="fontTable.xml"/><Relationship Id="rId20" Type="http://schemas.openxmlformats.org/officeDocument/2006/relationships/header" Target="header4.xml"/><Relationship Id="rId41" Type="http://schemas.openxmlformats.org/officeDocument/2006/relationships/image" Target="media/image11.emf"/><Relationship Id="rId54" Type="http://schemas.openxmlformats.org/officeDocument/2006/relationships/image" Target="media/image19.png"/><Relationship Id="rId62" Type="http://schemas.openxmlformats.org/officeDocument/2006/relationships/header" Target="header7.xml"/></Relationships>
</file>

<file path=word/_rels/footnotes.xml.rels><?xml version="1.0" encoding="UTF-8" standalone="yes"?>
<Relationships xmlns="http://schemas.openxmlformats.org/package/2006/relationships"><Relationship Id="rId8" Type="http://schemas.openxmlformats.org/officeDocument/2006/relationships/hyperlink" Target="https://zenodo.org/doi/10.5281/zenodo.5762739" TargetMode="External"/><Relationship Id="rId13" Type="http://schemas.openxmlformats.org/officeDocument/2006/relationships/hyperlink" Target="https://doi.org/10.5281/zenodo.5706520" TargetMode="External"/><Relationship Id="rId3" Type="http://schemas.openxmlformats.org/officeDocument/2006/relationships/hyperlink" Target="https://zenodo.org/doi/10.5281/zenodo.5762739" TargetMode="External"/><Relationship Id="rId7" Type="http://schemas.openxmlformats.org/officeDocument/2006/relationships/hyperlink" Target="https://www.greatlakesphragmites.net/" TargetMode="External"/><Relationship Id="rId12" Type="http://schemas.openxmlformats.org/officeDocument/2006/relationships/hyperlink" Target="https://www.gida-global.org/care" TargetMode="External"/><Relationship Id="rId2" Type="http://schemas.openxmlformats.org/officeDocument/2006/relationships/hyperlink" Target="https://zenodo.org/doi/10.5281/zenodo.5762739" TargetMode="External"/><Relationship Id="rId1" Type="http://schemas.openxmlformats.org/officeDocument/2006/relationships/hyperlink" Target="https://www.ippc.int/en/core-activities/standards-setting/ispms/" TargetMode="External"/><Relationship Id="rId6" Type="http://schemas.openxmlformats.org/officeDocument/2006/relationships/hyperlink" Target="https://doi.org/10.5281/zenodo.5760266" TargetMode="External"/><Relationship Id="rId11" Type="http://schemas.openxmlformats.org/officeDocument/2006/relationships/hyperlink" Target="http://www.corpi.ku.lt/databases/index.php/aquanis" TargetMode="External"/><Relationship Id="rId5" Type="http://schemas.openxmlformats.org/officeDocument/2006/relationships/hyperlink" Target="http://campam.gcfi.org/CaribbeanMPA/mapview.php" TargetMode="External"/><Relationship Id="rId10" Type="http://schemas.openxmlformats.org/officeDocument/2006/relationships/hyperlink" Target="https://doi.org/10.5281/zenodo.5706520" TargetMode="External"/><Relationship Id="rId4" Type="http://schemas.openxmlformats.org/officeDocument/2006/relationships/hyperlink" Target="https://www.endwildlifetraffickingonline.org/" TargetMode="External"/><Relationship Id="rId9" Type="http://schemas.openxmlformats.org/officeDocument/2006/relationships/hyperlink" Target="https://doi.org/10.5281/zenodo.576026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e4a642e-7f8b-4e18-9cfb-3601aa1025a5">
      <Terms xmlns="http://schemas.microsoft.com/office/infopath/2007/PartnerControls"/>
    </lcf76f155ced4ddcb4097134ff3c332f>
    <TaxCatchAll xmlns="434407cf-833e-4317-8014-c98a4d8e11fc" xsi:nil="true"/>
  </documentManagement>
</p:properties>
</file>

<file path=customXml/item2.xml><?xml version="1.0" encoding="utf-8"?>
<p:properties xmlns:p="http://schemas.microsoft.com/office/2006/metadata/properties" xmlns:xsi="http://www.w3.org/2001/XMLSchema-instance" xmlns:pc="http://schemas.microsoft.com/office/infopath/2007/PartnerControls">
  <documentManagement>
    <MediaLengthInSeconds xmlns="9b4b222b-61d4-4afe-a0e4-1f9b6ac7da32" xsi:nil="true"/>
    <_activity xmlns="9b4b222b-61d4-4afe-a0e4-1f9b6ac7da3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A4C5A034BE8DD47991129D4A151C97E" ma:contentTypeVersion="19" ma:contentTypeDescription="Create a new document." ma:contentTypeScope="" ma:versionID="cb68fe39243c11c465bfd131da7f4509">
  <xsd:schema xmlns:xsd="http://www.w3.org/2001/XMLSchema" xmlns:xs="http://www.w3.org/2001/XMLSchema" xmlns:p="http://schemas.microsoft.com/office/2006/metadata/properties" xmlns:ns2="ae4a642e-7f8b-4e18-9cfb-3601aa1025a5" xmlns:ns3="434407cf-833e-4317-8014-c98a4d8e11fc" targetNamespace="http://schemas.microsoft.com/office/2006/metadata/properties" ma:root="true" ma:fieldsID="c0dd19795febd5a71faa400b93a3bcf2" ns2:_="" ns3:_="">
    <xsd:import namespace="ae4a642e-7f8b-4e18-9cfb-3601aa1025a5"/>
    <xsd:import namespace="434407cf-833e-4317-8014-c98a4d8e11f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Location" minOccurs="0"/>
                <xsd:element ref="ns3:TaxCatchAll"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4a642e-7f8b-4e18-9cfb-3601aa1025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8ebb0a5-c57d-4c3a-bec7-8a38252dd05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34407cf-833e-4317-8014-c98a4d8e11f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14964d7-ccac-422d-96f7-2645e9a334f0}" ma:internalName="TaxCatchAll" ma:showField="CatchAllData" ma:web="434407cf-833e-4317-8014-c98a4d8e11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YWjWp1JPyMJKdbBArp+fRwLY+g==">CgMxLjAaGgoBMBIVChMIBCoPCgtBQUFBNDU1WE5jWRAEGhoKATESFQoTCAQqDwoLQUFBQTQ1NVhOY1UQBBoaCgEyEhUKEwgEKg8KC0FBQUE0NTVYTmM4EAQaGgoBMxIVChMIBCoPCgtBQUFBNDU1WE5jURAEGhoKATQSFQoTCAQqDwoLQUFBQTQ1NVhOY3cQBBoaCgE1EhUKEwgEKg8KC0FBQUE0NTVYTmNjEAQaGgoBNhIVChMIBCoPCgtBQUFBNDU1WE5jMBAEGhoKATcSFQoTCAQqDwoLQUFBQTQ1NVhOY2sQBBoaCgE4EhUKEwgEKg8KC0FBQUE0NTVYTmNvEAQaGgoBORIVChMIBCoPCgtBQUFBNDU1WE5jZxACGhsKAjEwEhUKEwgEKg8KC0FBQUE0NTVYTmNnEAEaGwoCMTESFQoTCAQqDwoLQUFBQTQ1NVhOZFEQAhobCgIxMhIVChMIBCoPCgtBQUFBNDU1WE5kURABGhsKAjEzEhUKEwgEKg8KC0FBQUE0NTVYTmRJEAIaGwoCMTQSFQoTCAQqDwoLQUFBQTQ1NVhOZEkQARobCgIxNRIVChMIBCoPCgtBQUFBNDU1WE5kTRABGhsKAjE2EhUKEwgEKg8KC0FBQUE0NTVYTmRNEAIaGwoCMTcSFQoTCAQqDwoLQUFBQTQ1NVhOZEEQAhobCgIxOBIVChMIBCoPCgtBQUFBNDU1WE5jcxACGhsKAjE5EhUKEwgEKg8KC0FBQUE0NTVYTmNzEAEaGwoCMjASFQoTCAQqDwoLQUFBQTQ1NVhOYzQQAhobCgIyMRIVChMIBCoPCgtBQUFBNDU1WE5kRRACIrgDCgtBQUFBNDU1WE5jZxLgAgoLQUFBQTQ1NVhOY2cSC0FBQUE0NTVYTmNnGg0KCXRleHQvaHRtbBIAIg4KCnRleHQvcGxhaW4SACpACgdUc3UgSWFzGjUvL3NzbC5nc3RhdGljLmNvbS9kb2NzL2NvbW1vbi9ibHVlX3NpbGhvdWV0dGU5Ni0wLnBuZzCAtu+nojE4gLbvp6IxSkQKJGFwcGxpY2F0aW9uL3ZuZC5nb29nbGUtYXBwcy5kb2NzLm1kcxocwtfa5AEWChQKBwoBZxABGAASBwoBRxABGAAYAXJCCgdUc3UgSWFzGjcKNS8vc3NsLmdzdGF0aWMuY29tL2RvY3MvY29tbW9uL2JsdWVfc2lsaG91ZXR0ZTk2LTAucG5neACCATZzdWdnZXN0SWRJbXBvcnQ0ZmUwYTE4Ni0wNTJlLTQ1NzQtYTJlYS1iMDY3YTA0YjUzOTlfMTCIAQGaAQYIABAAGACwAQC4AQEYgLbvp6IxIIC276eiMTAAQjZzdWdnZXN0SWRJbXBvcnQ0ZmUwYTE4Ni0wNTJlLTQ1NzQtYTJlYS1iMDY3YTA0YjUzOTlfMTAiuAMKC0FBQUE0NTVYTmRJEuACCgtBQUFBNDU1WE5kSRILQUFBQTQ1NVhOZEkaDQoJdGV4dC9odG1sEgAiDgoKdGV4dC9wbGFpbhIAKkAKB1RzdSBJYXMaNS8vc3NsLmdzdGF0aWMuY29tL2RvY3MvY29tbW9uL2JsdWVfc2lsaG91ZXR0ZTk2LTAucG5nMIC276eiMTiAtu+nojFKRAokYXBwbGljYXRpb24vdm5kLmdvb2dsZS1hcHBzLmRvY3MubWRzGhzC19rkARYKFAoHCgFjEAEYABIHCgFDEAEYABgBckIKB1RzdSBJYXMaNwo1Ly9zc2wuZ3N0YXRpYy5jb20vZG9jcy9jb21tb24vYmx1ZV9zaWxob3VldHRlOTYtMC5wbmd4AIIBNnN1Z2dlc3RJZEltcG9ydDRmZTBhMTg2LTA1MmUtNDU3NC1hMmVhLWIwNjdhMDRiNTM5OV8xNIgBAZoBBggAEAAYALABALgBARiAtu+nojEggLbvp6IxMABCNnN1Z2dlc3RJZEltcG9ydDRmZTBhMTg2LTA1MmUtNDU3NC1hMmVhLWIwNjdhMDRiNTM5OV8xNCKyAwoLQUFBQTQ1NVhOY2MS2wIKC0FBQUE0NTVYTmNjEgtBQUFBNDU1WE5jYxoNCgl0ZXh0L2h0bWwSACIOCgp0ZXh0L3BsYWluEgAqRgoNYm9hZGllLWFtcG9uZxo1Ly9zc2wuZ3N0YXRpYy5jb20vZG9jcy9jb21tb24vYmx1ZV9zaWxob3VldHRlOTYtMC5wbmcw4I66uJAxOOCOuriQMUo0CiRhcHBsaWNhdGlvbi92bmQuZ29vZ2xlLWFwcHMuZG9jcy5tZHMaDMLX2uQBBiIECAIQAXJICg1ib2FkaWUtYW1wb25nGjcKNS8vc3NsLmdzdGF0aWMuY29tL2RvY3MvY29tbW9uL2JsdWVfc2lsaG91ZXR0ZTk2LTAucG5neACCATVzdWdnZXN0SWRJbXBvcnQ0ZmUwYTE4Ni0wNTJlLTQ1NzQtYTJlYS1iMDY3YTA0YjUzOTlfNogBAZoBBggAEAAYALABALgBARjgjrq4kDEg4I66uJAxMABCNXN1Z2dlc3RJZEltcG9ydDRmZTBhMTg2LTA1MmUtNDU3NC1hMmVhLWIwNjdhMDRiNTM5OV82IrsDCgtBQUFBNDU1WE5kRRLjAgoLQUFBQTQ1NVhOZEUSC0FBQUE0NTVYTmRFGg0KCXRleHQvaHRtbBIAIg4KCnRleHQvcGxhaW4SACpGCg1ib2FkaWUtYW1wb25nGjUvL3NzbC5nc3RhdGljLmNvbS9kb2NzL2NvbW1vbi9ibHVlX3NpbGhvdWV0dGU5Ni0wLnBuZzCgsIu9kDE4oLCLvZAxSjsKJGFwcGxpY2F0aW9uL3ZuZC5nb29nbGUtYXBwcy5kb2NzLm1kcxoTwtfa5AENEgsKBwoBKRABGAAQAXJICg1ib2FkaWUtYW1wb25nGjcKNS8vc3NsLmdzdGF0aWMuY29tL2RvY3MvY29tbW9uL2JsdWVfc2lsaG91ZXR0ZTk2LTAucG5neACCATZzdWdnZXN0SWRJbXBvcnQ0ZmUwYTE4Ni0wNTJlLTQ1NzQtYTJlYS1iMDY3YTA0YjUzOTlfMjKIAQGaAQYIABAAGACwAQC4AQEYoLCLvZAxIKCwi72QMTAAQjZzdWdnZXN0SWRJbXBvcnQ0ZmUwYTE4Ni0wNTJlLTQ1NzQtYTJlYS1iMDY3YTA0YjUzOTlfMjIiuwMKC0FBQUE0NTVYTmRBEuMCCgtBQUFBNDU1WE5kQRILQUFBQTQ1NVhOZEEaDQoJdGV4dC9odG1sEgAiDgoKdGV4dC9wbGFpbhIAKkYKDVRhbmFyYSBSZW5hcmQaNS8vc3NsLmdzdGF0aWMuY29tL2RvY3MvY29tbW9uL2JsdWVfc2lsaG91ZXR0ZTk2LTAucG5nMMCQ7v+bMTjAkO7/mzFKOwokYXBwbGljYXRpb24vdm5kLmdvb2dsZS1hcHBzLmRvY3MubWRzGhPC19rkAQ0SCwoHCgEoEAEYABABckgKDVRhbmFyYSBSZW5hcmQaNwo1Ly9zc2wuZ3N0YXRpYy5jb20vZG9jcy9jb21tb24vYmx1ZV9zaWxob3VldHRlOTYtMC5wbmd4AIIBNnN1Z2dlc3RJZEltcG9ydDRmZTBhMTg2LTA1MmUtNDU3NC1hMmVhLWIwNjdhMDRiNTM5OV8xOIgBAZoBBggAEAAYALABALgBARjAkO7/mzEgwJDu/5sxMABCNnN1Z2dlc3RJZEltcG9ydDRmZTBhMTg2LTA1MmUtNDU3NC1hMmVhLWIwNjdhMDRiNTM5OV8xOCKyAwoLQUFBQTQ1NVhOY1kS2wIKC0FBQUE0NTVYTmNZEgtBQUFBNDU1WE5jWRoNCgl0ZXh0L2h0bWwSACIOCgp0ZXh0L3BsYWluEgAqRgoNYm9hZGllLWFtcG9uZxo1Ly9zc2wuZ3N0YXRpYy5jb20vZG9jcy9jb21tb24vYmx1ZV9zaWxob3VldHRlOTYtMC5wbmcwgLq2uJAxOIC6triQMUo0CiRhcHBsaWNhdGlvbi92bmQuZ29vZ2xlLWFwcHMuZG9jcy5tZHMaDMLX2uQBBiIECAIQAXJICg1ib2FkaWUtYW1wb25nGjcKNS8vc3NsLmdzdGF0aWMuY29tL2RvY3MvY29tbW9uL2JsdWVfc2lsaG91ZXR0ZTk2LTAucG5neACCATVzdWdnZXN0SWRJbXBvcnQ0ZmUwYTE4Ni0wNTJlLTQ1NzQtYTJlYS1iMDY3YTA0YjUzOTlfMYgBAZoBBggAEAAYALABALgBARiAura4kDEggLq2uJAxMABCNXN1Z2dlc3RJZEltcG9ydDRmZTBhMTg2LTA1MmUtNDU3NC1hMmVhLWIwNjdhMDRiNTM5OV8xIrIDCgtBQUFBNDU1WE5jVRLbAgoLQUFBQTQ1NVhOY1USC0FBQUE0NTVYTmNVGg0KCXRleHQvaHRtbBIAIg4KCnRleHQvcGxhaW4SACpGCg1ib2FkaWUtYW1wb25nGjUvL3NzbC5nc3RhdGljLmNvbS9kb2NzL2NvbW1vbi9ibHVlX3NpbGhvdWV0dGU5Ni0wLnBuZzCAura4kDE4gLq2uJAxSjQKJGFwcGxpY2F0aW9uL3ZuZC5nb29nbGUtYXBwcy5kb2NzLm1kcxoMwtfa5AEGIgQIAhABckgKDWJvYWRpZS1hbXBvbmcaNwo1Ly9zc2wuZ3N0YXRpYy5jb20vZG9jcy9jb21tb24vYmx1ZV9zaWxob3VldHRlOTYtMC5wbmd4AIIBNXN1Z2dlc3RJZEltcG9ydDRmZTBhMTg2LTA1MmUtNDU3NC1hMmVhLWIwNjdhMDRiNTM5OV8yiAEBmgEGCAAQABgAsAEAuAEBGIC6triQMSCAura4kDEwAEI1c3VnZ2VzdElkSW1wb3J0NGZlMGExODYtMDUyZS00NTc0LWEyZWEtYjA2N2EwNGI1Mzk5XzIisgMKC0FBQUE0NTVYTmN3EtsCCgtBQUFBNDU1WE5jdxILQUFBQTQ1NVhOY3caDQoJdGV4dC9odG1sEgAiDgoKdGV4dC9wbGFpbhIAKkYKDVRhbmFyYSBSZW5hcmQaNS8vc3NsLmdzdGF0aWMuY29tL2RvY3MvY29tbW9uL2JsdWVfc2lsaG91ZXR0ZTk2LTAucG5nMMC93/+bMTjAvd//mzFKNAokYXBwbGljYXRpb24vdm5kLmdvb2dsZS1hcHBzLmRvY3MubWRzGgzC19rkAQYiBAgCEAFySAoNVGFuYXJhIFJlbmFyZBo3CjUvL3NzbC5nc3RhdGljLmNvbS9kb2NzL2NvbW1vbi9ibHVlX3NpbGhvdWV0dGU5Ni0wLnBuZ3gAggE1c3VnZ2VzdElkSW1wb3J0NGZlMGExODYtMDUyZS00NTc0LWEyZWEtYjA2N2EwNGI1Mzk5XzWIAQGaAQYIABAAGACwAQC4AQEYwL3f/5sxIMC93/+bMTAAQjVzdWdnZXN0SWRJbXBvcnQ0ZmUwYTE4Ni0wNTJlLTQ1NzQtYTJlYS1iMDY3YTA0YjUzOTlfNSKyAwoLQUFBQTQ1NVhOYzgS2wIKC0FBQUE0NTVYTmM4EgtBQUFBNDU1WE5jOBoNCgl0ZXh0L2h0bWwSACIOCgp0ZXh0L3BsYWluEgAqRgoNYm9hZGllLWFtcG9uZxo1Ly9zc2wuZ3N0YXRpYy5jb20vZG9jcy9jb21tb24vYmx1ZV9zaWxob3VldHRlOTYtMC5wbmcw4ITttpAxOOCE7baQMUo0CiRhcHBsaWNhdGlvbi92bmQuZ29vZ2xlLWFwcHMuZG9jcy5tZHMaDMLX2uQBBiIECAIQAXJICg1ib2FkaWUtYW1wb25nGjcKNS8vc3NsLmdzdGF0aWMuY29tL2RvY3MvY29tbW9uL2JsdWVfc2lsaG91ZXR0ZTk2LTAucG5neACCATVzdWdnZXN0SWRJbXBvcnQ0ZmUwYTE4Ni0wNTJlLTQ1NzQtYTJlYS1iMDY3YTA0YjUzOTlfM4gBAZoBBggAEAAYALABALgBARjghO22kDEg4ITttpAxMABCNXN1Z2dlc3RJZEltcG9ydDRmZTBhMTg2LTA1MmUtNDU3NC1hMmVhLWIwNjdhMDRiNTM5OV8zIrIDCgtBQUFBNDU1WE5jURLbAgoLQUFBQTQ1NVhOY1ESC0FBQUE0NTVYTmNRGg0KCXRleHQvaHRtbBIAIg4KCnRleHQvcGxhaW4SACpGCg1ib2FkaWUtYW1wb25nGjUvL3NzbC5nc3RhdGljLmNvbS9kb2NzL2NvbW1vbi9ibHVlX3NpbGhvdWV0dGU5Ni0wLnBuZzCAura4kDE4gLq2uJAxSjQKJGFwcGxpY2F0aW9uL3ZuZC5nb29nbGUtYXBwcy5kb2NzLm1kcxoMwtfa5AEGIgQIAhABckgKDWJvYWRpZS1hbXBvbmcaNwo1Ly9zc2wuZ3N0YXRpYy5jb20vZG9jcy9jb21tb24vYmx1ZV9zaWxob3VldHRlOTYtMC5wbmd4AIIBNXN1Z2dlc3RJZEltcG9ydDRmZTBhMTg2LTA1MmUtNDU3NC1hMmVhLWIwNjdhMDRiNTM5OV80iAEBmgEGCAAQABgAsAEAuAEBGIC6triQMSCAura4kDEwAEI1c3VnZ2VzdElkSW1wb3J0NGZlMGExODYtMDUyZS00NTc0LWEyZWEtYjA2N2EwNGI1Mzk5XzQiuAMKC0FBQUE0NTVYTmNzEuACCgtBQUFBNDU1WE5jcxILQUFBQTQ1NVhOY3MaDQoJdGV4dC9odG1sEgAiDgoKdGV4dC9wbGFpbhIAKkAKB1RzdSBJYXMaNS8vc3NsLmdzdGF0aWMuY29tL2RvY3MvY29tbW9uL2JsdWVfc2lsaG91ZXR0ZTk2LTAucG5nMMCFlKiiMTjAhZSoojFKRAokYXBwbGljYXRpb24vdm5kLmdvb2dsZS1hcHBzLmRvY3MubWRzGhzC19rkARYKFAoHCgFmEAEYABIHCgFGEAEYABgBckIKB1RzdSBJYXMaNwo1Ly9zc2wuZ3N0YXRpYy5jb20vZG9jcy9jb21tb24vYmx1ZV9zaWxob3VldHRlOTYtMC5wbmd4AIIBNnN1Z2dlc3RJZEltcG9ydDRmZTBhMTg2LTA1MmUtNDU3NC1hMmVhLWIwNjdhMDRiNTM5OV8xOYgBAZoBBggAEAAYALABALgBARjAhZSoojEgwIWUqKIxMABCNnN1Z2dlc3RJZEltcG9ydDRmZTBhMTg2LTA1MmUtNDU3NC1hMmVhLWIwNjdhMDRiNTM5OV8xOSK7AwoLQUFBQTQ1NVhOYzQS4wIKC0FBQUE0NTVYTmM0EgtBQUFBNDU1WE5jNBoNCgl0ZXh0L2h0bWwSACIOCgp0ZXh0L3BsYWluEgAqRgoNYm9hZGllLWFtcG9uZxo1Ly9zc2wuZ3N0YXRpYy5jb20vZG9jcy9jb21tb24vYmx1ZV9zaWxob3VldHRlOTYtMC5wbmcwoLCLvZAxOKCwi72QMUo7CiRhcHBsaWNhdGlvbi92bmQuZ29vZ2xlLWFwcHMuZG9jcy5tZHMaE8LX2uQBDRILCgcKASgQARgAEAFySAoNYm9hZGllLWFtcG9uZxo3CjUvL3NzbC5nc3RhdGljLmNvbS9kb2NzL2NvbW1vbi9ibHVlX3NpbGhvdWV0dGU5Ni0wLnBuZ3gAggE2c3VnZ2VzdElkSW1wb3J0NGZlMGExODYtMDUyZS00NTc0LWEyZWEtYjA2N2EwNGI1Mzk5XzIxiAEBmgEGCAAQABgAsAEAuAEBGKCwi72QMSCgsIu9kDEwAEI2c3VnZ2VzdElkSW1wb3J0NGZlMGExODYtMDUyZS00NTc0LWEyZWEtYjA2N2EwNGI1Mzk5XzIxIrIDCgtBQUFBNDU1WE5jbxLbAgoLQUFBQTQ1NVhOY28SC0FBQUE0NTVYTmNvGg0KCXRleHQvaHRtbBIAIg4KCnRleHQvcGxhaW4SACpGCg1ib2FkaWUtYW1wb25nGjUvL3NzbC5nc3RhdGljLmNvbS9kb2NzL2NvbW1vbi9ibHVlX3NpbGhvdWV0dGU5Ni0wLnBuZzDAyua7kDE4wMrmu5AxSjQKJGFwcGxpY2F0aW9uL3ZuZC5nb29nbGUtYXBwcy5kb2NzLm1kcxoMwtfa5AEGIgQIAhABckgKDWJvYWRpZS1hbXBvbmcaNwo1Ly9zc2wuZ3N0YXRpYy5jb20vZG9jcy9jb21tb24vYmx1ZV9zaWxob3VldHRlOTYtMC5wbmd4AIIBNXN1Z2dlc3RJZEltcG9ydDRmZTBhMTg2LTA1MmUtNDU3NC1hMmVhLWIwNjdhMDRiNTM5OV85iAEBmgEGCAAQABgAsAEAuAEBGMDK5ruQMSDAyua7kDEwAEI1c3VnZ2VzdElkSW1wb3J0NGZlMGExODYtMDUyZS00NTc0LWEyZWEtYjA2N2EwNGI1Mzk5XzkiuAMKC0FBQUE0NTVYTmRREuACCgtBQUFBNDU1WE5kURILQUFBQTQ1NVhOZFEaDQoJdGV4dC9odG1sEgAiDgoKdGV4dC9wbGFpbhIAKkAKB1RzdSBJYXMaNS8vc3NsLmdzdGF0aWMuY29tL2RvY3MvY29tbW9uL2JsdWVfc2lsaG91ZXR0ZTk2LTAucG5nMIC276eiMTiAtu+nojFKRAokYXBwbGljYXRpb24vdm5kLmdvb2dsZS1hcHBzLmRvY3MubWRzGhzC19rkARYKFAoHCgFjEAEYABIHCgFDEAEYABgBckIKB1RzdSBJYXMaNwo1Ly9zc2wuZ3N0YXRpYy5jb20vZG9jcy9jb21tb24vYmx1ZV9zaWxob3VldHRlOTYtMC5wbmd4AIIBNnN1Z2dlc3RJZEltcG9ydDRmZTBhMTg2LTA1MmUtNDU3NC1hMmVhLWIwNjdhMDRiNTM5OV8xMogBAZoBBggAEAAYALABALgBARiAtu+nojEggLbvp6IxMABCNnN1Z2dlc3RJZEltcG9ydDRmZTBhMTg2LTA1MmUtNDU3NC1hMmVhLWIwNjdhMDRiNTM5OV8xMiKyAwoLQUFBQTQ1NVhOYzAS2wIKC0FBQUE0NTVYTmMwEgtBQUFBNDU1WE5jMBoNCgl0ZXh0L2h0bWwSACIOCgp0ZXh0L3BsYWluEgAqRgoNYm9hZGllLWFtcG9uZxo1Ly9zc2wuZ3N0YXRpYy5jb20vZG9jcy9jb21tb24vYmx1ZV9zaWxob3VldHRlOTYtMC5wbmcwwMrmu5AxOMDK5ruQMUo0CiRhcHBsaWNhdGlvbi92bmQuZ29vZ2xlLWFwcHMuZG9jcy5tZHMaDMLX2uQBBiIECAIQAXJICg1ib2FkaWUtYW1wb25nGjcKNS8vc3NsLmdzdGF0aWMuY29tL2RvY3MvY29tbW9uL2JsdWVfc2lsaG91ZXR0ZTk2LTAucG5neACCATVzdWdnZXN0SWRJbXBvcnQ0ZmUwYTE4Ni0wNTJlLTQ1NzQtYTJlYS1iMDY3YTA0YjUzOTlfN4gBAZoBBggAEAAYALABALgBARjAyua7kDEgwMrmu5AxMABCNXN1Z2dlc3RJZEltcG9ydDRmZTBhMTg2LTA1MmUtNDU3NC1hMmVhLWIwNjdhMDRiNTM5OV83IrIDCgtBQUFBNDU1WE5jaxLbAgoLQUFBQTQ1NVhOY2sSC0FBQUE0NTVYTmNrGg0KCXRleHQvaHRtbBIAIg4KCnRleHQvcGxhaW4SACpGCg1ib2FkaWUtYW1wb25nGjUvL3NzbC5nc3RhdGljLmNvbS9kb2NzL2NvbW1vbi9ibHVlX3NpbGhvdWV0dGU5Ni0wLnBuZzDAyua7kDE4wMrmu5AxSjQKJGFwcGxpY2F0aW9uL3ZuZC5nb29nbGUtYXBwcy5kb2NzLm1kcxoMwtfa5AEGIgQIAhABckgKDWJvYWRpZS1hbXBvbmcaNwo1Ly9zc2wuZ3N0YXRpYy5jb20vZG9jcy9jb21tb24vYmx1ZV9zaWxob3VldHRlOTYtMC5wbmd4AIIBNXN1Z2dlc3RJZEltcG9ydDRmZTBhMTg2LTA1MmUtNDU3NC1hMmVhLWIwNjdhMDRiNTM5OV84iAEBmgEGCAAQABgAsAEAuAEBGMDK5ruQMSDAyua7kDEwAEI1c3VnZ2VzdElkSW1wb3J0NGZlMGExODYtMDUyZS00NTc0LWEyZWEtYjA2N2EwNGI1Mzk5XzgixAMKC0FBQUE0NTVYTmRNEuwCCgtBQUFBNDU1WE5kTRILQUFBQTQ1NVhOZE0aDQoJdGV4dC9odG1sEgAiDgoKdGV4dC9wbGFpbhIAKkYKDVRhbmFyYSBSZW5hcmQaNS8vc3NsLmdzdGF0aWMuY29tL2RvY3MvY29tbW9uL2JsdWVfc2lsaG91ZXR0ZTk2LTAucG5nMMCQ7v+bMTjAkO7/mzFKRAokYXBwbGljYXRpb24vdm5kLmdvb2dsZS1hcHBzLmRvY3MubWRzGhzC19rkARYKFAoHCgE7EAEYABIHCgEsEAEYABgBckgKDVRhbmFyYSBSZW5hcmQaNwo1Ly9zc2wuZ3N0YXRpYy5jb20vZG9jcy9jb21tb24vYmx1ZV9zaWxob3VldHRlOTYtMC5wbmd4AIIBNnN1Z2dlc3RJZEltcG9ydDRmZTBhMTg2LTA1MmUtNDU3NC1hMmVhLWIwNjdhMDRiNTM5OV8xNogBAZoBBggAEAAYALABALgBARjAkO7/mzEgwJDu/5sxMABCNnN1Z2dlc3RJZEltcG9ydDRmZTBhMTg2LTA1MmUtNDU3NC1hMmVhLWIwNjdhMDRiNTM5OV8xNj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nU2d250ZjIJaC4xOWM2eTE4MgloLjN0YnVncDEyCWguMjhoNHF3dTIIaC5ubWYxNG4yCWguMzdtMmpzZzIJaC4xbXJjdTA5MgloLjQ2cjBjbzIyCWguMmx3YW12djIJaC4xMTFreDNvMgloLjNsMThmcmgyCWguMjA2aXB6YTIJaC40azY2OG4zMgloLjJ6YmdpdXcyCWguMWVncXQycDIJaC4zeWdlYnFpMgloLjJkbG9seWIyCGguc3F5dzY0MgloLjNjcW1ldHgyCWguMXJ2d3AxcTIJaC40YnZrN3BqMgloLjJyMHVoeGMyCWguMTY2NHM1NTIJaC4zcTVzYXN5MgloLjI1YjJsMHIyCGgua2djdjhrMgloLjM0ZzBkd2QyCWguMWpsYW80NjIJaC40M2t5NnJ6MgloLjJpcThnenMyCGgueHZpcjdsMgloLjNodjY5dmUyCWguMXgwZ2szNzIJaC40aDA0MnIwMgloLjJ3NWVjeXQyCWguMWJhb242bTIJaC4zdmFjNXVmMgloLjJhZm1nMjgyCGgucGt3cWExMgloLjM5a2s4eHUyCWguMW9wdWo1bjIJaC40OHBpMXRnMgloLjJudXNjMTkyCWguMTMwMm05MjIJaC4zbXpxNHd2MgloLjIyNTBmNG8yCGguaGFhcGNoMgloLjMxOXk4MGEyCWguMWdmOGk4MzIJaC40MGV3MHZ3MgloLjJmazZiM3AyCGgudXBnbGJpMgloLjNlcDQzemIyCWguMXR1ZWU3NDIJaC40ZHUxd3V4MgloLjJzemM3MnEyCWguMTg0bWhhajIJaC4zczQ5enljMgloLjI3OWthNjUyCGgubWV1a2R5MgloLjM2ZWkzMXIyCWguMWxqc2Q5azIJaC40NWpmdnhkMgloLjJrb3E2NTYyCGguenUwZ2N6MgloLjNqdG56MHMyCWguMXl5eTk4bDIJaC40aXlscndlMgloLjJ5M3cyNDcyCWguMWQ5NmNjMDIJaC4zeDh0dXp0MgloLjJjZTQ1N20yCGgucmplZmZmMgloLjNiajF5MzgyCWguMXFvYzhiMTIJaC40YW56cXl1MgloLjJwdGExNm4yCWguMTR5a2JlZzIJaC4zb3k3dTI5MgloLjI0M2k0YTIyCGguajhzZWh2MgloLjMzOGZ4NW8yCWguMWlkcTdkaDIJaC40MmRkcTFhMgloLjJoaW8wOTMyCGgud255YWd3MgloLjNnbmx0NHAyCWguMXZzdzNjaTIJaC40ZnNqbTBiMgloLjJ1eHR3ODQyCWguMWEzNDZmeDIJaC4zdTJycDNxMgloLjI5ODF6YmoyCGgub2RjOWpjMgloLjM4Y3pzNzUyCWguMW5pYTJleTIJaC40N2h4bDJyMgloLjJtbjd2YWsyCWguMTFzaTVpZDIJaC4zbHM1bzY2MgloLjIweGZ5ZHoyCWguNGt4M2gxczIJaC4zMDJkcjlsMgloLjFmN28xaGUyCWguM3o3Yms1NzIJaC4yZWNsdWQwMghoLnRodzRrdDIJaC4zZGhqbjhtMgloLjFzbXR4Z2YyCWguNGNtaGc0ODIJaC4ycnJycWMxMgloLjE2eDIwanUyCWguM3F3cGo3bjIJaC4yNjF6dGZnMghoLmw3YTNuOTIJaC4zNTZ4bWIyMgloLjFrYzd3aXYyCWguNDRidmY2bzIJaC4yamg1cGVoMghoLnltZnptYTIJaC4zaW0zaWEzMgloLjF4cmRzaHcyCWguNGhyMWI1cDIJaC4yd3dibGRpMgloLjFjMWx2bGIyCWguM3cxOWU5NDIJaC4yYjZqb2d4MgppZC4zYWJoaGNqMglpZC5xYnR5b3EyCWguMXBncnJrYzIJaC40OWdmYTg1MgloLjJvbHBrZnkyCWguMTNxenVucjIJaC4zbnFuZGJrMgloLjIydnhuamQyCGguaTE3eHI2MgloLjMyMHZnZXoyCWguMWg2NXFtczIJaC40MTV0OWFsMgloLjJnYjNqaWUyCGgudmdkdHE3MgloLjNmZzFjZTAyCWguMXVsYm1sdDIJaC40ZWt6NTltMgloLjJ0cTlmaGYyCWguMTh2anBwODIJaC4zc3Y3OGQxMgloLjI4MGhpa3UyCGgubjVyc3NuMgloLjM3NWZiZ2cyCWguMW1hcGxvOTIJaC40NmFkNGMyMgloLjJsZm5lanYyCWguMTBreG9ybzIJaC4za2tsN2ZoMgloLjF6cHZobmEyCWguNGpwajBiMzIJaC4yeXV0YWl3OABqQQo2c3VnZ2VzdElkSW1wb3J0NGZlMGExODYtMDUyZS00NTc0LWEyZWEtYjA2N2EwNGI1Mzk5XzEwEgdUc3UgSWFzakEKNnN1Z2dlc3RJZEltcG9ydDRmZTBhMTg2LTA1MmUtNDU3NC1hMmVhLWIwNjdhMDRiNTM5OV8xNBIHVHN1IElhc2pGCjVzdWdnZXN0SWRJbXBvcnQ0ZmUwYTE4Ni0wNTJlLTQ1NzQtYTJlYS1iMDY3YTA0YjUzOTlfNhINYm9hZGllLWFtcG9uZ2pHCjZzdWdnZXN0SWRJbXBvcnQ0ZmUwYTE4Ni0wNTJlLTQ1NzQtYTJlYS1iMDY3YTA0YjUzOTlfMjISDWJvYWRpZS1hbXBvbmdqRwo2c3VnZ2VzdElkSW1wb3J0NGZlMGExODYtMDUyZS00NTc0LWEyZWEtYjA2N2EwNGI1Mzk5XzE4Eg1UYW5hcmEgUmVuYXJkakYKNXN1Z2dlc3RJZEltcG9ydDRmZTBhMTg2LTA1MmUtNDU3NC1hMmVhLWIwNjdhMDRiNTM5OV8xEg1ib2FkaWUtYW1wb25nakYKNXN1Z2dlc3RJZEltcG9ydDRmZTBhMTg2LTA1MmUtNDU3NC1hMmVhLWIwNjdhMDRiNTM5OV8yEg1ib2FkaWUtYW1wb25nakYKNXN1Z2dlc3RJZEltcG9ydDRmZTBhMTg2LTA1MmUtNDU3NC1hMmVhLWIwNjdhMDRiNTM5OV81Eg1UYW5hcmEgUmVuYXJkakYKNXN1Z2dlc3RJZEltcG9ydDRmZTBhMTg2LTA1MmUtNDU3NC1hMmVhLWIwNjdhMDRiNTM5OV8zEg1ib2FkaWUtYW1wb25nakYKNXN1Z2dlc3RJZEltcG9ydDRmZTBhMTg2LTA1MmUtNDU3NC1hMmVhLWIwNjdhMDRiNTM5OV80Eg1ib2FkaWUtYW1wb25nakEKNnN1Z2dlc3RJZEltcG9ydDRmZTBhMTg2LTA1MmUtNDU3NC1hMmVhLWIwNjdhMDRiNTM5OV8xORIHVHN1IElhc2pHCjZzdWdnZXN0SWRJbXBvcnQ0ZmUwYTE4Ni0wNTJlLTQ1NzQtYTJlYS1iMDY3YTA0YjUzOTlfMjESDWJvYWRpZS1hbXBvbmdqRgo1c3VnZ2VzdElkSW1wb3J0NGZlMGExODYtMDUyZS00NTc0LWEyZWEtYjA2N2EwNGI1Mzk5XzkSDWJvYWRpZS1hbXBvbmdqQQo2c3VnZ2VzdElkSW1wb3J0NGZlMGExODYtMDUyZS00NTc0LWEyZWEtYjA2N2EwNGI1Mzk5XzEyEgdUc3UgSWFzakYKNXN1Z2dlc3RJZEltcG9ydDRmZTBhMTg2LTA1MmUtNDU3NC1hMmVhLWIwNjdhMDRiNTM5OV83Eg1ib2FkaWUtYW1wb25nakYKNXN1Z2dlc3RJZEltcG9ydDRmZTBhMTg2LTA1MmUtNDU3NC1hMmVhLWIwNjdhMDRiNTM5OV84Eg1ib2FkaWUtYW1wb25nakcKNnN1Z2dlc3RJZEltcG9ydDRmZTBhMTg2LTA1MmUtNDU3NC1hMmVhLWIwNjdhMDRiNTM5OV8xNhINVGFuYXJhIFJlbmFyZHIhMWRzcVdIaFVUdzdDcDFuLWpENXBFRWx1R2JnM2tYTFRX</go:docsCustomData>
</go:gDocsCustomXmlDataStorage>
</file>

<file path=customXml/item7.xml><?xml version="1.0" encoding="utf-8"?>
<ct:contentTypeSchema xmlns:ct="http://schemas.microsoft.com/office/2006/metadata/contentType" xmlns:ma="http://schemas.microsoft.com/office/2006/metadata/properties/metaAttributes" ct:_="" ma:_="" ma:contentTypeName="Document" ma:contentTypeID="0x01010083EA0AD1F54C454D8EB41F1A49973AEE" ma:contentTypeVersion="10" ma:contentTypeDescription="Create a new document." ma:contentTypeScope="" ma:versionID="6daf682e88bfa9adabb83450418f7525">
  <xsd:schema xmlns:xsd="http://www.w3.org/2001/XMLSchema" xmlns:xs="http://www.w3.org/2001/XMLSchema" xmlns:p="http://schemas.microsoft.com/office/2006/metadata/properties" xmlns:ns3="9b4b222b-61d4-4afe-a0e4-1f9b6ac7da32" targetNamespace="http://schemas.microsoft.com/office/2006/metadata/properties" ma:root="true" ma:fieldsID="3d08024187d5e4a694b8436ab0773b66" ns3:_="">
    <xsd:import namespace="9b4b222b-61d4-4afe-a0e4-1f9b6ac7da3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4b222b-61d4-4afe-a0e4-1f9b6ac7da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_activity" ma:index="17"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F4F124-5ADB-4569-9368-C631E852B2E4}">
  <ds:schemaRefs>
    <ds:schemaRef ds:uri="http://schemas.microsoft.com/office/2006/metadata/properties"/>
    <ds:schemaRef ds:uri="http://schemas.microsoft.com/office/infopath/2007/PartnerControls"/>
    <ds:schemaRef ds:uri="ae4a642e-7f8b-4e18-9cfb-3601aa1025a5"/>
    <ds:schemaRef ds:uri="434407cf-833e-4317-8014-c98a4d8e11fc"/>
  </ds:schemaRefs>
</ds:datastoreItem>
</file>

<file path=customXml/itemProps2.xml><?xml version="1.0" encoding="utf-8"?>
<ds:datastoreItem xmlns:ds="http://schemas.openxmlformats.org/officeDocument/2006/customXml" ds:itemID="{3A227881-5521-4D1C-A844-DFC6910F6D39}">
  <ds:schemaRefs>
    <ds:schemaRef ds:uri="http://schemas.microsoft.com/office/2006/metadata/properties"/>
    <ds:schemaRef ds:uri="http://schemas.microsoft.com/office/infopath/2007/PartnerControls"/>
    <ds:schemaRef ds:uri="9b4b222b-61d4-4afe-a0e4-1f9b6ac7da32"/>
  </ds:schemaRefs>
</ds:datastoreItem>
</file>

<file path=customXml/itemProps3.xml><?xml version="1.0" encoding="utf-8"?>
<ds:datastoreItem xmlns:ds="http://schemas.openxmlformats.org/officeDocument/2006/customXml" ds:itemID="{6FBD2B0E-6C0A-4101-9C1C-615FBABADF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4a642e-7f8b-4e18-9cfb-3601aa1025a5"/>
    <ds:schemaRef ds:uri="434407cf-833e-4317-8014-c98a4d8e11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A5CD7B-44F3-4466-B653-A83A430C1488}">
  <ds:schemaRefs>
    <ds:schemaRef ds:uri="http://schemas.microsoft.com/sharepoint/v3/contenttype/forms"/>
  </ds:schemaRefs>
</ds:datastoreItem>
</file>

<file path=customXml/itemProps5.xml><?xml version="1.0" encoding="utf-8"?>
<ds:datastoreItem xmlns:ds="http://schemas.openxmlformats.org/officeDocument/2006/customXml" ds:itemID="{0DC03043-5F43-46C8-8D50-023C0C504B2B}">
  <ds:schemaRefs>
    <ds:schemaRef ds:uri="http://schemas.microsoft.com/sharepoint/v3/contenttype/forms"/>
  </ds:schemaRefs>
</ds:datastoreItem>
</file>

<file path=customXml/itemProps6.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7.xml><?xml version="1.0" encoding="utf-8"?>
<ds:datastoreItem xmlns:ds="http://schemas.openxmlformats.org/officeDocument/2006/customXml" ds:itemID="{096DAABB-46C1-477B-BA36-D7C1EC1CF9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4b222b-61d4-4afe-a0e4-1f9b6ac7da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C492DB27-9298-4E15-96F9-75F6761D6D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192</Pages>
  <Words>451033</Words>
  <Characters>2570891</Characters>
  <Application>Microsoft Office Word</Application>
  <DocSecurity>0</DocSecurity>
  <Lines>21424</Lines>
  <Paragraphs>6031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3015893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Ordonez Gloria</dc:creator>
  <cp:lastModifiedBy>Tsu Ias</cp:lastModifiedBy>
  <cp:revision>9</cp:revision>
  <dcterms:created xsi:type="dcterms:W3CDTF">2024-02-13T02:04:00Z</dcterms:created>
  <dcterms:modified xsi:type="dcterms:W3CDTF">2024-02-19T06:30:00Z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0x010100EA4C5A034BE8DD47991129D4A151C97E</vt:lpwstr>
  </property>
  <property fmtid="{D5CDD505-2E9C-101B-9397-08002B2CF9AE}" pid="3" name="ZOTERO_PREF_1">
    <vt:lpwstr>&lt;data data-version="3" zotero-version="6.0.30"&gt;&lt;session id="SnSXgYY3"/&gt;&lt;style id="http://www.zotero.org/styles/apa" locale="en-US" hasBibliography="1" bibliographyStyleHasBeenSet="1"/&gt;&lt;prefs&gt;&lt;pref name="fieldType" value="Field"/&gt;&lt;pref name="automaticJourn</vt:lpwstr>
  </property>
  <property fmtid="{D5CDD505-2E9C-101B-9397-08002B2CF9AE}" pid="4" name="ZOTERO_PREF_2">
    <vt:lpwstr>alAbbreviations" value="true"/&gt;&lt;pref name="dontAskDelayCitationUpdates" value="true"/&gt;&lt;/prefs&gt;&lt;/data&gt;</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y fmtid="{D5CDD505-2E9C-101B-9397-08002B2CF9AE}" pid="11" name="MediaServiceImageTags">
    <vt:lpwstr/>
  </property>
</Properties>
</file>